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SCHEDULE 14A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8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3"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CM LIFE 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(Name of Registrant as Specified In Its Charter)</w:t>
      </w:r>
    </w:p>
    <w:p>
      <w:pPr>
        <w:jc w:val="center"/>
        <w:ind w:right="-79"/>
        <w:spacing w:after="0"/>
        <w:rPr>
          <w:sz w:val="20"/>
          <w:szCs w:val="20"/>
          <w:color w:val="auto"/>
        </w:rPr>
      </w:pPr>
      <w:r>
        <w:rPr>
          <w:rFonts w:ascii="Arial" w:cs="Arial" w:eastAsia="Arial" w:hAnsi="Arial"/>
          <w:sz w:val="20"/>
          <w:szCs w:val="20"/>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6" w:lineRule="exact"/>
        <w:rPr>
          <w:rFonts w:ascii="MS PGothic" w:cs="MS PGothic" w:eastAsia="MS PGothic" w:hAnsi="MS PGothic"/>
          <w:sz w:val="18"/>
          <w:szCs w:val="18"/>
          <w:color w:val="auto"/>
        </w:rPr>
      </w:pPr>
    </w:p>
    <w:p>
      <w:pPr>
        <w:ind w:left="640" w:hanging="61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7" w:lineRule="exact"/>
        <w:rPr>
          <w:sz w:val="24"/>
          <w:szCs w:val="24"/>
          <w:color w:val="auto"/>
        </w:rPr>
      </w:pPr>
    </w:p>
    <w:p>
      <w:pPr>
        <w:ind w:left="640" w:right="618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Not applicable</w:t>
      </w:r>
    </w:p>
    <w:p>
      <w:pPr>
        <w:spacing w:after="0" w:line="1" w:lineRule="exact"/>
        <w:rPr>
          <w:rFonts w:ascii="Arial" w:cs="Arial" w:eastAsia="Arial" w:hAnsi="Arial"/>
          <w:sz w:val="18"/>
          <w:szCs w:val="18"/>
          <w:color w:val="auto"/>
        </w:rPr>
      </w:pPr>
    </w:p>
    <w:p>
      <w:pPr>
        <w:ind w:left="640" w:right="614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Not applicable</w:t>
      </w:r>
    </w:p>
    <w:p>
      <w:pPr>
        <w:spacing w:after="0" w:line="1" w:lineRule="exact"/>
        <w:rPr>
          <w:rFonts w:ascii="Arial" w:cs="Arial" w:eastAsia="Arial" w:hAnsi="Arial"/>
          <w:sz w:val="18"/>
          <w:szCs w:val="18"/>
          <w:color w:val="auto"/>
        </w:rPr>
      </w:pPr>
    </w:p>
    <w:p>
      <w:pPr>
        <w:ind w:left="640" w:hanging="614"/>
        <w:spacing w:after="0" w:line="23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640" w:right="6820" w:hanging="614"/>
        <w:spacing w:after="0" w:line="32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$2,837,595,123.44</w:t>
      </w:r>
    </w:p>
    <w:p>
      <w:pPr>
        <w:spacing w:after="0" w:line="1" w:lineRule="exact"/>
        <w:rPr>
          <w:rFonts w:ascii="Arial" w:cs="Arial" w:eastAsia="Arial" w:hAnsi="Arial"/>
          <w:sz w:val="18"/>
          <w:szCs w:val="18"/>
          <w:color w:val="auto"/>
        </w:rPr>
      </w:pPr>
    </w:p>
    <w:p>
      <w:pPr>
        <w:ind w:left="640" w:right="9480" w:hanging="614"/>
        <w:spacing w:after="0" w:line="33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Total fee paid: $309,582 </w:t>
      </w:r>
      <w:r>
        <w:rPr>
          <w:rFonts w:ascii="Arial" w:cs="Arial" w:eastAsia="Arial" w:hAnsi="Arial"/>
          <w:sz w:val="20"/>
          <w:szCs w:val="20"/>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-1230630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-1590675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7" w:lineRule="exact"/>
        <w:rPr>
          <w:sz w:val="24"/>
          <w:szCs w:val="24"/>
          <w:color w:val="auto"/>
        </w:rPr>
      </w:pPr>
    </w:p>
    <w:p>
      <w:pPr>
        <w:ind w:left="640" w:hanging="614"/>
        <w:spacing w:after="0" w:line="258" w:lineRule="auto"/>
        <w:tabs>
          <w:tab w:leader="none" w:pos="64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9" w:lineRule="exact"/>
        <w:rPr>
          <w:sz w:val="24"/>
          <w:szCs w:val="24"/>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640" w:hanging="614"/>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-516255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-867410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63" w:right="419" w:bottom="1440" w:gutter="0" w:footer="0" w:header="0"/>
        </w:sectPr>
      </w:pPr>
    </w:p>
    <w:p>
      <w:pPr>
        <w:spacing w:after="0" w:line="383" w:lineRule="exact"/>
        <w:rPr>
          <w:sz w:val="24"/>
          <w:szCs w:val="24"/>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4"/>
          <w:szCs w:val="24"/>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Calculated pursuant to Section 6(b) of the Securities Act at a rate equal to $109.10 per $1,000,000 of the proposed maximum aggregate offering price.</w:t>
      </w:r>
    </w:p>
    <w:p>
      <w:pPr>
        <w:sectPr>
          <w:pgSz w:w="11900" w:h="16838" w:orient="portrait"/>
          <w:cols w:equalWidth="0" w:num="1">
            <w:col w:w="11160"/>
          </w:cols>
          <w:pgMar w:left="320" w:top="863"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EE2724"/>
        </w:rPr>
        <w:t>PRELIMINARY PROXY STATEMENT - SUBJECT TO COMPLETION, DATED JUNE 10,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Corvex Management</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667 Madison Avenue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New York, New York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 of CM Life Sciences, Inc.:</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You are cordially invited to attend the special meeting of stockholders (the “</w:t>
      </w:r>
      <w:r>
        <w:rPr>
          <w:rFonts w:ascii="Arial" w:cs="Arial" w:eastAsia="Arial" w:hAnsi="Arial"/>
          <w:sz w:val="17"/>
          <w:szCs w:val="17"/>
          <w:i w:val="1"/>
          <w:iCs w:val="1"/>
          <w:color w:val="auto"/>
        </w:rPr>
        <w:t>Special Meeting</w:t>
      </w:r>
      <w:r>
        <w:rPr>
          <w:rFonts w:ascii="Arial" w:cs="Arial" w:eastAsia="Arial" w:hAnsi="Arial"/>
          <w:sz w:val="17"/>
          <w:szCs w:val="17"/>
          <w:color w:val="auto"/>
        </w:rPr>
        <w:t>”) of CM Life Sciences, Inc.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CMLS</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xml:space="preserve">”) to be held on [ ], 2021 at [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February 9, 2021, the Company and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entered into an Agreement and Plan of Merger with Mount Sinai Genomics, Inc. d/b/a Sema4 (“</w:t>
      </w:r>
      <w:r>
        <w:rPr>
          <w:rFonts w:ascii="Arial" w:cs="Arial" w:eastAsia="Arial" w:hAnsi="Arial"/>
          <w:sz w:val="16"/>
          <w:szCs w:val="16"/>
          <w:i w:val="1"/>
          <w:iCs w:val="1"/>
          <w:color w:val="auto"/>
        </w:rPr>
        <w:t>Sema4</w:t>
      </w:r>
      <w:r>
        <w:rPr>
          <w:rFonts w:ascii="Arial" w:cs="Arial" w:eastAsia="Arial" w:hAnsi="Arial"/>
          <w:sz w:val="16"/>
          <w:szCs w:val="16"/>
          <w:color w:val="auto"/>
        </w:rPr>
        <w:t>”) (the “</w:t>
      </w:r>
      <w:r>
        <w:rPr>
          <w:rFonts w:ascii="Arial" w:cs="Arial" w:eastAsia="Arial" w:hAnsi="Arial"/>
          <w:sz w:val="16"/>
          <w:szCs w:val="16"/>
          <w:i w:val="1"/>
          <w:iCs w:val="1"/>
          <w:color w:val="auto"/>
        </w:rPr>
        <w:t>Merger Agreement</w:t>
      </w:r>
      <w:r>
        <w:rPr>
          <w:rFonts w:ascii="Arial" w:cs="Arial" w:eastAsia="Arial" w:hAnsi="Arial"/>
          <w:sz w:val="16"/>
          <w:szCs w:val="16"/>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will change its name to Sema4 Holdings Corp. As described in this proxy statement, CMLS’s stockholders are being asked to consider and vote upon, among other things, the Business Combination and the other proposals set forth herein. For ease of reference, certain capitalized terms used in this proxy statement are defined below in “</w:t>
      </w:r>
      <w:r>
        <w:rPr>
          <w:rFonts w:ascii="Arial" w:cs="Arial" w:eastAsia="Arial" w:hAnsi="Arial"/>
          <w:sz w:val="16"/>
          <w:szCs w:val="16"/>
          <w:i w:val="1"/>
          <w:iCs w:val="1"/>
          <w:color w:val="auto"/>
        </w:rPr>
        <w:t>Frequently Used Terms</w:t>
      </w:r>
      <w:r>
        <w:rPr>
          <w:rFonts w:ascii="Arial" w:cs="Arial" w:eastAsia="Arial" w:hAnsi="Arial"/>
          <w:sz w:val="16"/>
          <w:szCs w:val="16"/>
          <w:color w:val="auto"/>
        </w:rPr>
        <w:t>”.</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ectPr>
          <w:pgSz w:w="11900" w:h="16838" w:orient="portrait"/>
          <w:cols w:equalWidth="0" w:num="1">
            <w:col w:w="11240"/>
          </w:cols>
          <w:pgMar w:left="320" w:top="1417" w:right="339" w:bottom="1440" w:gutter="0" w:footer="0" w:header="0"/>
        </w:sectPr>
      </w:pPr>
    </w:p>
    <w:bookmarkStart w:id="2" w:name="page3"/>
    <w:bookmarkEnd w:id="2"/>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paid to Sema4 Stockholders as merger consideration under the terms of the Merger Agreement will remain on the balance sheet of the combined company and be available for the payment of transaction expenses and other combined company uses.</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Business Combination, the Company entered into subscription agreements, each dated as of February 9, 2021 (the “</w:t>
      </w:r>
      <w:r>
        <w:rPr>
          <w:rFonts w:ascii="Arial" w:cs="Arial" w:eastAsia="Arial" w:hAnsi="Arial"/>
          <w:sz w:val="16"/>
          <w:szCs w:val="16"/>
          <w:i w:val="1"/>
          <w:iCs w:val="1"/>
          <w:color w:val="auto"/>
        </w:rPr>
        <w:t>Subscription Agreements</w:t>
      </w:r>
      <w:r>
        <w:rPr>
          <w:rFonts w:ascii="Arial" w:cs="Arial" w:eastAsia="Arial" w:hAnsi="Arial"/>
          <w:sz w:val="16"/>
          <w:szCs w:val="16"/>
          <w:color w:val="auto"/>
        </w:rPr>
        <w:t>”), with certain institutional investors, including affiliates of our Sponsor and existing investors in Sema4 (collectively, the “</w:t>
      </w:r>
      <w:r>
        <w:rPr>
          <w:rFonts w:ascii="Arial" w:cs="Arial" w:eastAsia="Arial" w:hAnsi="Arial"/>
          <w:sz w:val="16"/>
          <w:szCs w:val="16"/>
          <w:i w:val="1"/>
          <w:iCs w:val="1"/>
          <w:color w:val="auto"/>
        </w:rPr>
        <w:t>PIPE</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among other things, the Company agreed to issue and sell to the PIPE Investors, in private placements to close immediately</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 Closing, an aggregate of 35,000,000 shares of common stock at $10.00 per share, for an aggregate purchase price of $350,000,000.</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and Sema4 cannot complete the Business Combination unless the Company’s stockholders approve the Business Combination, including the issuance of common stock to Sema4 equity holders as merger consideration, and certain of the other proposals contained herein. The Company is sending you this proxy statement to ask you to vote in favor of the Business Combination Proposal, as described below, and the other matters described in this proxy statement.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At the Special Meeting, Company stockholders will be asked to consider and vote upon a proposal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to adopt the Merger Agreement, a copy of which is attached to the accompanying proxy statement as Annex A, and approve the transactions contemplated thereby, including the Business Combination. In addition, you are being asked to consider and vote upon a proposal to approve, for purposes of complying with applicable Nasdaq Stock Market (the “</w:t>
      </w:r>
      <w:r>
        <w:rPr>
          <w:rFonts w:ascii="Arial" w:cs="Arial" w:eastAsia="Arial" w:hAnsi="Arial"/>
          <w:sz w:val="16"/>
          <w:szCs w:val="16"/>
          <w:i w:val="1"/>
          <w:iCs w:val="1"/>
          <w:color w:val="auto"/>
        </w:rPr>
        <w:t>Nasdaq</w:t>
      </w:r>
      <w:r>
        <w:rPr>
          <w:rFonts w:ascii="Arial" w:cs="Arial" w:eastAsia="Arial" w:hAnsi="Arial"/>
          <w:sz w:val="16"/>
          <w:szCs w:val="16"/>
          <w:color w:val="auto"/>
        </w:rPr>
        <w:t>”) listing rules, the issuance of more than 20% of the Company’s outstanding common stock in connection with the Business Combination and the Subscription Agreements, including up to 147,922,735 shares of common stock to the Sema4 equity holders in the Business Combination and 35,000,000 shares of common stock to the PIPE Investors (the “</w:t>
      </w:r>
      <w:r>
        <w:rPr>
          <w:rFonts w:ascii="Arial" w:cs="Arial" w:eastAsia="Arial" w:hAnsi="Arial"/>
          <w:sz w:val="16"/>
          <w:szCs w:val="16"/>
          <w:i w:val="1"/>
          <w:iCs w:val="1"/>
          <w:color w:val="auto"/>
        </w:rPr>
        <w:t>Nasdaq Stock Issuance</w:t>
      </w:r>
    </w:p>
    <w:p>
      <w:pPr>
        <w:sectPr>
          <w:pgSz w:w="11900" w:h="16838" w:orient="portrait"/>
          <w:cols w:equalWidth="0" w:num="1">
            <w:col w:w="11240"/>
          </w:cols>
          <w:pgMar w:left="320" w:top="1421" w:right="3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6"/>
          <w:szCs w:val="16"/>
          <w:i w:val="1"/>
          <w:iCs w:val="1"/>
          <w:color w:val="auto"/>
        </w:rPr>
        <w:t>Proposal</w:t>
      </w:r>
      <w:r>
        <w:rPr>
          <w:rFonts w:ascii="Arial" w:cs="Arial" w:eastAsia="Arial" w:hAnsi="Arial"/>
          <w:sz w:val="16"/>
          <w:szCs w:val="16"/>
          <w:color w:val="auto"/>
        </w:rPr>
        <w:t>” or “</w:t>
      </w:r>
      <w:r>
        <w:rPr>
          <w:rFonts w:ascii="Arial" w:cs="Arial" w:eastAsia="Arial" w:hAnsi="Arial"/>
          <w:sz w:val="16"/>
          <w:szCs w:val="16"/>
          <w:i w:val="1"/>
          <w:iCs w:val="1"/>
          <w:color w:val="auto"/>
        </w:rPr>
        <w:t>Proposal No. 2</w:t>
      </w:r>
      <w:r>
        <w:rPr>
          <w:rFonts w:ascii="Arial" w:cs="Arial" w:eastAsia="Arial" w:hAnsi="Arial"/>
          <w:sz w:val="16"/>
          <w:szCs w:val="16"/>
          <w:color w:val="auto"/>
        </w:rPr>
        <w:t>”); a proposal to adopt the Amended and Restated Certificate of Incorporation in the form attached hereto as Annex B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a separate proposal with respect to certain governance provisions in the Amended and Restated Certificate of Incorporation, presented in accordance with SEC requirements and which will be voted upon on a non-binding advisory basis (the “</w:t>
      </w:r>
      <w:r>
        <w:rPr>
          <w:rFonts w:ascii="Arial" w:cs="Arial" w:eastAsia="Arial" w:hAnsi="Arial"/>
          <w:sz w:val="16"/>
          <w:szCs w:val="16"/>
          <w:i w:val="1"/>
          <w:iCs w:val="1"/>
          <w:color w:val="auto"/>
        </w:rPr>
        <w:t>Governance Proposal</w:t>
      </w:r>
      <w:r>
        <w:rPr>
          <w:rFonts w:ascii="Arial" w:cs="Arial" w:eastAsia="Arial" w:hAnsi="Arial"/>
          <w:sz w:val="16"/>
          <w:szCs w:val="16"/>
          <w:color w:val="auto"/>
        </w:rPr>
        <w:t>” or “</w:t>
      </w:r>
      <w:r>
        <w:rPr>
          <w:rFonts w:ascii="Arial" w:cs="Arial" w:eastAsia="Arial" w:hAnsi="Arial"/>
          <w:sz w:val="16"/>
          <w:szCs w:val="16"/>
          <w:i w:val="1"/>
          <w:iCs w:val="1"/>
          <w:color w:val="auto"/>
        </w:rPr>
        <w:t>Proposal No. 4</w:t>
      </w:r>
      <w:r>
        <w:rPr>
          <w:rFonts w:ascii="Arial" w:cs="Arial" w:eastAsia="Arial" w:hAnsi="Arial"/>
          <w:sz w:val="16"/>
          <w:szCs w:val="16"/>
          <w:color w:val="auto"/>
        </w:rPr>
        <w:t>”); a proposal to approve the Sema4 Holdings Corp 2021 Equity Incentive Plan (the “</w:t>
      </w:r>
      <w:r>
        <w:rPr>
          <w:rFonts w:ascii="Arial" w:cs="Arial" w:eastAsia="Arial" w:hAnsi="Arial"/>
          <w:sz w:val="16"/>
          <w:szCs w:val="16"/>
          <w:i w:val="1"/>
          <w:iCs w:val="1"/>
          <w:color w:val="auto"/>
        </w:rPr>
        <w:t>Incentive Plan</w:t>
      </w:r>
      <w:r>
        <w:rPr>
          <w:rFonts w:ascii="Arial" w:cs="Arial" w:eastAsia="Arial" w:hAnsi="Arial"/>
          <w:sz w:val="16"/>
          <w:szCs w:val="16"/>
          <w:color w:val="auto"/>
        </w:rPr>
        <w:t>”) (the “</w:t>
      </w:r>
      <w:r>
        <w:rPr>
          <w:rFonts w:ascii="Arial" w:cs="Arial" w:eastAsia="Arial" w:hAnsi="Arial"/>
          <w:sz w:val="16"/>
          <w:szCs w:val="16"/>
          <w:i w:val="1"/>
          <w:iCs w:val="1"/>
          <w:color w:val="auto"/>
        </w:rPr>
        <w:t>Incentive Plan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5</w:t>
      </w:r>
      <w:r>
        <w:rPr>
          <w:rFonts w:ascii="Arial" w:cs="Arial" w:eastAsia="Arial" w:hAnsi="Arial"/>
          <w:sz w:val="16"/>
          <w:szCs w:val="16"/>
          <w:color w:val="auto"/>
        </w:rPr>
        <w:t>”); a proposal to approve the Sema4 Holdings Corp 2021 Employee Stock Purchase Plan (the “</w:t>
      </w:r>
      <w:r>
        <w:rPr>
          <w:rFonts w:ascii="Arial" w:cs="Arial" w:eastAsia="Arial" w:hAnsi="Arial"/>
          <w:sz w:val="16"/>
          <w:szCs w:val="16"/>
          <w:i w:val="1"/>
          <w:iCs w:val="1"/>
          <w:color w:val="auto"/>
        </w:rPr>
        <w:t>ESPP</w:t>
      </w:r>
      <w:r>
        <w:rPr>
          <w:rFonts w:ascii="Arial" w:cs="Arial" w:eastAsia="Arial" w:hAnsi="Arial"/>
          <w:sz w:val="16"/>
          <w:szCs w:val="16"/>
          <w:color w:val="auto"/>
        </w:rPr>
        <w:t>”) (the “</w:t>
      </w:r>
      <w:r>
        <w:rPr>
          <w:rFonts w:ascii="Arial" w:cs="Arial" w:eastAsia="Arial" w:hAnsi="Arial"/>
          <w:sz w:val="16"/>
          <w:szCs w:val="16"/>
          <w:i w:val="1"/>
          <w:iCs w:val="1"/>
          <w:color w:val="auto"/>
        </w:rPr>
        <w:t>ESPP Proposal</w:t>
      </w:r>
      <w:r>
        <w:rPr>
          <w:rFonts w:ascii="Arial" w:cs="Arial" w:eastAsia="Arial" w:hAnsi="Arial"/>
          <w:sz w:val="16"/>
          <w:szCs w:val="16"/>
          <w:color w:val="auto"/>
        </w:rPr>
        <w:t>” or “</w:t>
      </w:r>
      <w:r>
        <w:rPr>
          <w:rFonts w:ascii="Arial" w:cs="Arial" w:eastAsia="Arial" w:hAnsi="Arial"/>
          <w:sz w:val="16"/>
          <w:szCs w:val="16"/>
          <w:i w:val="1"/>
          <w:iCs w:val="1"/>
          <w:color w:val="auto"/>
        </w:rPr>
        <w:t>Proposal No. 6</w:t>
      </w:r>
      <w:r>
        <w:rPr>
          <w:rFonts w:ascii="Arial" w:cs="Arial" w:eastAsia="Arial" w:hAnsi="Arial"/>
          <w:sz w:val="16"/>
          <w:szCs w:val="16"/>
          <w:color w:val="auto"/>
        </w:rPr>
        <w:t>”); a proposal to consider and vote upon a proposal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(as defined herein),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6"/>
          <w:szCs w:val="16"/>
          <w:i w:val="1"/>
          <w:iCs w:val="1"/>
          <w:color w:val="auto"/>
        </w:rPr>
        <w:t>Director Election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7</w:t>
      </w:r>
      <w:r>
        <w:rPr>
          <w:rFonts w:ascii="Arial" w:cs="Arial" w:eastAsia="Arial" w:hAnsi="Arial"/>
          <w:sz w:val="16"/>
          <w:szCs w:val="16"/>
          <w:color w:val="auto"/>
        </w:rPr>
        <w:t>”); 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(the “</w:t>
      </w:r>
      <w:r>
        <w:rPr>
          <w:rFonts w:ascii="Arial" w:cs="Arial" w:eastAsia="Arial" w:hAnsi="Arial"/>
          <w:sz w:val="16"/>
          <w:szCs w:val="16"/>
          <w:i w:val="1"/>
          <w:iCs w:val="1"/>
          <w:color w:val="auto"/>
        </w:rPr>
        <w:t>Adjournment Proposal</w:t>
      </w:r>
      <w:r>
        <w:rPr>
          <w:rFonts w:ascii="Arial" w:cs="Arial" w:eastAsia="Arial" w:hAnsi="Arial"/>
          <w:sz w:val="16"/>
          <w:szCs w:val="16"/>
          <w:color w:val="auto"/>
        </w:rPr>
        <w:t>” or “</w:t>
      </w:r>
      <w:r>
        <w:rPr>
          <w:rFonts w:ascii="Arial" w:cs="Arial" w:eastAsia="Arial" w:hAnsi="Arial"/>
          <w:sz w:val="16"/>
          <w:szCs w:val="16"/>
          <w:i w:val="1"/>
          <w:iCs w:val="1"/>
          <w:color w:val="auto"/>
        </w:rPr>
        <w:t>Proposal No. 8</w:t>
      </w:r>
      <w:r>
        <w:rPr>
          <w:rFonts w:ascii="Arial" w:cs="Arial" w:eastAsia="Arial" w:hAnsi="Arial"/>
          <w:sz w:val="16"/>
          <w:szCs w:val="16"/>
          <w:color w:val="auto"/>
        </w:rPr>
        <w:t>”); and the ratification of Withum as the Company’s independent registered public accounting firm for the fiscal year ending December 31, 2020 (the “</w:t>
      </w:r>
      <w:r>
        <w:rPr>
          <w:rFonts w:ascii="Arial" w:cs="Arial" w:eastAsia="Arial" w:hAnsi="Arial"/>
          <w:sz w:val="16"/>
          <w:szCs w:val="16"/>
          <w:i w:val="1"/>
          <w:iCs w:val="1"/>
          <w:color w:val="auto"/>
        </w:rPr>
        <w:t>Auditor Ratification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9</w:t>
      </w:r>
      <w:r>
        <w:rPr>
          <w:rFonts w:ascii="Arial" w:cs="Arial" w:eastAsia="Arial" w:hAnsi="Arial"/>
          <w:sz w:val="16"/>
          <w:szCs w:val="16"/>
          <w:color w:val="auto"/>
        </w:rPr>
        <w: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these proposals is more fully described in this proxy statement, which each stockholder is encouraged to carefully read.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(the “</w:t>
      </w:r>
      <w:r>
        <w:rPr>
          <w:rFonts w:ascii="Arial" w:cs="Arial" w:eastAsia="Arial" w:hAnsi="Arial"/>
          <w:sz w:val="17"/>
          <w:szCs w:val="17"/>
          <w:i w:val="1"/>
          <w:iCs w:val="1"/>
          <w:color w:val="auto"/>
        </w:rPr>
        <w:t>Trust Account</w:t>
      </w:r>
      <w:r>
        <w:rPr>
          <w:rFonts w:ascii="Arial" w:cs="Arial" w:eastAsia="Arial" w:hAnsi="Arial"/>
          <w:sz w:val="17"/>
          <w:szCs w:val="17"/>
          <w:color w:val="auto"/>
        </w:rPr>
        <w:t xml:space="preserve">”)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7"/>
          <w:szCs w:val="17"/>
          <w:b w:val="1"/>
          <w:bCs w:val="1"/>
          <w:u w:val="single" w:color="auto"/>
          <w:color w:val="auto"/>
        </w:rPr>
        <w:t>Public stockholders may elect to redeem their shares even if they vote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the Business Combination</w:t>
      </w:r>
      <w:r>
        <w:rPr>
          <w:rFonts w:ascii="Arial" w:cs="Arial" w:eastAsia="Arial" w:hAnsi="Arial"/>
          <w:sz w:val="17"/>
          <w:szCs w:val="17"/>
          <w:color w:val="auto"/>
        </w:rPr>
        <w:t>. Any request to redeem public shares, once made, may be withdrawn at any time until the deadline for exercising 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3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redemption of shares of common stock by our public stockholders will reduce the amount in the Trust Account. The Merger Agreement provides that Sema4’s obligation to consummate the Business Combination is subject to the condition that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Unless otherwise specified, the</w:t>
      </w:r>
    </w:p>
    <w:p>
      <w:pPr>
        <w:sectPr>
          <w:pgSz w:w="11900" w:h="16838" w:orient="portrait"/>
          <w:cols w:equalWidth="0" w:num="1">
            <w:col w:w="11240"/>
          </w:cols>
          <w:pgMar w:left="320" w:top="1421" w:right="3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information in the accompanying proxy statement assumes that none of our public stockholders exercise their redemption rights with respect to their shares of common stock.</w:t>
      </w:r>
    </w:p>
    <w:p>
      <w:pPr>
        <w:spacing w:after="0" w:line="11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Sponsor and the Company’s officers and directors at the time of our IPO (together, our “</w:t>
      </w:r>
      <w:r>
        <w:rPr>
          <w:rFonts w:ascii="Arial" w:cs="Arial" w:eastAsia="Arial" w:hAnsi="Arial"/>
          <w:sz w:val="17"/>
          <w:szCs w:val="17"/>
          <w:i w:val="1"/>
          <w:iCs w:val="1"/>
          <w:color w:val="auto"/>
        </w:rPr>
        <w:t>Initial Stockholders</w:t>
      </w:r>
      <w:r>
        <w:rPr>
          <w:rFonts w:ascii="Arial" w:cs="Arial" w:eastAsia="Arial" w:hAnsi="Arial"/>
          <w:sz w:val="17"/>
          <w:szCs w:val="17"/>
          <w:color w:val="auto"/>
        </w:rPr>
        <w:t>”) have agreed to vote their shares of common stock in favor of the Business Combination. Currently, our Initial Stockholders own approximately 20% of our issued and outstanding shares of common stock. In addition, our Initial Stockholders have agreed to waive their redemption rights with respect to such shares.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Business Combination and other related business to be considered by the Company’s stockholders at the Special Meeting is included in this proxy statement. </w:t>
      </w:r>
      <w:r>
        <w:rPr>
          <w:rFonts w:ascii="Arial" w:cs="Arial" w:eastAsia="Arial" w:hAnsi="Arial"/>
          <w:sz w:val="16"/>
          <w:szCs w:val="16"/>
          <w:b w:val="1"/>
          <w:bCs w:val="1"/>
          <w:color w:val="auto"/>
        </w:rPr>
        <w:t>Whether or not you plan to attend the Special Meeting, we urge all Company stockholders to read this proxy statement, including the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Annexes and the accompanying financial statements of the Company and Sema4, carefully and in their entirety. In particular, we urge you to carefully read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this proxy statement.</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careful consideration, our Board has approved the Merger Agreement and the transactions contemplated therein, and recommends that our stockholders vote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and approval of the transactions contemplated thereby, including the Business Combination, and “</w:t>
      </w:r>
      <w:r>
        <w:rPr>
          <w:rFonts w:ascii="Arial" w:cs="Arial" w:eastAsia="Arial" w:hAnsi="Arial"/>
          <w:sz w:val="18"/>
          <w:szCs w:val="18"/>
          <w:b w:val="1"/>
          <w:bCs w:val="1"/>
          <w:color w:val="auto"/>
        </w:rPr>
        <w:t>FOR</w:t>
      </w:r>
      <w:r>
        <w:rPr>
          <w:rFonts w:ascii="Arial" w:cs="Arial" w:eastAsia="Arial" w:hAnsi="Arial"/>
          <w:sz w:val="18"/>
          <w:szCs w:val="18"/>
          <w:color w:val="auto"/>
        </w:rPr>
        <w:t>” all other proposals presented to our stockholders in the accompanying proxy statement. When you consider the Board’s recommendation of these proposals, you should keep in mind that our directors and officers have interests in the Business Combination that may conflict with your interests as a stockholder. Please see the section entitled “</w:t>
      </w:r>
      <w:r>
        <w:rPr>
          <w:rFonts w:ascii="Arial" w:cs="Arial" w:eastAsia="Arial" w:hAnsi="Arial"/>
          <w:sz w:val="18"/>
          <w:szCs w:val="18"/>
          <w:i w:val="1"/>
          <w:iCs w:val="1"/>
          <w:color w:val="auto"/>
        </w:rPr>
        <w:t>Proposal No. 1 — Approval of the Business Combination — Interests of Certain Persons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additional information.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Approval of each of the Business Combination Proposal, the Nasdaq Stock Issuance Proposal, the Governance Proposal, the Incentive Plan Proposal, the ESPP Proposal and the Adjournment Proposal require the affirmative vote of a majority of the votes cast at the Special Meeting. Approval of the Charter Approval Proposal requires the affirmative vote of a majority of the outstanding shares of our common stock.</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Your vote is very important</w:t>
      </w:r>
      <w:r>
        <w:rPr>
          <w:rFonts w:ascii="Arial" w:cs="Arial" w:eastAsia="Arial" w:hAnsi="Arial"/>
          <w:sz w:val="17"/>
          <w:szCs w:val="17"/>
          <w:color w:val="auto"/>
        </w:rPr>
        <w:t xml:space="preserve">. Whether or not you plan to attend the Special Meeting, please vote as soon as possible by following the instructions in this 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Even if you have voted by proxy, you may still vote during the Special Meeting by visiting </w:t>
      </w:r>
      <w:r>
        <w:rPr>
          <w:rFonts w:ascii="Arial" w:cs="Arial" w:eastAsia="Arial" w:hAnsi="Arial"/>
          <w:sz w:val="17"/>
          <w:szCs w:val="17"/>
          <w:i w:val="1"/>
          <w:iCs w:val="1"/>
          <w:color w:val="auto"/>
        </w:rPr>
        <w:t xml:space="preserve">https://www.cstproxy.com/CMLS/sm2021 </w:t>
      </w:r>
      <w:r>
        <w:rPr>
          <w:rFonts w:ascii="Arial" w:cs="Arial" w:eastAsia="Arial" w:hAnsi="Arial"/>
          <w:sz w:val="17"/>
          <w:szCs w:val="17"/>
          <w:color w:val="auto"/>
        </w:rPr>
        <w:t>with your 12-digit control number assigned by Continental Stock Transfer &amp; Trust Company included on your</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or obtained from them via email. 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each of the proposals presented at the Special Meeting. If you fail to return your proxy card or fail to instruct your bank, broker or other nominee how to vote, and do not attend the Special Meeting, the effect will be that your shares will not be counted for purposes of determining whether a quorum is present at the Special Meeting. If you are a stockholder of record and you attend the Special Meeting and wish to vote at the Special Meeting, you may revoke your proxy and vote at the Special Meeting.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EXERCISE YOUR REDEMPTION RIGHTS, YOU MUST DEMAND THAT THE COMPANY REDEEM YOUR SHARES FOR A PRO RATA PORTION OF THE FUNDS HELD IN THE TRUST ACCOUNT AND TENDER YOUR SHARES TO THE COMPANY’S TRANSFER AGENT AT LEAST TWO BUSINESS DAYS PRIOR TO THE SPECIAL MEETING. YOU MAY TENDER YOUR SHARES BY EITHER DELIVERING YOUR SHARE CERTIFICATE TO THE TRANSFER AGENT OR BY DELIVERING YOUR</w:t>
      </w:r>
    </w:p>
    <w:p>
      <w:pPr>
        <w:sectPr>
          <w:pgSz w:w="11900" w:h="16838" w:orient="portrait"/>
          <w:cols w:equalWidth="0" w:num="1">
            <w:col w:w="11240"/>
          </w:cols>
          <w:pgMar w:left="320" w:top="1421"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behalf of our Board, I would like to thank you for your support of CM Life Sciences, Inc. and look forward to a successful completion of the Business Combination.</w:t>
      </w:r>
    </w:p>
    <w:p>
      <w:pPr>
        <w:spacing w:after="0" w:line="1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1400" w:hanging="474"/>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177165</wp:posOffset>
            </wp:positionV>
            <wp:extent cx="30518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7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THE SECURITIES AND EXCHANGE COMMISSION NOR ANY STATE SECURITIES REGULATORY AGENCY HAS APPROVED OR DISAPPROVED THE TRANSACTIONS DESCRIBED IN THIS PROXY STATEMENT, PASSED UPON THE MERITS OR FAIRNESS OF THE BUSINESS COMBINATION OR RELATED TRANSACTIONS OR PASSED UPON THE ADEQUACY OR ACCURACY OF THE DISCLOSURE IN THIS PROXY STATEMENT. ANY REPRESENTATION TO THE CONTRARY CONSTITUTES A CRIMINAL OFFENSE.</w:t>
      </w:r>
    </w:p>
    <w:p>
      <w:pPr>
        <w:spacing w:after="0" w:line="117" w:lineRule="exact"/>
        <w:rPr>
          <w:sz w:val="20"/>
          <w:szCs w:val="20"/>
          <w:color w:val="auto"/>
        </w:rPr>
      </w:pPr>
    </w:p>
    <w:p>
      <w:pPr>
        <w:ind w:left="340"/>
        <w:spacing w:after="0"/>
        <w:tabs>
          <w:tab w:leader="none" w:pos="3120" w:val="left"/>
          <w:tab w:leader="none" w:pos="9620" w:val="left"/>
        </w:tabs>
        <w:rPr>
          <w:sz w:val="20"/>
          <w:szCs w:val="20"/>
          <w:color w:val="auto"/>
        </w:rPr>
      </w:pPr>
      <w:r>
        <w:rPr>
          <w:rFonts w:ascii="Arial" w:cs="Arial" w:eastAsia="Arial" w:hAnsi="Arial"/>
          <w:sz w:val="18"/>
          <w:szCs w:val="18"/>
          <w:color w:val="auto"/>
        </w:rPr>
        <w:t>This proxy statement is dated [</w:t>
      </w:r>
      <w:r>
        <w:rPr>
          <w:sz w:val="20"/>
          <w:szCs w:val="20"/>
          <w:color w:val="auto"/>
        </w:rPr>
        <w:tab/>
      </w:r>
      <w:r>
        <w:rPr>
          <w:rFonts w:ascii="Arial" w:cs="Arial" w:eastAsia="Arial" w:hAnsi="Arial"/>
          <w:sz w:val="18"/>
          <w:szCs w:val="18"/>
          <w:color w:val="auto"/>
        </w:rPr>
        <w:t>] , 2021 and is expected to be first mailed to Company stockholders on or about [</w:t>
      </w:r>
      <w:r>
        <w:rPr>
          <w:sz w:val="20"/>
          <w:szCs w:val="20"/>
          <w:color w:val="auto"/>
        </w:rPr>
        <w:tab/>
      </w:r>
      <w:r>
        <w:rPr>
          <w:rFonts w:ascii="Arial" w:cs="Arial" w:eastAsia="Arial" w:hAnsi="Arial"/>
          <w:sz w:val="16"/>
          <w:szCs w:val="16"/>
          <w:color w:val="auto"/>
        </w:rPr>
        <w:t>] , 2021.</w:t>
      </w:r>
    </w:p>
    <w:p>
      <w:pPr>
        <w:sectPr>
          <w:pgSz w:w="11900" w:h="16838" w:orient="portrait"/>
          <w:cols w:equalWidth="0" w:num="1">
            <w:col w:w="11240"/>
          </w:cols>
          <w:pgMar w:left="320" w:top="14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NOTICE OF SPECIAL MEETING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CM LIFE SCIENCES, INC.</w:t>
      </w:r>
    </w:p>
    <w:p>
      <w:pPr>
        <w:spacing w:after="0" w:line="117"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CM Life Sciences,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NOTICE IS HEREBY GIVEN that a special meeting of the stockholders of CM Life Sciences,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will be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held on [ ] , 2021 at [ ] Eastern time (the “</w:t>
      </w:r>
      <w:r>
        <w:rPr>
          <w:rFonts w:ascii="Arial" w:cs="Arial" w:eastAsia="Arial" w:hAnsi="Arial"/>
          <w:sz w:val="17"/>
          <w:szCs w:val="17"/>
          <w:i w:val="1"/>
          <w:iCs w:val="1"/>
          <w:color w:val="auto"/>
        </w:rPr>
        <w:t>Special Meeting</w:t>
      </w:r>
      <w:r>
        <w:rPr>
          <w:rFonts w:ascii="Arial" w:cs="Arial" w:eastAsia="Arial" w:hAnsi="Arial"/>
          <w:sz w:val="17"/>
          <w:szCs w:val="17"/>
          <w:color w:val="auto"/>
        </w:rPr>
        <w:t xml:space="preserv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you will be asked to consider and vote on proposals to:</w:t>
      </w:r>
    </w:p>
    <w:p>
      <w:pPr>
        <w:spacing w:after="0" w:line="167" w:lineRule="exact"/>
        <w:rPr>
          <w:sz w:val="20"/>
          <w:szCs w:val="20"/>
          <w:color w:val="auto"/>
        </w:rPr>
      </w:pPr>
    </w:p>
    <w:p>
      <w:pPr>
        <w:jc w:val="both"/>
        <w:ind w:left="660" w:hanging="328"/>
        <w:spacing w:after="0" w:line="294"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No. 1 — The Business Combination Proposal </w:t>
      </w:r>
      <w:r>
        <w:rPr>
          <w:rFonts w:ascii="Arial" w:cs="Arial" w:eastAsia="Arial" w:hAnsi="Arial"/>
          <w:sz w:val="16"/>
          <w:szCs w:val="16"/>
          <w:color w:val="auto"/>
        </w:rPr>
        <w:t>— To approve and adopt the Agreement and Plan of Merger, dated as of February 9,</w:t>
      </w:r>
      <w:r>
        <w:rPr>
          <w:rFonts w:ascii="Arial" w:cs="Arial" w:eastAsia="Arial" w:hAnsi="Arial"/>
          <w:sz w:val="16"/>
          <w:szCs w:val="16"/>
          <w:b w:val="1"/>
          <w:bCs w:val="1"/>
          <w:color w:val="auto"/>
        </w:rPr>
        <w:t xml:space="preserve"> </w:t>
      </w:r>
      <w:r>
        <w:rPr>
          <w:rFonts w:ascii="Arial" w:cs="Arial" w:eastAsia="Arial" w:hAnsi="Arial"/>
          <w:sz w:val="16"/>
          <w:szCs w:val="16"/>
          <w:color w:val="auto"/>
        </w:rPr>
        <w:t>2021 as amended by the Amendment to Agreement and Plan of Merger dated May 3, 2021 (as it may be further amended and/or restated from time to time, the “</w:t>
      </w:r>
      <w:r>
        <w:rPr>
          <w:rFonts w:ascii="Arial" w:cs="Arial" w:eastAsia="Arial" w:hAnsi="Arial"/>
          <w:sz w:val="16"/>
          <w:szCs w:val="16"/>
          <w:i w:val="1"/>
          <w:iCs w:val="1"/>
          <w:color w:val="auto"/>
        </w:rPr>
        <w:t>Merger Agreement</w:t>
      </w:r>
      <w:r>
        <w:rPr>
          <w:rFonts w:ascii="Arial" w:cs="Arial" w:eastAsia="Arial" w:hAnsi="Arial"/>
          <w:sz w:val="16"/>
          <w:szCs w:val="16"/>
          <w:color w:val="auto"/>
        </w:rPr>
        <w:t>”), by and among the Company, its wholly owned subsidiary S-IV Sub, Inc. (“</w:t>
      </w:r>
      <w:r>
        <w:rPr>
          <w:rFonts w:ascii="Arial" w:cs="Arial" w:eastAsia="Arial" w:hAnsi="Arial"/>
          <w:sz w:val="16"/>
          <w:szCs w:val="16"/>
          <w:i w:val="1"/>
          <w:iCs w:val="1"/>
          <w:color w:val="auto"/>
        </w:rPr>
        <w:t>Merger Sub</w:t>
      </w:r>
      <w:r>
        <w:rPr>
          <w:rFonts w:ascii="Arial" w:cs="Arial" w:eastAsia="Arial" w:hAnsi="Arial"/>
          <w:sz w:val="16"/>
          <w:szCs w:val="16"/>
          <w:color w:val="auto"/>
        </w:rPr>
        <w:t>”), and Mount Sinai Genomics, Inc. (“</w:t>
      </w:r>
      <w:r>
        <w:rPr>
          <w:rFonts w:ascii="Arial" w:cs="Arial" w:eastAsia="Arial" w:hAnsi="Arial"/>
          <w:sz w:val="16"/>
          <w:szCs w:val="16"/>
          <w:i w:val="1"/>
          <w:iCs w:val="1"/>
          <w:color w:val="auto"/>
        </w:rPr>
        <w:t>Sema4</w:t>
      </w:r>
      <w:r>
        <w:rPr>
          <w:rFonts w:ascii="Arial" w:cs="Arial" w:eastAsia="Arial" w:hAnsi="Arial"/>
          <w:sz w:val="16"/>
          <w:szCs w:val="16"/>
          <w:color w:val="auto"/>
        </w:rPr>
        <w:t>”), a copy of which is attached to this proxy statement as Annex A, and approve the transactions contemplated thereby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including the merger of Merger Sub with and into Sema4, with Sema4 surviving the merger as a wholly owned subsidiary of the Company, and the issuance of common stock to Sema4 equity holders as merger consideration;</w:t>
      </w:r>
    </w:p>
    <w:p>
      <w:pPr>
        <w:spacing w:after="0" w:line="105"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the Nasdaq</w:t>
      </w:r>
      <w:r>
        <w:rPr>
          <w:rFonts w:ascii="Arial" w:cs="Arial" w:eastAsia="Arial" w:hAnsi="Arial"/>
          <w:sz w:val="18"/>
          <w:szCs w:val="18"/>
          <w:b w:val="1"/>
          <w:bCs w:val="1"/>
          <w:color w:val="auto"/>
        </w:rPr>
        <w:t xml:space="preserve"> </w:t>
      </w:r>
      <w:r>
        <w:rPr>
          <w:rFonts w:ascii="Arial" w:cs="Arial" w:eastAsia="Arial" w:hAnsi="Arial"/>
          <w:sz w:val="18"/>
          <w:szCs w:val="18"/>
          <w:color w:val="auto"/>
        </w:rPr>
        <w:t>Stock Market (the “</w:t>
      </w:r>
      <w:r>
        <w:rPr>
          <w:rFonts w:ascii="Arial" w:cs="Arial" w:eastAsia="Arial" w:hAnsi="Arial"/>
          <w:sz w:val="18"/>
          <w:szCs w:val="18"/>
          <w:i w:val="1"/>
          <w:iCs w:val="1"/>
          <w:color w:val="auto"/>
        </w:rPr>
        <w:t>Nasdaq</w:t>
      </w:r>
      <w:r>
        <w:rPr>
          <w:rFonts w:ascii="Arial" w:cs="Arial" w:eastAsia="Arial" w:hAnsi="Arial"/>
          <w:sz w:val="18"/>
          <w:szCs w:val="18"/>
          <w:color w:val="auto"/>
        </w:rPr>
        <w:t>”), the issuance of more than 20% of the Company’s outstanding common stock in connection with the Business Combination and Subscription Agreements, including up to 35,000,000 shares of our common stock to the PIPE Investors, which includes affiliates of CMLS Holdings LLC (our “</w:t>
      </w:r>
      <w:r>
        <w:rPr>
          <w:rFonts w:ascii="Arial" w:cs="Arial" w:eastAsia="Arial" w:hAnsi="Arial"/>
          <w:sz w:val="18"/>
          <w:szCs w:val="18"/>
          <w:i w:val="1"/>
          <w:iCs w:val="1"/>
          <w:color w:val="auto"/>
        </w:rPr>
        <w:t>Sponsor</w:t>
      </w:r>
      <w:r>
        <w:rPr>
          <w:rFonts w:ascii="Arial" w:cs="Arial" w:eastAsia="Arial" w:hAnsi="Arial"/>
          <w:sz w:val="18"/>
          <w:szCs w:val="18"/>
          <w:color w:val="auto"/>
        </w:rPr>
        <w:t>”) that subscribed for 9,500,000 shares of common stock, and up to 147,922,735 shares of our common stock to Sema4 equity holders;</w:t>
      </w:r>
    </w:p>
    <w:p>
      <w:pPr>
        <w:spacing w:after="0" w:line="12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in the form attached hereto as Annex B;</w:t>
      </w:r>
    </w:p>
    <w:p>
      <w:pPr>
        <w:spacing w:after="0" w:line="107"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Proposal No. 4 — Governance Proposal</w:t>
      </w:r>
      <w:r>
        <w:rPr>
          <w:rFonts w:ascii="Arial" w:cs="Arial" w:eastAsia="Arial" w:hAnsi="Arial"/>
          <w:sz w:val="17"/>
          <w:szCs w:val="17"/>
          <w:color w:val="auto"/>
        </w:rPr>
        <w:t>— To approve, on a non-binding advisory basis, a separate proposal with respect to certain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in the Amended and Restated Certificate of Incorporation in accordance with United States SEC requirements;</w:t>
      </w:r>
    </w:p>
    <w:p>
      <w:pPr>
        <w:spacing w:after="0" w:line="85"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Sema4 Holdings Corp 2021 Equity Incentive Plan (the “</w:t>
      </w:r>
      <w:r>
        <w:rPr>
          <w:rFonts w:ascii="Arial" w:cs="Arial" w:eastAsia="Arial" w:hAnsi="Arial"/>
          <w:sz w:val="18"/>
          <w:szCs w:val="18"/>
          <w:i w:val="1"/>
          <w:iCs w:val="1"/>
          <w:color w:val="auto"/>
        </w:rPr>
        <w:t>Incentive Plan</w:t>
      </w:r>
      <w:r>
        <w:rPr>
          <w:rFonts w:ascii="Arial" w:cs="Arial" w:eastAsia="Arial" w:hAnsi="Arial"/>
          <w:sz w:val="18"/>
          <w:szCs w:val="18"/>
          <w:color w:val="auto"/>
        </w:rPr>
        <w: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authorization of the initial share reserve under the Incentive Plan;</w:t>
      </w:r>
    </w:p>
    <w:p>
      <w:pPr>
        <w:spacing w:after="0" w:line="10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Sema4 Holdings Corp 2021 Employee Stock Purchase Plan (the “</w:t>
      </w:r>
      <w:r>
        <w:rPr>
          <w:rFonts w:ascii="Arial" w:cs="Arial" w:eastAsia="Arial" w:hAnsi="Arial"/>
          <w:sz w:val="18"/>
          <w:szCs w:val="18"/>
          <w:i w:val="1"/>
          <w:iCs w:val="1"/>
          <w:color w:val="auto"/>
        </w:rPr>
        <w:t>ESPP</w:t>
      </w:r>
      <w:r>
        <w:rPr>
          <w:rFonts w:ascii="Arial" w:cs="Arial" w:eastAsia="Arial" w:hAnsi="Arial"/>
          <w:sz w:val="18"/>
          <w:szCs w:val="18"/>
          <w:color w:val="auto"/>
        </w:rPr>
        <w: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the initial share reserve under the ESPP;</w:t>
      </w:r>
    </w:p>
    <w:p>
      <w:pPr>
        <w:spacing w:after="0" w:line="107"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Proposal No. 7 — The Director Election Proposal </w:t>
      </w:r>
      <w:r>
        <w:rPr>
          <w:rFonts w:ascii="Arial" w:cs="Arial" w:eastAsia="Arial" w:hAnsi="Arial"/>
          <w:sz w:val="17"/>
          <w:szCs w:val="17"/>
          <w:color w:val="auto"/>
        </w:rPr>
        <w:t>— To consider and vote upon a proposal to elect nine directors to serve on the post-combination company’s board of directors, each for a three-year term annual meeting of stockholders or until such director’s successor has been duly elected and qualified, or until such director’s earlier death, resignation, retirement or removal; alternatively, in the event the condition precedent proposals (as defined below), including the Charter Approval Proposal, are not approved, to elect</w:t>
      </w:r>
    </w:p>
    <w:p>
      <w:pPr>
        <w:sectPr>
          <w:pgSz w:w="11900" w:h="16838" w:orient="portrait"/>
          <w:cols w:equalWidth="0" w:num="1">
            <w:col w:w="11240"/>
          </w:cols>
          <w:pgMar w:left="320" w:top="1417" w:right="339" w:bottom="1440" w:gutter="0" w:footer="0" w:header="0"/>
        </w:sectPr>
      </w:pPr>
    </w:p>
    <w:bookmarkStart w:id="7" w:name="page8"/>
    <w:bookmarkEnd w:id="7"/>
    <w:p>
      <w:pPr>
        <w:jc w:val="both"/>
        <w:ind w:left="660"/>
        <w:spacing w:after="0" w:line="263" w:lineRule="auto"/>
        <w:rPr>
          <w:sz w:val="20"/>
          <w:szCs w:val="20"/>
          <w:color w:val="auto"/>
        </w:rPr>
      </w:pPr>
      <w:r>
        <w:rPr>
          <w:rFonts w:ascii="Arial" w:cs="Arial" w:eastAsia="Arial" w:hAnsi="Arial"/>
          <w:sz w:val="18"/>
          <w:szCs w:val="18"/>
          <w:color w:val="auto"/>
        </w:rPr>
        <w:t>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(the “</w:t>
      </w:r>
      <w:r>
        <w:rPr>
          <w:rFonts w:ascii="Arial" w:cs="Arial" w:eastAsia="Arial" w:hAnsi="Arial"/>
          <w:sz w:val="18"/>
          <w:szCs w:val="18"/>
          <w:i w:val="1"/>
          <w:iCs w:val="1"/>
          <w:color w:val="auto"/>
        </w:rPr>
        <w:t>Director Election Proposal</w:t>
      </w:r>
      <w:r>
        <w:rPr>
          <w:rFonts w:ascii="Arial" w:cs="Arial" w:eastAsia="Arial" w:hAnsi="Arial"/>
          <w:sz w:val="18"/>
          <w:szCs w:val="18"/>
          <w:color w:val="auto"/>
        </w:rPr>
        <w:t>”); and</w:t>
      </w:r>
    </w:p>
    <w:p>
      <w:pPr>
        <w:spacing w:after="0" w:line="126" w:lineRule="exact"/>
        <w:rPr>
          <w:sz w:val="20"/>
          <w:szCs w:val="20"/>
          <w:color w:val="auto"/>
        </w:rPr>
      </w:pPr>
    </w:p>
    <w:p>
      <w:pPr>
        <w:jc w:val="both"/>
        <w:ind w:left="660" w:hanging="328"/>
        <w:spacing w:after="0" w:line="29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w:t>
      </w:r>
      <w:r>
        <w:rPr>
          <w:rFonts w:ascii="Arial" w:cs="Arial" w:eastAsia="Arial" w:hAnsi="Arial"/>
          <w:sz w:val="18"/>
          <w:szCs w:val="18"/>
          <w:color w:val="auto"/>
        </w:rPr>
        <w:t>--- The ratification of Withum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fiscal year ending December 31, 2020.</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 which also includes, as Annex A, a copy of the Merger Agreement, and Annex B, a copy of the Amended and Restated Certificate of Incorporation. </w:t>
      </w:r>
      <w:r>
        <w:rPr>
          <w:rFonts w:ascii="Arial" w:cs="Arial" w:eastAsia="Arial" w:hAnsi="Arial"/>
          <w:sz w:val="18"/>
          <w:szCs w:val="18"/>
          <w:b w:val="1"/>
          <w:bCs w:val="1"/>
          <w:color w:val="auto"/>
        </w:rPr>
        <w:t>We urge you to carefully read this proxy statement in its entirety, including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Annexes and accompanying financial statements of the Company and Sema4.</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record date for the Special Meeting is June 21, 2021. Only stockholders of record at the close of business on that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w:t>
      </w:r>
    </w:p>
    <w:p>
      <w:pPr>
        <w:spacing w:after="0" w:line="1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Initial Stockholders (as defined above), who own approximately 20% of our issued and outstanding shares of common stock, have agreed to vote their shares of common stock in favor of the Business Combination. In addition, 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 Agreement provides that Sema4’s obligation to consummate the Business Combination is subject to the condition that the amount in the Trust Account and the proceeds from the PIPE Investment equal or exceed $300,000,000, following payment of the aggregate amount of cash proceeds that will be required to satisfy any redemptions and payment of all Company and Sema4 transaction expenses. This condition to closing in the Merger Agreement is for the sole benefit of, and may be waived only by, Sema4. If, as a result of redemptions of common stock by our public</w:t>
      </w:r>
    </w:p>
    <w:p>
      <w:pPr>
        <w:sectPr>
          <w:pgSz w:w="11900" w:h="16838" w:orient="portrait"/>
          <w:cols w:equalWidth="0" w:num="1">
            <w:col w:w="11240"/>
          </w:cols>
          <w:pgMar w:left="320" w:top="1421"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color w:val="auto"/>
        </w:rPr>
        <w:t>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connection with the Business Combination, the Company entered into the Subscription Agreements (as defined above)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w:t>
      </w:r>
    </w:p>
    <w:p>
      <w:pPr>
        <w:spacing w:after="0" w:line="9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A majority of the voting power of all outstanding shares of capital stock of the Company entitled to vote must be present in person or by proxy to constitute a quorum for the transaction of business at the Special Meeting. </w:t>
      </w:r>
      <w:r>
        <w:rPr>
          <w:rFonts w:ascii="Arial" w:cs="Arial" w:eastAsia="Arial" w:hAnsi="Arial"/>
          <w:sz w:val="16"/>
          <w:szCs w:val="16"/>
          <w:b w:val="1"/>
          <w:bCs w:val="1"/>
          <w:color w:val="auto"/>
        </w:rPr>
        <w:t>The Board recommends that you vote “FOR” each of these proposals.</w:t>
      </w:r>
    </w:p>
    <w:p>
      <w:pPr>
        <w:spacing w:after="0" w:line="110"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By Order of the Board of Directors,</w:t>
      </w:r>
    </w:p>
    <w:p>
      <w:pPr>
        <w:spacing w:after="0" w:line="29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Eli Casdin</w:t>
      </w:r>
    </w:p>
    <w:p>
      <w:pPr>
        <w:spacing w:after="0" w:line="171"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70" w:lineRule="exact"/>
        <w:rPr>
          <w:sz w:val="20"/>
          <w:szCs w:val="20"/>
          <w:color w:val="auto"/>
        </w:rPr>
      </w:pPr>
    </w:p>
    <w:p>
      <w:pPr>
        <w:ind w:left="2020" w:hanging="510"/>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2021</w:t>
      </w:r>
    </w:p>
    <w:p>
      <w:pPr>
        <w:sectPr>
          <w:pgSz w:w="11900" w:h="16838" w:orient="portrait"/>
          <w:cols w:equalWidth="0" w:num="1">
            <w:col w:w="11240"/>
          </w:cols>
          <w:pgMar w:left="320" w:top="1421" w:right="339" w:bottom="1440" w:gutter="0" w:footer="0" w:header="0"/>
        </w:sectPr>
      </w:pPr>
    </w:p>
    <w:bookmarkStart w:id="9" w:name="page10"/>
    <w:bookmarkEnd w:id="9"/>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2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gridSpan w:val="7"/>
            <w:vMerge w:val="restart"/>
          </w:tcPr>
          <w:p>
            <w:pPr>
              <w:spacing w:after="0"/>
              <w:rPr>
                <w:rFonts w:ascii="Arial" w:cs="Arial" w:eastAsia="Arial" w:hAnsi="Arial"/>
                <w:sz w:val="18"/>
                <w:szCs w:val="18"/>
                <w:color w:val="0000FF"/>
                <w:w w:val="96"/>
              </w:rPr>
            </w:pPr>
            <w:hyperlink w:anchor="page10">
              <w:r>
                <w:rPr>
                  <w:rFonts w:ascii="Arial" w:cs="Arial" w:eastAsia="Arial" w:hAnsi="Arial"/>
                  <w:sz w:val="18"/>
                  <w:szCs w:val="18"/>
                  <w:color w:val="0000FF"/>
                  <w:w w:val="96"/>
                </w:rPr>
                <w:t>SUMMARY TERM SHEET</w:t>
              </w:r>
            </w:hyperlink>
          </w:p>
        </w:tc>
        <w:tc>
          <w:tcPr>
            <w:tcW w:w="8460" w:type="dxa"/>
            <w:vAlign w:val="bottom"/>
            <w:gridSpan w:val="32"/>
            <w:vMerge w:val="restart"/>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9"/>
                <w:szCs w:val="9"/>
                <w:color w:val="auto"/>
                <w:w w:val="75"/>
              </w:rPr>
              <w:t>Page</w:t>
            </w:r>
          </w:p>
        </w:tc>
        <w:tc>
          <w:tcPr>
            <w:tcW w:w="0" w:type="dxa"/>
            <w:vAlign w:val="bottom"/>
          </w:tcPr>
          <w:p>
            <w:pPr>
              <w:spacing w:after="0"/>
              <w:rPr>
                <w:sz w:val="1"/>
                <w:szCs w:val="1"/>
                <w:color w:val="auto"/>
              </w:rPr>
            </w:pPr>
          </w:p>
        </w:tc>
      </w:tr>
      <w:tr>
        <w:trPr>
          <w:trHeight w:val="169"/>
        </w:trPr>
        <w:tc>
          <w:tcPr>
            <w:tcW w:w="2080" w:type="dxa"/>
            <w:vAlign w:val="bottom"/>
            <w:gridSpan w:val="7"/>
            <w:vMerge w:val="continue"/>
          </w:tcPr>
          <w:p>
            <w:pPr>
              <w:spacing w:after="0"/>
              <w:rPr>
                <w:sz w:val="14"/>
                <w:szCs w:val="14"/>
                <w:color w:val="auto"/>
              </w:rPr>
            </w:pPr>
          </w:p>
        </w:tc>
        <w:tc>
          <w:tcPr>
            <w:tcW w:w="8460" w:type="dxa"/>
            <w:vAlign w:val="bottom"/>
            <w:gridSpan w:val="32"/>
            <w:vMerge w:val="continue"/>
          </w:tcPr>
          <w:p>
            <w:pPr>
              <w:spacing w:after="0"/>
              <w:rPr>
                <w:sz w:val="14"/>
                <w:szCs w:val="14"/>
                <w:color w:val="auto"/>
              </w:rPr>
            </w:pPr>
          </w:p>
        </w:tc>
        <w:tc>
          <w:tcPr>
            <w:tcW w:w="680" w:type="dxa"/>
            <w:vAlign w:val="bottom"/>
            <w:gridSpan w:val="4"/>
          </w:tcPr>
          <w:p>
            <w:pPr>
              <w:jc w:val="right"/>
              <w:ind w:right="20"/>
              <w:spacing w:after="0" w:line="156" w:lineRule="exact"/>
              <w:rPr>
                <w:rFonts w:ascii="Arial" w:cs="Arial" w:eastAsia="Arial" w:hAnsi="Arial"/>
                <w:sz w:val="18"/>
                <w:szCs w:val="18"/>
                <w:color w:val="0000FF"/>
              </w:rPr>
            </w:pPr>
            <w:hyperlink w:anchor="page1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7"/>
        </w:trPr>
        <w:tc>
          <w:tcPr>
            <w:tcW w:w="1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460" w:type="dxa"/>
            <w:vAlign w:val="bottom"/>
            <w:tcBorders>
              <w:lef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40" w:type="dxa"/>
            <w:vAlign w:val="bottom"/>
            <w:gridSpan w:val="3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FREQUENTLY USED TERMS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40" w:type="dxa"/>
            <w:vAlign w:val="bottom"/>
            <w:gridSpan w:val="39"/>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QUESTIONS AND ANSWERS ABOUT THE PROPOSALS FOR STOCKHOLDERS</w:t>
              </w:r>
            </w:hyperlink>
          </w:p>
        </w:tc>
        <w:tc>
          <w:tcPr>
            <w:tcW w:w="66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SUMMARY OF THE PROXY STATEMENT</w:t>
              </w:r>
            </w:hyperlink>
          </w:p>
        </w:tc>
        <w:tc>
          <w:tcPr>
            <w:tcW w:w="2980" w:type="dxa"/>
            <w:vAlign w:val="bottom"/>
            <w:tcBorders>
              <w:top w:val="single" w:sz="8" w:color="0000FF"/>
            </w:tcBorders>
            <w:gridSpan w:val="19"/>
          </w:tcPr>
          <w:p>
            <w:pPr>
              <w:spacing w:after="0"/>
              <w:rPr>
                <w:sz w:val="18"/>
                <w:szCs w:val="18"/>
                <w:color w:val="auto"/>
              </w:rPr>
            </w:pPr>
          </w:p>
        </w:tc>
        <w:tc>
          <w:tcPr>
            <w:tcW w:w="4220" w:type="dxa"/>
            <w:vAlign w:val="bottom"/>
            <w:gridSpan w:val="6"/>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20" w:type="dxa"/>
            <w:vAlign w:val="bottom"/>
            <w:tcBorders>
              <w:bottom w:val="single" w:sz="8" w:color="0000FF"/>
            </w:tcBorders>
            <w:gridSpan w:val="31"/>
          </w:tcPr>
          <w:p>
            <w:pPr>
              <w:spacing w:after="0"/>
              <w:rPr>
                <w:rFonts w:ascii="Arial" w:cs="Arial" w:eastAsia="Arial" w:hAnsi="Arial"/>
                <w:sz w:val="18"/>
                <w:szCs w:val="18"/>
                <w:color w:val="0000FF"/>
                <w:w w:val="97"/>
              </w:rPr>
            </w:pPr>
            <w:hyperlink w:anchor="page53">
              <w:r>
                <w:rPr>
                  <w:rFonts w:ascii="Arial" w:cs="Arial" w:eastAsia="Arial" w:hAnsi="Arial"/>
                  <w:sz w:val="18"/>
                  <w:szCs w:val="18"/>
                  <w:color w:val="0000FF"/>
                  <w:w w:val="97"/>
                </w:rPr>
                <w:t>SELECTED HISTORICAL FINANCIAL INFORMATION OF THE COMPANY</w:t>
              </w:r>
            </w:hyperlink>
          </w:p>
        </w:tc>
        <w:tc>
          <w:tcPr>
            <w:tcW w:w="46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0000FF"/>
            </w:tcBorders>
            <w:gridSpan w:val="21"/>
          </w:tcPr>
          <w:p>
            <w:pPr>
              <w:spacing w:after="0"/>
              <w:rPr>
                <w:rFonts w:ascii="Arial" w:cs="Arial" w:eastAsia="Arial" w:hAnsi="Arial"/>
                <w:sz w:val="18"/>
                <w:szCs w:val="18"/>
                <w:color w:val="0000FF"/>
                <w:w w:val="97"/>
              </w:rPr>
            </w:pPr>
            <w:hyperlink w:anchor="page56">
              <w:r>
                <w:rPr>
                  <w:rFonts w:ascii="Arial" w:cs="Arial" w:eastAsia="Arial" w:hAnsi="Arial"/>
                  <w:sz w:val="18"/>
                  <w:szCs w:val="18"/>
                  <w:color w:val="0000FF"/>
                  <w:w w:val="97"/>
                </w:rPr>
                <w:t>SELECTED HISTORICAL FINANCIAL DATA OF SEMA4</w:t>
              </w:r>
            </w:hyperlink>
          </w:p>
        </w:tc>
        <w:tc>
          <w:tcPr>
            <w:tcW w:w="6080" w:type="dxa"/>
            <w:vAlign w:val="bottom"/>
            <w:gridSpan w:val="18"/>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SELECTED UNAUDITED PRO FORMA CONDENSED COMBINED FINANCIAL INFORMATION</w:t>
              </w:r>
            </w:hyperlink>
          </w:p>
        </w:tc>
        <w:tc>
          <w:tcPr>
            <w:tcW w:w="66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Borders>
              <w:top w:val="single" w:sz="8" w:color="0000FF"/>
            </w:tcBorders>
            <w:gridSpan w:val="3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CAUTIONARY NOTE REGARDING FORWARD-LOOKING STATEMENTS</w:t>
              </w:r>
            </w:hyperlink>
          </w:p>
        </w:tc>
        <w:tc>
          <w:tcPr>
            <w:tcW w:w="3020" w:type="dxa"/>
            <w:vAlign w:val="bottom"/>
            <w:gridSpan w:val="4"/>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3"/>
              </w:rPr>
            </w:pPr>
            <w:hyperlink w:anchor="page61">
              <w:r>
                <w:rPr>
                  <w:rFonts w:ascii="Arial" w:cs="Arial" w:eastAsia="Arial" w:hAnsi="Arial"/>
                  <w:sz w:val="18"/>
                  <w:szCs w:val="18"/>
                  <w:color w:val="0000FF"/>
                  <w:w w:val="93"/>
                </w:rPr>
                <w:t>RISK FACTORS</w:t>
              </w:r>
            </w:hyperlink>
          </w:p>
        </w:tc>
        <w:tc>
          <w:tcPr>
            <w:tcW w:w="4520" w:type="dxa"/>
            <w:vAlign w:val="bottom"/>
            <w:tcBorders>
              <w:top w:val="single" w:sz="8" w:color="0000FF"/>
            </w:tcBorders>
            <w:gridSpan w:val="27"/>
          </w:tcPr>
          <w:p>
            <w:pPr>
              <w:spacing w:after="0"/>
              <w:rPr>
                <w:sz w:val="18"/>
                <w:szCs w:val="18"/>
                <w:color w:val="auto"/>
              </w:rPr>
            </w:pPr>
          </w:p>
        </w:tc>
        <w:tc>
          <w:tcPr>
            <w:tcW w:w="476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UNAUDITED PRO FORMA CONDENSED COMBINED FINANCIAL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124">
              <w:r>
                <w:rPr>
                  <w:rFonts w:ascii="Arial" w:cs="Arial" w:eastAsia="Arial" w:hAnsi="Arial"/>
                  <w:sz w:val="18"/>
                  <w:szCs w:val="18"/>
                  <w:color w:val="0000FF"/>
                </w:rPr>
                <w:t>115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34"/>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COMPARATIVE SHARE INFORMATION</w:t>
              </w:r>
            </w:hyperlink>
          </w:p>
        </w:tc>
        <w:tc>
          <w:tcPr>
            <w:tcW w:w="3960" w:type="dxa"/>
            <w:vAlign w:val="bottom"/>
            <w:gridSpan w:val="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35">
              <w:r>
                <w:rPr>
                  <w:rFonts w:ascii="Arial" w:cs="Arial" w:eastAsia="Arial" w:hAnsi="Arial"/>
                  <w:sz w:val="13"/>
                  <w:szCs w:val="13"/>
                  <w:color w:val="0000FF"/>
                  <w:w w:val="73"/>
                </w:rPr>
                <w:t>126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19"/>
          </w:tcPr>
          <w:p>
            <w:pPr>
              <w:spacing w:after="0"/>
              <w:rPr>
                <w:rFonts w:ascii="Arial" w:cs="Arial" w:eastAsia="Arial" w:hAnsi="Arial"/>
                <w:sz w:val="18"/>
                <w:szCs w:val="18"/>
                <w:color w:val="0000FF"/>
                <w:w w:val="95"/>
              </w:rPr>
            </w:pPr>
            <w:hyperlink w:anchor="page136">
              <w:r>
                <w:rPr>
                  <w:rFonts w:ascii="Arial" w:cs="Arial" w:eastAsia="Arial" w:hAnsi="Arial"/>
                  <w:sz w:val="18"/>
                  <w:szCs w:val="18"/>
                  <w:color w:val="0000FF"/>
                  <w:w w:val="95"/>
                </w:rPr>
                <w:t>SPECIAL MEETING OF COMPANY STOCKHOLDERS</w:t>
              </w:r>
            </w:hyperlink>
          </w:p>
        </w:tc>
        <w:tc>
          <w:tcPr>
            <w:tcW w:w="6280" w:type="dxa"/>
            <w:vAlign w:val="bottom"/>
            <w:gridSpan w:val="2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36">
              <w:r>
                <w:rPr>
                  <w:rFonts w:ascii="Arial" w:cs="Arial" w:eastAsia="Arial" w:hAnsi="Arial"/>
                  <w:sz w:val="13"/>
                  <w:szCs w:val="13"/>
                  <w:color w:val="0000FF"/>
                  <w:w w:val="73"/>
                </w:rPr>
                <w:t>127</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7"/>
          </w:tcPr>
          <w:p>
            <w:pPr>
              <w:spacing w:after="0"/>
              <w:rPr>
                <w:rFonts w:ascii="Arial" w:cs="Arial" w:eastAsia="Arial" w:hAnsi="Arial"/>
                <w:sz w:val="18"/>
                <w:szCs w:val="18"/>
                <w:color w:val="0000FF"/>
                <w:w w:val="94"/>
              </w:rPr>
            </w:pPr>
            <w:hyperlink w:anchor="page144">
              <w:r>
                <w:rPr>
                  <w:rFonts w:ascii="Arial" w:cs="Arial" w:eastAsia="Arial" w:hAnsi="Arial"/>
                  <w:sz w:val="18"/>
                  <w:szCs w:val="18"/>
                  <w:color w:val="0000FF"/>
                  <w:w w:val="94"/>
                </w:rPr>
                <w:t>PROPOSAL NO. 1 — APPROVAL OF THE BUSINESS COMBINATION</w:t>
              </w:r>
            </w:hyperlink>
          </w:p>
        </w:tc>
        <w:tc>
          <w:tcPr>
            <w:tcW w:w="5080" w:type="dxa"/>
            <w:vAlign w:val="bottom"/>
            <w:gridSpan w:val="1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44">
              <w:r>
                <w:rPr>
                  <w:rFonts w:ascii="Arial" w:cs="Arial" w:eastAsia="Arial" w:hAnsi="Arial"/>
                  <w:sz w:val="13"/>
                  <w:szCs w:val="13"/>
                  <w:color w:val="0000FF"/>
                  <w:w w:val="73"/>
                </w:rPr>
                <w:t>135</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7"/>
          </w:tcPr>
          <w:p>
            <w:pPr>
              <w:spacing w:after="0"/>
              <w:rPr>
                <w:rFonts w:ascii="Arial" w:cs="Arial" w:eastAsia="Arial" w:hAnsi="Arial"/>
                <w:sz w:val="18"/>
                <w:szCs w:val="18"/>
                <w:color w:val="0000FF"/>
                <w:w w:val="96"/>
              </w:rPr>
            </w:pPr>
            <w:hyperlink w:anchor="page185">
              <w:r>
                <w:rPr>
                  <w:rFonts w:ascii="Arial" w:cs="Arial" w:eastAsia="Arial" w:hAnsi="Arial"/>
                  <w:sz w:val="18"/>
                  <w:szCs w:val="18"/>
                  <w:color w:val="0000FF"/>
                  <w:w w:val="96"/>
                </w:rPr>
                <w:t>PROPOSAL NO. 2 — THE NASDAQ STOCK ISSUANCE PROPOSAL</w:t>
              </w:r>
            </w:hyperlink>
          </w:p>
        </w:tc>
        <w:tc>
          <w:tcPr>
            <w:tcW w:w="5080" w:type="dxa"/>
            <w:vAlign w:val="bottom"/>
            <w:gridSpan w:val="1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85">
              <w:r>
                <w:rPr>
                  <w:rFonts w:ascii="Arial" w:cs="Arial" w:eastAsia="Arial" w:hAnsi="Arial"/>
                  <w:sz w:val="13"/>
                  <w:szCs w:val="13"/>
                  <w:color w:val="0000FF"/>
                  <w:w w:val="73"/>
                </w:rPr>
                <w:t>176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w w:val="92"/>
              </w:rPr>
            </w:pPr>
            <w:hyperlink w:anchor="page188">
              <w:r>
                <w:rPr>
                  <w:rFonts w:ascii="Arial" w:cs="Arial" w:eastAsia="Arial" w:hAnsi="Arial"/>
                  <w:sz w:val="18"/>
                  <w:szCs w:val="18"/>
                  <w:color w:val="0000FF"/>
                  <w:w w:val="92"/>
                </w:rPr>
                <w:t>PROPOSAL NO. 3 — THE CHARTER APPROVAL PROPOSAL</w:t>
              </w:r>
            </w:hyperlink>
          </w:p>
        </w:tc>
        <w:tc>
          <w:tcPr>
            <w:tcW w:w="520" w:type="dxa"/>
            <w:vAlign w:val="bottom"/>
            <w:gridSpan w:val="2"/>
          </w:tcPr>
          <w:p>
            <w:pPr>
              <w:spacing w:after="0"/>
              <w:rPr>
                <w:sz w:val="18"/>
                <w:szCs w:val="18"/>
                <w:color w:val="auto"/>
              </w:rPr>
            </w:pPr>
          </w:p>
        </w:tc>
        <w:tc>
          <w:tcPr>
            <w:tcW w:w="5220" w:type="dxa"/>
            <w:vAlign w:val="bottom"/>
            <w:gridSpan w:val="1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88">
              <w:r>
                <w:rPr>
                  <w:rFonts w:ascii="Arial" w:cs="Arial" w:eastAsia="Arial" w:hAnsi="Arial"/>
                  <w:sz w:val="13"/>
                  <w:szCs w:val="13"/>
                  <w:color w:val="0000FF"/>
                  <w:w w:val="73"/>
                </w:rPr>
                <w:t>179</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40" w:type="dxa"/>
            <w:vAlign w:val="bottom"/>
            <w:gridSpan w:val="39"/>
          </w:tcPr>
          <w:p>
            <w:pPr>
              <w:spacing w:after="0"/>
              <w:rPr>
                <w:rFonts w:ascii="Arial" w:cs="Arial" w:eastAsia="Arial" w:hAnsi="Arial"/>
                <w:sz w:val="18"/>
                <w:szCs w:val="18"/>
                <w:color w:val="0000FF"/>
                <w:w w:val="95"/>
              </w:rPr>
            </w:pPr>
            <w:hyperlink w:anchor="page190">
              <w:r>
                <w:rPr>
                  <w:rFonts w:ascii="Arial" w:cs="Arial" w:eastAsia="Arial" w:hAnsi="Arial"/>
                  <w:sz w:val="18"/>
                  <w:szCs w:val="18"/>
                  <w:color w:val="0000FF"/>
                  <w:w w:val="95"/>
                </w:rPr>
                <w:t>PROPOSAL NO. 4 — APPROVAL OF CERTAIN GOVERNANCE PROVISIONS IN THE AMENDED AND RESTATED CERTIFICATE OF</w:t>
              </w:r>
            </w:hyperlink>
          </w:p>
        </w:tc>
        <w:tc>
          <w:tcPr>
            <w:tcW w:w="480" w:type="dxa"/>
            <w:vAlign w:val="bottom"/>
            <w:vMerge w:val="restart"/>
          </w:tcPr>
          <w:p>
            <w:pPr>
              <w:spacing w:after="0"/>
              <w:rPr>
                <w:sz w:val="18"/>
                <w:szCs w:val="18"/>
                <w:color w:val="auto"/>
              </w:rPr>
            </w:pPr>
          </w:p>
        </w:tc>
        <w:tc>
          <w:tcPr>
            <w:tcW w:w="200" w:type="dxa"/>
            <w:vAlign w:val="bottom"/>
            <w:gridSpan w:val="3"/>
            <w:vMerge w:val="restart"/>
          </w:tcPr>
          <w:p>
            <w:pPr>
              <w:jc w:val="right"/>
              <w:ind w:right="20"/>
              <w:spacing w:after="0"/>
              <w:rPr>
                <w:rFonts w:ascii="Arial" w:cs="Arial" w:eastAsia="Arial" w:hAnsi="Arial"/>
                <w:sz w:val="13"/>
                <w:szCs w:val="13"/>
                <w:color w:val="0000FF"/>
                <w:w w:val="73"/>
              </w:rPr>
            </w:pPr>
            <w:hyperlink w:anchor="page190">
              <w:r>
                <w:rPr>
                  <w:rFonts w:ascii="Arial" w:cs="Arial" w:eastAsia="Arial" w:hAnsi="Arial"/>
                  <w:sz w:val="13"/>
                  <w:szCs w:val="13"/>
                  <w:color w:val="0000FF"/>
                  <w:w w:val="73"/>
                </w:rPr>
                <w:t>181</w:t>
              </w:r>
            </w:hyperlink>
          </w:p>
        </w:tc>
        <w:tc>
          <w:tcPr>
            <w:tcW w:w="0" w:type="dxa"/>
            <w:vAlign w:val="bottom"/>
          </w:tcPr>
          <w:p>
            <w:pPr>
              <w:spacing w:after="0"/>
              <w:rPr>
                <w:sz w:val="1"/>
                <w:szCs w:val="1"/>
                <w:color w:val="auto"/>
              </w:rPr>
            </w:pPr>
          </w:p>
        </w:tc>
      </w:tr>
      <w:tr>
        <w:trPr>
          <w:trHeight w:val="156"/>
        </w:trPr>
        <w:tc>
          <w:tcPr>
            <w:tcW w:w="16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gridSpan w:val="3"/>
          </w:tcPr>
          <w:p>
            <w:pPr>
              <w:spacing w:after="0" w:line="156" w:lineRule="exact"/>
              <w:rPr>
                <w:rFonts w:ascii="Arial" w:cs="Arial" w:eastAsia="Arial" w:hAnsi="Arial"/>
                <w:sz w:val="18"/>
                <w:szCs w:val="18"/>
                <w:color w:val="0000FF"/>
                <w:w w:val="94"/>
              </w:rPr>
            </w:pPr>
            <w:hyperlink w:anchor="page190">
              <w:r>
                <w:rPr>
                  <w:rFonts w:ascii="Arial" w:cs="Arial" w:eastAsia="Arial" w:hAnsi="Arial"/>
                  <w:sz w:val="18"/>
                  <w:szCs w:val="18"/>
                  <w:color w:val="0000FF"/>
                  <w:w w:val="94"/>
                </w:rPr>
                <w:t>INCORPORATION</w:t>
              </w:r>
            </w:hyperlink>
          </w:p>
        </w:tc>
        <w:tc>
          <w:tcPr>
            <w:tcW w:w="8800" w:type="dxa"/>
            <w:vAlign w:val="bottom"/>
            <w:tcBorders>
              <w:top w:val="single" w:sz="8" w:color="0000FF"/>
            </w:tcBorders>
            <w:gridSpan w:val="34"/>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3"/>
          </w:tcPr>
          <w:p>
            <w:pPr>
              <w:spacing w:after="0"/>
              <w:rPr>
                <w:rFonts w:ascii="Arial" w:cs="Arial" w:eastAsia="Arial" w:hAnsi="Arial"/>
                <w:sz w:val="18"/>
                <w:szCs w:val="18"/>
                <w:color w:val="0000FF"/>
                <w:w w:val="95"/>
              </w:rPr>
            </w:pPr>
            <w:hyperlink w:anchor="page192">
              <w:r>
                <w:rPr>
                  <w:rFonts w:ascii="Arial" w:cs="Arial" w:eastAsia="Arial" w:hAnsi="Arial"/>
                  <w:sz w:val="18"/>
                  <w:szCs w:val="18"/>
                  <w:color w:val="0000FF"/>
                  <w:w w:val="95"/>
                </w:rPr>
                <w:t>PROPOSAL NO. 5 — APPROVAL OF THE INCENTIVE PLAN</w:t>
              </w:r>
            </w:hyperlink>
          </w:p>
        </w:tc>
        <w:tc>
          <w:tcPr>
            <w:tcW w:w="5760" w:type="dxa"/>
            <w:vAlign w:val="bottom"/>
            <w:gridSpan w:val="16"/>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92">
              <w:r>
                <w:rPr>
                  <w:rFonts w:ascii="Arial" w:cs="Arial" w:eastAsia="Arial" w:hAnsi="Arial"/>
                  <w:sz w:val="13"/>
                  <w:szCs w:val="13"/>
                  <w:color w:val="0000FF"/>
                  <w:w w:val="73"/>
                </w:rPr>
                <w:t>183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32"/>
          </w:tcPr>
          <w:p>
            <w:pPr>
              <w:spacing w:after="0"/>
              <w:rPr>
                <w:rFonts w:ascii="Arial" w:cs="Arial" w:eastAsia="Arial" w:hAnsi="Arial"/>
                <w:sz w:val="18"/>
                <w:szCs w:val="18"/>
                <w:color w:val="0000FF"/>
                <w:w w:val="94"/>
              </w:rPr>
            </w:pPr>
            <w:hyperlink w:anchor="page197">
              <w:r>
                <w:rPr>
                  <w:rFonts w:ascii="Arial" w:cs="Arial" w:eastAsia="Arial" w:hAnsi="Arial"/>
                  <w:sz w:val="18"/>
                  <w:szCs w:val="18"/>
                  <w:color w:val="0000FF"/>
                  <w:w w:val="94"/>
                </w:rPr>
                <w:t>PROPOSAL NO. 6 — APPROVAL OF EMPLOYEE STOCK PURCHASE PLAN</w:t>
              </w:r>
            </w:hyperlink>
          </w:p>
        </w:tc>
        <w:tc>
          <w:tcPr>
            <w:tcW w:w="454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197">
              <w:r>
                <w:rPr>
                  <w:rFonts w:ascii="Arial" w:cs="Arial" w:eastAsia="Arial" w:hAnsi="Arial"/>
                  <w:sz w:val="13"/>
                  <w:szCs w:val="13"/>
                  <w:color w:val="0000FF"/>
                  <w:w w:val="73"/>
                </w:rPr>
                <w:t>188</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w w:val="92"/>
              </w:rPr>
            </w:pPr>
            <w:hyperlink w:anchor="page200">
              <w:r>
                <w:rPr>
                  <w:rFonts w:ascii="Arial" w:cs="Arial" w:eastAsia="Arial" w:hAnsi="Arial"/>
                  <w:sz w:val="18"/>
                  <w:szCs w:val="18"/>
                  <w:color w:val="0000FF"/>
                  <w:w w:val="92"/>
                </w:rPr>
                <w:t>PROPOSAL NO. 7 — THE DIRECTOR ELECTION PROPOSAL</w:t>
              </w:r>
            </w:hyperlink>
          </w:p>
        </w:tc>
        <w:tc>
          <w:tcPr>
            <w:tcW w:w="1200" w:type="dxa"/>
            <w:vAlign w:val="bottom"/>
            <w:gridSpan w:val="8"/>
          </w:tcPr>
          <w:p>
            <w:pPr>
              <w:spacing w:after="0"/>
              <w:rPr>
                <w:sz w:val="18"/>
                <w:szCs w:val="18"/>
                <w:color w:val="auto"/>
              </w:rPr>
            </w:pPr>
          </w:p>
        </w:tc>
        <w:tc>
          <w:tcPr>
            <w:tcW w:w="4540" w:type="dxa"/>
            <w:vAlign w:val="bottom"/>
            <w:gridSpan w:val="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0">
              <w:r>
                <w:rPr>
                  <w:rFonts w:ascii="Arial" w:cs="Arial" w:eastAsia="Arial" w:hAnsi="Arial"/>
                  <w:sz w:val="13"/>
                  <w:szCs w:val="13"/>
                  <w:color w:val="0000FF"/>
                  <w:w w:val="73"/>
                </w:rPr>
                <w:t>191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gridSpan w:val="20"/>
          </w:tcPr>
          <w:p>
            <w:pPr>
              <w:spacing w:after="0"/>
              <w:rPr>
                <w:rFonts w:ascii="Arial" w:cs="Arial" w:eastAsia="Arial" w:hAnsi="Arial"/>
                <w:sz w:val="18"/>
                <w:szCs w:val="18"/>
                <w:color w:val="0000FF"/>
                <w:w w:val="94"/>
              </w:rPr>
            </w:pPr>
            <w:hyperlink w:anchor="page202">
              <w:r>
                <w:rPr>
                  <w:rFonts w:ascii="Arial" w:cs="Arial" w:eastAsia="Arial" w:hAnsi="Arial"/>
                  <w:sz w:val="18"/>
                  <w:szCs w:val="18"/>
                  <w:color w:val="0000FF"/>
                  <w:w w:val="94"/>
                </w:rPr>
                <w:t>PROPOSAL NO. 8 — THE ADJOURNMENT PROPOSAL</w:t>
              </w:r>
            </w:hyperlink>
          </w:p>
        </w:tc>
        <w:tc>
          <w:tcPr>
            <w:tcW w:w="420" w:type="dxa"/>
            <w:vAlign w:val="bottom"/>
            <w:gridSpan w:val="4"/>
          </w:tcPr>
          <w:p>
            <w:pPr>
              <w:spacing w:after="0"/>
              <w:rPr>
                <w:sz w:val="18"/>
                <w:szCs w:val="18"/>
                <w:color w:val="auto"/>
              </w:rPr>
            </w:pPr>
          </w:p>
        </w:tc>
        <w:tc>
          <w:tcPr>
            <w:tcW w:w="574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2">
              <w:r>
                <w:rPr>
                  <w:rFonts w:ascii="Arial" w:cs="Arial" w:eastAsia="Arial" w:hAnsi="Arial"/>
                  <w:sz w:val="13"/>
                  <w:szCs w:val="13"/>
                  <w:color w:val="0000FF"/>
                  <w:w w:val="73"/>
                </w:rPr>
                <w:t>193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5"/>
          </w:tcPr>
          <w:p>
            <w:pPr>
              <w:spacing w:after="0"/>
              <w:rPr>
                <w:rFonts w:ascii="Arial" w:cs="Arial" w:eastAsia="Arial" w:hAnsi="Arial"/>
                <w:sz w:val="18"/>
                <w:szCs w:val="18"/>
                <w:color w:val="0000FF"/>
                <w:w w:val="95"/>
              </w:rPr>
            </w:pPr>
            <w:hyperlink w:anchor="page203">
              <w:r>
                <w:rPr>
                  <w:rFonts w:ascii="Arial" w:cs="Arial" w:eastAsia="Arial" w:hAnsi="Arial"/>
                  <w:sz w:val="18"/>
                  <w:szCs w:val="18"/>
                  <w:color w:val="0000FF"/>
                  <w:w w:val="95"/>
                </w:rPr>
                <w:t>PROPOSAL NO. 9 — THE AUDITOR RATIFICATION PROPOSAL</w:t>
              </w:r>
            </w:hyperlink>
          </w:p>
        </w:tc>
        <w:tc>
          <w:tcPr>
            <w:tcW w:w="54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3">
              <w:r>
                <w:rPr>
                  <w:rFonts w:ascii="Arial" w:cs="Arial" w:eastAsia="Arial" w:hAnsi="Arial"/>
                  <w:sz w:val="13"/>
                  <w:szCs w:val="13"/>
                  <w:color w:val="0000FF"/>
                  <w:w w:val="73"/>
                </w:rPr>
                <w:t>194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40" w:type="dxa"/>
            <w:vAlign w:val="bottom"/>
            <w:gridSpan w:val="13"/>
          </w:tcPr>
          <w:p>
            <w:pPr>
              <w:spacing w:after="0"/>
              <w:rPr>
                <w:rFonts w:ascii="Arial" w:cs="Arial" w:eastAsia="Arial" w:hAnsi="Arial"/>
                <w:sz w:val="18"/>
                <w:szCs w:val="18"/>
                <w:color w:val="0000FF"/>
                <w:w w:val="97"/>
              </w:rPr>
            </w:pPr>
            <w:hyperlink w:anchor="page204">
              <w:r>
                <w:rPr>
                  <w:rFonts w:ascii="Arial" w:cs="Arial" w:eastAsia="Arial" w:hAnsi="Arial"/>
                  <w:sz w:val="18"/>
                  <w:szCs w:val="18"/>
                  <w:color w:val="0000FF"/>
                  <w:w w:val="97"/>
                </w:rPr>
                <w:t>INFORMATION ABOUT THE COMPANY</w:t>
              </w:r>
            </w:hyperlink>
          </w:p>
        </w:tc>
        <w:tc>
          <w:tcPr>
            <w:tcW w:w="1880" w:type="dxa"/>
            <w:vAlign w:val="bottom"/>
            <w:gridSpan w:val="12"/>
          </w:tcPr>
          <w:p>
            <w:pPr>
              <w:spacing w:after="0"/>
              <w:rPr>
                <w:sz w:val="18"/>
                <w:szCs w:val="18"/>
                <w:color w:val="auto"/>
              </w:rPr>
            </w:pPr>
          </w:p>
        </w:tc>
        <w:tc>
          <w:tcPr>
            <w:tcW w:w="54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04">
              <w:r>
                <w:rPr>
                  <w:rFonts w:ascii="Arial" w:cs="Arial" w:eastAsia="Arial" w:hAnsi="Arial"/>
                  <w:sz w:val="13"/>
                  <w:szCs w:val="13"/>
                  <w:color w:val="0000FF"/>
                  <w:w w:val="73"/>
                </w:rPr>
                <w:t>195</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80" w:type="dxa"/>
            <w:vAlign w:val="bottom"/>
            <w:gridSpan w:val="37"/>
          </w:tcPr>
          <w:p>
            <w:pPr>
              <w:spacing w:after="0"/>
              <w:rPr>
                <w:rFonts w:ascii="Arial" w:cs="Arial" w:eastAsia="Arial" w:hAnsi="Arial"/>
                <w:sz w:val="18"/>
                <w:szCs w:val="18"/>
                <w:color w:val="0000FF"/>
                <w:w w:val="96"/>
              </w:rPr>
            </w:pPr>
            <w:hyperlink w:anchor="page217">
              <w:r>
                <w:rPr>
                  <w:rFonts w:ascii="Arial" w:cs="Arial" w:eastAsia="Arial" w:hAnsi="Arial"/>
                  <w:sz w:val="18"/>
                  <w:szCs w:val="18"/>
                  <w:color w:val="0000FF"/>
                  <w:w w:val="96"/>
                </w:rPr>
                <w:t>THE COMPANY'S MANAGEMENT’S DISCUSSION AND ANALYSIS OF FINANCIAL CONDITION AND RESULTS OF OPERATIONS</w:t>
              </w:r>
            </w:hyperlink>
          </w:p>
        </w:tc>
        <w:tc>
          <w:tcPr>
            <w:tcW w:w="1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17">
              <w:r>
                <w:rPr>
                  <w:rFonts w:ascii="Arial" w:cs="Arial" w:eastAsia="Arial" w:hAnsi="Arial"/>
                  <w:sz w:val="13"/>
                  <w:szCs w:val="13"/>
                  <w:color w:val="0000FF"/>
                  <w:w w:val="73"/>
                </w:rPr>
                <w:t>208</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60" w:type="dxa"/>
            <w:vAlign w:val="bottom"/>
            <w:gridSpan w:val="5"/>
          </w:tcPr>
          <w:p>
            <w:pPr>
              <w:spacing w:after="0"/>
              <w:rPr>
                <w:rFonts w:ascii="Arial" w:cs="Arial" w:eastAsia="Arial" w:hAnsi="Arial"/>
                <w:sz w:val="18"/>
                <w:szCs w:val="18"/>
                <w:color w:val="0000FF"/>
                <w:w w:val="94"/>
              </w:rPr>
            </w:pPr>
            <w:hyperlink w:anchor="page226">
              <w:r>
                <w:rPr>
                  <w:rFonts w:ascii="Arial" w:cs="Arial" w:eastAsia="Arial" w:hAnsi="Arial"/>
                  <w:sz w:val="18"/>
                  <w:szCs w:val="18"/>
                  <w:color w:val="0000FF"/>
                  <w:w w:val="94"/>
                </w:rPr>
                <w:t>SEMA4’S BUSINESS</w:t>
              </w:r>
            </w:hyperlink>
          </w:p>
        </w:tc>
        <w:tc>
          <w:tcPr>
            <w:tcW w:w="8720" w:type="dxa"/>
            <w:vAlign w:val="bottom"/>
            <w:gridSpan w:val="32"/>
          </w:tcPr>
          <w:p>
            <w:pPr>
              <w:spacing w:after="0"/>
              <w:rPr>
                <w:sz w:val="18"/>
                <w:szCs w:val="18"/>
                <w:color w:val="auto"/>
              </w:rPr>
            </w:pPr>
          </w:p>
        </w:tc>
        <w:tc>
          <w:tcPr>
            <w:tcW w:w="16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26">
              <w:r>
                <w:rPr>
                  <w:rFonts w:ascii="Arial" w:cs="Arial" w:eastAsia="Arial" w:hAnsi="Arial"/>
                  <w:sz w:val="13"/>
                  <w:szCs w:val="13"/>
                  <w:color w:val="0000FF"/>
                  <w:w w:val="73"/>
                </w:rPr>
                <w:t>217</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20" w:type="dxa"/>
            <w:vAlign w:val="bottom"/>
            <w:gridSpan w:val="36"/>
          </w:tcPr>
          <w:p>
            <w:pPr>
              <w:spacing w:after="0"/>
              <w:rPr>
                <w:rFonts w:ascii="Arial" w:cs="Arial" w:eastAsia="Arial" w:hAnsi="Arial"/>
                <w:sz w:val="18"/>
                <w:szCs w:val="18"/>
                <w:color w:val="0000FF"/>
                <w:w w:val="97"/>
              </w:rPr>
            </w:pPr>
            <w:hyperlink w:anchor="page253">
              <w:r>
                <w:rPr>
                  <w:rFonts w:ascii="Arial" w:cs="Arial" w:eastAsia="Arial" w:hAnsi="Arial"/>
                  <w:sz w:val="18"/>
                  <w:szCs w:val="18"/>
                  <w:color w:val="0000FF"/>
                  <w:w w:val="97"/>
                </w:rPr>
                <w:t>SEMA4’S MANAGEMENT’S DISCUSSION AND ANALYSIS OF FINANCIAL CONDITION AND RESULTS OF OPERATIONS</w:t>
              </w:r>
            </w:hyperlink>
          </w:p>
        </w:tc>
        <w:tc>
          <w:tcPr>
            <w:tcW w:w="82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53">
              <w:r>
                <w:rPr>
                  <w:rFonts w:ascii="Arial" w:cs="Arial" w:eastAsia="Arial" w:hAnsi="Arial"/>
                  <w:sz w:val="13"/>
                  <w:szCs w:val="13"/>
                  <w:color w:val="0000FF"/>
                  <w:w w:val="73"/>
                </w:rPr>
                <w:t>244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60" w:type="dxa"/>
            <w:vAlign w:val="bottom"/>
            <w:gridSpan w:val="15"/>
          </w:tcPr>
          <w:p>
            <w:pPr>
              <w:spacing w:after="0"/>
              <w:rPr>
                <w:rFonts w:ascii="Arial" w:cs="Arial" w:eastAsia="Arial" w:hAnsi="Arial"/>
                <w:sz w:val="18"/>
                <w:szCs w:val="18"/>
                <w:color w:val="0000FF"/>
                <w:w w:val="95"/>
              </w:rPr>
            </w:pPr>
            <w:hyperlink w:anchor="page282">
              <w:r>
                <w:rPr>
                  <w:rFonts w:ascii="Arial" w:cs="Arial" w:eastAsia="Arial" w:hAnsi="Arial"/>
                  <w:sz w:val="18"/>
                  <w:szCs w:val="18"/>
                  <w:color w:val="0000FF"/>
                  <w:w w:val="95"/>
                </w:rPr>
                <w:t>EXECUTIVE COMPENSATION OF SEMA4</w:t>
              </w:r>
            </w:hyperlink>
          </w:p>
        </w:tc>
        <w:tc>
          <w:tcPr>
            <w:tcW w:w="6360" w:type="dxa"/>
            <w:vAlign w:val="bottom"/>
            <w:gridSpan w:val="21"/>
          </w:tcPr>
          <w:p>
            <w:pPr>
              <w:spacing w:after="0"/>
              <w:rPr>
                <w:sz w:val="18"/>
                <w:szCs w:val="18"/>
                <w:color w:val="auto"/>
              </w:rPr>
            </w:pPr>
          </w:p>
        </w:tc>
        <w:tc>
          <w:tcPr>
            <w:tcW w:w="82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82">
              <w:r>
                <w:rPr>
                  <w:rFonts w:ascii="Arial" w:cs="Arial" w:eastAsia="Arial" w:hAnsi="Arial"/>
                  <w:sz w:val="13"/>
                  <w:szCs w:val="13"/>
                  <w:color w:val="0000FF"/>
                  <w:w w:val="73"/>
                </w:rPr>
                <w:t>273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gridSpan w:val="22"/>
          </w:tcPr>
          <w:p>
            <w:pPr>
              <w:spacing w:after="0"/>
              <w:rPr>
                <w:rFonts w:ascii="Arial" w:cs="Arial" w:eastAsia="Arial" w:hAnsi="Arial"/>
                <w:sz w:val="18"/>
                <w:szCs w:val="18"/>
                <w:color w:val="0000FF"/>
                <w:w w:val="97"/>
              </w:rPr>
            </w:pPr>
            <w:hyperlink w:anchor="page288">
              <w:r>
                <w:rPr>
                  <w:rFonts w:ascii="Arial" w:cs="Arial" w:eastAsia="Arial" w:hAnsi="Arial"/>
                  <w:sz w:val="18"/>
                  <w:szCs w:val="18"/>
                  <w:color w:val="0000FF"/>
                  <w:w w:val="97"/>
                </w:rPr>
                <w:t>MANAGEMENT AFTER THE BUSINESS COMBINATION</w:t>
              </w:r>
            </w:hyperlink>
          </w:p>
        </w:tc>
        <w:tc>
          <w:tcPr>
            <w:tcW w:w="602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88">
              <w:r>
                <w:rPr>
                  <w:rFonts w:ascii="Arial" w:cs="Arial" w:eastAsia="Arial" w:hAnsi="Arial"/>
                  <w:sz w:val="13"/>
                  <w:szCs w:val="13"/>
                  <w:color w:val="0000FF"/>
                  <w:w w:val="73"/>
                </w:rPr>
                <w:t>279</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9"/>
          </w:tcPr>
          <w:p>
            <w:pPr>
              <w:spacing w:after="0"/>
              <w:rPr>
                <w:rFonts w:ascii="Arial" w:cs="Arial" w:eastAsia="Arial" w:hAnsi="Arial"/>
                <w:sz w:val="18"/>
                <w:szCs w:val="18"/>
                <w:color w:val="0000FF"/>
                <w:w w:val="93"/>
              </w:rPr>
            </w:pPr>
            <w:hyperlink w:anchor="page295">
              <w:r>
                <w:rPr>
                  <w:rFonts w:ascii="Arial" w:cs="Arial" w:eastAsia="Arial" w:hAnsi="Arial"/>
                  <w:sz w:val="18"/>
                  <w:szCs w:val="18"/>
                  <w:color w:val="0000FF"/>
                  <w:w w:val="93"/>
                </w:rPr>
                <w:t>DESCRIPTION OF SECURITIES</w:t>
              </w:r>
            </w:hyperlink>
          </w:p>
        </w:tc>
        <w:tc>
          <w:tcPr>
            <w:tcW w:w="2000" w:type="dxa"/>
            <w:vAlign w:val="bottom"/>
            <w:gridSpan w:val="13"/>
          </w:tcPr>
          <w:p>
            <w:pPr>
              <w:spacing w:after="0"/>
              <w:rPr>
                <w:sz w:val="18"/>
                <w:szCs w:val="18"/>
                <w:color w:val="auto"/>
              </w:rPr>
            </w:pPr>
          </w:p>
        </w:tc>
        <w:tc>
          <w:tcPr>
            <w:tcW w:w="6020" w:type="dxa"/>
            <w:vAlign w:val="bottom"/>
            <w:gridSpan w:val="1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295">
              <w:r>
                <w:rPr>
                  <w:rFonts w:ascii="Arial" w:cs="Arial" w:eastAsia="Arial" w:hAnsi="Arial"/>
                  <w:sz w:val="13"/>
                  <w:szCs w:val="13"/>
                  <w:color w:val="0000FF"/>
                  <w:w w:val="73"/>
                </w:rPr>
                <w:t>286</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309">
              <w:r>
                <w:rPr>
                  <w:rFonts w:ascii="Arial" w:cs="Arial" w:eastAsia="Arial" w:hAnsi="Arial"/>
                  <w:sz w:val="18"/>
                  <w:szCs w:val="18"/>
                  <w:color w:val="0000FF"/>
                </w:rPr>
                <w:t>BENEFICIAL OWNERSHIP OF SECURITIES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09">
              <w:r>
                <w:rPr>
                  <w:rFonts w:ascii="Arial" w:cs="Arial" w:eastAsia="Arial" w:hAnsi="Arial"/>
                  <w:sz w:val="18"/>
                  <w:szCs w:val="18"/>
                  <w:color w:val="0000FF"/>
                </w:rPr>
                <w:t>300</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8"/>
          </w:tcPr>
          <w:p>
            <w:pPr>
              <w:spacing w:after="0"/>
              <w:rPr>
                <w:rFonts w:ascii="Arial" w:cs="Arial" w:eastAsia="Arial" w:hAnsi="Arial"/>
                <w:sz w:val="18"/>
                <w:szCs w:val="18"/>
                <w:color w:val="0000FF"/>
                <w:w w:val="95"/>
              </w:rPr>
            </w:pPr>
            <w:hyperlink w:anchor="page313">
              <w:r>
                <w:rPr>
                  <w:rFonts w:ascii="Arial" w:cs="Arial" w:eastAsia="Arial" w:hAnsi="Arial"/>
                  <w:sz w:val="18"/>
                  <w:szCs w:val="18"/>
                  <w:color w:val="0000FF"/>
                  <w:w w:val="95"/>
                </w:rPr>
                <w:t>CERTAIN RELATIONSHIPS AND RELATED PARTY TRANSACTIONS</w:t>
              </w:r>
            </w:hyperlink>
          </w:p>
        </w:tc>
        <w:tc>
          <w:tcPr>
            <w:tcW w:w="5060" w:type="dxa"/>
            <w:vAlign w:val="bottom"/>
            <w:gridSpan w:val="1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13">
              <w:r>
                <w:rPr>
                  <w:rFonts w:ascii="Arial" w:cs="Arial" w:eastAsia="Arial" w:hAnsi="Arial"/>
                  <w:sz w:val="13"/>
                  <w:szCs w:val="13"/>
                  <w:color w:val="0000FF"/>
                  <w:w w:val="73"/>
                </w:rPr>
                <w:t>304</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9"/>
          </w:tcPr>
          <w:p>
            <w:pPr>
              <w:spacing w:after="0"/>
              <w:rPr>
                <w:rFonts w:ascii="Arial" w:cs="Arial" w:eastAsia="Arial" w:hAnsi="Arial"/>
                <w:sz w:val="18"/>
                <w:szCs w:val="18"/>
                <w:color w:val="0000FF"/>
                <w:w w:val="98"/>
              </w:rPr>
            </w:pPr>
            <w:hyperlink w:anchor="page320">
              <w:r>
                <w:rPr>
                  <w:rFonts w:ascii="Arial" w:cs="Arial" w:eastAsia="Arial" w:hAnsi="Arial"/>
                  <w:sz w:val="18"/>
                  <w:szCs w:val="18"/>
                  <w:color w:val="0000FF"/>
                  <w:w w:val="98"/>
                </w:rPr>
                <w:t>MARKET PRICE, TICKER SYMBOL AND DIVIDEND INFORMATION</w:t>
              </w:r>
            </w:hyperlink>
          </w:p>
        </w:tc>
        <w:tc>
          <w:tcPr>
            <w:tcW w:w="504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0">
              <w:r>
                <w:rPr>
                  <w:rFonts w:ascii="Arial" w:cs="Arial" w:eastAsia="Arial" w:hAnsi="Arial"/>
                  <w:sz w:val="13"/>
                  <w:szCs w:val="13"/>
                  <w:color w:val="0000FF"/>
                  <w:w w:val="73"/>
                </w:rPr>
                <w:t>311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700" w:type="dxa"/>
            <w:vAlign w:val="bottom"/>
            <w:tcBorders>
              <w:left w:val="single" w:sz="8" w:color="0000FF"/>
            </w:tcBorders>
            <w:gridSpan w:val="5"/>
            <w:shd w:val="clear" w:color="auto" w:fill="0000FF"/>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9"/>
          </w:tcPr>
          <w:p>
            <w:pPr>
              <w:spacing w:after="0"/>
              <w:rPr>
                <w:rFonts w:ascii="Arial" w:cs="Arial" w:eastAsia="Arial" w:hAnsi="Arial"/>
                <w:sz w:val="18"/>
                <w:szCs w:val="18"/>
                <w:color w:val="0000FF"/>
              </w:rPr>
            </w:pPr>
            <w:hyperlink w:anchor="page321">
              <w:r>
                <w:rPr>
                  <w:rFonts w:ascii="Arial" w:cs="Arial" w:eastAsia="Arial" w:hAnsi="Arial"/>
                  <w:sz w:val="18"/>
                  <w:szCs w:val="18"/>
                  <w:color w:val="0000FF"/>
                </w:rPr>
                <w:t>INDEPENDENT REGISTERED PUBLIC ACCOUNTING FIRM</w:t>
              </w:r>
            </w:hyperlink>
          </w:p>
        </w:tc>
        <w:tc>
          <w:tcPr>
            <w:tcW w:w="5040" w:type="dxa"/>
            <w:vAlign w:val="bottom"/>
            <w:gridSpan w:val="10"/>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1">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4"/>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APPRAISAL RIGHTS</w:t>
              </w:r>
            </w:hyperlink>
          </w:p>
        </w:tc>
        <w:tc>
          <w:tcPr>
            <w:tcW w:w="5740" w:type="dxa"/>
            <w:vAlign w:val="bottom"/>
            <w:gridSpan w:val="15"/>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40" w:type="dxa"/>
            <w:vAlign w:val="bottom"/>
            <w:gridSpan w:val="39"/>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HOUSEHOLDING INFORMATION</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322">
              <w:r>
                <w:rPr>
                  <w:rFonts w:ascii="Arial" w:cs="Arial" w:eastAsia="Arial" w:hAnsi="Arial"/>
                  <w:sz w:val="18"/>
                  <w:szCs w:val="18"/>
                  <w:color w:val="0000FF"/>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gridSpan w:val="11"/>
          </w:tcPr>
          <w:p>
            <w:pPr>
              <w:spacing w:after="0"/>
              <w:rPr>
                <w:rFonts w:ascii="Arial" w:cs="Arial" w:eastAsia="Arial" w:hAnsi="Arial"/>
                <w:sz w:val="18"/>
                <w:szCs w:val="18"/>
                <w:color w:val="0000FF"/>
                <w:w w:val="94"/>
              </w:rPr>
            </w:pPr>
            <w:hyperlink w:anchor="page322">
              <w:r>
                <w:rPr>
                  <w:rFonts w:ascii="Arial" w:cs="Arial" w:eastAsia="Arial" w:hAnsi="Arial"/>
                  <w:sz w:val="18"/>
                  <w:szCs w:val="18"/>
                  <w:color w:val="0000FF"/>
                  <w:w w:val="94"/>
                </w:rPr>
                <w:t>TRANSFER AGENT AND REGISTRAR</w:t>
              </w:r>
            </w:hyperlink>
          </w:p>
        </w:tc>
        <w:tc>
          <w:tcPr>
            <w:tcW w:w="7500" w:type="dxa"/>
            <w:vAlign w:val="bottom"/>
            <w:gridSpan w:val="28"/>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gridSpan w:val="17"/>
          </w:tcPr>
          <w:p>
            <w:pPr>
              <w:spacing w:after="0"/>
              <w:rPr>
                <w:rFonts w:ascii="Arial" w:cs="Arial" w:eastAsia="Arial" w:hAnsi="Arial"/>
                <w:sz w:val="18"/>
                <w:szCs w:val="18"/>
                <w:color w:val="0000FF"/>
                <w:w w:val="94"/>
              </w:rPr>
            </w:pPr>
            <w:hyperlink w:anchor="page322">
              <w:r>
                <w:rPr>
                  <w:rFonts w:ascii="Arial" w:cs="Arial" w:eastAsia="Arial" w:hAnsi="Arial"/>
                  <w:sz w:val="18"/>
                  <w:szCs w:val="18"/>
                  <w:color w:val="0000FF"/>
                  <w:w w:val="94"/>
                </w:rPr>
                <w:t>SUBMISSION OF STOCKHOLDER PROPOSALS</w:t>
              </w:r>
            </w:hyperlink>
          </w:p>
        </w:tc>
        <w:tc>
          <w:tcPr>
            <w:tcW w:w="6740" w:type="dxa"/>
            <w:vAlign w:val="bottom"/>
            <w:gridSpan w:val="2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12"/>
          </w:tcPr>
          <w:p>
            <w:pPr>
              <w:spacing w:after="0"/>
              <w:rPr>
                <w:rFonts w:ascii="Arial" w:cs="Arial" w:eastAsia="Arial" w:hAnsi="Arial"/>
                <w:sz w:val="18"/>
                <w:szCs w:val="18"/>
                <w:color w:val="0000FF"/>
                <w:w w:val="93"/>
              </w:rPr>
            </w:pPr>
            <w:hyperlink w:anchor="page322">
              <w:r>
                <w:rPr>
                  <w:rFonts w:ascii="Arial" w:cs="Arial" w:eastAsia="Arial" w:hAnsi="Arial"/>
                  <w:sz w:val="18"/>
                  <w:szCs w:val="18"/>
                  <w:color w:val="0000FF"/>
                  <w:w w:val="93"/>
                </w:rPr>
                <w:t>FUTURE STOCKHOLDER PROPOSALS</w:t>
              </w:r>
            </w:hyperlink>
          </w:p>
        </w:tc>
        <w:tc>
          <w:tcPr>
            <w:tcW w:w="660" w:type="dxa"/>
            <w:vAlign w:val="bottom"/>
            <w:gridSpan w:val="5"/>
          </w:tcPr>
          <w:p>
            <w:pPr>
              <w:spacing w:after="0"/>
              <w:rPr>
                <w:sz w:val="18"/>
                <w:szCs w:val="18"/>
                <w:color w:val="auto"/>
              </w:rPr>
            </w:pPr>
          </w:p>
        </w:tc>
        <w:tc>
          <w:tcPr>
            <w:tcW w:w="6740" w:type="dxa"/>
            <w:vAlign w:val="bottom"/>
            <w:gridSpan w:val="2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2">
              <w:r>
                <w:rPr>
                  <w:rFonts w:ascii="Arial" w:cs="Arial" w:eastAsia="Arial" w:hAnsi="Arial"/>
                  <w:sz w:val="13"/>
                  <w:szCs w:val="13"/>
                  <w:color w:val="0000FF"/>
                  <w:w w:val="73"/>
                </w:rPr>
                <w:t>312</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w w:val="97"/>
              </w:rPr>
            </w:pPr>
            <w:hyperlink w:anchor="page323">
              <w:r>
                <w:rPr>
                  <w:rFonts w:ascii="Arial" w:cs="Arial" w:eastAsia="Arial" w:hAnsi="Arial"/>
                  <w:sz w:val="18"/>
                  <w:szCs w:val="18"/>
                  <w:color w:val="0000FF"/>
                  <w:w w:val="97"/>
                </w:rPr>
                <w:t>WHERE YOU CAN FIND MORE INFORMATION</w:t>
              </w:r>
            </w:hyperlink>
          </w:p>
        </w:tc>
        <w:tc>
          <w:tcPr>
            <w:tcW w:w="6720" w:type="dxa"/>
            <w:vAlign w:val="bottom"/>
            <w:gridSpan w:val="2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3"/>
              </w:rPr>
            </w:pPr>
            <w:hyperlink w:anchor="page323">
              <w:r>
                <w:rPr>
                  <w:rFonts w:ascii="Arial" w:cs="Arial" w:eastAsia="Arial" w:hAnsi="Arial"/>
                  <w:sz w:val="13"/>
                  <w:szCs w:val="13"/>
                  <w:color w:val="0000FF"/>
                  <w:w w:val="73"/>
                </w:rPr>
                <w:t>313</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7"/>
            <w:shd w:val="clear" w:color="auto" w:fill="0000FF"/>
          </w:tcPr>
          <w:p>
            <w:pPr>
              <w:spacing w:after="0" w:line="20" w:lineRule="exact"/>
              <w:rPr>
                <w:sz w:val="1"/>
                <w:szCs w:val="1"/>
                <w:color w:val="auto"/>
              </w:rPr>
            </w:pPr>
          </w:p>
        </w:tc>
        <w:tc>
          <w:tcPr>
            <w:tcW w:w="6720" w:type="dxa"/>
            <w:vAlign w:val="bottom"/>
            <w:gridSpan w:val="21"/>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18"/>
          </w:tcPr>
          <w:p>
            <w:pPr>
              <w:spacing w:after="0"/>
              <w:rPr>
                <w:rFonts w:ascii="Arial" w:cs="Arial" w:eastAsia="Arial" w:hAnsi="Arial"/>
                <w:sz w:val="18"/>
                <w:szCs w:val="18"/>
                <w:color w:val="0000FF"/>
              </w:rPr>
            </w:pPr>
            <w:hyperlink w:anchor="page323">
              <w:r>
                <w:rPr>
                  <w:rFonts w:ascii="Arial" w:cs="Arial" w:eastAsia="Arial" w:hAnsi="Arial"/>
                  <w:sz w:val="18"/>
                  <w:szCs w:val="18"/>
                  <w:color w:val="0000FF"/>
                </w:rPr>
                <w:t>INDEX TO FINANCIAL STATEMENTS</w:t>
              </w:r>
            </w:hyperlink>
          </w:p>
        </w:tc>
        <w:tc>
          <w:tcPr>
            <w:tcW w:w="6720" w:type="dxa"/>
            <w:vAlign w:val="bottom"/>
            <w:gridSpan w:val="21"/>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5"/>
                <w:szCs w:val="15"/>
                <w:color w:val="3051F2"/>
                <w:w w:val="70"/>
              </w:rPr>
            </w:pPr>
            <w:r>
              <w:rPr>
                <w:rFonts w:ascii="Arial" w:cs="Arial" w:eastAsia="Arial" w:hAnsi="Arial"/>
                <w:sz w:val="15"/>
                <w:szCs w:val="15"/>
                <w:color w:val="3051F2"/>
                <w:w w:val="70"/>
              </w:rPr>
              <w:t>F-</w:t>
            </w:r>
            <w:hyperlink w:anchor="page323">
              <w:r>
                <w:rPr>
                  <w:rFonts w:ascii="Arial" w:cs="Arial" w:eastAsia="Arial" w:hAnsi="Arial"/>
                  <w:sz w:val="15"/>
                  <w:szCs w:val="15"/>
                  <w:color w:val="0000FF"/>
                  <w:w w:val="70"/>
                </w:rPr>
                <w:t>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500" w:type="dxa"/>
            <w:vAlign w:val="bottom"/>
            <w:gridSpan w:val="28"/>
          </w:tcPr>
          <w:p>
            <w:pPr>
              <w:spacing w:after="0" w:line="20" w:lineRule="exact"/>
              <w:rPr>
                <w:sz w:val="1"/>
                <w:szCs w:val="1"/>
                <w:color w:val="auto"/>
              </w:rPr>
            </w:pPr>
          </w:p>
        </w:tc>
        <w:tc>
          <w:tcPr>
            <w:tcW w:w="480" w:type="dxa"/>
            <w:vAlign w:val="bottom"/>
            <w:tcBorders>
              <w:right w:val="single" w:sz="8" w:color="3051F2"/>
            </w:tcBorders>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2"/>
          </w:tcPr>
          <w:p>
            <w:pPr>
              <w:spacing w:after="0"/>
              <w:rPr>
                <w:rFonts w:ascii="Arial" w:cs="Arial" w:eastAsia="Arial" w:hAnsi="Arial"/>
                <w:sz w:val="18"/>
                <w:szCs w:val="18"/>
                <w:color w:val="0000FF"/>
                <w:w w:val="96"/>
              </w:rPr>
            </w:pPr>
            <w:hyperlink w:anchor="page425">
              <w:r>
                <w:rPr>
                  <w:rFonts w:ascii="Arial" w:cs="Arial" w:eastAsia="Arial" w:hAnsi="Arial"/>
                  <w:sz w:val="18"/>
                  <w:szCs w:val="18"/>
                  <w:color w:val="0000FF"/>
                  <w:w w:val="96"/>
                </w:rPr>
                <w:t>ANNEX A</w:t>
              </w:r>
            </w:hyperlink>
          </w:p>
        </w:tc>
        <w:tc>
          <w:tcPr>
            <w:tcW w:w="2240" w:type="dxa"/>
            <w:vAlign w:val="bottom"/>
            <w:gridSpan w:val="9"/>
          </w:tcPr>
          <w:p>
            <w:pPr>
              <w:spacing w:after="0"/>
              <w:rPr>
                <w:sz w:val="18"/>
                <w:szCs w:val="18"/>
                <w:color w:val="auto"/>
              </w:rPr>
            </w:pPr>
          </w:p>
        </w:tc>
        <w:tc>
          <w:tcPr>
            <w:tcW w:w="7500" w:type="dxa"/>
            <w:vAlign w:val="bottom"/>
            <w:gridSpan w:val="28"/>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425">
              <w:r>
                <w:rPr>
                  <w:rFonts w:ascii="Arial" w:cs="Arial" w:eastAsia="Arial" w:hAnsi="Arial"/>
                  <w:sz w:val="13"/>
                  <w:szCs w:val="13"/>
                  <w:color w:val="0000FF"/>
                  <w:w w:val="78"/>
                </w:rPr>
                <w:t>A-1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6"/>
              </w:rPr>
            </w:pPr>
            <w:hyperlink w:anchor="page602">
              <w:r>
                <w:rPr>
                  <w:rFonts w:ascii="Arial" w:cs="Arial" w:eastAsia="Arial" w:hAnsi="Arial"/>
                  <w:sz w:val="18"/>
                  <w:szCs w:val="18"/>
                  <w:color w:val="0000FF"/>
                  <w:w w:val="96"/>
                </w:rPr>
                <w:t>ANNEX B</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602">
              <w:r>
                <w:rPr>
                  <w:rFonts w:ascii="Arial" w:cs="Arial" w:eastAsia="Arial" w:hAnsi="Arial"/>
                  <w:sz w:val="13"/>
                  <w:szCs w:val="13"/>
                  <w:color w:val="0000FF"/>
                  <w:w w:val="78"/>
                </w:rPr>
                <w:t>B-1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4"/>
              </w:rPr>
            </w:pPr>
            <w:hyperlink w:anchor="page607">
              <w:r>
                <w:rPr>
                  <w:rFonts w:ascii="Arial" w:cs="Arial" w:eastAsia="Arial" w:hAnsi="Arial"/>
                  <w:sz w:val="18"/>
                  <w:szCs w:val="18"/>
                  <w:color w:val="0000FF"/>
                  <w:w w:val="94"/>
                </w:rPr>
                <w:t>ANNEX C</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6"/>
              </w:rPr>
            </w:pPr>
            <w:hyperlink w:anchor="page607">
              <w:r>
                <w:rPr>
                  <w:rFonts w:ascii="Arial" w:cs="Arial" w:eastAsia="Arial" w:hAnsi="Arial"/>
                  <w:sz w:val="13"/>
                  <w:szCs w:val="13"/>
                  <w:color w:val="0000FF"/>
                  <w:w w:val="76"/>
                </w:rPr>
                <w:t>C-1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2"/>
          </w:tcPr>
          <w:p>
            <w:pPr>
              <w:spacing w:after="0"/>
              <w:rPr>
                <w:rFonts w:ascii="Arial" w:cs="Arial" w:eastAsia="Arial" w:hAnsi="Arial"/>
                <w:sz w:val="18"/>
                <w:szCs w:val="18"/>
                <w:color w:val="0000FF"/>
                <w:w w:val="94"/>
              </w:rPr>
            </w:pPr>
            <w:hyperlink w:anchor="page636">
              <w:r>
                <w:rPr>
                  <w:rFonts w:ascii="Arial" w:cs="Arial" w:eastAsia="Arial" w:hAnsi="Arial"/>
                  <w:sz w:val="18"/>
                  <w:szCs w:val="18"/>
                  <w:color w:val="0000FF"/>
                  <w:w w:val="94"/>
                </w:rPr>
                <w:t>ANNEX D</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6"/>
              </w:rPr>
            </w:pPr>
            <w:hyperlink w:anchor="page636">
              <w:r>
                <w:rPr>
                  <w:rFonts w:ascii="Arial" w:cs="Arial" w:eastAsia="Arial" w:hAnsi="Arial"/>
                  <w:sz w:val="13"/>
                  <w:szCs w:val="13"/>
                  <w:color w:val="0000FF"/>
                  <w:w w:val="76"/>
                </w:rPr>
                <w:t>D-1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2"/>
          </w:tcPr>
          <w:p>
            <w:pPr>
              <w:spacing w:after="0"/>
              <w:rPr>
                <w:rFonts w:ascii="Arial" w:cs="Arial" w:eastAsia="Arial" w:hAnsi="Arial"/>
                <w:sz w:val="18"/>
                <w:szCs w:val="18"/>
                <w:color w:val="0000FF"/>
                <w:w w:val="96"/>
              </w:rPr>
            </w:pPr>
            <w:hyperlink w:anchor="page656">
              <w:r>
                <w:rPr>
                  <w:rFonts w:ascii="Arial" w:cs="Arial" w:eastAsia="Arial" w:hAnsi="Arial"/>
                  <w:sz w:val="18"/>
                  <w:szCs w:val="18"/>
                  <w:color w:val="0000FF"/>
                  <w:w w:val="96"/>
                </w:rPr>
                <w:t>ANNEX E</w:t>
              </w:r>
            </w:hyperlink>
          </w:p>
        </w:tc>
        <w:tc>
          <w:tcPr>
            <w:tcW w:w="9740" w:type="dxa"/>
            <w:vAlign w:val="bottom"/>
            <w:gridSpan w:val="37"/>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3"/>
                <w:szCs w:val="13"/>
                <w:color w:val="0000FF"/>
                <w:w w:val="78"/>
              </w:rPr>
            </w:pPr>
            <w:hyperlink w:anchor="page656">
              <w:r>
                <w:rPr>
                  <w:rFonts w:ascii="Arial" w:cs="Arial" w:eastAsia="Arial" w:hAnsi="Arial"/>
                  <w:sz w:val="13"/>
                  <w:szCs w:val="13"/>
                  <w:color w:val="0000FF"/>
                  <w:w w:val="78"/>
                </w:rPr>
                <w:t>E-1</w:t>
              </w:r>
            </w:hyperlink>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460" w:type="dxa"/>
            <w:vAlign w:val="bottom"/>
            <w:gridSpan w:val="3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7"/>
          </w:tcPr>
          <w:p>
            <w:pPr>
              <w:spacing w:after="0"/>
              <w:rPr>
                <w:rFonts w:ascii="Arial" w:cs="Arial" w:eastAsia="Arial" w:hAnsi="Arial"/>
                <w:sz w:val="18"/>
                <w:szCs w:val="18"/>
                <w:color w:val="0000FF"/>
                <w:w w:val="94"/>
              </w:rPr>
            </w:pPr>
            <w:hyperlink w:anchor="page667">
              <w:r>
                <w:rPr>
                  <w:rFonts w:ascii="Arial" w:cs="Arial" w:eastAsia="Arial" w:hAnsi="Arial"/>
                  <w:sz w:val="18"/>
                  <w:szCs w:val="18"/>
                  <w:color w:val="0000FF"/>
                  <w:w w:val="94"/>
                </w:rPr>
                <w:t>PROXY CARD - PRER14A</w:t>
              </w:r>
            </w:hyperlink>
          </w:p>
        </w:tc>
        <w:tc>
          <w:tcPr>
            <w:tcW w:w="8460" w:type="dxa"/>
            <w:vAlign w:val="bottom"/>
            <w:gridSpan w:val="32"/>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0"/>
                <w:szCs w:val="10"/>
                <w:color w:val="0000FF"/>
                <w:w w:val="75"/>
              </w:rPr>
            </w:pPr>
            <w:hyperlink w:anchor="page667">
              <w:r>
                <w:rPr>
                  <w:rFonts w:ascii="Arial" w:cs="Arial" w:eastAsia="Arial" w:hAnsi="Arial"/>
                  <w:sz w:val="10"/>
                  <w:szCs w:val="10"/>
                  <w:color w:val="0000FF"/>
                  <w:w w:val="75"/>
                </w:rPr>
                <w:t>E</w:t>
              </w:r>
            </w:hyperlink>
            <w:r>
              <w:rPr>
                <w:rFonts w:ascii="Arial" w:cs="Arial" w:eastAsia="Arial" w:hAnsi="Arial"/>
                <w:sz w:val="10"/>
                <w:szCs w:val="10"/>
                <w:color w:val="000000"/>
                <w:w w:val="75"/>
              </w:rPr>
              <w:t>-</w:t>
            </w:r>
            <w:hyperlink w:anchor="page667">
              <w:r>
                <w:rPr>
                  <w:rFonts w:ascii="Arial" w:cs="Arial" w:eastAsia="Arial" w:hAnsi="Arial"/>
                  <w:sz w:val="10"/>
                  <w:szCs w:val="10"/>
                  <w:color w:val="0000FF"/>
                  <w:w w:val="75"/>
                </w:rPr>
                <w:t>12</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type w:val="continuous"/>
        </w:sectPr>
      </w:pPr>
    </w:p>
    <w:bookmarkStart w:id="10" w:name="page11"/>
    <w:bookmarkEnd w:id="1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Summary of the</w:t>
      </w:r>
      <w:r>
        <w:rPr>
          <w:rFonts w:ascii="Arial" w:cs="Arial" w:eastAsia="Arial" w:hAnsi="Arial"/>
          <w:sz w:val="18"/>
          <w:szCs w:val="18"/>
          <w:color w:val="auto"/>
        </w:rPr>
        <w:t xml:space="preserve"> </w:t>
      </w:r>
      <w:r>
        <w:rPr>
          <w:rFonts w:ascii="Arial" w:cs="Arial" w:eastAsia="Arial" w:hAnsi="Arial"/>
          <w:sz w:val="18"/>
          <w:szCs w:val="18"/>
          <w:i w:val="1"/>
          <w:iCs w:val="1"/>
          <w:color w:val="auto"/>
        </w:rPr>
        <w:t>Proxy Statement</w:t>
      </w:r>
      <w:r>
        <w:rPr>
          <w:rFonts w:ascii="Arial" w:cs="Arial" w:eastAsia="Arial" w:hAnsi="Arial"/>
          <w:sz w:val="18"/>
          <w:szCs w:val="18"/>
          <w:color w:val="auto"/>
        </w:rPr>
        <w:t>,” summarizes certain information contained in this proxy statement, but does not contain all of the information that is important to you.</w:t>
      </w:r>
      <w:r>
        <w:rPr>
          <w:rFonts w:ascii="Arial" w:cs="Arial" w:eastAsia="Arial" w:hAnsi="Arial"/>
          <w:sz w:val="18"/>
          <w:szCs w:val="18"/>
          <w:i w:val="1"/>
          <w:iCs w:val="1"/>
          <w:color w:val="auto"/>
        </w:rPr>
        <w:t xml:space="preserve"> </w:t>
      </w:r>
      <w:r>
        <w:rPr>
          <w:rFonts w:ascii="Arial" w:cs="Arial" w:eastAsia="Arial" w:hAnsi="Arial"/>
          <w:sz w:val="18"/>
          <w:szCs w:val="18"/>
          <w:color w:val="auto"/>
        </w:rPr>
        <w:t>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Arial" w:cs="Arial" w:eastAsia="Arial" w:hAnsi="Arial"/>
          <w:sz w:val="18"/>
          <w:szCs w:val="18"/>
          <w:i w:val="1"/>
          <w:iCs w:val="1"/>
          <w:color w:val="auto"/>
        </w:rPr>
        <w:t>Frequently Used Terms</w:t>
      </w:r>
      <w:r>
        <w:rPr>
          <w:rFonts w:ascii="Arial" w:cs="Arial" w:eastAsia="Arial" w:hAnsi="Arial"/>
          <w:sz w:val="18"/>
          <w:szCs w:val="18"/>
          <w:color w:val="auto"/>
        </w:rPr>
        <w:t>.”</w:t>
      </w:r>
    </w:p>
    <w:p>
      <w:pPr>
        <w:spacing w:after="0" w:line="134"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CM Life Sciences, Inc., a Delaware corporation, which we refer to as “we,” “us,” “our,” “CMLS” or the “Company,” is a special purpose acquisition company (“</w:t>
      </w:r>
      <w:r>
        <w:rPr>
          <w:rFonts w:ascii="Arial" w:cs="Arial" w:eastAsia="Arial" w:hAnsi="Arial"/>
          <w:sz w:val="18"/>
          <w:szCs w:val="18"/>
          <w:i w:val="1"/>
          <w:iCs w:val="1"/>
          <w:color w:val="auto"/>
        </w:rPr>
        <w:t>SPAC</w:t>
      </w:r>
      <w:r>
        <w:rPr>
          <w:rFonts w:ascii="Arial" w:cs="Arial" w:eastAsia="Arial" w:hAnsi="Arial"/>
          <w:sz w:val="18"/>
          <w:szCs w:val="18"/>
          <w:color w:val="auto"/>
        </w:rPr>
        <w:t>”) formed for the purpose of effecting a merger, capital stock exchange, asset acquisition, stock purchase, reorganization or similar business combination with one or more businesses.</w:t>
      </w:r>
    </w:p>
    <w:p>
      <w:pPr>
        <w:spacing w:after="0" w:line="129" w:lineRule="exact"/>
        <w:rPr>
          <w:rFonts w:ascii="Arial" w:cs="Arial" w:eastAsia="Arial" w:hAnsi="Arial"/>
          <w:sz w:val="18"/>
          <w:szCs w:val="18"/>
          <w:color w:val="auto"/>
        </w:rPr>
      </w:pPr>
    </w:p>
    <w:p>
      <w:pPr>
        <w:jc w:val="both"/>
        <w:ind w:left="660" w:hanging="328"/>
        <w:spacing w:after="0" w:line="28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There are currently 55,343,750 shares of Class A and Class B common stock, par value $0.0001 per share, of the Company, issued and outstanding, consisting of (i) 44,275,000 public shares, and (ii) 11,068,750 Founder Shares held by our Initial Stockholders (each share of Sema4 Class B common stock issued and outstanding immediately prior to the effective time will be converted into 1/100th of a share of Sema4 Class A common stock as set forth in the Merger Agreement). There are currently no shares of Company preferred stock issued and outstanding. In addition, we have 14,758,333 public warrants to purchase common stock (originally sold as part of the units issued in our IPO) outstanding along with 7,236,667 private placement warrants issued to our Sponsor in a private placement concurrently with our IPO (which up to a maximum of 33% of private placement warrants may be automatically cancelled immediately prior to Closing pursuant to the Forfeiture Agreement; for additional information on the potential forfeiture of private placement warrants by the Sponsor, see the section entitled “</w:t>
      </w:r>
      <w:r>
        <w:rPr>
          <w:rFonts w:ascii="Arial" w:cs="Arial" w:eastAsia="Arial" w:hAnsi="Arial"/>
          <w:sz w:val="16"/>
          <w:szCs w:val="16"/>
          <w:i w:val="1"/>
          <w:iCs w:val="1"/>
          <w:color w:val="auto"/>
        </w:rPr>
        <w:t>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 Proposal — Related Agreements — Forfeiture Agreement</w:t>
      </w:r>
      <w:r>
        <w:rPr>
          <w:rFonts w:ascii="Arial" w:cs="Arial" w:eastAsia="Arial" w:hAnsi="Arial"/>
          <w:sz w:val="16"/>
          <w:szCs w:val="16"/>
          <w:color w:val="auto"/>
        </w:rPr>
        <w:t>”.). Each warrant entitles its holder to purchase one share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an exercise price of $11.50 per whole share, to be exercised only for a whole number of shares of our Class A common stock. The warrants will become exercisable 30 days after the completion of the Business Combination, and they expire five years after the completion of the Business Combination, at 5:00 p.m., New York City time, or earlier upon redemption or liquidation. Once the warrants become exercisable, the Company may redeem the outstanding public warrants at a price of $0.01 per warrant, if the last reported sales price of the Company’s Class A common stock equals or exceeds $18.00 per share for any 20 trading days within a 30 trading day period ending on the third trading day prior to the date on which we give notice of such redemption and provided certain other conditions are met. For more information regarding the public warrants, please see the section entitled “</w:t>
      </w:r>
      <w:r>
        <w:rPr>
          <w:rFonts w:ascii="Arial" w:cs="Arial" w:eastAsia="Arial" w:hAnsi="Arial"/>
          <w:sz w:val="16"/>
          <w:szCs w:val="16"/>
          <w:i w:val="1"/>
          <w:iCs w:val="1"/>
          <w:color w:val="auto"/>
        </w:rPr>
        <w:t>Description of Securities</w:t>
      </w:r>
      <w:r>
        <w:rPr>
          <w:rFonts w:ascii="Arial" w:cs="Arial" w:eastAsia="Arial" w:hAnsi="Arial"/>
          <w:sz w:val="16"/>
          <w:szCs w:val="16"/>
          <w:color w:val="auto"/>
        </w:rPr>
        <w:t>.”</w:t>
      </w:r>
    </w:p>
    <w:p>
      <w:pPr>
        <w:spacing w:after="0" w:line="1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35"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For more information about Sema4, please see the sections entitled “</w:t>
      </w:r>
      <w:r>
        <w:rPr>
          <w:rFonts w:ascii="Arial" w:cs="Arial" w:eastAsia="Arial" w:hAnsi="Arial"/>
          <w:sz w:val="16"/>
          <w:szCs w:val="16"/>
          <w:i w:val="1"/>
          <w:iCs w:val="1"/>
          <w:color w:val="auto"/>
        </w:rPr>
        <w:t>Sema4’s Business</w:t>
      </w:r>
      <w:r>
        <w:rPr>
          <w:rFonts w:ascii="Arial" w:cs="Arial" w:eastAsia="Arial" w:hAnsi="Arial"/>
          <w:sz w:val="16"/>
          <w:szCs w:val="16"/>
          <w:color w:val="auto"/>
        </w:rPr>
        <w:t>,” “</w:t>
      </w:r>
      <w:r>
        <w:rPr>
          <w:rFonts w:ascii="Arial" w:cs="Arial" w:eastAsia="Arial" w:hAnsi="Arial"/>
          <w:sz w:val="16"/>
          <w:szCs w:val="16"/>
          <w:i w:val="1"/>
          <w:iCs w:val="1"/>
          <w:color w:val="auto"/>
        </w:rPr>
        <w:t>Sema4’s</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w:t>
      </w:r>
      <w:r>
        <w:rPr>
          <w:rFonts w:ascii="Arial" w:cs="Arial" w:eastAsia="Arial" w:hAnsi="Arial"/>
          <w:sz w:val="16"/>
          <w:szCs w:val="16"/>
          <w:color w:val="auto"/>
        </w:rPr>
        <w:t>’</w:t>
      </w:r>
      <w:r>
        <w:rPr>
          <w:rFonts w:ascii="Arial" w:cs="Arial" w:eastAsia="Arial" w:hAnsi="Arial"/>
          <w:sz w:val="16"/>
          <w:szCs w:val="16"/>
          <w:i w:val="1"/>
          <w:iCs w:val="1"/>
          <w:color w:val="auto"/>
        </w:rPr>
        <w:t>s Discussion and Analysis of Financial Condition and Results of Operations” and “Management after the Business Combination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1" w:name="page12"/>
    <w:bookmarkEnd w:id="11"/>
    <w:p>
      <w:pPr>
        <w:jc w:val="both"/>
        <w:ind w:left="328" w:hanging="328"/>
        <w:spacing w:after="0" w:line="285" w:lineRule="auto"/>
        <w:tabs>
          <w:tab w:leader="none" w:pos="3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9" w:lineRule="exact"/>
        <w:rPr>
          <w:rFonts w:ascii="Arial" w:cs="Arial" w:eastAsia="Arial" w:hAnsi="Arial"/>
          <w:sz w:val="16"/>
          <w:szCs w:val="16"/>
          <w:color w:val="auto"/>
        </w:rPr>
      </w:pPr>
    </w:p>
    <w:p>
      <w:pPr>
        <w:jc w:val="both"/>
        <w:ind w:left="328"/>
        <w:spacing w:after="0" w:line="287" w:lineRule="auto"/>
        <w:rPr>
          <w:rFonts w:ascii="Arial" w:cs="Arial" w:eastAsia="Arial" w:hAnsi="Arial"/>
          <w:sz w:val="16"/>
          <w:szCs w:val="16"/>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3" w:lineRule="exact"/>
        <w:rPr>
          <w:rFonts w:ascii="Arial" w:cs="Arial" w:eastAsia="Arial" w:hAnsi="Arial"/>
          <w:sz w:val="16"/>
          <w:szCs w:val="16"/>
          <w:color w:val="auto"/>
        </w:rPr>
      </w:pPr>
    </w:p>
    <w:p>
      <w:pPr>
        <w:jc w:val="both"/>
        <w:ind w:left="328"/>
        <w:spacing w:after="0" w:line="279" w:lineRule="auto"/>
        <w:rPr>
          <w:rFonts w:ascii="Arial" w:cs="Arial" w:eastAsia="Arial" w:hAnsi="Arial"/>
          <w:sz w:val="16"/>
          <w:szCs w:val="16"/>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rFonts w:ascii="Arial" w:cs="Arial" w:eastAsia="Arial" w:hAnsi="Arial"/>
          <w:sz w:val="16"/>
          <w:szCs w:val="16"/>
          <w:color w:val="auto"/>
        </w:rPr>
      </w:pPr>
    </w:p>
    <w:p>
      <w:pPr>
        <w:jc w:val="both"/>
        <w:ind w:left="328" w:hanging="328"/>
        <w:spacing w:after="0" w:line="279" w:lineRule="auto"/>
        <w:tabs>
          <w:tab w:leader="none" w:pos="3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PIPE Investors, including certain stockholders of Sema4, have agreed to purchase 35,000,000 shares of common stock in the aggregate, for $350,000,000 of gross proceeds. In connection with the Business Combination, the Company entered into the Subscription Agreements with the PIPE Investors, including certain stockholders of Sema4 and certain affiliates of our Sponsor, pursuant to which, among other things, the Company agreed to issue and sell to the PIPE Investors, in private placements to close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21" w:right="339" w:bottom="1440" w:gutter="0" w:footer="0" w:header="0"/>
        </w:sectPr>
      </w:pPr>
    </w:p>
    <w:bookmarkStart w:id="12" w:name="page13"/>
    <w:bookmarkEnd w:id="12"/>
    <w:p>
      <w:pPr>
        <w:jc w:val="both"/>
        <w:ind w:left="328"/>
        <w:spacing w:after="0" w:line="263" w:lineRule="auto"/>
        <w:rPr>
          <w:sz w:val="20"/>
          <w:szCs w:val="20"/>
          <w:color w:val="auto"/>
        </w:rPr>
      </w:pPr>
      <w:r>
        <w:rPr>
          <w:rFonts w:ascii="Arial" w:cs="Arial" w:eastAsia="Arial" w:hAnsi="Arial"/>
          <w:sz w:val="18"/>
          <w:szCs w:val="18"/>
          <w:color w:val="auto"/>
        </w:rPr>
        <w:t>prior to the Closing, an aggregate of 35,000,000 shares of common stock at $10.00 per share, for an aggregate purchase price of $350,000,000. The PIPE Investors may assign their commitments under the Subscription Agreements to purchase shares of our common stock to one or more of our affiliates.</w:t>
      </w:r>
    </w:p>
    <w:p>
      <w:pPr>
        <w:spacing w:after="0" w:line="130" w:lineRule="exact"/>
        <w:rPr>
          <w:sz w:val="20"/>
          <w:szCs w:val="20"/>
          <w:color w:val="auto"/>
        </w:rPr>
      </w:pPr>
    </w:p>
    <w:p>
      <w:pPr>
        <w:jc w:val="both"/>
        <w:ind w:left="328"/>
        <w:spacing w:after="0" w:line="270" w:lineRule="auto"/>
        <w:rPr>
          <w:sz w:val="20"/>
          <w:szCs w:val="20"/>
          <w:color w:val="auto"/>
        </w:rPr>
      </w:pPr>
      <w:r>
        <w:rPr>
          <w:rFonts w:ascii="Arial" w:cs="Arial" w:eastAsia="Arial" w:hAnsi="Arial"/>
          <w:sz w:val="17"/>
          <w:szCs w:val="17"/>
          <w:color w:val="auto"/>
        </w:rPr>
        <w:t>It is anticipated that, upon completion of the Business Combination: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Upon the effective time, each outstanding and unsettled restricted stock unit in respect of shares of Sema4 Common Stock, option to purchase Sema4 Common Stock and unvested restricted share of Sema4 Common Stock will be rolled over into restricted stock units, options, or restricted shares, respectively, of common stock in accordance with the terms of the Merger Agreement.</w:t>
      </w:r>
    </w:p>
    <w:p>
      <w:pPr>
        <w:spacing w:after="0" w:line="130" w:lineRule="exact"/>
        <w:rPr>
          <w:sz w:val="20"/>
          <w:szCs w:val="20"/>
          <w:color w:val="auto"/>
        </w:rPr>
      </w:pPr>
    </w:p>
    <w:p>
      <w:pPr>
        <w:jc w:val="both"/>
        <w:ind w:left="328" w:hanging="328"/>
        <w:spacing w:after="0" w:line="254"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or (iii) the issuance of any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8"/>
          <w:szCs w:val="18"/>
          <w:i w:val="1"/>
          <w:iCs w:val="1"/>
          <w:color w:val="auto"/>
        </w:rPr>
        <w:t>Summary of the Proxy Statement — Impact of the Business Combination on the Company’s Public Float,” “Unaudited Pro</w:t>
      </w:r>
      <w:r>
        <w:rPr>
          <w:rFonts w:ascii="Arial" w:cs="Arial" w:eastAsia="Arial" w:hAnsi="Arial"/>
          <w:sz w:val="18"/>
          <w:szCs w:val="18"/>
          <w:color w:val="auto"/>
        </w:rPr>
        <w:t xml:space="preserve"> </w:t>
      </w:r>
      <w:r>
        <w:rPr>
          <w:rFonts w:ascii="Arial" w:cs="Arial" w:eastAsia="Arial" w:hAnsi="Arial"/>
          <w:sz w:val="18"/>
          <w:szCs w:val="18"/>
          <w:i w:val="1"/>
          <w:iCs w:val="1"/>
          <w:color w:val="auto"/>
        </w:rPr>
        <w:t>Forma Condensed Combined Financial Information,” “Proposal No. 5 — Approval of the Incentive Plan” and “Proposal No. 6 — Approval of the ESPP</w:t>
      </w:r>
      <w:r>
        <w:rPr>
          <w:rFonts w:ascii="Arial" w:cs="Arial" w:eastAsia="Arial" w:hAnsi="Arial"/>
          <w:sz w:val="18"/>
          <w:szCs w:val="18"/>
          <w:color w:val="auto"/>
        </w:rPr>
        <w:t>.”</w:t>
      </w:r>
    </w:p>
    <w:p>
      <w:pPr>
        <w:spacing w:after="0" w:line="137"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Sponsor Support Agreement provides that, our Sponsor will vote their shares of common stock in favor of the Business Combination, be bound by certain other covenants and agreements related to the Business Combination and be bound by certain transfer restrictions with respect to their shares of common stock prior to the closing of the Business Combination.</w:t>
      </w:r>
    </w:p>
    <w:p>
      <w:pPr>
        <w:spacing w:after="0" w:line="129"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Forfeiture Agreement provides that, our Sponsor, subject to certain limitations and in accordance with the terms of the agreement, forfeit up to 33% of its warrants for Class A common stock and shares of its class B common our company subject to an amount tied to the actual exercise of redemption rights by stockholders of our company in connection with the Business Combination.</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and Board considered various factors in determining whether to approve the Merger Agreement and the Business Combination. For more information about our decision-making process, see the section entitled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Company’s Board of Directors’ Reasons for the Approval of the Business Combination</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328" w:hanging="328"/>
        <w:spacing w:after="0" w:line="255" w:lineRule="auto"/>
        <w:tabs>
          <w:tab w:leader="none" w:pos="3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Pursuant to our current certificate of incorporation, in connection with the Business Combination, holders of our public shares may elect to have their public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and will not participate in the future growth of the post-combination company, if any. Such a holder will be entitled to receive cash for its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21" w:right="339" w:bottom="1440" w:gutter="0" w:footer="0" w:header="0"/>
        </w:sectPr>
      </w:pPr>
    </w:p>
    <w:bookmarkStart w:id="13" w:name="page14"/>
    <w:bookmarkEnd w:id="13"/>
    <w:p>
      <w:pPr>
        <w:jc w:val="both"/>
        <w:ind w:left="328"/>
        <w:spacing w:after="0" w:line="263" w:lineRule="auto"/>
        <w:rPr>
          <w:sz w:val="20"/>
          <w:szCs w:val="20"/>
          <w:color w:val="auto"/>
        </w:rPr>
      </w:pPr>
      <w:r>
        <w:rPr>
          <w:rFonts w:ascii="Arial" w:cs="Arial" w:eastAsia="Arial" w:hAnsi="Arial"/>
          <w:sz w:val="18"/>
          <w:szCs w:val="18"/>
          <w:color w:val="auto"/>
        </w:rPr>
        <w:t>shares only if it properly demands redemption and delivers its shares (either physically or electronically) to our Transfer Agent, Continental Stock Transfer &amp; Trust Company, at least two business days prior to the Special Meeting. Please see the section entitled “</w:t>
      </w:r>
      <w:r>
        <w:rPr>
          <w:rFonts w:ascii="Arial" w:cs="Arial" w:eastAsia="Arial" w:hAnsi="Arial"/>
          <w:sz w:val="18"/>
          <w:szCs w:val="18"/>
          <w:i w:val="1"/>
          <w:iCs w:val="1"/>
          <w:color w:val="auto"/>
        </w:rPr>
        <w:t>Special Meeting of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 Redemption Rights</w:t>
      </w:r>
      <w:r>
        <w:rPr>
          <w:rFonts w:ascii="Arial" w:cs="Arial" w:eastAsia="Arial" w:hAnsi="Arial"/>
          <w:sz w:val="18"/>
          <w:szCs w:val="18"/>
          <w:color w:val="auto"/>
        </w:rPr>
        <w:t>.”</w:t>
      </w:r>
    </w:p>
    <w:p>
      <w:pPr>
        <w:spacing w:after="0" w:line="130" w:lineRule="exact"/>
        <w:rPr>
          <w:sz w:val="20"/>
          <w:szCs w:val="20"/>
          <w:color w:val="auto"/>
        </w:rPr>
      </w:pPr>
    </w:p>
    <w:p>
      <w:pPr>
        <w:ind w:left="328" w:right="20" w:hanging="328"/>
        <w:spacing w:after="0" w:line="277"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voting on the proposal to adopt the Merger Agreement and approve the transactions contemplated thereunder, including the Business Combination, at the Special Meeting, the stockholders of the Company will be asked to vote on:</w:t>
      </w:r>
    </w:p>
    <w:p>
      <w:pPr>
        <w:spacing w:after="0" w:line="116"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The Nasdaq Stock Issuance Proposal — To approve, for purposes of complying with applicable listing rules of Nasdaq,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more than 20% of the Company’s outstanding common stock in connection with the Business Combination and the Subscription Agreements, including up to 35,000,000 shares of our common stock to the PIPE Investors;</w:t>
      </w:r>
    </w:p>
    <w:p>
      <w:pPr>
        <w:spacing w:after="0" w:line="129"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 The Charter Approval Proposal — To adopt the proposed Amended and Restated Certificate of Incorporation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attached hereto as Annex B;</w:t>
      </w:r>
    </w:p>
    <w:p>
      <w:pPr>
        <w:spacing w:after="0" w:line="116"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4 </w:t>
      </w:r>
      <w:r>
        <w:rPr>
          <w:rFonts w:ascii="Arial" w:cs="Arial" w:eastAsia="Arial" w:hAnsi="Arial"/>
          <w:sz w:val="18"/>
          <w:szCs w:val="18"/>
          <w:color w:val="auto"/>
        </w:rPr>
        <w:t>— Governance Proposal — To approve, on a non-binding advisory basis, a separate proposal with respect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16" w:lineRule="exact"/>
        <w:rPr>
          <w:rFonts w:ascii="Arial" w:cs="Arial" w:eastAsia="Arial" w:hAnsi="Arial"/>
          <w:sz w:val="18"/>
          <w:szCs w:val="18"/>
          <w:color w:val="auto"/>
        </w:rPr>
      </w:pPr>
    </w:p>
    <w:p>
      <w:pPr>
        <w:ind w:left="328" w:right="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5 </w:t>
      </w:r>
      <w:r>
        <w:rPr>
          <w:rFonts w:ascii="Arial" w:cs="Arial" w:eastAsia="Arial" w:hAnsi="Arial"/>
          <w:sz w:val="18"/>
          <w:szCs w:val="18"/>
          <w:color w:val="auto"/>
        </w:rPr>
        <w:t>— Incentive Plan Proposal — To approve the Incentive Plan, including the authorization of the initial share reserve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w:t>
      </w:r>
    </w:p>
    <w:p>
      <w:pPr>
        <w:spacing w:after="0" w:line="116"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i w:val="1"/>
          <w:iCs w:val="1"/>
          <w:color w:val="auto"/>
        </w:rPr>
        <w:t xml:space="preserve">Proposal No. 6 </w:t>
      </w:r>
      <w:r>
        <w:rPr>
          <w:rFonts w:ascii="Arial" w:cs="Arial" w:eastAsia="Arial" w:hAnsi="Arial"/>
          <w:sz w:val="18"/>
          <w:szCs w:val="18"/>
          <w:color w:val="auto"/>
        </w:rPr>
        <w:t>— ESPP Proposal — To approve the ESPP, including the authorization of the initial share reserve under the ESPP;</w:t>
      </w:r>
    </w:p>
    <w:p>
      <w:pPr>
        <w:spacing w:after="0" w:line="171" w:lineRule="exact"/>
        <w:rPr>
          <w:rFonts w:ascii="Arial" w:cs="Arial" w:eastAsia="Arial" w:hAnsi="Arial"/>
          <w:sz w:val="18"/>
          <w:szCs w:val="18"/>
          <w:color w:val="auto"/>
        </w:rPr>
      </w:pPr>
    </w:p>
    <w:p>
      <w:pPr>
        <w:jc w:val="both"/>
        <w:ind w:left="328"/>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7 </w:t>
      </w:r>
      <w:r>
        <w:rPr>
          <w:rFonts w:ascii="Arial" w:cs="Arial" w:eastAsia="Arial" w:hAnsi="Arial"/>
          <w:sz w:val="16"/>
          <w:szCs w:val="16"/>
          <w:color w:val="auto"/>
        </w:rPr>
        <w:t>— The Director Election Proposal — To consider and vote upon a proposal to elect 9 directors to serve on the post-combination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each for a term expiring at the 2024 annual meeting of stockholders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as Class I directors on the Company’s board of directors, each to serve for a term of three years expiring at the annual meeting of stockholders to be held in 2024 or until such director’s successor has been duly elected and qualified, or until such director’s earlier death, resignation, retirement or removal; and</w:t>
      </w:r>
    </w:p>
    <w:p>
      <w:pPr>
        <w:spacing w:after="0" w:line="110" w:lineRule="exact"/>
        <w:rPr>
          <w:rFonts w:ascii="Arial" w:cs="Arial" w:eastAsia="Arial" w:hAnsi="Arial"/>
          <w:sz w:val="18"/>
          <w:szCs w:val="18"/>
          <w:color w:val="auto"/>
        </w:rPr>
      </w:pPr>
    </w:p>
    <w:p>
      <w:pPr>
        <w:jc w:val="both"/>
        <w:ind w:left="328"/>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Proposal No. 8 </w:t>
      </w:r>
      <w:r>
        <w:rPr>
          <w:rFonts w:ascii="Arial" w:cs="Arial" w:eastAsia="Arial" w:hAnsi="Arial"/>
          <w:sz w:val="16"/>
          <w:szCs w:val="16"/>
          <w:color w:val="auto"/>
        </w:rPr>
        <w:t>— Adjournment Proposal — To approve, if necessary, the adjournment of the Special Meeting to a later date or dates to permit</w:t>
      </w:r>
      <w:r>
        <w:rPr>
          <w:rFonts w:ascii="Arial" w:cs="Arial" w:eastAsia="Arial" w:hAnsi="Arial"/>
          <w:sz w:val="16"/>
          <w:szCs w:val="16"/>
          <w:i w:val="1"/>
          <w:i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107"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Proposal No. 9 </w:t>
      </w:r>
      <w:r>
        <w:rPr>
          <w:rFonts w:ascii="Arial" w:cs="Arial" w:eastAsia="Arial" w:hAnsi="Arial"/>
          <w:sz w:val="18"/>
          <w:szCs w:val="18"/>
          <w:color w:val="auto"/>
        </w:rPr>
        <w:t>— Auditor Ratification Proposal --- The ratification of Withum as the Company’s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ending December 31, 2020.</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 xml:space="preserve">Please see the sections entitled “Proposal No. 1 — </w:t>
      </w:r>
      <w:r>
        <w:rPr>
          <w:rFonts w:ascii="Arial" w:cs="Arial" w:eastAsia="Arial" w:hAnsi="Arial"/>
          <w:sz w:val="17"/>
          <w:szCs w:val="17"/>
          <w:i w:val="1"/>
          <w:iCs w:val="1"/>
          <w:color w:val="auto"/>
        </w:rPr>
        <w:t>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Proposal No. 2 — The Nasdaq Stock Issuance</w:t>
      </w:r>
      <w:r>
        <w:rPr>
          <w:rFonts w:ascii="Arial" w:cs="Arial" w:eastAsia="Arial" w:hAnsi="Arial"/>
          <w:sz w:val="17"/>
          <w:szCs w:val="17"/>
          <w:color w:val="auto"/>
        </w:rPr>
        <w:t xml:space="preserve"> </w:t>
      </w:r>
      <w:r>
        <w:rPr>
          <w:rFonts w:ascii="Arial" w:cs="Arial" w:eastAsia="Arial" w:hAnsi="Arial"/>
          <w:sz w:val="17"/>
          <w:szCs w:val="17"/>
          <w:i w:val="1"/>
          <w:iCs w:val="1"/>
          <w:color w:val="auto"/>
        </w:rPr>
        <w:t>Proposal</w:t>
      </w:r>
      <w:r>
        <w:rPr>
          <w:rFonts w:ascii="Arial" w:cs="Arial" w:eastAsia="Arial" w:hAnsi="Arial"/>
          <w:sz w:val="17"/>
          <w:szCs w:val="17"/>
          <w:color w:val="auto"/>
        </w:rPr>
        <w:t>,” “</w:t>
      </w:r>
      <w:r>
        <w:rPr>
          <w:rFonts w:ascii="Arial" w:cs="Arial" w:eastAsia="Arial" w:hAnsi="Arial"/>
          <w:sz w:val="17"/>
          <w:szCs w:val="17"/>
          <w:i w:val="1"/>
          <w:iCs w:val="1"/>
          <w:color w:val="auto"/>
        </w:rPr>
        <w:t>Proposal No. 3 — The Charter Approval Proposal</w:t>
      </w:r>
      <w:r>
        <w:rPr>
          <w:rFonts w:ascii="Arial" w:cs="Arial" w:eastAsia="Arial" w:hAnsi="Arial"/>
          <w:sz w:val="17"/>
          <w:szCs w:val="17"/>
          <w:color w:val="auto"/>
        </w:rPr>
        <w:t>,” “</w:t>
      </w:r>
      <w:r>
        <w:rPr>
          <w:rFonts w:ascii="Arial" w:cs="Arial" w:eastAsia="Arial" w:hAnsi="Arial"/>
          <w:sz w:val="17"/>
          <w:szCs w:val="17"/>
          <w:i w:val="1"/>
          <w:iCs w:val="1"/>
          <w:color w:val="auto"/>
        </w:rPr>
        <w:t>Proposal No. 4 — Approval of Certain Governance Provisions in the Amended and Restated Certificate of Incorporation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w:t>
      </w:r>
      <w:r>
        <w:rPr>
          <w:rFonts w:ascii="Arial" w:cs="Arial" w:eastAsia="Arial" w:hAnsi="Arial"/>
          <w:sz w:val="17"/>
          <w:szCs w:val="17"/>
          <w:i w:val="1"/>
          <w:iCs w:val="1"/>
          <w:color w:val="auto"/>
        </w:rPr>
        <w:t>Proposal No. 8 — The Adjournment Proposal</w:t>
      </w:r>
      <w:r>
        <w:rPr>
          <w:rFonts w:ascii="Arial" w:cs="Arial" w:eastAsia="Arial" w:hAnsi="Arial"/>
          <w:sz w:val="17"/>
          <w:szCs w:val="17"/>
          <w:color w:val="auto"/>
        </w:rPr>
        <w:t>,” and “</w:t>
      </w:r>
      <w:r>
        <w:rPr>
          <w:rFonts w:ascii="Arial" w:cs="Arial" w:eastAsia="Arial" w:hAnsi="Arial"/>
          <w:sz w:val="17"/>
          <w:szCs w:val="17"/>
          <w:i w:val="1"/>
          <w:iCs w:val="1"/>
          <w:color w:val="auto"/>
        </w:rPr>
        <w:t>Proposal No. 9 --- The Auditor</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Proposal</w:t>
      </w:r>
      <w:r>
        <w:rPr>
          <w:rFonts w:ascii="Arial" w:cs="Arial" w:eastAsia="Arial" w:hAnsi="Arial"/>
          <w:sz w:val="17"/>
          <w:szCs w:val="17"/>
          <w:color w:val="auto"/>
        </w:rPr>
        <w:t>” Proposals in this proxy statement (other than the Governance Proposal, the Auditor Ratification Proposal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Adjournment Proposal) are conditioned on the approval of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8"/>
          </w:cols>
          <w:pgMar w:left="652" w:top="1421" w:right="339" w:bottom="1440" w:gutter="0" w:footer="0" w:header="0"/>
        </w:sectPr>
      </w:pPr>
    </w:p>
    <w:bookmarkStart w:id="14" w:name="page15"/>
    <w:bookmarkEnd w:id="14"/>
    <w:p>
      <w:pPr>
        <w:jc w:val="both"/>
        <w:ind w:left="328" w:hanging="328"/>
        <w:spacing w:after="0" w:line="311" w:lineRule="auto"/>
        <w:tabs>
          <w:tab w:leader="none" w:pos="323"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Merger Agreement may be terminated at any time prior to the consummation of the Business Combination upon agreement of the parties thereto, or by the Company or Sema4 in specified circumstances. For more information about the termination rights under the Merger Agreement, please see the section entitled “</w:t>
      </w:r>
      <w:r>
        <w:rPr>
          <w:rFonts w:ascii="Arial" w:cs="Arial" w:eastAsia="Arial" w:hAnsi="Arial"/>
          <w:sz w:val="16"/>
          <w:szCs w:val="16"/>
          <w:i w:val="1"/>
          <w:iCs w:val="1"/>
          <w:color w:val="auto"/>
        </w:rPr>
        <w:t>Proposal No. 1 — Approval of the Business Combination — The Merger Agreement — Termination</w:t>
      </w:r>
      <w:r>
        <w:rPr>
          <w:rFonts w:ascii="Arial" w:cs="Arial" w:eastAsia="Arial" w:hAnsi="Arial"/>
          <w:sz w:val="16"/>
          <w:szCs w:val="16"/>
          <w:color w:val="auto"/>
        </w:rPr>
        <w:t>.”</w:t>
      </w:r>
    </w:p>
    <w:p>
      <w:pPr>
        <w:spacing w:after="0" w:line="94" w:lineRule="exact"/>
        <w:rPr>
          <w:rFonts w:ascii="Arial" w:cs="Arial" w:eastAsia="Arial" w:hAnsi="Arial"/>
          <w:sz w:val="16"/>
          <w:szCs w:val="16"/>
          <w:b w:val="1"/>
          <w:bCs w:val="1"/>
          <w:color w:val="auto"/>
        </w:rPr>
      </w:pPr>
    </w:p>
    <w:p>
      <w:pPr>
        <w:ind w:left="328" w:hanging="328"/>
        <w:spacing w:after="0" w:line="277"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proposed Business Combination involves numerous risks. For more information about these risks, please see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116" w:lineRule="exact"/>
        <w:rPr>
          <w:rFonts w:ascii="Arial" w:cs="Arial" w:eastAsia="Arial" w:hAnsi="Arial"/>
          <w:sz w:val="18"/>
          <w:szCs w:val="18"/>
          <w:b w:val="1"/>
          <w:bCs w:val="1"/>
          <w:color w:val="auto"/>
        </w:rPr>
      </w:pPr>
    </w:p>
    <w:p>
      <w:pPr>
        <w:jc w:val="both"/>
        <w:ind w:left="328" w:hanging="328"/>
        <w:spacing w:after="0" w:line="255" w:lineRule="auto"/>
        <w:tabs>
          <w:tab w:leader="none" w:pos="32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its affiliates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 These interests include, among other things:</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b w:val="1"/>
          <w:bCs w:val="1"/>
          <w:color w:val="auto"/>
        </w:rPr>
      </w:pPr>
    </w:p>
    <w:p>
      <w:pPr>
        <w:ind w:left="648" w:hanging="324"/>
        <w:spacing w:after="0"/>
        <w:tabs>
          <w:tab w:leader="none" w:pos="648"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b w:val="1"/>
          <w:bCs w:val="1"/>
          <w:color w:val="auto"/>
        </w:rPr>
      </w:pPr>
    </w:p>
    <w:p>
      <w:pPr>
        <w:ind w:left="648" w:right="20"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b w:val="1"/>
          <w:bCs w:val="1"/>
          <w:color w:val="auto"/>
        </w:rPr>
      </w:pPr>
    </w:p>
    <w:p>
      <w:pPr>
        <w:jc w:val="both"/>
        <w:ind w:left="648" w:hanging="324"/>
        <w:spacing w:after="0" w:line="255"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8" w:lineRule="exact"/>
        <w:rPr>
          <w:rFonts w:ascii="Arial" w:cs="Arial" w:eastAsia="Arial" w:hAnsi="Arial"/>
          <w:sz w:val="18"/>
          <w:szCs w:val="18"/>
          <w:b w:val="1"/>
          <w:bCs w:val="1"/>
          <w:color w:val="auto"/>
        </w:rPr>
      </w:pPr>
    </w:p>
    <w:p>
      <w:pPr>
        <w:ind w:left="648" w:hanging="324"/>
        <w:spacing w:after="0" w:line="277" w:lineRule="auto"/>
        <w:tabs>
          <w:tab w:leader="none" w:pos="643"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b w:val="1"/>
          <w:bCs w:val="1"/>
          <w:color w:val="auto"/>
        </w:rPr>
      </w:pPr>
    </w:p>
    <w:p>
      <w:pPr>
        <w:jc w:val="both"/>
        <w:ind w:left="648" w:hanging="324"/>
        <w:spacing w:after="0" w:line="259"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48" w:hanging="324"/>
        <w:spacing w:after="0" w:line="277" w:lineRule="auto"/>
        <w:tabs>
          <w:tab w:leader="none" w:pos="6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48" w:hanging="324"/>
        <w:spacing w:after="0" w:line="279" w:lineRule="auto"/>
        <w:tabs>
          <w:tab w:leader="none" w:pos="643" w:val="left"/>
        </w:tabs>
        <w:numPr>
          <w:ilvl w:val="1"/>
          <w:numId w:val="17"/>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8"/>
          </w:cols>
          <w:pgMar w:left="652" w:top="1421" w:right="339" w:bottom="1440" w:gutter="0" w:footer="0" w:header="0"/>
        </w:sectPr>
      </w:pPr>
    </w:p>
    <w:bookmarkStart w:id="15" w:name="page16"/>
    <w:bookmarkEnd w:id="15"/>
    <w:p>
      <w:pPr>
        <w:jc w:val="both"/>
        <w:ind w:left="324" w:hanging="324"/>
        <w:spacing w:after="0" w:line="263" w:lineRule="auto"/>
        <w:tabs>
          <w:tab w:leader="none" w:pos="319"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976" w:top="1421" w:right="339" w:bottom="1440" w:gutter="0" w:footer="0" w:header="0"/>
        </w:sectPr>
      </w:pPr>
    </w:p>
    <w:bookmarkStart w:id="16" w:name="page17"/>
    <w:bookmarkEnd w:id="1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otherwise stated or unless the context otherwise requires, the terms “we,” “us,” “our,” the “Company” and “CMLS” refer to CM Life Sciences, Inc., a Delaware corporation, and the term “post-combination company” refers to the company following the consummation of the Business Combination. In this proxy statement: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Sema4 Share Amount</w:t>
      </w:r>
      <w:r>
        <w:rPr>
          <w:rFonts w:ascii="Arial" w:cs="Arial" w:eastAsia="Arial" w:hAnsi="Arial"/>
          <w:sz w:val="18"/>
          <w:szCs w:val="18"/>
          <w:color w:val="auto"/>
        </w:rPr>
        <w:t xml:space="preserve">” shall mean the sum, without duplication, of (a) the aggregate number of shares of Sema4 Common Stock that are issued and outstanding immediately prior to the effective time, (b) the aggregate number of shares of Sema4 Common Stock that are issuable upon the exercise of Sema4 Options or vesting of Sema4 RSUs or other direct or indirect rights to acquire shares of Sema4 Common Stock that are issued and outstanding immediately prior to the effective time (and in the case of Sema4 SARs, the aggregate number of shares of Sema4 Common Stock on which the value of such Sema4 SARs is based), in each case calculated on a treasury stock basis and after giving effect to the conversion of the Class B common stock pursuant to the mandatory conversion notice under the organizational documents of Sema4, and (c) the aggregate number of shares of Sema4 Common Stock that would be issuable upon the conversion all shares of Sema4 Preferred Stock into shares of Sema4 Common Stock pursuant to the organizational documents of Sema4;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Earnout RSUs shall be disregarded for the purpose of the Aggregate Sema4 Share Amount.</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Amended and Restated Certificate of Incorporation</w:t>
      </w:r>
      <w:r>
        <w:rPr>
          <w:rFonts w:ascii="Arial" w:cs="Arial" w:eastAsia="Arial" w:hAnsi="Arial"/>
          <w:sz w:val="18"/>
          <w:szCs w:val="18"/>
          <w:color w:val="auto"/>
        </w:rPr>
        <w:t>” means the proposed Amended and Restated Certificate of Incorporation of the Company, a form of which is attached hereto as Annex B, which will become the post-combination company’s certificate of incorporation upon the approval of the Charter Approval Proposal, assuming the consummation of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deadline</w:t>
      </w:r>
      <w:r>
        <w:rPr>
          <w:rFonts w:ascii="Arial" w:cs="Arial" w:eastAsia="Arial" w:hAnsi="Arial"/>
          <w:sz w:val="18"/>
          <w:szCs w:val="18"/>
          <w:color w:val="auto"/>
        </w:rPr>
        <w:t>” means November 9, 2021.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or “</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Combination</w:t>
      </w:r>
      <w:r>
        <w:rPr>
          <w:rFonts w:ascii="Arial" w:cs="Arial" w:eastAsia="Arial" w:hAnsi="Arial"/>
          <w:sz w:val="18"/>
          <w:szCs w:val="18"/>
          <w:color w:val="auto"/>
        </w:rPr>
        <w:t>” means the transactions contemplated by the Merger Agreement, including the Merger.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common stock</w:t>
      </w:r>
      <w:r>
        <w:rPr>
          <w:rFonts w:ascii="Arial" w:cs="Arial" w:eastAsia="Arial" w:hAnsi="Arial"/>
          <w:sz w:val="18"/>
          <w:szCs w:val="18"/>
          <w:color w:val="auto"/>
        </w:rPr>
        <w:t>” means the shares of Class A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common stock</w:t>
      </w:r>
      <w:r>
        <w:rPr>
          <w:rFonts w:ascii="Arial" w:cs="Arial" w:eastAsia="Arial" w:hAnsi="Arial"/>
          <w:sz w:val="18"/>
          <w:szCs w:val="18"/>
          <w:color w:val="auto"/>
        </w:rPr>
        <w:t>” means the shares of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Share Price</w:t>
      </w:r>
      <w:r>
        <w:rPr>
          <w:rFonts w:ascii="Arial" w:cs="Arial" w:eastAsia="Arial" w:hAnsi="Arial"/>
          <w:sz w:val="17"/>
          <w:szCs w:val="17"/>
          <w:color w:val="auto"/>
        </w:rPr>
        <w:t>” shall mean the share price equal to the VWAP of one share of Company common stock as reported on Nasdaq (or the exchange on which the shares of Company common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Company common stock), extraordinary cash dividend (which adjustment shall be subject to the reasonable mutual agreement of Company and Sema4), reorganization, recapitalization, reclassification, combination, exchange of shares or other like change or transaction with respect to Company common stock).</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or “</w:t>
      </w:r>
      <w:r>
        <w:rPr>
          <w:rFonts w:ascii="Arial" w:cs="Arial" w:eastAsia="Arial" w:hAnsi="Arial"/>
          <w:sz w:val="17"/>
          <w:szCs w:val="17"/>
          <w:i w:val="1"/>
          <w:iCs w:val="1"/>
          <w:color w:val="auto"/>
        </w:rPr>
        <w:t>Company common stock</w:t>
      </w:r>
      <w:r>
        <w:rPr>
          <w:rFonts w:ascii="Arial" w:cs="Arial" w:eastAsia="Arial" w:hAnsi="Arial"/>
          <w:sz w:val="17"/>
          <w:szCs w:val="17"/>
          <w:color w:val="auto"/>
        </w:rPr>
        <w:t>” means (i) prior to the consummation of the Business Combination, the shares of Class A common stock and Class B common stock of the Company and (ii) upon the consummation of the Business Combination and the automatic conversion of the shares of Class B common stock into shares of Class A common stock, the shares of Class A common stock of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CM Life Sciences, Inc., a Delaware corporation.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certificate of incorporation</w:t>
      </w:r>
      <w:r>
        <w:rPr>
          <w:rFonts w:ascii="Arial" w:cs="Arial" w:eastAsia="Arial" w:hAnsi="Arial"/>
          <w:sz w:val="18"/>
          <w:szCs w:val="18"/>
          <w:color w:val="auto"/>
        </w:rPr>
        <w:t>” means our sixth amended and restated certificate of incorporation, dated as of July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D.F. King</w:t>
      </w:r>
      <w:r>
        <w:rPr>
          <w:rFonts w:ascii="Arial" w:cs="Arial" w:eastAsia="Arial" w:hAnsi="Arial"/>
          <w:sz w:val="18"/>
          <w:szCs w:val="18"/>
          <w:color w:val="auto"/>
        </w:rPr>
        <w:t>” means D.F. King &amp; Co., Inc., proxy solicitor to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Condition</w:t>
      </w:r>
      <w:r>
        <w:rPr>
          <w:rFonts w:ascii="Arial" w:cs="Arial" w:eastAsia="Arial" w:hAnsi="Arial"/>
          <w:sz w:val="17"/>
          <w:szCs w:val="17"/>
          <w:color w:val="auto"/>
        </w:rPr>
        <w:t>” means the condition in the Merger Agreement specifying that the Sema4 Stockholders (other than holders of Dissenting Shares) and Earn-Out Service Providers will receive the following Earn-Out shares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(iii) upon the occurrence of Triggering Event III, a one-time issuance of a number of Earn-Out Shares equal to 3.67% of the Earn-Out Total Outstanding Shares; and (iv) upon the last day of any calendar year, a one-time issuance of the Earn-Out Shares in the Forfeiture Pool as in effect as of such date that would have been issuable to Sema4 Stockholders as a result of the occurrence of a Triggering Event had they not been subject to an award of Earnout RSUs.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Total Outstanding Shares</w:t>
      </w:r>
      <w:r>
        <w:rPr>
          <w:rFonts w:ascii="Arial" w:cs="Arial" w:eastAsia="Arial" w:hAnsi="Arial"/>
          <w:sz w:val="18"/>
          <w:szCs w:val="18"/>
          <w:color w:val="auto"/>
        </w:rPr>
        <w:t>” means the aggregate number of shares of Company common stock to which holders of Sema4 Common Stock and Sema4 Preferred Stock would be entitled under Section 2.7(a)(ii) of the Merger Agreement if none made a Cash Election and the Closing Cash Payment was $0 (as each such term is defined in the Merger Agreement.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Earn-Out Period</w:t>
      </w:r>
      <w:r>
        <w:rPr>
          <w:rFonts w:ascii="Arial" w:cs="Arial" w:eastAsia="Arial" w:hAnsi="Arial"/>
          <w:sz w:val="17"/>
          <w:szCs w:val="17"/>
          <w:color w:val="auto"/>
        </w:rPr>
        <w:t>” shall mean the time period beginning upon the expiration of the Founder Shares Lock-Up Period (as such term is defined in and pursuant to the terms of that certain Letter Agreement, dated September 1, 2020, entered into by and among the Company, Sponsor and certain of the Company’s current and former officers and directors) and ending on the 2-year anniversary of the Closing Date (as defined herein).</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Earn-Out Service Provider</w:t>
      </w:r>
      <w:r>
        <w:rPr>
          <w:rFonts w:ascii="Arial" w:cs="Arial" w:eastAsia="Arial" w:hAnsi="Arial"/>
          <w:sz w:val="16"/>
          <w:szCs w:val="16"/>
          <w:color w:val="auto"/>
        </w:rPr>
        <w:t>” shall mean each (a) holder of a Company Option, Company RSU, Company SAR, other than any holder of a Company Option, Company RSU or Company SAR who is not employed by or providing services to the Company as of the Effective Time (as defined herein), and</w:t>
      </w:r>
    </w:p>
    <w:p>
      <w:pPr>
        <w:ind w:firstLine="8"/>
        <w:spacing w:after="0" w:line="260"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other employee or individual service provider of the Company, in each case whom the board of directors of the Company designates as an Earn-Out Service Provider prior to the Closing and who enters into an Earn-Out Award Agreement.</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Earn-Out Shares</w:t>
      </w:r>
      <w:r>
        <w:rPr>
          <w:rFonts w:ascii="Arial" w:cs="Arial" w:eastAsia="Arial" w:hAnsi="Arial"/>
          <w:sz w:val="18"/>
          <w:szCs w:val="18"/>
          <w:color w:val="auto"/>
        </w:rPr>
        <w:t>” means the shares of Company Class A common stock that the Company shall issue or cause to be issued to the Sema4 Stockholders (other than holders of Dissenting Shares) and the Earn-Out Service Providers,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 means the Sema4 Holdings Corp 2021 Employee Stock Purchase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Forfeiture Agreement</w:t>
      </w:r>
      <w:r>
        <w:rPr>
          <w:rFonts w:ascii="Arial" w:cs="Arial" w:eastAsia="Arial" w:hAnsi="Arial"/>
          <w:sz w:val="17"/>
          <w:szCs w:val="17"/>
          <w:color w:val="auto"/>
        </w:rPr>
        <w:t>” means that certain Sponsor Forfeiture Agreement entered into on February 9, 2021, between the Company and Sponsor, pursuant to which the Sponsor has agreed to forfeit certain shares of private placement warrants and Founder Shares, as applicable.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11,068,750 shares of Class B common stock that are currently owned by our Initial Stockholders, of which 10,993,750 shares are held by our Sponsor, 25,000 shares are held by Mr. Islam, 25,000 shares are held by Dr. Leproust and 25,000 shares are held by Mr. Turner, which shares of Class B common stock will automatically convert into Class A common stock in connection with the consummation of the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Plan</w:t>
      </w:r>
      <w:r>
        <w:rPr>
          <w:rFonts w:ascii="Arial" w:cs="Arial" w:eastAsia="Arial" w:hAnsi="Arial"/>
          <w:sz w:val="18"/>
          <w:szCs w:val="18"/>
          <w:color w:val="auto"/>
        </w:rPr>
        <w:t>” means the Sema4 Holdings Corp 2021 Equity Incentive Plan.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Stockholders</w:t>
      </w:r>
      <w:r>
        <w:rPr>
          <w:rFonts w:ascii="Arial" w:cs="Arial" w:eastAsia="Arial" w:hAnsi="Arial"/>
          <w:sz w:val="18"/>
          <w:szCs w:val="18"/>
          <w:color w:val="auto"/>
        </w:rPr>
        <w:t>” means our Sponsor together with Mr. Islam, Dr. Leproust and Mr. Turner.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1"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leader</w:t>
      </w:r>
      <w:r>
        <w:rPr>
          <w:rFonts w:ascii="Arial" w:cs="Arial" w:eastAsia="Arial" w:hAnsi="Arial"/>
          <w:sz w:val="17"/>
          <w:szCs w:val="17"/>
          <w:color w:val="auto"/>
        </w:rPr>
        <w:t>,” “</w:t>
      </w:r>
      <w:r>
        <w:rPr>
          <w:rFonts w:ascii="Arial" w:cs="Arial" w:eastAsia="Arial" w:hAnsi="Arial"/>
          <w:sz w:val="17"/>
          <w:szCs w:val="17"/>
          <w:i w:val="1"/>
          <w:iCs w:val="1"/>
          <w:color w:val="auto"/>
        </w:rPr>
        <w:t>leading</w:t>
      </w:r>
      <w:r>
        <w:rPr>
          <w:rFonts w:ascii="Arial" w:cs="Arial" w:eastAsia="Arial" w:hAnsi="Arial"/>
          <w:sz w:val="17"/>
          <w:szCs w:val="17"/>
          <w:color w:val="auto"/>
        </w:rPr>
        <w:t>,” “</w:t>
      </w:r>
      <w:r>
        <w:rPr>
          <w:rFonts w:ascii="Arial" w:cs="Arial" w:eastAsia="Arial" w:hAnsi="Arial"/>
          <w:sz w:val="17"/>
          <w:szCs w:val="17"/>
          <w:i w:val="1"/>
          <w:iCs w:val="1"/>
          <w:color w:val="auto"/>
        </w:rPr>
        <w:t>industry-leading</w:t>
      </w:r>
      <w:r>
        <w:rPr>
          <w:rFonts w:ascii="Arial" w:cs="Arial" w:eastAsia="Arial" w:hAnsi="Arial"/>
          <w:sz w:val="17"/>
          <w:szCs w:val="17"/>
          <w:color w:val="auto"/>
        </w:rPr>
        <w:t>,” and other similar statements included in this proxy statement and, in particular, in the sections entitled “</w:t>
      </w:r>
      <w:r>
        <w:rPr>
          <w:rFonts w:ascii="Arial" w:cs="Arial" w:eastAsia="Arial" w:hAnsi="Arial"/>
          <w:sz w:val="17"/>
          <w:szCs w:val="17"/>
          <w:i w:val="1"/>
          <w:iCs w:val="1"/>
          <w:color w:val="auto"/>
        </w:rPr>
        <w:t>Summary Term Sheet</w:t>
      </w:r>
      <w:r>
        <w:rPr>
          <w:rFonts w:ascii="Arial" w:cs="Arial" w:eastAsia="Arial" w:hAnsi="Arial"/>
          <w:sz w:val="17"/>
          <w:szCs w:val="17"/>
          <w:color w:val="auto"/>
        </w:rPr>
        <w:t>,” “</w:t>
      </w:r>
      <w:r>
        <w:rPr>
          <w:rFonts w:ascii="Arial" w:cs="Arial" w:eastAsia="Arial" w:hAnsi="Arial"/>
          <w:sz w:val="17"/>
          <w:szCs w:val="17"/>
          <w:i w:val="1"/>
          <w:iCs w:val="1"/>
          <w:color w:val="auto"/>
        </w:rPr>
        <w:t>Summary of the Proxy Statement</w:t>
      </w:r>
      <w:r>
        <w:rPr>
          <w:rFonts w:ascii="Arial" w:cs="Arial" w:eastAsia="Arial" w:hAnsi="Arial"/>
          <w:sz w:val="17"/>
          <w:szCs w:val="17"/>
          <w:color w:val="auto"/>
        </w:rPr>
        <w:t>,” “</w:t>
      </w:r>
      <w:r>
        <w:rPr>
          <w:rFonts w:ascii="Arial" w:cs="Arial" w:eastAsia="Arial" w:hAnsi="Arial"/>
          <w:sz w:val="17"/>
          <w:szCs w:val="17"/>
          <w:i w:val="1"/>
          <w:iCs w:val="1"/>
          <w:color w:val="auto"/>
        </w:rPr>
        <w:t>Proposal No. 1 — Approval of the Business Combination</w:t>
      </w:r>
      <w:r>
        <w:rPr>
          <w:rFonts w:ascii="Arial" w:cs="Arial" w:eastAsia="Arial" w:hAnsi="Arial"/>
          <w:sz w:val="17"/>
          <w:szCs w:val="17"/>
          <w:color w:val="auto"/>
        </w:rPr>
        <w:t>,” “</w:t>
      </w:r>
      <w:r>
        <w:rPr>
          <w:rFonts w:ascii="Arial" w:cs="Arial" w:eastAsia="Arial" w:hAnsi="Arial"/>
          <w:sz w:val="17"/>
          <w:szCs w:val="17"/>
          <w:i w:val="1"/>
          <w:iCs w:val="1"/>
          <w:color w:val="auto"/>
        </w:rPr>
        <w:t>Sema4’s Business</w:t>
      </w:r>
      <w:r>
        <w:rPr>
          <w:rFonts w:ascii="Arial" w:cs="Arial" w:eastAsia="Arial" w:hAnsi="Arial"/>
          <w:sz w:val="17"/>
          <w:szCs w:val="17"/>
          <w:color w:val="auto"/>
        </w:rPr>
        <w:t>”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regarding Sema4 and its products and services are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Sema4’s belief in its competitive advantages in data, analytics and patient and provider engagement, in particular with respect to Sema4’s diagnostic solutions and genomic platform. Sema4 bases its beliefs regarding these matters, including its estimates of its market share in its sector, on its collective institutional knowledge and expertise regarding its industries, markets and technology, which are based on, among other things, publicly available information, reports of government agencies, RFPs and the results of contract bids and awards, and industry research firms, as well as Sema4’s internal research, calculations and assumptions based on its analysis of such information and data. Sema4 believes these assertions to be reasonable and accurate as of the date of this proxy statement.</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that certain Agreement and Plan of Merger, dated as of February 9, 2021, by and among the Company, Merger Sub and Sema4 as amended by the Amendment to Agreement and Plan of Merger dated May 3,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of Merger Sub with and into Sema4, with Sema4 continuing as the surviving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S-IV Sub, Inc.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Nasdaq Stock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NYSE</w:t>
      </w:r>
      <w:r>
        <w:rPr>
          <w:rFonts w:ascii="Arial" w:cs="Arial" w:eastAsia="Arial" w:hAnsi="Arial"/>
          <w:sz w:val="18"/>
          <w:szCs w:val="18"/>
          <w:color w:val="auto"/>
        </w:rPr>
        <w:t>” means the New York Stock Exchange LLC.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Amount</w:t>
      </w:r>
      <w:r>
        <w:rPr>
          <w:rFonts w:ascii="Arial" w:cs="Arial" w:eastAsia="Arial" w:hAnsi="Arial"/>
          <w:sz w:val="18"/>
          <w:szCs w:val="18"/>
          <w:color w:val="auto"/>
        </w:rPr>
        <w:t>” shall mean the quotient, rounded to the nearest one-tenth of a cent, obtained by dividing (a) the $2,000,000,000.00 by (b) the Aggregate Sema4 Share Amount.</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private placement pursuant to which the PIPE Investors have collectively subscribed for 35,000,000 shares of common stock at $10.00 per share, for an aggregate purchase price of $350,000,000.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certain institutional investors that will invest in the PIPE Investment.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35,000,000 shares of common stock to be issued in the PIPE Investment.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our Sponsor that were issued to our Sponsor in connection with our IPO, each of which is exercisable for three-quarters of one share of common stock, in accordance with its terms.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shares of common stock included in the units issued in our IPO.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stockholders</w:t>
      </w:r>
      <w:r>
        <w:rPr>
          <w:rFonts w:ascii="Arial" w:cs="Arial" w:eastAsia="Arial" w:hAnsi="Arial"/>
          <w:sz w:val="18"/>
          <w:szCs w:val="18"/>
          <w:color w:val="auto"/>
        </w:rPr>
        <w:t>” means holders of public shares, including our Initial Stockholders to the extent our Initial Stockholders hold public shares; provided, that our Initial Stockholders are considered a “public stockholder” only with respect to any public shares held by them.</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units</w:t>
      </w:r>
      <w:r>
        <w:rPr>
          <w:rFonts w:ascii="Arial" w:cs="Arial" w:eastAsia="Arial" w:hAnsi="Arial"/>
          <w:sz w:val="18"/>
          <w:szCs w:val="18"/>
          <w:color w:val="auto"/>
        </w:rPr>
        <w:t>” means the units sold in our IPO, consisting of one share of common stock and one public warrant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1" w:right="3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warrants</w:t>
      </w:r>
      <w:r>
        <w:rPr>
          <w:rFonts w:ascii="Arial" w:cs="Arial" w:eastAsia="Arial" w:hAnsi="Arial"/>
          <w:sz w:val="18"/>
          <w:szCs w:val="18"/>
          <w:color w:val="auto"/>
        </w:rPr>
        <w:t>” means the warrants included in the public units issued in our IPO, each of which is exercisable for three-quarters of one share of common stock, in accordance with its terms.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Agreements</w:t>
      </w:r>
      <w:r>
        <w:rPr>
          <w:rFonts w:ascii="Arial" w:cs="Arial" w:eastAsia="Arial" w:hAnsi="Arial"/>
          <w:sz w:val="17"/>
          <w:szCs w:val="17"/>
          <w:color w:val="auto"/>
        </w:rPr>
        <w:t>” means, collectively, the Amended and Restated Registration Rights Agreement, the Sponsor Support Agreement, the Forfeiture Agreement, the Stockholder Lock-up Letter, the ISMMS Lock-Up Agreement, the Inside Letter, and the Subscription Agreements.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RSUs</w:t>
      </w:r>
      <w:r>
        <w:rPr>
          <w:rFonts w:ascii="Arial" w:cs="Arial" w:eastAsia="Arial" w:hAnsi="Arial"/>
          <w:sz w:val="18"/>
          <w:szCs w:val="18"/>
          <w:color w:val="auto"/>
        </w:rPr>
        <w:t>” means restricted stock units granted under the Incentive Plan in accordance with the terms of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SAR Exchange Ratio</w:t>
      </w:r>
      <w:r>
        <w:rPr>
          <w:rFonts w:ascii="Arial" w:cs="Arial" w:eastAsia="Arial" w:hAnsi="Arial"/>
          <w:sz w:val="17"/>
          <w:szCs w:val="17"/>
          <w:color w:val="auto"/>
        </w:rPr>
        <w:t>” shall mean the quotient, rounded to the nearest one ten-thousandth, of (i) the Per Share Amount divided by (ii) $10.00.</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w:t>
      </w:r>
      <w:r>
        <w:rPr>
          <w:rFonts w:ascii="Arial" w:cs="Arial" w:eastAsia="Arial" w:hAnsi="Arial"/>
          <w:sz w:val="18"/>
          <w:szCs w:val="18"/>
          <w:color w:val="auto"/>
        </w:rPr>
        <w:t>” means Mount Sinai Genomics, Inc. d/b/a Sema4, a Delaware corporation.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capital stock</w:t>
      </w:r>
      <w:r>
        <w:rPr>
          <w:rFonts w:ascii="Arial" w:cs="Arial" w:eastAsia="Arial" w:hAnsi="Arial"/>
          <w:sz w:val="17"/>
          <w:szCs w:val="17"/>
          <w:color w:val="auto"/>
        </w:rPr>
        <w:t>” means Sema4 Class A common stock, par value $0.00001 per share, Class B common stock, par value $0.00001 per share, Series A-1 preferred stock, par value $0.00001 per share, series A-2 preferred stock, $0.00001 per share, series B preferred stock, $0.00001 per share, and series C preferred stock, $0.00001 per share in each case, that is issued and outstanding immediately prior to the Closing.</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organizational documents of Sema4).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equity holder</w:t>
      </w:r>
      <w:r>
        <w:rPr>
          <w:rFonts w:ascii="Arial" w:cs="Arial" w:eastAsia="Arial" w:hAnsi="Arial"/>
          <w:sz w:val="18"/>
          <w:szCs w:val="18"/>
          <w:color w:val="auto"/>
        </w:rPr>
        <w:t>” means each holder of Sema4 capital stock or a vested equity award.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Incentive Plan</w:t>
      </w:r>
      <w:r>
        <w:rPr>
          <w:rFonts w:ascii="Arial" w:cs="Arial" w:eastAsia="Arial" w:hAnsi="Arial"/>
          <w:sz w:val="18"/>
          <w:szCs w:val="18"/>
          <w:color w:val="auto"/>
        </w:rPr>
        <w:t>” means the Sema4 2017 Stock Incentive Plan, as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Sema4 Option</w:t>
      </w:r>
      <w:r>
        <w:rPr>
          <w:rFonts w:ascii="Arial" w:cs="Arial" w:eastAsia="Arial" w:hAnsi="Arial"/>
          <w:sz w:val="16"/>
          <w:szCs w:val="16"/>
          <w:color w:val="auto"/>
        </w:rPr>
        <w:t>” shall mean an option to purchase shares of Class A common stock or Class B common stock granted under the Sema4 Incentive Plan.</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Preferred Stock</w:t>
      </w:r>
      <w:r>
        <w:rPr>
          <w:rFonts w:ascii="Arial" w:cs="Arial" w:eastAsia="Arial" w:hAnsi="Arial"/>
          <w:sz w:val="18"/>
          <w:szCs w:val="18"/>
          <w:color w:val="auto"/>
        </w:rPr>
        <w:t>” means Sema4’s Series A-1 Preferred Stock, par value $0.00001; Series A-2 Preferred Stock, par value $0.00001; Series B Preferred Stock, par value $0.00001; and Series C Preferred Stock, par value $0.00001.</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Sema4 RSU</w:t>
      </w:r>
      <w:r>
        <w:rPr>
          <w:rFonts w:ascii="Arial" w:cs="Arial" w:eastAsia="Arial" w:hAnsi="Arial"/>
          <w:sz w:val="18"/>
          <w:szCs w:val="18"/>
          <w:color w:val="auto"/>
        </w:rPr>
        <w:t>” shall mean a restricted stock unit representing the opportunity to acquire shares of Class B common stock granted under the Sema4 Incentive Plan.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Sema4 SAR</w:t>
      </w:r>
      <w:r>
        <w:rPr>
          <w:rFonts w:ascii="Arial" w:cs="Arial" w:eastAsia="Arial" w:hAnsi="Arial"/>
          <w:sz w:val="17"/>
          <w:szCs w:val="17"/>
          <w:color w:val="auto"/>
        </w:rPr>
        <w:t>” shall mean a stock appreciation right with respect to shares of Sema4 Common Stock granted under the Sema4 Incentive Plan.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SOX</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Special Meeting</w:t>
      </w:r>
      <w:r>
        <w:rPr>
          <w:rFonts w:ascii="Arial" w:cs="Arial" w:eastAsia="Arial" w:hAnsi="Arial"/>
          <w:sz w:val="18"/>
          <w:szCs w:val="18"/>
          <w:color w:val="auto"/>
        </w:rPr>
        <w:t>” means the special meeting of the stockholders of the Company that is the subject of this proxy statement.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CMLS Holdings LLC, a Delaware limited liability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Consideration</w:t>
      </w:r>
      <w:r>
        <w:rPr>
          <w:rFonts w:ascii="Arial" w:cs="Arial" w:eastAsia="Arial" w:hAnsi="Arial"/>
          <w:sz w:val="18"/>
          <w:szCs w:val="18"/>
          <w:color w:val="auto"/>
        </w:rPr>
        <w:t>” means the common stock to be issued to the Sema4 equity holders pursuant to the transactions contemplated by the Merger Agreement, including any Earn-Out Shares issuable pursuant to Article III thereof.</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collectively, those certain subscription agreements entered into on February 9, 2021, between the Company and certain investors, including our Sponsor, pursuant to which such investors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1"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agreed to purchase an aggregate of 35,000,000 shares of common stock in the PIPE Investment, and substantially in the form attached hereto as Annex C.</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w:t>
      </w:r>
      <w:r>
        <w:rPr>
          <w:rFonts w:ascii="Arial" w:cs="Arial" w:eastAsia="Arial" w:hAnsi="Arial"/>
          <w:sz w:val="18"/>
          <w:szCs w:val="18"/>
          <w:color w:val="auto"/>
        </w:rPr>
        <w:t>” shall occur if, within the Earn-Out Period, the Common Share Price is greater than or equal to $13.00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w:t>
      </w:r>
      <w:r>
        <w:rPr>
          <w:rFonts w:ascii="Arial" w:cs="Arial" w:eastAsia="Arial" w:hAnsi="Arial"/>
          <w:sz w:val="18"/>
          <w:szCs w:val="18"/>
          <w:color w:val="auto"/>
        </w:rPr>
        <w:t>” shall occur if, within the Earn-Out Period, the Common Share Price is greater than or equal to $15.00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 III</w:t>
      </w:r>
      <w:r>
        <w:rPr>
          <w:rFonts w:ascii="Arial" w:cs="Arial" w:eastAsia="Arial" w:hAnsi="Arial"/>
          <w:sz w:val="18"/>
          <w:szCs w:val="18"/>
          <w:color w:val="auto"/>
        </w:rPr>
        <w:t>” shall occur if, within the Earn-Out Period, the Common Share Price is greater than or equal to $18.00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the Company that holds the proceeds from the Company’s IPO and a portion of the proceeds from the sale of the private placement warrants.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VWAP</w:t>
      </w:r>
      <w:r>
        <w:rPr>
          <w:rFonts w:ascii="Arial" w:cs="Arial" w:eastAsia="Arial" w:hAnsi="Arial"/>
          <w:sz w:val="16"/>
          <w:szCs w:val="16"/>
          <w:color w:val="auto"/>
        </w:rPr>
        <w:t>” means, for any security as of any date(s),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“HP” function (set to weighted average)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by OTC Markets Group Inc. If the VWAP cannot be calculated for such security on such date(s) on any of the foregoing bases, the VWAP of such security on such date(s) shall be the fair market value per share on such date(s) as reasonably determined by the Company.</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Withum</w:t>
      </w:r>
      <w:r>
        <w:rPr>
          <w:rFonts w:ascii="Arial" w:cs="Arial" w:eastAsia="Arial" w:hAnsi="Arial"/>
          <w:sz w:val="18"/>
          <w:szCs w:val="18"/>
          <w:color w:val="auto"/>
        </w:rPr>
        <w:t>” means WithumSmith+Brown, PC,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1" w:right="339" w:bottom="1440" w:gutter="0" w:footer="0" w:header="0"/>
        </w:sectPr>
      </w:pPr>
    </w:p>
    <w:bookmarkStart w:id="21" w:name="page22"/>
    <w:bookmarkEnd w:id="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PROPOSALS FOR STOCKHOLDERS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questions and answers below highlight only selected information from this document and only briefly address some commonly asked questions about the proposals to be presented at the Special Meeting, including with respect to the proposed Business Combination. The following questions and answers do not include all the information that is important to our stockholders. We urge stockholders to carefully read this entire proxy statement, including the Annexes and the other documents referred to herein, to fully understand the proposed Business Combination and the voting procedures for</w:t>
      </w:r>
    </w:p>
    <w:p>
      <w:pPr>
        <w:spacing w:after="0" w:line="1" w:lineRule="exact"/>
        <w:rPr>
          <w:sz w:val="20"/>
          <w:szCs w:val="20"/>
          <w:color w:val="auto"/>
        </w:rPr>
      </w:pPr>
    </w:p>
    <w:p>
      <w:pPr>
        <w:spacing w:after="0"/>
        <w:tabs>
          <w:tab w:leader="none" w:pos="4080" w:val="left"/>
          <w:tab w:leader="none" w:pos="5400" w:val="left"/>
        </w:tabs>
        <w:rPr>
          <w:sz w:val="20"/>
          <w:szCs w:val="20"/>
          <w:color w:val="auto"/>
        </w:rPr>
      </w:pPr>
      <w:r>
        <w:rPr>
          <w:rFonts w:ascii="Arial" w:cs="Arial" w:eastAsia="Arial" w:hAnsi="Arial"/>
          <w:sz w:val="18"/>
          <w:szCs w:val="18"/>
          <w:color w:val="auto"/>
        </w:rPr>
        <w:t>the Special Meeting, which will be held on [</w:t>
      </w:r>
      <w:r>
        <w:rPr>
          <w:sz w:val="20"/>
          <w:szCs w:val="20"/>
          <w:color w:val="auto"/>
        </w:rPr>
        <w:tab/>
      </w:r>
      <w:r>
        <w:rPr>
          <w:rFonts w:ascii="Arial" w:cs="Arial" w:eastAsia="Arial" w:hAnsi="Arial"/>
          <w:sz w:val="18"/>
          <w:szCs w:val="18"/>
          <w:color w:val="auto"/>
        </w:rPr>
        <w:t>] , 2021 at [</w:t>
      </w:r>
      <w:r>
        <w:rPr>
          <w:sz w:val="20"/>
          <w:szCs w:val="20"/>
          <w:color w:val="auto"/>
        </w:rPr>
        <w:tab/>
      </w:r>
      <w:r>
        <w:rPr>
          <w:rFonts w:ascii="Arial" w:cs="Arial" w:eastAsia="Arial" w:hAnsi="Arial"/>
          <w:sz w:val="16"/>
          <w:szCs w:val="16"/>
          <w:color w:val="auto"/>
        </w:rPr>
        <w:t>] Eastern time.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75" w:lineRule="exact"/>
        <w:rPr>
          <w:sz w:val="20"/>
          <w:szCs w:val="20"/>
          <w:color w:val="auto"/>
        </w:rPr>
      </w:pPr>
    </w:p>
    <w:p>
      <w:pPr>
        <w:jc w:val="both"/>
        <w:ind w:left="340" w:hanging="8"/>
        <w:spacing w:after="0" w:line="272" w:lineRule="auto"/>
        <w:tabs>
          <w:tab w:leader="none" w:pos="5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stockholders are being asked to consider and vote upon a proposal to adopt the Merger Agreement and approve the transactions contemplated thereby, including the Business Combination, among other proposals. We have entered into the Merger Agreement, pursuant to which the Company’s wholly owned subsidiary will merge with and into Sema4, with Sema4 surviving the merger as a wholly owned subsidiary of the Company. Subject to the terms of the Merger Agreement, at the effective time of the Business Combination, each share of Sema4 capital stock issued and outstanding immediately prior to the effective time of the Business Combination (other than shares owned by Sema4 as treasury stock or dissenting shares) will be cancelled and automatically deemed for all purposes to represent the right to receive a portion of the merger consideration set forth in the Merger Agreement. A copy of the Merger Agreement is attached to this proxy statement as Annex A.</w:t>
      </w:r>
    </w:p>
    <w:p>
      <w:pPr>
        <w:spacing w:after="0" w:line="12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This proxy statement and its Annexes contain important information about the proposed Business Combination and the other matters to be acted upon at the Special Meeting. You should read this proxy statement and its Annexes carefully and in their entirety.</w:t>
      </w:r>
    </w:p>
    <w:p>
      <w:pPr>
        <w:spacing w:after="0" w:line="116" w:lineRule="exact"/>
        <w:rPr>
          <w:sz w:val="20"/>
          <w:szCs w:val="20"/>
          <w:color w:val="auto"/>
        </w:rPr>
      </w:pPr>
    </w:p>
    <w:p>
      <w:pPr>
        <w:ind w:left="340" w:right="240"/>
        <w:spacing w:after="0" w:line="438" w:lineRule="auto"/>
        <w:rPr>
          <w:sz w:val="20"/>
          <w:szCs w:val="20"/>
          <w:color w:val="auto"/>
        </w:rPr>
      </w:pPr>
      <w:r>
        <w:rPr>
          <w:rFonts w:ascii="Arial" w:cs="Arial" w:eastAsia="Arial" w:hAnsi="Arial"/>
          <w:sz w:val="18"/>
          <w:szCs w:val="18"/>
          <w:u w:val="single" w:color="auto"/>
          <w:color w:val="auto"/>
        </w:rPr>
        <w:t xml:space="preserve">Your vote is important. You are encouraged to submit your proxy as soon as possible after carefully reviewing this proxy statement and its Annexes. </w:t>
      </w:r>
      <w:r>
        <w:rPr>
          <w:rFonts w:ascii="Arial" w:cs="Arial" w:eastAsia="Arial" w:hAnsi="Arial"/>
          <w:sz w:val="18"/>
          <w:szCs w:val="18"/>
          <w:b w:val="1"/>
          <w:bCs w:val="1"/>
          <w:color w:val="auto"/>
        </w:rPr>
        <w:t>Q: When is the Special Meeting?</w:t>
      </w:r>
    </w:p>
    <w:p>
      <w:pPr>
        <w:spacing w:after="0" w:line="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 xml:space="preserve">A: The Special Meeting will be held on [ ] , 2021 at [ ] Eastern time. In light of ongoing developments related to coronavirus (COVID-19),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xml:space="preserve"> and using a control number assigned by Continental Stock Transfer &amp; Trust Company. To register and receive access to the virtual meeting, registered stockholders and beneficial stockholders (those holding shares through a stock brokerage account or by a bank or other holder of record) will need to follow the instructions applicable to them provided in the proxy statement. Because the special meeting is completely virtual and being conducted via live webcast, stockholders will not be able to attend the meeting in person.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 How can I attend and vote at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left="340"/>
        <w:spacing w:after="0" w:line="324"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382" w:lineRule="exact"/>
        <w:rPr>
          <w:sz w:val="20"/>
          <w:szCs w:val="20"/>
          <w:color w:val="auto"/>
        </w:rPr>
      </w:pPr>
    </w:p>
    <w:p>
      <w:pPr>
        <w:sectPr>
          <w:pgSz w:w="11900" w:h="16838" w:orient="portrait"/>
          <w:cols w:equalWidth="0" w:num="2">
            <w:col w:w="7020" w:space="500"/>
            <w:col w:w="3720"/>
          </w:cols>
          <w:pgMar w:left="320" w:top="1440" w:right="339" w:bottom="1440" w:gutter="0" w:footer="0" w:header="0"/>
          <w:type w:val="continuous"/>
        </w:sectPr>
      </w:pPr>
    </w:p>
    <w:p>
      <w:pPr>
        <w:jc w:val="both"/>
        <w:ind w:left="660" w:hanging="328"/>
        <w:spacing w:after="0" w:line="279"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type w:val="continuous"/>
        </w:sectPr>
      </w:pPr>
    </w:p>
    <w:bookmarkStart w:id="22" w:name="page23"/>
    <w:bookmarkEnd w:id="22"/>
    <w:p>
      <w:pPr>
        <w:jc w:val="both"/>
        <w:ind w:left="328" w:hanging="328"/>
        <w:spacing w:after="0" w:line="272" w:lineRule="auto"/>
        <w:tabs>
          <w:tab w:leader="none" w:pos="32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specific proposals on which I am being asked to vote on at the Special Meeting?</w:t>
      </w:r>
    </w:p>
    <w:p>
      <w:pPr>
        <w:spacing w:after="0" w:line="175" w:lineRule="exact"/>
        <w:rPr>
          <w:sz w:val="20"/>
          <w:szCs w:val="20"/>
          <w:color w:val="auto"/>
        </w:rPr>
      </w:pPr>
    </w:p>
    <w:p>
      <w:pPr>
        <w:ind w:left="228" w:hanging="228"/>
        <w:spacing w:after="0"/>
        <w:tabs>
          <w:tab w:leader="none" w:pos="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are being asked to consider and vote on proposals to:</w:t>
      </w:r>
    </w:p>
    <w:p>
      <w:pPr>
        <w:spacing w:after="0" w:line="167" w:lineRule="exact"/>
        <w:rPr>
          <w:rFonts w:ascii="Arial" w:cs="Arial" w:eastAsia="Arial" w:hAnsi="Arial"/>
          <w:sz w:val="18"/>
          <w:szCs w:val="18"/>
          <w:color w:val="auto"/>
        </w:rPr>
      </w:pPr>
    </w:p>
    <w:p>
      <w:pPr>
        <w:jc w:val="both"/>
        <w:ind w:left="568" w:hanging="325"/>
        <w:spacing w:after="0" w:line="261"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Sema4 equity holders as merger consideration;</w:t>
      </w:r>
    </w:p>
    <w:p>
      <w:pPr>
        <w:spacing w:after="0" w:line="125" w:lineRule="exact"/>
        <w:rPr>
          <w:rFonts w:ascii="Arial" w:cs="Arial" w:eastAsia="Arial" w:hAnsi="Arial"/>
          <w:sz w:val="18"/>
          <w:szCs w:val="18"/>
          <w:color w:val="auto"/>
        </w:rPr>
      </w:pPr>
    </w:p>
    <w:p>
      <w:pPr>
        <w:jc w:val="both"/>
        <w:ind w:left="568" w:hanging="325"/>
        <w:spacing w:after="0" w:line="266"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2 — The Nasdaq Stock Issuance Proposal </w:t>
      </w:r>
      <w:r>
        <w:rPr>
          <w:rFonts w:ascii="Arial" w:cs="Arial" w:eastAsia="Arial" w:hAnsi="Arial"/>
          <w:sz w:val="18"/>
          <w:szCs w:val="18"/>
          <w:color w:val="auto"/>
        </w:rPr>
        <w:t>— To approve, for purposes of complying with applicable listing rules of Nasdaq,</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more than 20% of the Company’s outstanding common stock in connection with the Business Combination and the Subscription Agreements, including up to 35,000,000 shares of our common stock to the PIPE;</w:t>
      </w:r>
    </w:p>
    <w:p>
      <w:pPr>
        <w:spacing w:after="0" w:line="121"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3 — The Charter Approval Proposal</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Proposal No. 4 — Governance Proposal</w:t>
      </w:r>
      <w:r>
        <w:rPr>
          <w:rFonts w:ascii="Arial" w:cs="Arial" w:eastAsia="Arial" w:hAnsi="Arial"/>
          <w:sz w:val="18"/>
          <w:szCs w:val="18"/>
          <w:color w:val="auto"/>
        </w:rPr>
        <w:t>— To approve, on a non-binding advisory basis, a separate proposal with respect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568"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568" w:hanging="325"/>
        <w:spacing w:after="0"/>
        <w:tabs>
          <w:tab w:leader="none" w:pos="568"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Proposal No. 6 — ESPP Proposal </w:t>
      </w:r>
      <w:r>
        <w:rPr>
          <w:rFonts w:ascii="Arial" w:cs="Arial" w:eastAsia="Arial" w:hAnsi="Arial"/>
          <w:sz w:val="17"/>
          <w:szCs w:val="17"/>
          <w:color w:val="auto"/>
        </w:rPr>
        <w:t>— To approve the ESPP, including the authorization of the initial share reserve under the ESPP;</w:t>
      </w:r>
    </w:p>
    <w:p>
      <w:pPr>
        <w:spacing w:after="0" w:line="182" w:lineRule="exact"/>
        <w:rPr>
          <w:rFonts w:ascii="Arial" w:cs="Arial" w:eastAsia="Arial" w:hAnsi="Arial"/>
          <w:sz w:val="17"/>
          <w:szCs w:val="17"/>
          <w:color w:val="auto"/>
        </w:rPr>
      </w:pPr>
    </w:p>
    <w:p>
      <w:pPr>
        <w:ind w:left="568" w:hanging="325"/>
        <w:spacing w:after="0"/>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the Director Election Proposal; and</w:t>
      </w:r>
    </w:p>
    <w:p>
      <w:pPr>
        <w:spacing w:after="0" w:line="171" w:lineRule="exact"/>
        <w:rPr>
          <w:rFonts w:ascii="Arial" w:cs="Arial" w:eastAsia="Arial" w:hAnsi="Arial"/>
          <w:sz w:val="18"/>
          <w:szCs w:val="18"/>
          <w:color w:val="auto"/>
        </w:rPr>
      </w:pPr>
    </w:p>
    <w:p>
      <w:pPr>
        <w:jc w:val="both"/>
        <w:ind w:left="568" w:hanging="325"/>
        <w:spacing w:after="0" w:line="298" w:lineRule="auto"/>
        <w:tabs>
          <w:tab w:leader="none" w:pos="568" w:val="left"/>
        </w:tabs>
        <w:numPr>
          <w:ilvl w:val="1"/>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w:t>
      </w:r>
      <w:r>
        <w:rPr>
          <w:rFonts w:ascii="Arial" w:cs="Arial" w:eastAsia="Arial" w:hAnsi="Arial"/>
          <w:sz w:val="16"/>
          <w:szCs w:val="16"/>
          <w:b w:val="1"/>
          <w:bCs w:val="1"/>
          <w:color w:val="auto"/>
        </w:rPr>
        <w:t xml:space="preserve"> </w:t>
      </w:r>
      <w:r>
        <w:rPr>
          <w:rFonts w:ascii="Arial" w:cs="Arial" w:eastAsia="Arial" w:hAnsi="Arial"/>
          <w:sz w:val="16"/>
          <w:szCs w:val="16"/>
          <w:color w:val="auto"/>
        </w:rPr>
        <w:t>permit 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568" w:right="20" w:hanging="325"/>
        <w:spacing w:after="0" w:line="282" w:lineRule="auto"/>
        <w:tabs>
          <w:tab w:leader="none" w:pos="568"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Auditor Ratification Proposal — </w:t>
      </w:r>
      <w:r>
        <w:rPr>
          <w:rFonts w:ascii="Arial" w:cs="Arial" w:eastAsia="Arial" w:hAnsi="Arial"/>
          <w:sz w:val="18"/>
          <w:szCs w:val="18"/>
          <w:color w:val="auto"/>
        </w:rPr>
        <w:t>The ratification of Withum as the Company’s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ending December 31, 2020.</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Are the proposals conditioned on one another?</w:t>
      </w:r>
    </w:p>
    <w:p>
      <w:pPr>
        <w:spacing w:after="0" w:line="175" w:lineRule="exact"/>
        <w:rPr>
          <w:sz w:val="20"/>
          <w:szCs w:val="20"/>
          <w:color w:val="auto"/>
        </w:rPr>
      </w:pPr>
    </w:p>
    <w:p>
      <w:pPr>
        <w:ind w:left="8" w:hanging="8"/>
        <w:spacing w:after="0" w:line="277" w:lineRule="auto"/>
        <w:tabs>
          <w:tab w:leader="none" w:pos="2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Under the Business Combination Agreement, the approval of the condition precedent proposals presented at the Special Meeting is a condition to the consummation of the Business Combination. The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8"/>
          </w:cols>
          <w:pgMar w:left="652" w:top="1421" w:right="339" w:bottom="1440" w:gutter="0" w:footer="0" w:header="0"/>
        </w:sectPr>
      </w:pPr>
    </w:p>
    <w:bookmarkStart w:id="23" w:name="page24"/>
    <w:bookmarkEnd w:id="23"/>
    <w:p>
      <w:pPr>
        <w:jc w:val="both"/>
        <w:ind w:left="8"/>
        <w:spacing w:after="0" w:line="271" w:lineRule="auto"/>
        <w:rPr>
          <w:sz w:val="20"/>
          <w:szCs w:val="20"/>
          <w:color w:val="auto"/>
        </w:rPr>
      </w:pPr>
      <w:r>
        <w:rPr>
          <w:rFonts w:ascii="Arial" w:cs="Arial" w:eastAsia="Arial" w:hAnsi="Arial"/>
          <w:sz w:val="17"/>
          <w:szCs w:val="17"/>
          <w:color w:val="auto"/>
        </w:rPr>
        <w:t>of each condition precedent proposal in this proxy statement (other than the Governance Proposal, the Auditor Ratification Proposal and the Adjournment Proposal) is conditioned on the approval of all of the condition precedent proposals. The election of the directors to a one-year term in the Director Election Proposal is conditioned on the approval of the condition precedent proposals, including the Charter Approval Proposal. If our stockholders do not approve of each of the condition precedent proposals, the Business Combination may not be consummated. Therefore, approval of the Nasdaq Stock Issuance Proposal, the Charter Approval Proposal, the Incentive Plan Proposal and the ESPP Proposal are conditioned upon stockholders’ approval of the Business Combination Proposal. Moreover, the transactions contemplated by the Merger Agreement will be consummated only if the Business Combination Proposal, the Nasdaq Stock Issuance Proposal, the Charter Approval Proposal, the Incentive Plan Proposal and ESPP Proposal are approved at the Special Meeting.</w:t>
      </w:r>
    </w:p>
    <w:p>
      <w:pPr>
        <w:spacing w:after="0" w:line="124"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the public stockholders.</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providing stockholders with the opportunity to vote on the Business Combination?</w:t>
      </w:r>
    </w:p>
    <w:p>
      <w:pPr>
        <w:spacing w:after="0" w:line="175" w:lineRule="exact"/>
        <w:rPr>
          <w:sz w:val="20"/>
          <w:szCs w:val="20"/>
          <w:color w:val="auto"/>
        </w:rPr>
      </w:pPr>
    </w:p>
    <w:p>
      <w:pPr>
        <w:jc w:val="both"/>
        <w:ind w:left="8" w:hanging="8"/>
        <w:spacing w:after="0" w:line="272" w:lineRule="auto"/>
        <w:tabs>
          <w:tab w:leader="none" w:pos="2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Under our current certificate of incorporation, we must provide all holders of public shares with the opportunity to have their public shares redeemed upon the consummation of our initial business combination either in conjunction with a tender offer or in conjunction with a stockholder vote. For business and other reasons, we have elected to provide our stockholders with the opportunity to have their public shares redeemed in connection with a stockholder vote, rather than a tender offer. Therefore, we are seeking to obtain the approval of our stockholders of the Business Combination Proposal in order to allow our public stockholders to effectuate redemptions of their public shares in connection with the Closing. The adoption of the Merger Agreement is required under Delaware law and the approval of the Business Combination is required under our current certificate of incorporation. In addition, such approval is also a condition to the Closing under the Merger Agreement.</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in the Business Combination?</w:t>
      </w:r>
    </w:p>
    <w:p>
      <w:pPr>
        <w:spacing w:after="0" w:line="175" w:lineRule="exact"/>
        <w:rPr>
          <w:sz w:val="20"/>
          <w:szCs w:val="20"/>
          <w:color w:val="auto"/>
        </w:rPr>
      </w:pPr>
    </w:p>
    <w:p>
      <w:pPr>
        <w:ind w:left="8" w:right="20" w:hanging="8"/>
        <w:spacing w:after="0" w:line="308"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Pursuant to the Merger Agreement, Sema4 will become a wholly-owned subsidiary of the Company as a result of the Company’s wholly owned subsidiary, Merger Sub merger with and into Sema4, with Sema4 surviving the merger as a wholly owned subsidiary of the Company.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Following the Business Combination, will the Company’s securities continue to trade on a stock exchange?</w:t>
      </w:r>
    </w:p>
    <w:p>
      <w:pPr>
        <w:spacing w:after="0" w:line="175" w:lineRule="exact"/>
        <w:rPr>
          <w:sz w:val="20"/>
          <w:szCs w:val="20"/>
          <w:color w:val="auto"/>
        </w:rPr>
      </w:pPr>
    </w:p>
    <w:p>
      <w:pPr>
        <w:jc w:val="both"/>
        <w:ind w:left="8" w:right="20" w:hanging="8"/>
        <w:spacing w:after="0" w:line="263" w:lineRule="auto"/>
        <w:tabs>
          <w:tab w:leader="none" w:pos="2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We intend to apply to list the post-combination company’s common stock and warrants on Nasdaq under the symbol “SMFR” and “SMFRW,” respectively, upon the Closing. Our units will automatically separate into the component securities upon consummation of the Business Combination and, as a result, will no longer trade as a separate security.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has the announcement of the Business Combination affected the trading price of the Company’s common stock?</w:t>
      </w:r>
    </w:p>
    <w:p>
      <w:pPr>
        <w:spacing w:after="0" w:line="175" w:lineRule="exact"/>
        <w:rPr>
          <w:sz w:val="20"/>
          <w:szCs w:val="20"/>
          <w:color w:val="auto"/>
        </w:rPr>
      </w:pPr>
    </w:p>
    <w:p>
      <w:pPr>
        <w:jc w:val="both"/>
        <w:ind w:left="8" w:hanging="8"/>
        <w:spacing w:after="0" w:line="263"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June 25, 2021, the trading date immediately prior to the date of this proxy statement, the Company’s units, common stock and warrants closed at $14.25, $12.66 and $4.48,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8"/>
          </w:cols>
          <w:pgMar w:left="652" w:top="1421" w:right="339" w:bottom="1440" w:gutter="0" w:footer="0" w:header="0"/>
        </w:sectPr>
      </w:pPr>
    </w:p>
    <w:bookmarkStart w:id="24" w:name="page25"/>
    <w:bookmarkEnd w:id="24"/>
    <w:p>
      <w:pPr>
        <w:ind w:left="8"/>
        <w:spacing w:after="0"/>
        <w:rPr>
          <w:sz w:val="20"/>
          <w:szCs w:val="20"/>
          <w:color w:val="auto"/>
        </w:rPr>
      </w:pPr>
      <w:r>
        <w:rPr>
          <w:rFonts w:ascii="Arial" w:cs="Arial" w:eastAsia="Arial" w:hAnsi="Arial"/>
          <w:sz w:val="18"/>
          <w:szCs w:val="18"/>
          <w:b w:val="1"/>
          <w:bCs w:val="1"/>
          <w:color w:val="auto"/>
        </w:rPr>
        <w:t>Q: How will the Business Combination impact the shares of the Company outstanding after the Business Combination?</w:t>
      </w:r>
    </w:p>
    <w:p>
      <w:pPr>
        <w:spacing w:after="0" w:line="175" w:lineRule="exact"/>
        <w:rPr>
          <w:sz w:val="20"/>
          <w:szCs w:val="20"/>
          <w:color w:val="auto"/>
        </w:rPr>
      </w:pPr>
    </w:p>
    <w:p>
      <w:pPr>
        <w:jc w:val="both"/>
        <w:ind w:left="8" w:hanging="8"/>
        <w:spacing w:after="0" w:line="293"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After the Business Combination and the consummation of the transactions contemplated thereby, including the PIPE Investment, the amount of common stock issued and outstanding will increase to approximately 238,266,485 shares of common stock (excluding warrants and assuming that no shares of common stock are redeemed). Additional shares of common stock may be issuable in the future as a result of the issuance of additional shares that are not currently outstanding, including the issuance of shares of common stock upon exercise or settlement of the public warrants, private placement warrants, options and RSUs issued in connection with the Business Combination after the Business Combination. The issuance and sale of such shares in the public market could adversely impact the market price of our common stock, even if our business is doing well.</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 Business Combination the first step in a “going private” transaction?</w:t>
      </w:r>
    </w:p>
    <w:p>
      <w:pPr>
        <w:spacing w:after="0" w:line="175" w:lineRule="exact"/>
        <w:rPr>
          <w:sz w:val="20"/>
          <w:szCs w:val="20"/>
          <w:color w:val="auto"/>
        </w:rPr>
      </w:pPr>
    </w:p>
    <w:p>
      <w:pPr>
        <w:ind w:left="8" w:hanging="8"/>
        <w:spacing w:after="0" w:line="277" w:lineRule="auto"/>
        <w:tabs>
          <w:tab w:leader="none" w:pos="2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The Company does not intend for the Business Combination to be the first step in a “going private” transaction. One of the primary purposes of the Business Combination is to provide a platform for Sema4 to access the U.S. public markets.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Will the management of Sema4 change in the Business Combination?</w:t>
      </w:r>
    </w:p>
    <w:p>
      <w:pPr>
        <w:spacing w:after="0" w:line="175" w:lineRule="exact"/>
        <w:rPr>
          <w:sz w:val="20"/>
          <w:szCs w:val="20"/>
          <w:color w:val="auto"/>
        </w:rPr>
      </w:pPr>
    </w:p>
    <w:p>
      <w:pPr>
        <w:jc w:val="both"/>
        <w:ind w:left="8" w:hanging="8"/>
        <w:spacing w:after="0" w:line="275" w:lineRule="auto"/>
        <w:tabs>
          <w:tab w:leader="none" w:pos="233"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anticipate that all of the executive officers of Sema4 will remain with the post-combination company. The current directors of the Company will resign at the time of the Business Combination, other than Nat Turner, Emily Leproust and Eli Casdin, who have been nominated by the CMLS to serve as directors of the post-combination company upon completion of the Business Combination. The remaining director nominees will be designated by the Company in accordance with the terms of the Merger Agreement. Please see the sections entitled “</w:t>
      </w:r>
      <w:r>
        <w:rPr>
          <w:rFonts w:ascii="Arial" w:cs="Arial" w:eastAsia="Arial" w:hAnsi="Arial"/>
          <w:sz w:val="17"/>
          <w:szCs w:val="17"/>
          <w:i w:val="1"/>
          <w:iCs w:val="1"/>
          <w:color w:val="auto"/>
        </w:rPr>
        <w:t>Management After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w:t>
      </w:r>
      <w:r>
        <w:rPr>
          <w:rFonts w:ascii="Arial" w:cs="Arial" w:eastAsia="Arial" w:hAnsi="Arial"/>
          <w:sz w:val="17"/>
          <w:szCs w:val="17"/>
          <w:color w:val="auto"/>
        </w:rPr>
        <w:t>” and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 for additional information.</w:t>
      </w:r>
    </w:p>
    <w:p>
      <w:pPr>
        <w:spacing w:after="0" w:line="118" w:lineRule="exact"/>
        <w:rPr>
          <w:sz w:val="20"/>
          <w:szCs w:val="20"/>
          <w:color w:val="auto"/>
        </w:rPr>
      </w:pPr>
    </w:p>
    <w:p>
      <w:pPr>
        <w:ind w:left="8" w:hanging="8"/>
        <w:spacing w:after="0" w:line="282" w:lineRule="auto"/>
        <w:tabs>
          <w:tab w:leader="none" w:pos="26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the Company, PIPE Investors and the Sema4 equity holders hold in the post-combination company after the Closing?</w:t>
      </w:r>
    </w:p>
    <w:p>
      <w:pPr>
        <w:spacing w:after="0" w:line="112" w:lineRule="exact"/>
        <w:rPr>
          <w:sz w:val="20"/>
          <w:szCs w:val="20"/>
          <w:color w:val="auto"/>
        </w:rPr>
      </w:pPr>
    </w:p>
    <w:p>
      <w:pPr>
        <w:jc w:val="both"/>
        <w:ind w:left="8" w:hanging="8"/>
        <w:spacing w:after="0" w:line="270" w:lineRule="auto"/>
        <w:tabs>
          <w:tab w:leader="none" w:pos="244"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 — Description of the Transaction.</w:t>
      </w:r>
      <w:r>
        <w:rPr>
          <w:rFonts w:ascii="Arial" w:cs="Arial" w:eastAsia="Arial" w:hAnsi="Arial"/>
          <w:sz w:val="17"/>
          <w:szCs w:val="17"/>
          <w:color w:val="auto"/>
        </w:rPr>
        <w:t>”</w:t>
      </w:r>
    </w:p>
    <w:p>
      <w:pPr>
        <w:spacing w:after="0" w:line="127" w:lineRule="exact"/>
        <w:rPr>
          <w:sz w:val="20"/>
          <w:szCs w:val="20"/>
          <w:color w:val="auto"/>
        </w:rPr>
      </w:pPr>
    </w:p>
    <w:p>
      <w:pPr>
        <w:jc w:val="both"/>
        <w:ind w:left="8"/>
        <w:spacing w:after="0" w:line="291" w:lineRule="auto"/>
        <w:rPr>
          <w:sz w:val="20"/>
          <w:szCs w:val="20"/>
          <w:color w:val="auto"/>
        </w:rPr>
      </w:pPr>
      <w:r>
        <w:rPr>
          <w:rFonts w:ascii="Arial" w:cs="Arial" w:eastAsia="Arial" w:hAnsi="Arial"/>
          <w:sz w:val="16"/>
          <w:szCs w:val="16"/>
          <w:color w:val="auto"/>
        </w:rPr>
        <w:t>The ownership percentage with respect to the post-combination company following the Business Combination does not take into account (i) warrants to purchase common stock that will remain outstanding immediately following the Business Combination, (ii) the issuance of any shares upon completion of the Business Combination under the Incentive Plan or the ESPP, copies of which are attached to this proxy statement as Annex D and Annex E, respectively and (iii) the issuance of Earn-Out Shares.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6"/>
          <w:szCs w:val="16"/>
          <w:i w:val="1"/>
          <w:iCs w:val="1"/>
          <w:color w:val="auto"/>
        </w:rPr>
        <w:t>Summary of the Proxy Statement — Impact of the Business Combination on the Company’s Public Float</w:t>
      </w:r>
      <w:r>
        <w:rPr>
          <w:rFonts w:ascii="Arial" w:cs="Arial" w:eastAsia="Arial" w:hAnsi="Arial"/>
          <w:sz w:val="16"/>
          <w:szCs w:val="16"/>
          <w:color w:val="auto"/>
        </w:rPr>
        <w:t>,” “</w:t>
      </w:r>
      <w:r>
        <w:rPr>
          <w:rFonts w:ascii="Arial" w:cs="Arial" w:eastAsia="Arial" w:hAnsi="Arial"/>
          <w:sz w:val="16"/>
          <w:szCs w:val="16"/>
          <w:i w:val="1"/>
          <w:iCs w:val="1"/>
          <w:color w:val="auto"/>
        </w:rPr>
        <w:t>Unaudited Pro Forma 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Combined Financial Information</w:t>
      </w:r>
      <w:r>
        <w:rPr>
          <w:rFonts w:ascii="Arial" w:cs="Arial" w:eastAsia="Arial" w:hAnsi="Arial"/>
          <w:sz w:val="16"/>
          <w:szCs w:val="16"/>
          <w:color w:val="auto"/>
        </w:rPr>
        <w:t>,” “</w:t>
      </w:r>
      <w:r>
        <w:rPr>
          <w:rFonts w:ascii="Arial" w:cs="Arial" w:eastAsia="Arial" w:hAnsi="Arial"/>
          <w:sz w:val="16"/>
          <w:szCs w:val="16"/>
          <w:i w:val="1"/>
          <w:iCs w:val="1"/>
          <w:color w:val="auto"/>
        </w:rPr>
        <w:t>Proposal No. 5 — Approval of the Incentive Plan” and “Proposal No. 6 — Approval of the ESPP</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8"/>
          </w:cols>
          <w:pgMar w:left="652" w:top="1417" w:right="339" w:bottom="1440" w:gutter="0" w:footer="0" w:header="0"/>
        </w:sectPr>
      </w:pPr>
    </w:p>
    <w:bookmarkStart w:id="25" w:name="page26"/>
    <w:bookmarkEnd w:id="25"/>
    <w:p>
      <w:pPr>
        <w:ind w:left="8"/>
        <w:spacing w:after="0"/>
        <w:rPr>
          <w:sz w:val="20"/>
          <w:szCs w:val="20"/>
          <w:color w:val="auto"/>
        </w:rPr>
      </w:pPr>
      <w:r>
        <w:rPr>
          <w:rFonts w:ascii="Arial" w:cs="Arial" w:eastAsia="Arial" w:hAnsi="Arial"/>
          <w:sz w:val="18"/>
          <w:szCs w:val="18"/>
          <w:b w:val="1"/>
          <w:bCs w:val="1"/>
          <w:color w:val="auto"/>
        </w:rPr>
        <w:t>Q: Will the Company obtain new financing in connection with the Business Combination?</w:t>
      </w:r>
    </w:p>
    <w:p>
      <w:pPr>
        <w:spacing w:after="0" w:line="175" w:lineRule="exact"/>
        <w:rPr>
          <w:sz w:val="20"/>
          <w:szCs w:val="20"/>
          <w:color w:val="auto"/>
        </w:rPr>
      </w:pPr>
    </w:p>
    <w:p>
      <w:pPr>
        <w:jc w:val="both"/>
        <w:ind w:left="8" w:hanging="8"/>
        <w:spacing w:after="0" w:line="301" w:lineRule="auto"/>
        <w:tabs>
          <w:tab w:leader="none" w:pos="2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Yes. The PIPE Investors have agreed to purchase 35,000,000 shares of common stock in the aggregate, for $350,000,000 of gross proceeds, pursuant to the Subscription Agreements. The Subscription Agreements are contingent upon, among other things, stockholder approval of the Business Combination Proposal and the Closing. See “</w:t>
      </w:r>
      <w:r>
        <w:rPr>
          <w:rFonts w:ascii="Arial" w:cs="Arial" w:eastAsia="Arial" w:hAnsi="Arial"/>
          <w:sz w:val="16"/>
          <w:szCs w:val="16"/>
          <w:i w:val="1"/>
          <w:iCs w:val="1"/>
          <w:color w:val="auto"/>
        </w:rPr>
        <w:t>Proposal No. 1 — Approval of the Business Combination — Related Agreements — Subscription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Company does not currently anticipate obtaining any new debt financing to fund the Business Combination.</w:t>
      </w:r>
    </w:p>
    <w:p>
      <w:pPr>
        <w:spacing w:after="0" w:line="9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conditions must be satisfied to complete the Business Combination?</w:t>
      </w:r>
    </w:p>
    <w:p>
      <w:pPr>
        <w:spacing w:after="0" w:line="175" w:lineRule="exact"/>
        <w:rPr>
          <w:sz w:val="20"/>
          <w:szCs w:val="20"/>
          <w:color w:val="auto"/>
        </w:rPr>
      </w:pPr>
    </w:p>
    <w:p>
      <w:pPr>
        <w:jc w:val="both"/>
        <w:ind w:left="8" w:hanging="8"/>
        <w:spacing w:after="0" w:line="259" w:lineRule="auto"/>
        <w:tabs>
          <w:tab w:leader="none" w:pos="2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a number of closing conditions in the Merger Agreement, including the approval by the stockholders of the Company of the Business Combination Proposal, the Nasdaq Stock Issuance Proposal, the Charter Approval Proposal, the Incentive Plan Proposal and the ESPP Proposal.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No. 1 — Approval of the Business Combination — The Merger Agreement</w:t>
      </w:r>
      <w:r>
        <w:rPr>
          <w:rFonts w:ascii="Arial" w:cs="Arial" w:eastAsia="Arial" w:hAnsi="Arial"/>
          <w:sz w:val="18"/>
          <w:szCs w:val="18"/>
          <w:color w:val="auto"/>
        </w:rPr>
        <w:t>.”</w:t>
      </w:r>
    </w:p>
    <w:p>
      <w:pPr>
        <w:spacing w:after="0" w:line="129" w:lineRule="exact"/>
        <w:rPr>
          <w:sz w:val="20"/>
          <w:szCs w:val="20"/>
          <w:color w:val="auto"/>
        </w:rPr>
      </w:pPr>
    </w:p>
    <w:p>
      <w:pPr>
        <w:ind w:left="8" w:right="20" w:hanging="8"/>
        <w:spacing w:after="0" w:line="282" w:lineRule="auto"/>
        <w:tabs>
          <w:tab w:leader="none" w:pos="2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arrangements to help ensure that the Company will have sufficient funds, together with the proceeds in its Trust Account and from the PIPE Investment, to fund the aggregate purchase price?</w:t>
      </w:r>
    </w:p>
    <w:p>
      <w:pPr>
        <w:spacing w:after="0" w:line="112" w:lineRule="exact"/>
        <w:rPr>
          <w:sz w:val="20"/>
          <w:szCs w:val="20"/>
          <w:color w:val="auto"/>
        </w:rPr>
      </w:pPr>
    </w:p>
    <w:p>
      <w:pPr>
        <w:jc w:val="both"/>
        <w:ind w:left="8" w:hanging="8"/>
        <w:spacing w:after="0" w:line="273" w:lineRule="auto"/>
        <w:tabs>
          <w:tab w:leader="none" w:pos="2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waived by Sema4, the Merger Agreement provides that Sema4’s obligation to consummate the Business Combination is conditioned on the funds in the Trust Account, together with the funding of any amounts payable under the Subscription Agreements, being equal to no less than an aggregate amount of $300,000,000 after payment of redemptions and Company and Sema4 transaction expenses. The PIPE Investors have agreed to purchase approximately 35,000,000 shares of common stock at $10.00 per share for gross proceeds to the Company of approximately $350,000,000 pursuant to Subscription Agreements entered into at the signing of the Merger Agreement. The PIPE Investment is contingent upon, among other things, stockholder approval of the Business Combination Proposal and the Closing.</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Company will use the proceeds of the PIPE Investment, together with the funds in the Trust Account,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Nasdaq Stock Issuance Proposal?</w:t>
      </w:r>
    </w:p>
    <w:p>
      <w:pPr>
        <w:spacing w:after="0" w:line="175" w:lineRule="exact"/>
        <w:rPr>
          <w:sz w:val="20"/>
          <w:szCs w:val="20"/>
          <w:color w:val="auto"/>
        </w:rPr>
      </w:pPr>
    </w:p>
    <w:p>
      <w:pPr>
        <w:jc w:val="both"/>
        <w:ind w:left="8" w:hanging="8"/>
        <w:spacing w:after="0" w:line="263" w:lineRule="auto"/>
        <w:tabs>
          <w:tab w:leader="none" w:pos="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proposing the Nasdaq Stock Issuance Proposal in order to comply with Nasdaq Listing Rule s 5635(a) and (d), which require stockholder approval of certain transactions that result in the issuance of 20% or more of the outstanding voting power or shares of common stock outstanding before the issuance of stock or securities.</w:t>
      </w:r>
    </w:p>
    <w:p>
      <w:pPr>
        <w:spacing w:after="0" w:line="130"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In connection with the Business Combination, we expect to issue (i) up to 147,922,735 shares of common stock in the Business Combination, and (ii) approximately 35,000,000 shares of common stock in the PIPE Investment. Because we may issue 20% or more of our outstanding common stock when considering together the Stock Consideration and the PIPE Investment, we are required to obtain stockholder approval of such issuance pursuant to Nasdaq Listing Rule s 5635(a) and (d). For more information, please see the section entitled “</w:t>
      </w:r>
      <w:r>
        <w:rPr>
          <w:rFonts w:ascii="Arial" w:cs="Arial" w:eastAsia="Arial" w:hAnsi="Arial"/>
          <w:sz w:val="18"/>
          <w:szCs w:val="18"/>
          <w:i w:val="1"/>
          <w:iCs w:val="1"/>
          <w:color w:val="auto"/>
        </w:rPr>
        <w:t>Proposal No. 2 — The Nasdaq Stock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Charter Approval Proposal?</w:t>
      </w:r>
    </w:p>
    <w:p>
      <w:pPr>
        <w:spacing w:after="0" w:line="175" w:lineRule="exact"/>
        <w:rPr>
          <w:sz w:val="20"/>
          <w:szCs w:val="20"/>
          <w:color w:val="auto"/>
        </w:rPr>
      </w:pPr>
    </w:p>
    <w:p>
      <w:pPr>
        <w:jc w:val="both"/>
        <w:ind w:left="8" w:hanging="8"/>
        <w:spacing w:after="0" w:line="311" w:lineRule="auto"/>
        <w:tabs>
          <w:tab w:leader="none" w:pos="23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Amended and Restated Certificate of Incorporation that we are asking our stockholders to adopt in connection with the Business Combination (the “</w:t>
      </w:r>
      <w:r>
        <w:rPr>
          <w:rFonts w:ascii="Arial" w:cs="Arial" w:eastAsia="Arial" w:hAnsi="Arial"/>
          <w:sz w:val="16"/>
          <w:szCs w:val="16"/>
          <w:i w:val="1"/>
          <w:iCs w:val="1"/>
          <w:color w:val="auto"/>
        </w:rPr>
        <w:t>Charter Approval Proposal</w:t>
      </w:r>
      <w:r>
        <w:rPr>
          <w:rFonts w:ascii="Arial" w:cs="Arial" w:eastAsia="Arial" w:hAnsi="Arial"/>
          <w:sz w:val="16"/>
          <w:szCs w:val="16"/>
          <w:color w:val="auto"/>
        </w:rPr>
        <w:t>” or “</w:t>
      </w:r>
      <w:r>
        <w:rPr>
          <w:rFonts w:ascii="Arial" w:cs="Arial" w:eastAsia="Arial" w:hAnsi="Arial"/>
          <w:sz w:val="16"/>
          <w:szCs w:val="16"/>
          <w:i w:val="1"/>
          <w:iCs w:val="1"/>
          <w:color w:val="auto"/>
        </w:rPr>
        <w:t>Proposal No. 3</w:t>
      </w:r>
      <w:r>
        <w:rPr>
          <w:rFonts w:ascii="Arial" w:cs="Arial" w:eastAsia="Arial" w:hAnsi="Arial"/>
          <w:sz w:val="16"/>
          <w:szCs w:val="16"/>
          <w:color w:val="auto"/>
        </w:rPr>
        <w:t>”) provides for certain amendments to our existing certificate of incorporation. Pursuant to Delaware law and the Merger Agreement, we are required to submit the Charter Approval Proposal to the Company’s stockholders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8"/>
          </w:cols>
          <w:pgMar w:left="652" w:top="1417" w:right="339" w:bottom="1440" w:gutter="0" w:footer="0" w:header="0"/>
        </w:sectPr>
      </w:pPr>
    </w:p>
    <w:bookmarkStart w:id="26" w:name="page27"/>
    <w:bookmarkEnd w:id="26"/>
    <w:p>
      <w:pPr>
        <w:ind w:left="8" w:right="2240"/>
        <w:spacing w:after="0" w:line="438" w:lineRule="auto"/>
        <w:rPr>
          <w:sz w:val="20"/>
          <w:szCs w:val="20"/>
          <w:color w:val="auto"/>
        </w:rPr>
      </w:pPr>
      <w:r>
        <w:rPr>
          <w:rFonts w:ascii="Arial" w:cs="Arial" w:eastAsia="Arial" w:hAnsi="Arial"/>
          <w:sz w:val="18"/>
          <w:szCs w:val="18"/>
          <w:color w:val="auto"/>
        </w:rPr>
        <w:t>adoption. For additional information 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Q: Why is the Company proposing the Governance Proposal?</w:t>
      </w:r>
    </w:p>
    <w:p>
      <w:pPr>
        <w:spacing w:after="0" w:line="1" w:lineRule="exact"/>
        <w:rPr>
          <w:sz w:val="20"/>
          <w:szCs w:val="20"/>
          <w:color w:val="auto"/>
        </w:rPr>
      </w:pPr>
    </w:p>
    <w:p>
      <w:pPr>
        <w:jc w:val="both"/>
        <w:ind w:left="8" w:hanging="8"/>
        <w:spacing w:after="0" w:line="291" w:lineRule="auto"/>
        <w:tabs>
          <w:tab w:leader="none" w:pos="23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required by applicable SEC guidance, the Company is requesting that its stockholders vote upon, on a non-binding advisory basis, a proposal to approve certain governance provisions contained in the Amended and Restated Certificate of Incorporation that materially affect stockholder rights. This separate vote is not otherwise required by Delaware law separate and apart from the Charter Approval Proposal (Proposal No. 3), but pursuant to SEC guidance, the Company is required to submit these provisions to its stockholders separately for approval. However, the stockholder vote regarding this proposal is an advisory vote, and is not binding on the Company or its board of directors. Furthermore, the Business Combination is not conditioned on the separate approval of the Governance Proposal. For additional information, please see the section entitled “</w:t>
      </w:r>
      <w:r>
        <w:rPr>
          <w:rFonts w:ascii="Arial" w:cs="Arial" w:eastAsia="Arial" w:hAnsi="Arial"/>
          <w:sz w:val="16"/>
          <w:szCs w:val="16"/>
          <w:i w:val="1"/>
          <w:iCs w:val="1"/>
          <w:color w:val="auto"/>
        </w:rPr>
        <w:t>Proposal No. 4 —</w:t>
      </w:r>
      <w:r>
        <w:rPr>
          <w:rFonts w:ascii="Arial" w:cs="Arial" w:eastAsia="Arial" w:hAnsi="Arial"/>
          <w:sz w:val="16"/>
          <w:szCs w:val="16"/>
          <w:color w:val="auto"/>
        </w:rPr>
        <w:t xml:space="preserve"> </w:t>
      </w:r>
      <w:r>
        <w:rPr>
          <w:rFonts w:ascii="Arial" w:cs="Arial" w:eastAsia="Arial" w:hAnsi="Arial"/>
          <w:sz w:val="16"/>
          <w:szCs w:val="16"/>
          <w:i w:val="1"/>
          <w:iCs w:val="1"/>
          <w:color w:val="auto"/>
        </w:rPr>
        <w:t>Approval of Certain Governance Provisions in the Amended and Restated Certificate of Incorporation</w:t>
      </w:r>
      <w:r>
        <w:rPr>
          <w:rFonts w:ascii="Arial" w:cs="Arial" w:eastAsia="Arial" w:hAnsi="Arial"/>
          <w:sz w:val="16"/>
          <w:szCs w:val="16"/>
          <w:color w:val="auto"/>
        </w:rPr>
        <w:t>.”</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Incentive Plan Proposal?</w:t>
      </w:r>
    </w:p>
    <w:p>
      <w:pPr>
        <w:spacing w:after="0" w:line="175" w:lineRule="exact"/>
        <w:rPr>
          <w:sz w:val="20"/>
          <w:szCs w:val="20"/>
          <w:color w:val="auto"/>
        </w:rPr>
      </w:pPr>
    </w:p>
    <w:p>
      <w:pPr>
        <w:jc w:val="both"/>
        <w:ind w:left="8" w:hanging="8"/>
        <w:spacing w:after="0" w:line="263" w:lineRule="auto"/>
        <w:tabs>
          <w:tab w:leader="none" w:pos="2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purpose of the Incentive Plan Proposal is to further align the interests of the eligible participants with those of stockholders by providing long-term incentive compensation opportunities tied to the performance of the Company. Please see the section entitled “</w:t>
      </w:r>
      <w:r>
        <w:rPr>
          <w:rFonts w:ascii="Arial" w:cs="Arial" w:eastAsia="Arial" w:hAnsi="Arial"/>
          <w:sz w:val="18"/>
          <w:szCs w:val="18"/>
          <w:i w:val="1"/>
          <w:iCs w:val="1"/>
          <w:color w:val="auto"/>
        </w:rPr>
        <w:t>Proposal No. 5 — Approval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w:t>
      </w:r>
      <w:r>
        <w:rPr>
          <w:rFonts w:ascii="Arial" w:cs="Arial" w:eastAsia="Arial" w:hAnsi="Arial"/>
          <w:sz w:val="18"/>
          <w:szCs w:val="18"/>
          <w:color w:val="auto"/>
        </w:rPr>
        <w:t>” for additional information.</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ESPP Proposal?</w:t>
      </w:r>
    </w:p>
    <w:p>
      <w:pPr>
        <w:spacing w:after="0" w:line="175" w:lineRule="exact"/>
        <w:rPr>
          <w:sz w:val="20"/>
          <w:szCs w:val="20"/>
          <w:color w:val="auto"/>
        </w:rPr>
      </w:pPr>
    </w:p>
    <w:p>
      <w:pPr>
        <w:jc w:val="both"/>
        <w:ind w:left="8" w:hanging="8"/>
        <w:spacing w:after="0" w:line="296"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ESPP, please see the section entitled “</w:t>
      </w:r>
      <w:r>
        <w:rPr>
          <w:rFonts w:ascii="Arial" w:cs="Arial" w:eastAsia="Arial" w:hAnsi="Arial"/>
          <w:sz w:val="16"/>
          <w:szCs w:val="16"/>
          <w:i w:val="1"/>
          <w:iCs w:val="1"/>
          <w:color w:val="auto"/>
        </w:rPr>
        <w:t>Proposal No. 6 — Approval of the ESPP</w:t>
      </w:r>
      <w:r>
        <w:rPr>
          <w:rFonts w:ascii="Arial" w:cs="Arial" w:eastAsia="Arial" w:hAnsi="Arial"/>
          <w:sz w:val="16"/>
          <w:szCs w:val="16"/>
          <w:color w:val="auto"/>
        </w:rPr>
        <w:t>”.</w:t>
      </w:r>
    </w:p>
    <w:p>
      <w:pPr>
        <w:spacing w:after="0" w:line="10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Director Election Proposal?</w:t>
      </w:r>
    </w:p>
    <w:p>
      <w:pPr>
        <w:spacing w:after="0" w:line="175" w:lineRule="exact"/>
        <w:rPr>
          <w:sz w:val="20"/>
          <w:szCs w:val="20"/>
          <w:color w:val="auto"/>
        </w:rPr>
      </w:pPr>
    </w:p>
    <w:p>
      <w:pPr>
        <w:jc w:val="both"/>
        <w:ind w:left="8" w:hanging="8"/>
        <w:spacing w:after="0" w:line="271" w:lineRule="auto"/>
        <w:tabs>
          <w:tab w:leader="none" w:pos="2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Assuming the condition precedent proposals, including the Charter Approval Proposal, are approved, upon the Closing, our stockholders are being asked to elect nine directors to serve on the post-combination company’s board of directors each for a three-year term or until such director’s successor has been duly elected and qualified, or until such director’s earlier death, resignation, retirement or removal; alternatively, in the event the condition precedent proposals, including the Charter Approval Proposal, are not approved, to elect two directors to serve as Class I directors on the Company’s Board, each for a term of three years expiring at the annual meeting of stockholders to be held in 2024 or until such director’s successor has been duly elected and qualified, or until such director’s earlier death, resignation, retirement or removal. The Company believes it is in the best interests of stockholders to allow stockholders to vote upon the election of newly appointed directors. For additional information, please see the section entitled “</w:t>
      </w:r>
      <w:r>
        <w:rPr>
          <w:rFonts w:ascii="Arial" w:cs="Arial" w:eastAsia="Arial" w:hAnsi="Arial"/>
          <w:sz w:val="17"/>
          <w:szCs w:val="17"/>
          <w:i w:val="1"/>
          <w:iCs w:val="1"/>
          <w:color w:val="auto"/>
        </w:rPr>
        <w:t>Proposal No. 7 — The Director Election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Why is the Company proposing the Adjournment Proposal?</w:t>
      </w:r>
    </w:p>
    <w:p>
      <w:pPr>
        <w:spacing w:after="0" w:line="175" w:lineRule="exact"/>
        <w:rPr>
          <w:sz w:val="20"/>
          <w:szCs w:val="20"/>
          <w:color w:val="auto"/>
        </w:rPr>
      </w:pPr>
    </w:p>
    <w:p>
      <w:pPr>
        <w:jc w:val="both"/>
        <w:ind w:left="8" w:hanging="8"/>
        <w:spacing w:after="0" w:line="296" w:lineRule="auto"/>
        <w:tabs>
          <w:tab w:leader="none" w:pos="237"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 Please see the section entitled “</w:t>
      </w:r>
      <w:r>
        <w:rPr>
          <w:rFonts w:ascii="Arial" w:cs="Arial" w:eastAsia="Arial" w:hAnsi="Arial"/>
          <w:sz w:val="16"/>
          <w:szCs w:val="16"/>
          <w:i w:val="1"/>
          <w:iCs w:val="1"/>
          <w:color w:val="auto"/>
        </w:rPr>
        <w:t>Proposal No. 8 — The Adjournment Proposal</w:t>
      </w:r>
      <w:r>
        <w:rPr>
          <w:rFonts w:ascii="Arial" w:cs="Arial" w:eastAsia="Arial" w:hAnsi="Arial"/>
          <w:sz w:val="16"/>
          <w:szCs w:val="16"/>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8"/>
          </w:cols>
          <w:pgMar w:left="652" w:top="1421" w:right="339" w:bottom="1440" w:gutter="0" w:footer="0" w:header="0"/>
        </w:sectPr>
      </w:pPr>
    </w:p>
    <w:bookmarkStart w:id="27" w:name="page28"/>
    <w:bookmarkEnd w:id="27"/>
    <w:p>
      <w:pPr>
        <w:ind w:left="8"/>
        <w:spacing w:after="0"/>
        <w:rPr>
          <w:sz w:val="20"/>
          <w:szCs w:val="20"/>
          <w:color w:val="auto"/>
        </w:rPr>
      </w:pPr>
      <w:r>
        <w:rPr>
          <w:rFonts w:ascii="Arial" w:cs="Arial" w:eastAsia="Arial" w:hAnsi="Arial"/>
          <w:sz w:val="18"/>
          <w:szCs w:val="18"/>
          <w:b w:val="1"/>
          <w:bCs w:val="1"/>
          <w:color w:val="auto"/>
        </w:rPr>
        <w:t>Q: Why is the Company proposing the Auditor Ratification Proposal?</w:t>
      </w:r>
    </w:p>
    <w:p>
      <w:pPr>
        <w:spacing w:after="0" w:line="175" w:lineRule="exact"/>
        <w:rPr>
          <w:sz w:val="20"/>
          <w:szCs w:val="20"/>
          <w:color w:val="auto"/>
        </w:rPr>
      </w:pPr>
    </w:p>
    <w:p>
      <w:pPr>
        <w:jc w:val="both"/>
        <w:ind w:left="8" w:hanging="8"/>
        <w:spacing w:after="0" w:line="273"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our bylaws 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For additional information, please see the section entitled “</w:t>
      </w:r>
      <w:r>
        <w:rPr>
          <w:rFonts w:ascii="Arial" w:cs="Arial" w:eastAsia="Arial" w:hAnsi="Arial"/>
          <w:sz w:val="17"/>
          <w:szCs w:val="17"/>
          <w:i w:val="1"/>
          <w:iCs w:val="1"/>
          <w:color w:val="auto"/>
        </w:rPr>
        <w:t>Proposal No. 9 — The Auditor Ratification Proposal</w:t>
      </w:r>
      <w:r>
        <w:rPr>
          <w:rFonts w:ascii="Arial" w:cs="Arial" w:eastAsia="Arial" w:hAnsi="Arial"/>
          <w:sz w:val="17"/>
          <w:szCs w:val="17"/>
          <w:color w:val="auto"/>
        </w:rPr>
        <w:t>.”</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I sell my shares of common stock before the Special Meeting?</w:t>
      </w:r>
    </w:p>
    <w:p>
      <w:pPr>
        <w:spacing w:after="0" w:line="175" w:lineRule="exact"/>
        <w:rPr>
          <w:sz w:val="20"/>
          <w:szCs w:val="20"/>
          <w:color w:val="auto"/>
        </w:rPr>
      </w:pPr>
    </w:p>
    <w:p>
      <w:pPr>
        <w:jc w:val="both"/>
        <w:ind w:left="8" w:hanging="8"/>
        <w:spacing w:after="0" w:line="255"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record date for the Special Meeting is earlier than the date that the Business Combination is expected to be completed.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of common stock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constitutes a quorum at the Special Meeting?</w:t>
      </w:r>
    </w:p>
    <w:p>
      <w:pPr>
        <w:spacing w:after="0" w:line="175" w:lineRule="exact"/>
        <w:rPr>
          <w:sz w:val="20"/>
          <w:szCs w:val="20"/>
          <w:color w:val="auto"/>
        </w:rPr>
      </w:pPr>
    </w:p>
    <w:p>
      <w:pPr>
        <w:jc w:val="both"/>
        <w:ind w:left="8" w:hanging="8"/>
        <w:spacing w:after="0" w:line="255" w:lineRule="auto"/>
        <w:tabs>
          <w:tab w:leader="none" w:pos="2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will be counted as present for the purpose of determining a quorum. Our Initial Stockholders, who currently own approximately 20% of our issued and outstanding shares of common stock, will count towards this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vote is required to approve the proposals presented at the Special Meeting?</w:t>
      </w:r>
    </w:p>
    <w:p>
      <w:pPr>
        <w:spacing w:after="0" w:line="175" w:lineRule="exact"/>
        <w:rPr>
          <w:sz w:val="20"/>
          <w:szCs w:val="20"/>
          <w:color w:val="auto"/>
        </w:rPr>
      </w:pPr>
    </w:p>
    <w:p>
      <w:pPr>
        <w:jc w:val="both"/>
        <w:ind w:left="8" w:hanging="8"/>
        <w:spacing w:after="0" w:line="255" w:lineRule="auto"/>
        <w:tabs>
          <w:tab w:leader="none" w:pos="268"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Proposal 1 — The Business Combination Proposal: </w:t>
      </w:r>
      <w:r>
        <w:rPr>
          <w:rFonts w:ascii="Arial" w:cs="Arial" w:eastAsia="Arial" w:hAnsi="Arial"/>
          <w:sz w:val="18"/>
          <w:szCs w:val="18"/>
          <w:color w:val="auto"/>
        </w:rPr>
        <w:t>The approval of the Business Combination Proposal requires the affirmative vote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votes cast by the stockholders present in person or represented by proxy and entitled to vote at the Special Meeting. Accordingly, a Company stockholder’s failure to vote, as well as an abstention from voting and a broker non-vote, will have no effect on the Business Combination Proposal. Abstentions will be counted in connection with the determination of whether a valid quorum is established but will have no effect on the Business Combination Proposal. 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w:t>
      </w:r>
    </w:p>
    <w:p>
      <w:pPr>
        <w:spacing w:after="0" w:line="13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2 — The Nasdaq Stock Issuance Proposal: </w:t>
      </w:r>
      <w:r>
        <w:rPr>
          <w:rFonts w:ascii="Arial" w:cs="Arial" w:eastAsia="Arial" w:hAnsi="Arial"/>
          <w:sz w:val="17"/>
          <w:szCs w:val="17"/>
          <w:color w:val="auto"/>
        </w:rPr>
        <w:t>The approval of the Nasdaq Stock Issuance Proposal requires the affirmative vote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86" w:lineRule="auto"/>
        <w:rPr>
          <w:sz w:val="20"/>
          <w:szCs w:val="20"/>
          <w:color w:val="auto"/>
        </w:rPr>
      </w:pPr>
      <w:r>
        <w:rPr>
          <w:rFonts w:ascii="Arial" w:cs="Arial" w:eastAsia="Arial" w:hAnsi="Arial"/>
          <w:sz w:val="17"/>
          <w:szCs w:val="17"/>
          <w:b w:val="1"/>
          <w:bCs w:val="1"/>
          <w:i w:val="1"/>
          <w:iCs w:val="1"/>
          <w:color w:val="auto"/>
        </w:rPr>
        <w:t xml:space="preserve">Proposal 3 — The Charter Approval Proposal: </w:t>
      </w:r>
      <w:r>
        <w:rPr>
          <w:rFonts w:ascii="Arial" w:cs="Arial" w:eastAsia="Arial" w:hAnsi="Arial"/>
          <w:sz w:val="17"/>
          <w:szCs w:val="17"/>
          <w:color w:val="auto"/>
        </w:rPr>
        <w:t>The approval of the Charter Approval Proposal requires the affirmative vote of holders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such Charter Approval Proposal.</w:t>
      </w:r>
    </w:p>
    <w:p>
      <w:pPr>
        <w:spacing w:after="0" w:line="111" w:lineRule="exact"/>
        <w:rPr>
          <w:sz w:val="20"/>
          <w:szCs w:val="20"/>
          <w:color w:val="auto"/>
        </w:rPr>
      </w:pPr>
    </w:p>
    <w:p>
      <w:pPr>
        <w:jc w:val="both"/>
        <w:ind w:left="8"/>
        <w:spacing w:after="0" w:line="277" w:lineRule="auto"/>
        <w:rPr>
          <w:sz w:val="20"/>
          <w:szCs w:val="20"/>
          <w:color w:val="auto"/>
        </w:rPr>
      </w:pPr>
      <w:r>
        <w:rPr>
          <w:rFonts w:ascii="Arial" w:cs="Arial" w:eastAsia="Arial" w:hAnsi="Arial"/>
          <w:sz w:val="18"/>
          <w:szCs w:val="18"/>
          <w:b w:val="1"/>
          <w:bCs w:val="1"/>
          <w:i w:val="1"/>
          <w:iCs w:val="1"/>
          <w:color w:val="auto"/>
        </w:rPr>
        <w:t xml:space="preserve">Proposal 4 — The Governance Proposal: </w:t>
      </w:r>
      <w:r>
        <w:rPr>
          <w:rFonts w:ascii="Arial" w:cs="Arial" w:eastAsia="Arial" w:hAnsi="Arial"/>
          <w:sz w:val="18"/>
          <w:szCs w:val="18"/>
          <w:color w:val="auto"/>
        </w:rPr>
        <w:t>The approval of the Governance Proposal, which is a non-binding advisory vote, requires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 majority of the votes cast by the stockholders present in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8"/>
          </w:cols>
          <w:pgMar w:left="652" w:top="1417" w:right="339" w:bottom="1440" w:gutter="0" w:footer="0" w:header="0"/>
        </w:sectPr>
      </w:pPr>
    </w:p>
    <w:bookmarkStart w:id="28" w:name="page29"/>
    <w:bookmarkEnd w:id="28"/>
    <w:p>
      <w:pPr>
        <w:jc w:val="both"/>
        <w:ind w:left="8"/>
        <w:spacing w:after="0" w:line="263" w:lineRule="auto"/>
        <w:rPr>
          <w:sz w:val="20"/>
          <w:szCs w:val="20"/>
          <w:color w:val="auto"/>
        </w:rPr>
      </w:pPr>
      <w:r>
        <w:rPr>
          <w:rFonts w:ascii="Arial" w:cs="Arial" w:eastAsia="Arial" w:hAnsi="Arial"/>
          <w:sz w:val="18"/>
          <w:szCs w:val="18"/>
          <w:color w:val="auto"/>
        </w:rPr>
        <w:t>or represented by proxy and entitled to vote at the Special Meeting. Accordingly, a Company stockholder’s failure to vote, as well as an abstention from voting and a broker non-vote, will have no effect on the Governance Proposal. Abstentions will be counted in connection with the determination of whether a valid quorum is established but will have no effect on the Governance Proposal.</w:t>
      </w:r>
    </w:p>
    <w:p>
      <w:pPr>
        <w:spacing w:after="0" w:line="130"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5 — The Incentive Plan Proposal: </w:t>
      </w:r>
      <w:r>
        <w:rPr>
          <w:rFonts w:ascii="Arial" w:cs="Arial" w:eastAsia="Arial" w:hAnsi="Arial"/>
          <w:sz w:val="17"/>
          <w:szCs w:val="17"/>
          <w:color w:val="auto"/>
        </w:rPr>
        <w:t>The approval of the Incentive Plan Proposal requires the affirmative vote of a majority of the votes 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stockholders present in person or represented by proxy and entitled to vote at the Special Meeting. Accordingly, under Delaware law, a Company stockholder’s failure to vote by proxy, as well as an abstention and broker non-vote, will have no effect on the Incentive Plan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6 — The ESPP Proposal: </w:t>
      </w:r>
      <w:r>
        <w:rPr>
          <w:rFonts w:ascii="Arial" w:cs="Arial" w:eastAsia="Arial" w:hAnsi="Arial"/>
          <w:sz w:val="18"/>
          <w:szCs w:val="18"/>
          <w:color w:val="auto"/>
        </w:rPr>
        <w:t>The approval of the ESPP Proposal requires the affirmative vote of a majority of the votes cast by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in person or represented by proxy and entitled to vote at the Special Meeting. Accordingly, under Delaware law, a Company stockholder’s failure to vote by proxy, as well as an abstention and broker non-vote, will have no effect on the ESPP Proposal. Abstentions will be counted in connection with the determination of whether a valid quorum is established.</w:t>
      </w:r>
    </w:p>
    <w:p>
      <w:pPr>
        <w:spacing w:after="0" w:line="133"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b w:val="1"/>
          <w:bCs w:val="1"/>
          <w:i w:val="1"/>
          <w:iCs w:val="1"/>
          <w:color w:val="auto"/>
        </w:rPr>
        <w:t xml:space="preserve">Proposal 7 — The Director Election Proposal: </w:t>
      </w:r>
      <w:r>
        <w:rPr>
          <w:rFonts w:ascii="Arial" w:cs="Arial" w:eastAsia="Arial" w:hAnsi="Arial"/>
          <w:sz w:val="17"/>
          <w:szCs w:val="17"/>
          <w:color w:val="auto"/>
        </w:rPr>
        <w:t>The approval of the Director Election Proposal requires the affirmative vote of a majority of the votes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cast by the stockholders present in person or represented by proxy and entitled to vote at the Special Meeting. Accordingly, under Delaware law, a Company stockholder’s failure to vote by proxy, as well as an abstention and broker non-vote, will have no effect on the Director Election Proposal. Abstentions will be counted in connection with the determination of whether a valid quorum is established</w:t>
      </w:r>
    </w:p>
    <w:p>
      <w:pPr>
        <w:spacing w:after="0" w:line="117" w:lineRule="exact"/>
        <w:rPr>
          <w:sz w:val="20"/>
          <w:szCs w:val="20"/>
          <w:color w:val="auto"/>
        </w:rPr>
      </w:pPr>
    </w:p>
    <w:p>
      <w:pPr>
        <w:jc w:val="both"/>
        <w:ind w:left="8"/>
        <w:spacing w:after="0" w:line="301" w:lineRule="auto"/>
        <w:rPr>
          <w:sz w:val="20"/>
          <w:szCs w:val="20"/>
          <w:color w:val="auto"/>
        </w:rPr>
      </w:pPr>
      <w:r>
        <w:rPr>
          <w:rFonts w:ascii="Arial" w:cs="Arial" w:eastAsia="Arial" w:hAnsi="Arial"/>
          <w:sz w:val="16"/>
          <w:szCs w:val="16"/>
          <w:b w:val="1"/>
          <w:bCs w:val="1"/>
          <w:i w:val="1"/>
          <w:iCs w:val="1"/>
          <w:color w:val="auto"/>
        </w:rPr>
        <w:t xml:space="preserve">Proposal 8 — The Adjournment Proposal: </w:t>
      </w:r>
      <w:r>
        <w:rPr>
          <w:rFonts w:ascii="Arial" w:cs="Arial" w:eastAsia="Arial" w:hAnsi="Arial"/>
          <w:sz w:val="16"/>
          <w:szCs w:val="16"/>
          <w:color w:val="auto"/>
        </w:rPr>
        <w:t>The approval of the Adjournment Proposal requires the affirmative vote of a majority of the votes cast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03"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b w:val="1"/>
          <w:bCs w:val="1"/>
          <w:i w:val="1"/>
          <w:iCs w:val="1"/>
          <w:color w:val="auto"/>
        </w:rPr>
        <w:t xml:space="preserve">Proposal 9 — The Auditor Ratification Proposal: </w:t>
      </w:r>
      <w:r>
        <w:rPr>
          <w:rFonts w:ascii="Arial" w:cs="Arial" w:eastAsia="Arial" w:hAnsi="Arial"/>
          <w:sz w:val="18"/>
          <w:szCs w:val="18"/>
          <w:color w:val="auto"/>
        </w:rPr>
        <w:t>The approval of the Auditor Ratification Proposal requires the affirmative vote of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votes cast by the stockholders present in person or represented by proxy and entitled to vote at the Special Meeting. Accordingly, a Company stockholder’s failure to vote by proxy, as well as an abstention and broker non-vote, will have no effect on the Auditor Ratification Proposal. Abstentions will be counted in connection with the determination of whether a valid quorum is established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Proposal is not approved?</w:t>
      </w:r>
    </w:p>
    <w:p>
      <w:pPr>
        <w:spacing w:after="0" w:line="175" w:lineRule="exact"/>
        <w:rPr>
          <w:sz w:val="20"/>
          <w:szCs w:val="20"/>
          <w:color w:val="auto"/>
        </w:rPr>
      </w:pPr>
    </w:p>
    <w:p>
      <w:pPr>
        <w:ind w:left="8" w:right="20" w:hanging="8"/>
        <w:spacing w:after="0" w:line="277"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we do not consummate a business combination by the applicable deadline, we will be required to dissolve and liquidate our Trust Account.</w:t>
      </w:r>
    </w:p>
    <w:p>
      <w:pPr>
        <w:spacing w:after="0" w:line="112" w:lineRule="exact"/>
        <w:rPr>
          <w:sz w:val="20"/>
          <w:szCs w:val="20"/>
          <w:color w:val="auto"/>
        </w:rPr>
      </w:pPr>
    </w:p>
    <w:p>
      <w:pPr>
        <w:ind w:left="8" w:right="20" w:hanging="8"/>
        <w:spacing w:after="0" w:line="282" w:lineRule="auto"/>
        <w:tabs>
          <w:tab w:leader="none" w:pos="26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May the Company, its Sponsor or the Company’s directors or officers or their affiliates purchase shares in connection with the Business Combination?</w:t>
      </w:r>
    </w:p>
    <w:p>
      <w:pPr>
        <w:spacing w:after="0" w:line="112" w:lineRule="exact"/>
        <w:rPr>
          <w:sz w:val="20"/>
          <w:szCs w:val="20"/>
          <w:color w:val="auto"/>
        </w:rPr>
      </w:pPr>
    </w:p>
    <w:p>
      <w:pPr>
        <w:jc w:val="both"/>
        <w:ind w:left="8" w:hanging="8"/>
        <w:spacing w:after="0" w:line="271" w:lineRule="auto"/>
        <w:tabs>
          <w:tab w:leader="none" w:pos="261"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connection with the stockholder vote to approve the proposed Business Combination, our Sponsor, directors or officers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our directors or officers or their respective affiliates will make any such purchases when they are in possession of any material non-public information not disclosed to the seller or during a restricted period under Regulation M under the Exchange Act. Such a purchase may include a contractual acknowledgement that such selling stockholder, although still the record holder of our shares, is no longer the beneficial owner thereof and therefore agrees not to exercise its redemption rights, and could include a contractual provision that directs such selling stockholder to vote such shares in a manner directed by the purchaser. In the event that our Sponsor,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8"/>
          </w:cols>
          <w:pgMar w:left="652" w:top="1421" w:right="339" w:bottom="1440" w:gutter="0" w:footer="0" w:header="0"/>
        </w:sectPr>
      </w:pPr>
    </w:p>
    <w:bookmarkStart w:id="29" w:name="page30"/>
    <w:bookmarkEnd w:id="29"/>
    <w:p>
      <w:pPr>
        <w:jc w:val="both"/>
        <w:ind w:left="8"/>
        <w:spacing w:after="0" w:line="311" w:lineRule="auto"/>
        <w:rPr>
          <w:sz w:val="20"/>
          <w:szCs w:val="20"/>
          <w:color w:val="auto"/>
        </w:rPr>
      </w:pPr>
      <w:r>
        <w:rPr>
          <w:rFonts w:ascii="Arial" w:cs="Arial" w:eastAsia="Arial" w:hAnsi="Arial"/>
          <w:sz w:val="16"/>
          <w:szCs w:val="16"/>
          <w:color w:val="auto"/>
        </w:rPr>
        <w:t>directors or officers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many votes do I have at the Special Meeting?</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Our stockholders are entitled to one vote on each proposal presented at the Special Meeting for each share of common stock held of record as of</w:t>
      </w:r>
    </w:p>
    <w:p>
      <w:pPr>
        <w:spacing w:after="0" w:line="46" w:lineRule="exact"/>
        <w:rPr>
          <w:sz w:val="20"/>
          <w:szCs w:val="20"/>
          <w:color w:val="auto"/>
        </w:rPr>
      </w:pPr>
    </w:p>
    <w:p>
      <w:pPr>
        <w:jc w:val="both"/>
        <w:ind w:left="8"/>
        <w:spacing w:after="0" w:line="260" w:lineRule="auto"/>
        <w:rPr>
          <w:sz w:val="20"/>
          <w:szCs w:val="20"/>
          <w:color w:val="auto"/>
        </w:rPr>
      </w:pPr>
      <w:r>
        <w:rPr>
          <w:rFonts w:ascii="Arial" w:cs="Arial" w:eastAsia="Arial" w:hAnsi="Arial"/>
          <w:sz w:val="18"/>
          <w:szCs w:val="18"/>
          <w:color w:val="auto"/>
        </w:rPr>
        <w:t>June 21, 2021, the record date for the Special Meeting. As of the close of business on the record date, there were [ ] outstanding shares of our common stock.</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vote?</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If you were a stockholder of record on June 21, 2021, you may vote by granting a proxy. Specifically, you may vote:</w:t>
      </w:r>
    </w:p>
    <w:p>
      <w:pPr>
        <w:spacing w:after="0" w:line="171" w:lineRule="exact"/>
        <w:rPr>
          <w:sz w:val="20"/>
          <w:szCs w:val="20"/>
          <w:color w:val="auto"/>
        </w:rPr>
      </w:pPr>
    </w:p>
    <w:p>
      <w:pPr>
        <w:ind w:left="328" w:hanging="328"/>
        <w:spacing w:after="0"/>
        <w:tabs>
          <w:tab w:leader="none" w:pos="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Mail — You may vote by mail by completing, signing, dating and returning the enclosed proxy card in the postage-paid envelope provided.</w:t>
      </w:r>
    </w:p>
    <w:p>
      <w:pPr>
        <w:spacing w:after="0" w:line="46" w:lineRule="exact"/>
        <w:rPr>
          <w:sz w:val="20"/>
          <w:szCs w:val="20"/>
          <w:color w:val="auto"/>
        </w:rPr>
      </w:pPr>
    </w:p>
    <w:tbl>
      <w:tblPr>
        <w:tblLayout w:type="fixed"/>
        <w:tblInd w:w="328"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w w:val="97"/>
              </w:rPr>
              <w:t>Votes submitted by mail must be received by 11:59 pm Eastern time on [</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129" w:lineRule="exact"/>
        <w:rPr>
          <w:sz w:val="20"/>
          <w:szCs w:val="20"/>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16" w:lineRule="exact"/>
        <w:rPr>
          <w:rFonts w:ascii="Arial" w:cs="Arial" w:eastAsia="Arial" w:hAnsi="Arial"/>
          <w:sz w:val="18"/>
          <w:szCs w:val="18"/>
          <w:color w:val="auto"/>
        </w:rPr>
      </w:pPr>
    </w:p>
    <w:p>
      <w:pPr>
        <w:ind w:left="648" w:right="20"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encourage you to sign and return the proxy card even if you plan to attend the Special Meeting so that your shares will be voted if you are unable to attend the Special Meeting.</w:t>
      </w:r>
    </w:p>
    <w:p>
      <w:pPr>
        <w:spacing w:after="0" w:line="116" w:lineRule="exact"/>
        <w:rPr>
          <w:rFonts w:ascii="Arial" w:cs="Arial" w:eastAsia="Arial" w:hAnsi="Arial"/>
          <w:sz w:val="18"/>
          <w:szCs w:val="18"/>
          <w:color w:val="auto"/>
        </w:rPr>
      </w:pPr>
    </w:p>
    <w:p>
      <w:pPr>
        <w:ind w:left="648" w:hanging="324"/>
        <w:spacing w:after="0" w:line="277"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you receive more than one proxy card, it is an indication that your shares are held in multiple accounts. Please sign and return all proxy cards to ensure that all of your shares are voted.</w:t>
      </w:r>
    </w:p>
    <w:p>
      <w:pPr>
        <w:spacing w:after="0" w:line="116" w:lineRule="exact"/>
        <w:rPr>
          <w:rFonts w:ascii="Arial" w:cs="Arial" w:eastAsia="Arial" w:hAnsi="Arial"/>
          <w:sz w:val="18"/>
          <w:szCs w:val="18"/>
          <w:color w:val="auto"/>
        </w:rPr>
      </w:pPr>
    </w:p>
    <w:p>
      <w:pPr>
        <w:jc w:val="both"/>
        <w:ind w:left="648" w:right="20" w:hanging="324"/>
        <w:spacing w:after="0" w:line="263" w:lineRule="auto"/>
        <w:tabs>
          <w:tab w:leader="none" w:pos="6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Voting at the Special Meeting — We will be hosting the Special Meeting via live webcast. If you attend the Special Meeting, you may submit your vote at the Special Meeting online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in which case any votes that you previously submitted will be superseded by the vote that you cast at the Special Meeting.</w:t>
      </w:r>
    </w:p>
    <w:p>
      <w:pPr>
        <w:spacing w:after="0" w:line="130"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abstain from voting or fail to vote at the Special Meeting?</w:t>
      </w:r>
    </w:p>
    <w:p>
      <w:pPr>
        <w:spacing w:after="0" w:line="171" w:lineRule="exact"/>
        <w:rPr>
          <w:sz w:val="20"/>
          <w:szCs w:val="20"/>
          <w:color w:val="auto"/>
        </w:rPr>
      </w:pPr>
    </w:p>
    <w:p>
      <w:pPr>
        <w:jc w:val="both"/>
        <w:ind w:left="8" w:hanging="8"/>
        <w:spacing w:after="0" w:line="258" w:lineRule="auto"/>
        <w:tabs>
          <w:tab w:leader="none" w:pos="2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w:t>
      </w:r>
      <w:r>
        <w:rPr>
          <w:rFonts w:ascii="Arial" w:cs="Arial" w:eastAsia="Arial" w:hAnsi="Arial"/>
          <w:sz w:val="18"/>
          <w:szCs w:val="18"/>
          <w:b w:val="1"/>
          <w:bCs w:val="1"/>
          <w:color w:val="auto"/>
        </w:rPr>
        <w:t>ABSTAIN</w:t>
      </w:r>
      <w:r>
        <w:rPr>
          <w:rFonts w:ascii="Arial" w:cs="Arial" w:eastAsia="Arial" w:hAnsi="Arial"/>
          <w:sz w:val="18"/>
          <w:szCs w:val="18"/>
          <w:color w:val="auto"/>
        </w:rPr>
        <w:t>” with respect to a particular proposal as present for purposes of determining whether a quorum is present. For purposes of approval, a failure to vote or an abstention will have no effect on the Business Combination Proposal, the Governance Proposal, the Incentive Plan Proposal, the ESPP Proposal, the Director Election Proposal, the Adjournment Proposal and the Auditor Ratification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will happen if I sign and return my proxy card without indicating how I wish to vote?</w:t>
      </w:r>
    </w:p>
    <w:p>
      <w:pPr>
        <w:spacing w:after="0" w:line="171" w:lineRule="exact"/>
        <w:rPr>
          <w:sz w:val="20"/>
          <w:szCs w:val="20"/>
          <w:color w:val="auto"/>
        </w:rPr>
      </w:pPr>
    </w:p>
    <w:p>
      <w:pPr>
        <w:jc w:val="both"/>
        <w:ind w:left="8" w:hanging="8"/>
        <w:spacing w:after="0" w:line="266" w:lineRule="auto"/>
        <w:tabs>
          <w:tab w:leader="none" w:pos="2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w:t>
      </w:r>
      <w:r>
        <w:rPr>
          <w:rFonts w:ascii="Arial" w:cs="Arial" w:eastAsia="Arial" w:hAnsi="Arial"/>
          <w:sz w:val="18"/>
          <w:szCs w:val="18"/>
          <w:b w:val="1"/>
          <w:bCs w:val="1"/>
          <w:color w:val="auto"/>
        </w:rPr>
        <w:t>FOR</w:t>
      </w:r>
      <w:r>
        <w:rPr>
          <w:rFonts w:ascii="Arial" w:cs="Arial" w:eastAsia="Arial" w:hAnsi="Arial"/>
          <w:sz w:val="18"/>
          <w:szCs w:val="18"/>
          <w:color w:val="auto"/>
        </w:rPr>
        <w:t>” each proposal presented to the stockholders. The proxyholders may use their discretion to vote on any other matters which properly come before the Special Meeting.</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not going to attend the Special Meeting, should I return my proxy card instead?</w:t>
      </w:r>
    </w:p>
    <w:p>
      <w:pPr>
        <w:spacing w:after="0" w:line="175" w:lineRule="exact"/>
        <w:rPr>
          <w:sz w:val="20"/>
          <w:szCs w:val="20"/>
          <w:color w:val="auto"/>
        </w:rPr>
      </w:pPr>
    </w:p>
    <w:p>
      <w:pPr>
        <w:ind w:left="8" w:hanging="8"/>
        <w:spacing w:after="0" w:line="277" w:lineRule="auto"/>
        <w:tabs>
          <w:tab w:leader="none" w:pos="2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Yes. Whether you plan to attend the Special Meeting or not, please read the enclosed proxy statement carefully. If you are a stockholder of record of our common stock as of the close of business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8"/>
          </w:cols>
          <w:pgMar w:left="652" w:top="1421" w:right="339" w:bottom="1440" w:gutter="0" w:footer="0" w:header="0"/>
        </w:sectPr>
      </w:pPr>
    </w:p>
    <w:bookmarkStart w:id="30" w:name="page31"/>
    <w:bookmarkEnd w:id="30"/>
    <w:p>
      <w:pPr>
        <w:jc w:val="both"/>
        <w:ind w:left="8"/>
        <w:spacing w:after="0" w:line="259" w:lineRule="auto"/>
        <w:rPr>
          <w:sz w:val="20"/>
          <w:szCs w:val="20"/>
          <w:color w:val="auto"/>
        </w:rPr>
      </w:pPr>
      <w:r>
        <w:rPr>
          <w:rFonts w:ascii="Arial" w:cs="Arial" w:eastAsia="Arial" w:hAnsi="Arial"/>
          <w:sz w:val="18"/>
          <w:szCs w:val="18"/>
          <w:color w:val="auto"/>
        </w:rPr>
        <w:t>you can vote by proxy by mail by following the instructions provided in the enclosed proxy card. Please note that if you are a beneficial owner of our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is the difference between a stockholder of record and a “street name” holder?</w:t>
      </w:r>
    </w:p>
    <w:p>
      <w:pPr>
        <w:spacing w:after="0" w:line="175" w:lineRule="exact"/>
        <w:rPr>
          <w:sz w:val="20"/>
          <w:szCs w:val="20"/>
          <w:color w:val="auto"/>
        </w:rPr>
      </w:pPr>
    </w:p>
    <w:p>
      <w:pPr>
        <w:jc w:val="both"/>
        <w:ind w:left="8" w:hanging="8"/>
        <w:spacing w:after="0" w:line="257"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my shares are held in “street name,” will my broker, bank or nominee automatically vote my shares for me?</w:t>
      </w:r>
    </w:p>
    <w:p>
      <w:pPr>
        <w:spacing w:after="0" w:line="175" w:lineRule="exact"/>
        <w:rPr>
          <w:sz w:val="20"/>
          <w:szCs w:val="20"/>
          <w:color w:val="auto"/>
        </w:rPr>
      </w:pPr>
    </w:p>
    <w:p>
      <w:pPr>
        <w:jc w:val="both"/>
        <w:ind w:left="8" w:hanging="8"/>
        <w:spacing w:after="0" w:line="263" w:lineRule="auto"/>
        <w:tabs>
          <w:tab w:leader="none" w:pos="2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30" w:lineRule="exact"/>
        <w:rPr>
          <w:sz w:val="20"/>
          <w:szCs w:val="20"/>
          <w:color w:val="auto"/>
        </w:rPr>
      </w:pPr>
    </w:p>
    <w:p>
      <w:pPr>
        <w:jc w:val="both"/>
        <w:ind w:left="8"/>
        <w:spacing w:after="0" w:line="290" w:lineRule="auto"/>
        <w:rPr>
          <w:sz w:val="20"/>
          <w:szCs w:val="20"/>
          <w:color w:val="auto"/>
        </w:rPr>
      </w:pPr>
      <w:r>
        <w:rPr>
          <w:rFonts w:ascii="Arial" w:cs="Arial" w:eastAsia="Arial" w:hAnsi="Arial"/>
          <w:sz w:val="16"/>
          <w:szCs w:val="16"/>
          <w:color w:val="auto"/>
        </w:rPr>
        <w:t xml:space="preserve">We believe that all of the proposals presented to the stockholders at this Special Meeting, other than the Auditor Ratification Proposal, will be considered non-routine and, therefore, your broker, bank, or nominee </w:t>
      </w:r>
      <w:r>
        <w:rPr>
          <w:rFonts w:ascii="Arial" w:cs="Arial" w:eastAsia="Arial" w:hAnsi="Arial"/>
          <w:sz w:val="16"/>
          <w:szCs w:val="16"/>
          <w:b w:val="1"/>
          <w:bCs w:val="1"/>
          <w:u w:val="single" w:color="auto"/>
          <w:color w:val="auto"/>
        </w:rPr>
        <w:t>cannot vote your shares without your instruction</w:t>
      </w:r>
      <w:r>
        <w:rPr>
          <w:rFonts w:ascii="Arial" w:cs="Arial" w:eastAsia="Arial" w:hAnsi="Arial"/>
          <w:sz w:val="16"/>
          <w:szCs w:val="16"/>
          <w:color w:val="auto"/>
        </w:rPr>
        <w:t xml:space="preserve"> on any of the proposals presented at the Special Meeting, other than the Auditor Ratification Proposal. Accordingly, if your broker submits a proxy for your shares with respect to the Auditor Ratification Proposal, but you do not submit voting instructions on the other proposals,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a broker non-vote impact the results of each proposal?</w:t>
      </w:r>
    </w:p>
    <w:p>
      <w:pPr>
        <w:spacing w:after="0" w:line="171" w:lineRule="exact"/>
        <w:rPr>
          <w:sz w:val="20"/>
          <w:szCs w:val="20"/>
          <w:color w:val="auto"/>
        </w:rPr>
      </w:pPr>
    </w:p>
    <w:p>
      <w:pPr>
        <w:ind w:left="8" w:hanging="8"/>
        <w:spacing w:after="0" w:line="282" w:lineRule="auto"/>
        <w:tabs>
          <w:tab w:leader="none" w:pos="2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 non-votes will count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 but will not have any effect on the outcome of any other proposals.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May I change my vote after I have returned my signed proxy card or voting instruction form?</w:t>
      </w:r>
    </w:p>
    <w:p>
      <w:pPr>
        <w:spacing w:after="0" w:line="175" w:lineRule="exact"/>
        <w:rPr>
          <w:sz w:val="20"/>
          <w:szCs w:val="20"/>
          <w:color w:val="auto"/>
        </w:rPr>
      </w:pPr>
    </w:p>
    <w:p>
      <w:pPr>
        <w:ind w:left="8" w:right="20" w:hanging="8"/>
        <w:spacing w:after="0" w:line="277" w:lineRule="auto"/>
        <w:tabs>
          <w:tab w:leader="none" w:pos="2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Yes. If you are a holder of record of our common stock as of the close of business on the record date, whether you vote by mail, you can change or revoke your proxy before it is voted at the Special Meeting by:</w:t>
      </w:r>
    </w:p>
    <w:p>
      <w:pPr>
        <w:spacing w:after="0" w:line="116" w:lineRule="exact"/>
        <w:rPr>
          <w:sz w:val="20"/>
          <w:szCs w:val="20"/>
          <w:color w:val="auto"/>
        </w:rPr>
      </w:pPr>
    </w:p>
    <w:p>
      <w:pPr>
        <w:ind w:left="328" w:hanging="328"/>
        <w:spacing w:after="0" w:line="277" w:lineRule="auto"/>
        <w:tabs>
          <w:tab w:leader="none" w:pos="3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8"/>
          </w:cols>
          <w:pgMar w:left="652" w:top="1421" w:right="339" w:bottom="1440" w:gutter="0" w:footer="0" w:header="0"/>
        </w:sectPr>
      </w:pPr>
    </w:p>
    <w:bookmarkStart w:id="31" w:name="page32"/>
    <w:bookmarkEnd w:id="31"/>
    <w:p>
      <w:pPr>
        <w:ind w:left="8"/>
        <w:spacing w:after="0"/>
        <w:rPr>
          <w:sz w:val="20"/>
          <w:szCs w:val="20"/>
          <w:color w:val="auto"/>
        </w:rPr>
      </w:pPr>
      <w:r>
        <w:rPr>
          <w:rFonts w:ascii="Arial" w:cs="Arial" w:eastAsia="Arial" w:hAnsi="Arial"/>
          <w:sz w:val="18"/>
          <w:szCs w:val="18"/>
          <w:b w:val="1"/>
          <w:bCs w:val="1"/>
          <w:color w:val="auto"/>
        </w:rPr>
        <w:t>Q: What should I do if I receive more than one set of voting materials?</w:t>
      </w:r>
    </w:p>
    <w:p>
      <w:pPr>
        <w:spacing w:after="0" w:line="175" w:lineRule="exact"/>
        <w:rPr>
          <w:sz w:val="20"/>
          <w:szCs w:val="20"/>
          <w:color w:val="auto"/>
        </w:rPr>
      </w:pPr>
    </w:p>
    <w:p>
      <w:pPr>
        <w:jc w:val="both"/>
        <w:ind w:left="8" w:hanging="8"/>
        <w:spacing w:after="0" w:line="257"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will the Company’s Sponsor, directors and officers vote?</w:t>
      </w:r>
    </w:p>
    <w:p>
      <w:pPr>
        <w:spacing w:after="0" w:line="175" w:lineRule="exact"/>
        <w:rPr>
          <w:sz w:val="20"/>
          <w:szCs w:val="20"/>
          <w:color w:val="auto"/>
        </w:rPr>
      </w:pPr>
    </w:p>
    <w:p>
      <w:pPr>
        <w:jc w:val="both"/>
        <w:ind w:left="8" w:hanging="8"/>
        <w:spacing w:after="0" w:line="255"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our IPO, we entered into agreements with our Sponsor and each of our directors and officers, pursuant to which each agreed to vote any shares of common stock owned by them in favor of the Business Combination Proposal. None of our Sponsor, directors or officers has purchased any shares of our common stock during or after our IPO and, as of the date of this proxy statement, neither we nor our Sponsor, directors or officers have entered into agreements, and are not currently in negotiations, to purchase shares prior to the consummation of the Business Combination. Currently, our Initial Stockholders own approximately 20% of our issued and outstanding shares of common stock, including all of the Founder Shares, and will be able to vote all such shares at the Special Meeting.</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interests do the Sponsor and the Company’s current officers and directors have in the Business Combination?</w:t>
      </w:r>
    </w:p>
    <w:p>
      <w:pPr>
        <w:spacing w:after="0" w:line="175" w:lineRule="exact"/>
        <w:rPr>
          <w:sz w:val="20"/>
          <w:szCs w:val="20"/>
          <w:color w:val="auto"/>
        </w:rPr>
      </w:pPr>
    </w:p>
    <w:p>
      <w:pPr>
        <w:jc w:val="both"/>
        <w:ind w:left="8" w:hanging="8"/>
        <w:spacing w:after="0" w:line="263" w:lineRule="auto"/>
        <w:tabs>
          <w:tab w:leader="none" w:pos="233"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Sponsor and certain members of our Board and officers have interests in the Business Combination that are different from or in addition to (and which may conflict with) your interests. You should take these interests into account in deciding whether to approve the Business Combination. These interests include:</w:t>
      </w:r>
    </w:p>
    <w:p>
      <w:pPr>
        <w:spacing w:after="0" w:line="130" w:lineRule="exact"/>
        <w:rPr>
          <w:sz w:val="20"/>
          <w:szCs w:val="20"/>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328" w:hanging="328"/>
        <w:spacing w:after="0" w:line="296" w:lineRule="auto"/>
        <w:tabs>
          <w:tab w:leader="none" w:pos="323"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Nat Turner, Emily Leproust and Eli Casdin will remain as board members of the post-combination company, and each may be entitled to receive compensation for serving on the board of directors of the post-combination company;</w:t>
      </w:r>
    </w:p>
    <w:p>
      <w:pPr>
        <w:spacing w:after="0" w:line="116"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8"/>
          </w:cols>
          <w:pgMar w:left="652" w:top="1417" w:right="339" w:bottom="1440" w:gutter="0" w:footer="0" w:header="0"/>
        </w:sectPr>
      </w:pPr>
    </w:p>
    <w:bookmarkStart w:id="32" w:name="page33"/>
    <w:bookmarkEnd w:id="32"/>
    <w:p>
      <w:pPr>
        <w:jc w:val="both"/>
        <w:ind w:left="328" w:hanging="328"/>
        <w:spacing w:after="0" w:line="279" w:lineRule="auto"/>
        <w:tabs>
          <w:tab w:leader="none" w:pos="323"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328" w:hanging="328"/>
        <w:spacing w:after="0" w:line="263" w:lineRule="auto"/>
        <w:tabs>
          <w:tab w:leader="none" w:pos="323"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left="8" w:right="500"/>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Q: What happens if I vote against the Business Combination Proposal?</w:t>
      </w:r>
    </w:p>
    <w:p>
      <w:pPr>
        <w:spacing w:after="0" w:line="1" w:lineRule="exact"/>
        <w:rPr>
          <w:sz w:val="20"/>
          <w:szCs w:val="20"/>
          <w:color w:val="auto"/>
        </w:rPr>
      </w:pPr>
    </w:p>
    <w:p>
      <w:pPr>
        <w:jc w:val="both"/>
        <w:ind w:left="8" w:hanging="8"/>
        <w:spacing w:after="0" w:line="257" w:lineRule="auto"/>
        <w:tabs>
          <w:tab w:leader="none" w:pos="2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a majority of the votes cast by holders of our common stock represented in person or by proxy and entitled to vote at the Special Meeting, then the Business Combination Proposal will be approved and, assuming the approval of the Nasdaq Stock Issuance Proposal, the Incentive Plan Approval, the ESPP Approval and the Charter Approval Proposal and the satisfaction or waiver of the other conditions to closing, the Business Combination will be consummated in accordance with the terms of the Merger Agreement.</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If you vote against the Business Combination Proposal and the Business Combination Proposal does not obtain the affirmative vote of a majority of the votes cast by holders of our of common stock represented in person or by proxy and entitled to vote at the Special Meeting, then the Business Combination Proposal will fail and we will not consummate the Business Combination. If we do not consummate the Business Combination, we may continue to try to complete a business combination with a different target business until the applicable deadline. If we fail to complete an initial business combination by the applicable deadline, then we will be required to dissolve and liquidate the Trust Account by returning the then-remaining funds in such account to our public stockholders.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redemption rights?</w:t>
      </w:r>
    </w:p>
    <w:p>
      <w:pPr>
        <w:spacing w:after="0" w:line="175" w:lineRule="exact"/>
        <w:rPr>
          <w:sz w:val="20"/>
          <w:szCs w:val="20"/>
          <w:color w:val="auto"/>
        </w:rPr>
      </w:pPr>
    </w:p>
    <w:p>
      <w:pPr>
        <w:jc w:val="both"/>
        <w:ind w:left="8" w:hanging="8"/>
        <w:spacing w:after="0" w:line="287" w:lineRule="auto"/>
        <w:tabs>
          <w:tab w:leader="none" w:pos="2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w:t>
      </w:r>
    </w:p>
    <w:p>
      <w:pPr>
        <w:spacing w:after="0" w:line="2" w:lineRule="exact"/>
        <w:rPr>
          <w:sz w:val="20"/>
          <w:szCs w:val="20"/>
          <w:color w:val="auto"/>
        </w:rPr>
      </w:pPr>
    </w:p>
    <w:p>
      <w:pPr>
        <w:jc w:val="both"/>
        <w:ind w:left="8"/>
        <w:spacing w:after="0" w:line="286" w:lineRule="auto"/>
        <w:rPr>
          <w:sz w:val="20"/>
          <w:szCs w:val="20"/>
          <w:color w:val="auto"/>
        </w:rPr>
      </w:pPr>
      <w:r>
        <w:rPr>
          <w:rFonts w:ascii="Arial" w:cs="Arial" w:eastAsia="Arial" w:hAnsi="Arial"/>
          <w:sz w:val="16"/>
          <w:szCs w:val="16"/>
          <w:color w:val="auto"/>
        </w:rPr>
        <w:t xml:space="preserve">subject to certain limitations. For illustrative purposes, based on the balance of the Trust Account of approximately $442 million as of January 29 , 2021, the estimated per share redemption price would have been approximately $10.00. </w:t>
      </w:r>
      <w:r>
        <w:rPr>
          <w:rFonts w:ascii="Arial" w:cs="Arial" w:eastAsia="Arial" w:hAnsi="Arial"/>
          <w:sz w:val="16"/>
          <w:szCs w:val="16"/>
          <w:b w:val="1"/>
          <w:bCs w:val="1"/>
          <w:color w:val="auto"/>
        </w:rPr>
        <w:t>Public stockholders may elect to redeem their shares even</w:t>
      </w:r>
      <w:r>
        <w:rPr>
          <w:rFonts w:ascii="Arial" w:cs="Arial" w:eastAsia="Arial" w:hAnsi="Arial"/>
          <w:sz w:val="16"/>
          <w:szCs w:val="16"/>
          <w:color w:val="auto"/>
        </w:rPr>
        <w:t xml:space="preserve"> </w:t>
      </w:r>
      <w:r>
        <w:rPr>
          <w:rFonts w:ascii="Arial" w:cs="Arial" w:eastAsia="Arial" w:hAnsi="Arial"/>
          <w:sz w:val="16"/>
          <w:szCs w:val="16"/>
          <w:b w:val="1"/>
          <w:bCs w:val="1"/>
          <w:color w:val="auto"/>
        </w:rPr>
        <w:t>if they vote for the Business Combination</w:t>
      </w:r>
      <w:r>
        <w:rPr>
          <w:rFonts w:ascii="Arial" w:cs="Arial" w:eastAsia="Arial" w:hAnsi="Arial"/>
          <w:sz w:val="16"/>
          <w:szCs w:val="16"/>
          <w:color w:val="auto"/>
        </w:rPr>
        <w:t>. Any request to redeem public shares, once made, may be withdrawn at any time until the deadline for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w:t>
      </w:r>
    </w:p>
    <w:p>
      <w:pPr>
        <w:spacing w:after="0" w:line="118" w:lineRule="exact"/>
        <w:rPr>
          <w:sz w:val="20"/>
          <w:szCs w:val="20"/>
          <w:color w:val="auto"/>
        </w:rPr>
      </w:pPr>
    </w:p>
    <w:p>
      <w:pPr>
        <w:jc w:val="both"/>
        <w:ind w:left="8"/>
        <w:spacing w:after="0" w:line="263" w:lineRule="auto"/>
        <w:rPr>
          <w:sz w:val="20"/>
          <w:szCs w:val="20"/>
          <w:color w:val="auto"/>
        </w:rPr>
      </w:pPr>
      <w:r>
        <w:rPr>
          <w:rFonts w:ascii="Arial" w:cs="Arial" w:eastAsia="Arial" w:hAnsi="Arial"/>
          <w:sz w:val="18"/>
          <w:szCs w:val="18"/>
          <w:color w:val="auto"/>
        </w:rPr>
        <w:t>Our Initial Stockholders have agreed to waive their redemption rights with respect to such shares, which will be excluded from the pro rata calculation used to determine the per-share redemption price. Each redemption of shares of common stock by our public stockholders will reduce the amount in the Trust Account.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8"/>
          </w:cols>
          <w:pgMar w:left="652" w:top="1421" w:right="339" w:bottom="1440" w:gutter="0" w:footer="0" w:header="0"/>
        </w:sectPr>
      </w:pPr>
    </w:p>
    <w:bookmarkStart w:id="33" w:name="page34"/>
    <w:bookmarkEnd w:id="33"/>
    <w:p>
      <w:pPr>
        <w:jc w:val="both"/>
        <w:ind w:left="8"/>
        <w:spacing w:after="0" w:line="290" w:lineRule="auto"/>
        <w:rPr>
          <w:sz w:val="20"/>
          <w:szCs w:val="20"/>
          <w:color w:val="auto"/>
        </w:rPr>
      </w:pPr>
      <w:r>
        <w:rPr>
          <w:rFonts w:ascii="Arial" w:cs="Arial" w:eastAsia="Arial" w:hAnsi="Arial"/>
          <w:sz w:val="16"/>
          <w:szCs w:val="16"/>
          <w:color w:val="auto"/>
        </w:rPr>
        <w:t>Agreement provides that Sema4’s obligation to consummate the Business Combination is conditioned on the funds in the Trust Account, together with the funding of any amounts payable under the Subscription Agreements, will be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(such that we are not subject to the SEC’s “penny stock” rules). Holders of our outstanding public warrants do not have redemption rights in connection with the Business Combination. Unless otherwise specified, the information in the accompanying proxy statement assumes that none of our public stockholders exercise their redemption rights with respect to their shares of common stock by the applicable deadline.</w:t>
      </w:r>
    </w:p>
    <w:p>
      <w:pPr>
        <w:spacing w:after="0" w:line="10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Can the Initial Stockholders redeem their Founder Shares in connection with consummation of the Business Combination?</w:t>
      </w:r>
    </w:p>
    <w:p>
      <w:pPr>
        <w:spacing w:after="0" w:line="175" w:lineRule="exact"/>
        <w:rPr>
          <w:sz w:val="20"/>
          <w:szCs w:val="20"/>
          <w:color w:val="auto"/>
        </w:rPr>
      </w:pPr>
    </w:p>
    <w:p>
      <w:pPr>
        <w:jc w:val="both"/>
        <w:ind w:left="8" w:hanging="8"/>
        <w:spacing w:after="0" w:line="311" w:lineRule="auto"/>
        <w:tabs>
          <w:tab w:leader="none" w:pos="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No. Our Initial Stockholders, officers and directors have agreed to waive their redemption rights with respect to their shares of common stock in connection with the consummation of our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number of shares I may redeem?</w:t>
      </w:r>
    </w:p>
    <w:p>
      <w:pPr>
        <w:spacing w:after="0" w:line="175" w:lineRule="exact"/>
        <w:rPr>
          <w:sz w:val="20"/>
          <w:szCs w:val="20"/>
          <w:color w:val="auto"/>
        </w:rPr>
      </w:pPr>
    </w:p>
    <w:p>
      <w:pPr>
        <w:jc w:val="both"/>
        <w:ind w:left="8" w:hanging="8"/>
        <w:spacing w:after="0" w:line="254" w:lineRule="auto"/>
        <w:tabs>
          <w:tab w:leader="none" w:pos="2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no specified maximum redemption threshold under our current certificate of incorporation. Each redemption of shares of common stock by our public stockholders will reduce the amount in the Trust Account. The Merger Agreement provides that Sema4’s obligation to consummate the Business Combination is conditioned on the funds in the Trust Account, together with the funding of any amounts payable under the Subscription Agreements, being no less than an aggregate amount of $300,000,000. This condition to closing in the Merger Agreement is for the sole benefit of, and may be waived only by, Sema4. If, as a result of redemptions of common stock by our public stockholders, this condition is not met (or waived by Sema4), then Sema4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w:t>
      </w:r>
    </w:p>
    <w:p>
      <w:pPr>
        <w:spacing w:after="0" w:line="13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Is there a limit on the total number of shares that may be redeemed?</w:t>
      </w:r>
    </w:p>
    <w:p>
      <w:pPr>
        <w:spacing w:after="0" w:line="175" w:lineRule="exact"/>
        <w:rPr>
          <w:sz w:val="20"/>
          <w:szCs w:val="20"/>
          <w:color w:val="auto"/>
        </w:rPr>
      </w:pPr>
    </w:p>
    <w:p>
      <w:pPr>
        <w:jc w:val="both"/>
        <w:ind w:left="8" w:hanging="8"/>
        <w:spacing w:after="0" w:line="269" w:lineRule="auto"/>
        <w:tabs>
          <w:tab w:leader="none" w:pos="2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Yes. Our current certificate of incorporation provides that we may not redeem our public shares in an amount that would result in the Company’s failure to have net tangible assets in excess of $5,000,000 (such that we are not subject to the SEC’s “penny stock” rules) or any greater net tangible asset or cash requirement which may be contained in the Merger Agreement. Other than this limitation, our current certificate of incorporation does not provide a specified maximum redemption threshold. In addition, the Merger Agreement provides that the obligation of Sema4 to consummate the Business Combination is conditioned on the amount in the Trust Account and the proceeds from the PIPE Investment equaling or exceeding $300,000,000, after the payment of redemptions and satisfaction of Company and Sema4 transaction expenses. 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1" w:lineRule="exact"/>
        <w:rPr>
          <w:sz w:val="20"/>
          <w:szCs w:val="20"/>
          <w:color w:val="auto"/>
        </w:rPr>
      </w:pPr>
    </w:p>
    <w:p>
      <w:pPr>
        <w:jc w:val="both"/>
        <w:ind w:left="8"/>
        <w:spacing w:after="0" w:line="311" w:lineRule="auto"/>
        <w:rPr>
          <w:sz w:val="20"/>
          <w:szCs w:val="20"/>
          <w:color w:val="auto"/>
        </w:rPr>
      </w:pPr>
      <w:r>
        <w:rPr>
          <w:rFonts w:ascii="Arial" w:cs="Arial" w:eastAsia="Arial" w:hAnsi="Arial"/>
          <w:sz w:val="16"/>
          <w:szCs w:val="16"/>
          <w:color w:val="auto"/>
        </w:rPr>
        <w:t>Based on the amount of approximately $442,763,951 million in our Trust Account as of December 31, 2020, and taking into account the anticipated gross proceeds of approximately $350,000,000 from the PIPE Investment, all of our shares of common stock may be redeemed and still enable us to have sufficient cash to satisfy the cash closing conditions in the Merger Agreement. We refer to this as the maximum redemption scenario.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8"/>
          </w:cols>
          <w:pgMar w:left="652" w:top="1421" w:right="339" w:bottom="1440" w:gutter="0" w:footer="0" w:header="0"/>
        </w:sectPr>
      </w:pPr>
    </w:p>
    <w:bookmarkStart w:id="34" w:name="page35"/>
    <w:bookmarkEnd w:id="34"/>
    <w:p>
      <w:pPr>
        <w:ind w:left="8"/>
        <w:spacing w:after="0"/>
        <w:rPr>
          <w:sz w:val="20"/>
          <w:szCs w:val="20"/>
          <w:color w:val="auto"/>
        </w:rPr>
      </w:pPr>
      <w:r>
        <w:rPr>
          <w:rFonts w:ascii="Arial" w:cs="Arial" w:eastAsia="Arial" w:hAnsi="Arial"/>
          <w:sz w:val="18"/>
          <w:szCs w:val="18"/>
          <w:b w:val="1"/>
          <w:bCs w:val="1"/>
          <w:color w:val="auto"/>
        </w:rPr>
        <w:t>Q: Will how I vote affect my ability to exercise redemption rights?</w:t>
      </w:r>
    </w:p>
    <w:p>
      <w:pPr>
        <w:spacing w:after="0" w:line="175" w:lineRule="exact"/>
        <w:rPr>
          <w:sz w:val="20"/>
          <w:szCs w:val="20"/>
          <w:color w:val="auto"/>
        </w:rPr>
      </w:pPr>
    </w:p>
    <w:p>
      <w:pPr>
        <w:jc w:val="both"/>
        <w:ind w:left="8" w:hanging="8"/>
        <w:spacing w:after="0" w:line="257" w:lineRule="auto"/>
        <w:tabs>
          <w:tab w:leader="none" w:pos="2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You may exercise your redemption rights whether you vote your shares of common stock for or against, or whether you abstain from voting on the Business Combination Proposal or any other proposal described by this proxy statement. As a result, the Merger Agreement can be approved by stockholders who will redeem their shares and no longer remain stockholders, leaving stockholders who choose not to redeem their shares holding shares in a company with a potentially less-liquid trading market, fewer stockholders, potentially less cash and the potential inability to meet the listing standards of Nasdaq.</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How do I exercise my redemption rights?</w:t>
      </w:r>
    </w:p>
    <w:p>
      <w:pPr>
        <w:spacing w:after="0" w:line="175" w:lineRule="exact"/>
        <w:rPr>
          <w:sz w:val="20"/>
          <w:szCs w:val="20"/>
          <w:color w:val="auto"/>
        </w:rPr>
      </w:pPr>
    </w:p>
    <w:p>
      <w:pPr>
        <w:jc w:val="both"/>
        <w:ind w:left="8" w:hanging="8"/>
        <w:spacing w:after="0" w:line="291" w:lineRule="auto"/>
        <w:tabs>
          <w:tab w:leader="none" w:pos="2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units into the underlying public shares and public warrants prior to exercising your redemption rights with respect to the public shares; and (ii) prior to</w:t>
      </w:r>
    </w:p>
    <w:p>
      <w:pPr>
        <w:jc w:val="both"/>
        <w:ind w:left="8"/>
        <w:spacing w:after="0" w:line="253" w:lineRule="auto"/>
        <w:rPr>
          <w:sz w:val="20"/>
          <w:szCs w:val="20"/>
          <w:color w:val="auto"/>
        </w:rPr>
      </w:pPr>
      <w:r>
        <w:rPr>
          <w:rFonts w:ascii="Arial" w:cs="Arial" w:eastAsia="Arial" w:hAnsi="Arial"/>
          <w:sz w:val="18"/>
          <w:szCs w:val="18"/>
          <w:color w:val="auto"/>
        </w:rPr>
        <w:t>5:00 p.m. Eastern time on [ ] (two business days before the Special Meeting) (a) submit a written request to the Transfer Agent that the Company redeem your public shares for cash and (b) deliver your public shares to the Transfer Agent, physically or electronically through DTC (as defined herein). Any demand for redemption, once made, may be withdrawn at any time until the deadline for exercising redemption requests and thereafter, with our consent, until the Closing.</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34" w:lineRule="exact"/>
        <w:rPr>
          <w:sz w:val="20"/>
          <w:szCs w:val="20"/>
          <w:color w:val="auto"/>
        </w:rPr>
      </w:pPr>
    </w:p>
    <w:p>
      <w:pPr>
        <w:jc w:val="both"/>
        <w:ind w:left="8"/>
        <w:spacing w:after="0" w:line="255" w:lineRule="auto"/>
        <w:rPr>
          <w:sz w:val="20"/>
          <w:szCs w:val="20"/>
          <w:color w:val="auto"/>
        </w:rPr>
      </w:pPr>
      <w:r>
        <w:rPr>
          <w:rFonts w:ascii="Arial" w:cs="Arial" w:eastAsia="Arial" w:hAnsi="Arial"/>
          <w:sz w:val="18"/>
          <w:szCs w:val="18"/>
          <w:color w:val="auto"/>
        </w:rPr>
        <w:t>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Depository Trust Company’s (“</w:t>
      </w:r>
      <w:r>
        <w:rPr>
          <w:rFonts w:ascii="Arial" w:cs="Arial" w:eastAsia="Arial" w:hAnsi="Arial"/>
          <w:sz w:val="18"/>
          <w:szCs w:val="18"/>
          <w:i w:val="1"/>
          <w:iCs w:val="1"/>
          <w:color w:val="auto"/>
        </w:rPr>
        <w:t>DTC</w:t>
      </w:r>
      <w:r>
        <w:rPr>
          <w:rFonts w:ascii="Arial" w:cs="Arial" w:eastAsia="Arial" w:hAnsi="Arial"/>
          <w:sz w:val="18"/>
          <w:szCs w:val="18"/>
          <w:color w:val="auto"/>
        </w:rPr>
        <w:t>”) Deposit/Withdrawal At Custodian (“</w:t>
      </w:r>
      <w:r>
        <w:rPr>
          <w:rFonts w:ascii="Arial" w:cs="Arial" w:eastAsia="Arial" w:hAnsi="Arial"/>
          <w:sz w:val="18"/>
          <w:szCs w:val="18"/>
          <w:i w:val="1"/>
          <w:iCs w:val="1"/>
          <w:color w:val="auto"/>
        </w:rPr>
        <w:t>DWAC</w:t>
      </w:r>
      <w:r>
        <w:rPr>
          <w:rFonts w:ascii="Arial" w:cs="Arial" w:eastAsia="Arial" w:hAnsi="Arial"/>
          <w:sz w:val="18"/>
          <w:szCs w:val="18"/>
          <w:color w:val="auto"/>
        </w:rPr>
        <w:t xml:space="preserve">”) system, at such stockholder’s option. </w:t>
      </w:r>
      <w:r>
        <w:rPr>
          <w:rFonts w:ascii="Arial" w:cs="Arial" w:eastAsia="Arial" w:hAnsi="Arial"/>
          <w:sz w:val="18"/>
          <w:szCs w:val="18"/>
          <w:b w:val="1"/>
          <w:bCs w:val="1"/>
          <w:u w:val="single" w:color="auto"/>
          <w:color w:val="auto"/>
        </w:rPr>
        <w:t>The requirement for physical or</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electronic delivery prior to the Special Meeting ensures that a redeeming stockholder’s election to redeem is irrevocable once the Business Combination is approved.</w:t>
      </w:r>
    </w:p>
    <w:p>
      <w:pPr>
        <w:spacing w:after="0" w:line="138" w:lineRule="exact"/>
        <w:rPr>
          <w:sz w:val="20"/>
          <w:szCs w:val="20"/>
          <w:color w:val="auto"/>
        </w:rPr>
      </w:pPr>
    </w:p>
    <w:p>
      <w:pPr>
        <w:jc w:val="both"/>
        <w:ind w:left="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stockholder. However, this fee would be incurred regardless of whether or not we require stockholders seeking to exercise redemption rights to tender their shares, as the need to deliver shares is a requirement to exercising redemption rights, regardless of the timing of when such delivery must be effectuated.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are the U.S. federal income tax consequences of exercising my redemption rights?</w:t>
      </w:r>
    </w:p>
    <w:p>
      <w:pPr>
        <w:spacing w:after="0" w:line="175" w:lineRule="exact"/>
        <w:rPr>
          <w:sz w:val="20"/>
          <w:szCs w:val="20"/>
          <w:color w:val="auto"/>
        </w:rPr>
      </w:pPr>
    </w:p>
    <w:p>
      <w:pPr>
        <w:jc w:val="both"/>
        <w:ind w:left="8" w:hanging="8"/>
        <w:spacing w:after="0" w:line="263" w:lineRule="auto"/>
        <w:tabs>
          <w:tab w:leader="none" w:pos="243"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U.S. federal income tax consequences of exercising your redemption rights depends on your particular facts and circumstances. It is possible that you may be treated as selling your public shares for cash and, as a result, recognize capital gain or capital loss. It is also possible that the redemption may be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8"/>
          </w:cols>
          <w:pgMar w:left="652" w:top="1417" w:right="339" w:bottom="1440" w:gutter="0" w:footer="0" w:header="0"/>
        </w:sectPr>
      </w:pPr>
    </w:p>
    <w:bookmarkStart w:id="35" w:name="page36"/>
    <w:bookmarkEnd w:id="35"/>
    <w:p>
      <w:pPr>
        <w:jc w:val="both"/>
        <w:ind w:left="8"/>
        <w:spacing w:after="0" w:line="257" w:lineRule="auto"/>
        <w:rPr>
          <w:sz w:val="20"/>
          <w:szCs w:val="20"/>
          <w:color w:val="auto"/>
        </w:rPr>
      </w:pPr>
      <w:r>
        <w:rPr>
          <w:rFonts w:ascii="Arial" w:cs="Arial" w:eastAsia="Arial" w:hAnsi="Arial"/>
          <w:sz w:val="18"/>
          <w:szCs w:val="18"/>
          <w:color w:val="auto"/>
        </w:rPr>
        <w:t>distribution for U.S. federal income tax purposes depending on the amount of public shares that you own or are deemed to own (including through the ownership of the warrants). Please see the section entitled “</w:t>
      </w:r>
      <w:r>
        <w:rPr>
          <w:rFonts w:ascii="Arial" w:cs="Arial" w:eastAsia="Arial" w:hAnsi="Arial"/>
          <w:sz w:val="18"/>
          <w:szCs w:val="18"/>
          <w:i w:val="1"/>
          <w:iCs w:val="1"/>
          <w:color w:val="auto"/>
        </w:rPr>
        <w:t>Proposal No. 1 — Approval of the Business Combination — Material United States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 Considerations for Public Stockholders Exercising Redemption Rights</w:t>
      </w:r>
      <w:r>
        <w:rPr>
          <w:rFonts w:ascii="Arial" w:cs="Arial" w:eastAsia="Arial" w:hAnsi="Arial"/>
          <w:sz w:val="18"/>
          <w:szCs w:val="18"/>
          <w:color w:val="auto"/>
        </w:rPr>
        <w:t>” for a more detailed discussion of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considerations of an exercise of redemption rights. We urge you to consult your tax advisors regarding the tax consequences of exercising your redemption rights in your particular facts and circumstances.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If I am a Company warrant holder, can I exercise redemption rights with respect to my public warrants?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The holders of our public warrants have no redemption rights with respect to our public warrants.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Do I have appraisal rights if I object to the proposed Business Combination?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A: No. Appraisal rights are not available to holders of our common stock in connection with the Business Combination.</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to the funds held in the Trust Account upon consummation of the Business Combination?</w:t>
      </w:r>
    </w:p>
    <w:p>
      <w:pPr>
        <w:spacing w:after="0" w:line="175" w:lineRule="exact"/>
        <w:rPr>
          <w:sz w:val="20"/>
          <w:szCs w:val="20"/>
          <w:color w:val="auto"/>
        </w:rPr>
      </w:pPr>
    </w:p>
    <w:p>
      <w:pPr>
        <w:jc w:val="both"/>
        <w:ind w:left="8" w:hanging="8"/>
        <w:spacing w:after="0" w:line="259" w:lineRule="auto"/>
        <w:tabs>
          <w:tab w:leader="none" w:pos="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funds held in the Trust Account (together with the proceeds from the PIPE Investment) will be used to pay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Business Combination, and pursuant to the terms of the Merger Agreement.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happens if the Business Combination is not consummated?</w:t>
      </w:r>
    </w:p>
    <w:p>
      <w:pPr>
        <w:spacing w:after="0" w:line="175" w:lineRule="exact"/>
        <w:rPr>
          <w:sz w:val="20"/>
          <w:szCs w:val="20"/>
          <w:color w:val="auto"/>
        </w:rPr>
      </w:pPr>
    </w:p>
    <w:p>
      <w:pPr>
        <w:ind w:left="8" w:hanging="8"/>
        <w:spacing w:after="0" w:line="308" w:lineRule="auto"/>
        <w:tabs>
          <w:tab w:leader="none" w:pos="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There are certain circumstances under which the Merger Agreement may be terminated. Please see the section entitled “</w:t>
      </w:r>
      <w:r>
        <w:rPr>
          <w:rFonts w:ascii="Arial" w:cs="Arial" w:eastAsia="Arial" w:hAnsi="Arial"/>
          <w:sz w:val="17"/>
          <w:szCs w:val="17"/>
          <w:i w:val="1"/>
          <w:iCs w:val="1"/>
          <w:color w:val="auto"/>
        </w:rPr>
        <w:t>Proposal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 — The Merger Agreement</w:t>
      </w:r>
      <w:r>
        <w:rPr>
          <w:rFonts w:ascii="Arial" w:cs="Arial" w:eastAsia="Arial" w:hAnsi="Arial"/>
          <w:sz w:val="17"/>
          <w:szCs w:val="17"/>
          <w:color w:val="auto"/>
        </w:rPr>
        <w:t>” for information regarding the parties’ specific termination rights.</w:t>
      </w:r>
    </w:p>
    <w:p>
      <w:pPr>
        <w:spacing w:after="0" w:line="92" w:lineRule="exact"/>
        <w:rPr>
          <w:sz w:val="20"/>
          <w:szCs w:val="20"/>
          <w:color w:val="auto"/>
        </w:rPr>
      </w:pPr>
    </w:p>
    <w:p>
      <w:pPr>
        <w:jc w:val="both"/>
        <w:ind w:left="8"/>
        <w:spacing w:after="0" w:line="287" w:lineRule="auto"/>
        <w:rPr>
          <w:sz w:val="20"/>
          <w:szCs w:val="20"/>
          <w:color w:val="auto"/>
        </w:rPr>
      </w:pPr>
      <w:r>
        <w:rPr>
          <w:rFonts w:ascii="Arial" w:cs="Arial" w:eastAsia="Arial" w:hAnsi="Arial"/>
          <w:sz w:val="16"/>
          <w:szCs w:val="16"/>
          <w:color w:val="auto"/>
        </w:rPr>
        <w:t>If we do not consummate the Business Combination, we may continue to try to complete a business combination with a different target business until the applicable deadline. If we fail to complete an initial business combination by the applicable deadline, then we will: (i) cease all operations except for the purpose of winding up; (ii) as promptly as reasonably possible but not more than ten business days thereafter, redeem our public shares, at a per-share price, payable in cash, equal to the aggregate amount then on deposit in the Trust Account, including interest not previously released to the Company to pay its franchise and income taxes (less up to $100,000 of interest to pay dissolution expenses), divided by the number of then outstanding public shares, which redemption will completely extinguish our public stockholders’ rights 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Delaware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IPO. Please see the section entitled “</w:t>
      </w:r>
      <w:r>
        <w:rPr>
          <w:rFonts w:ascii="Arial" w:cs="Arial" w:eastAsia="Arial" w:hAnsi="Arial"/>
          <w:sz w:val="16"/>
          <w:szCs w:val="16"/>
          <w:i w:val="1"/>
          <w:iCs w:val="1"/>
          <w:color w:val="auto"/>
        </w:rPr>
        <w:t>Risk Factors — Risks Related to the Company and the Business Combination</w:t>
      </w:r>
      <w:r>
        <w:rPr>
          <w:rFonts w:ascii="Arial" w:cs="Arial" w:eastAsia="Arial" w:hAnsi="Arial"/>
          <w:sz w:val="16"/>
          <w:szCs w:val="16"/>
          <w:color w:val="auto"/>
        </w:rPr>
        <w:t>.”</w:t>
      </w:r>
    </w:p>
    <w:p>
      <w:pPr>
        <w:spacing w:after="0" w:line="118" w:lineRule="exact"/>
        <w:rPr>
          <w:sz w:val="20"/>
          <w:szCs w:val="20"/>
          <w:color w:val="auto"/>
        </w:rPr>
      </w:pPr>
    </w:p>
    <w:p>
      <w:pPr>
        <w:jc w:val="both"/>
        <w:ind w:left="8"/>
        <w:spacing w:after="0" w:line="279" w:lineRule="auto"/>
        <w:rPr>
          <w:sz w:val="20"/>
          <w:szCs w:val="20"/>
          <w:color w:val="auto"/>
        </w:rPr>
      </w:pPr>
      <w:r>
        <w:rPr>
          <w:rFonts w:ascii="Arial" w:cs="Arial" w:eastAsia="Arial" w:hAnsi="Arial"/>
          <w:sz w:val="17"/>
          <w:szCs w:val="17"/>
          <w:color w:val="auto"/>
        </w:rPr>
        <w:t>Holders of our Founder Shares have waived any right to any liquidation distribution with respect to such shares and the underwriters of our IPO agreed to waive their rights to the business combination marketing fee held in the Trust Account in the event we do not complete our initial business combination within the required period. In addition, if we fail to complete a business combination by the applicable deadline, there will be no redemption rights or liquidating distributions with respect to our outstanding warrants, which will expire worthless.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8"/>
          </w:cols>
          <w:pgMar w:left="652" w:top="1421" w:right="339" w:bottom="1440" w:gutter="0" w:footer="0" w:header="0"/>
        </w:sectPr>
      </w:pPr>
    </w:p>
    <w:bookmarkStart w:id="36" w:name="page37"/>
    <w:bookmarkEnd w:id="36"/>
    <w:p>
      <w:pPr>
        <w:ind w:left="8"/>
        <w:spacing w:after="0"/>
        <w:rPr>
          <w:sz w:val="20"/>
          <w:szCs w:val="20"/>
          <w:color w:val="auto"/>
        </w:rPr>
      </w:pPr>
      <w:r>
        <w:rPr>
          <w:rFonts w:ascii="Arial" w:cs="Arial" w:eastAsia="Arial" w:hAnsi="Arial"/>
          <w:sz w:val="18"/>
          <w:szCs w:val="18"/>
          <w:b w:val="1"/>
          <w:bCs w:val="1"/>
          <w:color w:val="auto"/>
        </w:rPr>
        <w:t>Q: When is the Business Combination expected to be completed?</w:t>
      </w:r>
    </w:p>
    <w:p>
      <w:pPr>
        <w:spacing w:after="0" w:line="175" w:lineRule="exact"/>
        <w:rPr>
          <w:sz w:val="20"/>
          <w:szCs w:val="20"/>
          <w:color w:val="auto"/>
        </w:rPr>
      </w:pPr>
    </w:p>
    <w:p>
      <w:pPr>
        <w:jc w:val="both"/>
        <w:ind w:left="8" w:hanging="8"/>
        <w:spacing w:after="0" w:line="259" w:lineRule="auto"/>
        <w:tabs>
          <w:tab w:leader="none" w:pos="2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Proposal No. 1 — Approval of the Business Combination — The Merger Agreement —</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The closing is expected to occur in the third quarter of 2021. The Merger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the Company or Sema4 if the Closing has not occurred by November 9, 2021.</w:t>
      </w:r>
    </w:p>
    <w:p>
      <w:pPr>
        <w:spacing w:after="0" w:line="133"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Proposal No. 1 — Approval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 The Merger Agreement— Conditions to 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What do I need to do now?</w:t>
      </w:r>
    </w:p>
    <w:p>
      <w:pPr>
        <w:spacing w:after="0" w:line="175" w:lineRule="exact"/>
        <w:rPr>
          <w:sz w:val="20"/>
          <w:szCs w:val="20"/>
          <w:color w:val="auto"/>
        </w:rPr>
      </w:pPr>
    </w:p>
    <w:p>
      <w:pPr>
        <w:jc w:val="both"/>
        <w:ind w:left="8" w:hanging="8"/>
        <w:spacing w:after="0" w:line="259"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You are urged to carefully read and consider the information contained in this proxy statement, including the Annexes, and to consider how the Business Combination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will solicit and pay the cost of soliciting proxies for the Special Meeting?</w:t>
      </w:r>
    </w:p>
    <w:p>
      <w:pPr>
        <w:spacing w:after="0" w:line="175" w:lineRule="exact"/>
        <w:rPr>
          <w:sz w:val="20"/>
          <w:szCs w:val="20"/>
          <w:color w:val="auto"/>
        </w:rPr>
      </w:pPr>
    </w:p>
    <w:p>
      <w:pPr>
        <w:jc w:val="both"/>
        <w:ind w:left="8" w:hanging="8"/>
        <w:spacing w:after="0" w:line="291" w:lineRule="auto"/>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$25,000,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common stock for their expenses in forwarding soliciting materials to beneficial owners of the Company’s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Q: Who can help answer my questions?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color w:val="auto"/>
        </w:rPr>
        <w:t>A: If you have questions about the proposals or if you need additional copies of this proxy statement or the enclosed proxy card you should contact:</w:t>
      </w:r>
    </w:p>
    <w:p>
      <w:pPr>
        <w:spacing w:after="0" w:line="1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10065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Attn: Eli Casdin</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Eli@casdincapital.com</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You may also contact our proxy solicitor at:</w:t>
      </w:r>
    </w:p>
    <w:p>
      <w:pPr>
        <w:spacing w:after="0" w:line="17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Email: CMLF@dfking.com</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obtain timely delivery, our stockholders must request the materials no later than five business days prior to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8"/>
          </w:cols>
          <w:pgMar w:left="652" w:top="1417"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w:t>
      </w:r>
      <w:r>
        <w:rPr>
          <w:rFonts w:ascii="Arial" w:cs="Arial" w:eastAsia="Arial" w:hAnsi="Arial"/>
          <w:sz w:val="18"/>
          <w:szCs w:val="18"/>
          <w:color w:val="auto"/>
        </w:rPr>
        <w:t xml:space="preserve"> </w:t>
      </w:r>
      <w:r>
        <w:rPr>
          <w:rFonts w:ascii="Arial" w:cs="Arial" w:eastAsia="Arial" w:hAnsi="Arial"/>
          <w:sz w:val="18"/>
          <w:szCs w:val="18"/>
          <w:i w:val="1"/>
          <w:iCs w:val="1"/>
          <w:color w:val="auto"/>
        </w:rPr>
        <w:t>You Can Find More Information</w:t>
      </w:r>
      <w:r>
        <w:rPr>
          <w:rFonts w:ascii="Arial" w:cs="Arial" w:eastAsia="Arial" w:hAnsi="Arial"/>
          <w:sz w:val="18"/>
          <w:szCs w:val="18"/>
          <w:color w:val="auto"/>
        </w:rPr>
        <w: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you intend to seek redemption of your public shares, you will need to send a letter demanding redemption and deliver your stock (either physically or electronically) to our Transfer Agent prior to the Special Meeting in accordance with the procedures detailed under the question “</w:t>
      </w:r>
      <w:r>
        <w:rPr>
          <w:rFonts w:ascii="Arial" w:cs="Arial" w:eastAsia="Arial" w:hAnsi="Arial"/>
          <w:sz w:val="16"/>
          <w:szCs w:val="16"/>
          <w:i w:val="1"/>
          <w:iCs w:val="1"/>
          <w:color w:val="auto"/>
        </w:rPr>
        <w:t>How do I exercise</w:t>
      </w:r>
      <w:r>
        <w:rPr>
          <w:rFonts w:ascii="Arial" w:cs="Arial" w:eastAsia="Arial" w:hAnsi="Arial"/>
          <w:sz w:val="16"/>
          <w:szCs w:val="16"/>
          <w:color w:val="auto"/>
        </w:rPr>
        <w:t xml:space="preserve"> </w:t>
      </w:r>
      <w:r>
        <w:rPr>
          <w:rFonts w:ascii="Arial" w:cs="Arial" w:eastAsia="Arial" w:hAnsi="Arial"/>
          <w:sz w:val="16"/>
          <w:szCs w:val="16"/>
          <w:i w:val="1"/>
          <w:iCs w:val="1"/>
          <w:color w:val="auto"/>
        </w:rPr>
        <w:t>my redemption rights</w:t>
      </w:r>
      <w:r>
        <w:rPr>
          <w:rFonts w:ascii="Arial" w:cs="Arial" w:eastAsia="Arial" w:hAnsi="Arial"/>
          <w:sz w:val="16"/>
          <w:szCs w:val="16"/>
          <w:color w:val="auto"/>
        </w:rPr>
        <w:t>?” If you have questions regarding the certification of your position or delivery of your stock, please contact our Transfer Agent:</w:t>
      </w:r>
    </w:p>
    <w:p>
      <w:pPr>
        <w:spacing w:after="0" w:line="9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660" w:top="1421" w:right="339" w:bottom="1440" w:gutter="0" w:footer="0" w:header="0"/>
        </w:sectPr>
      </w:pPr>
    </w:p>
    <w:bookmarkStart w:id="38" w:name="page39"/>
    <w:bookmarkEnd w:id="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This summary highlights selected information contained in this proxy statement and does not contain all of the information that may be important to you. You should carefully read this entire proxy statement, including the Annexes and accompanying financial statements of the Company and Sema4, to fully understand the proposed Business Combination (as described below) before voting on the proposals to be considered at the Special Meeting (as described below). Please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of this proxy statement.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Unless otherwise specified, all share calculations assume: (i) no exercise of redemption rights by the Company’s public stockholders; (ii) no inclusion of any shares of Class A common stock issuable upon the exercise of the Company’s warrants or any shares to be issued pursuant to the Incentive Plan or the ESPP at or following the Closing; (iii) an equity raise of approximately $350,000,000 of gross proceeds from the PIPE Investment of 35,000,000 shares of common stock at $10.00 per share; and (iv) no issuance of the Earn-Out Shares to Sema4 equity holders upon satisfaction of the earn-out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 blank check company incorporated as a Delaware corporation and formed for the purpose of effecting a merger, capital stock exchange, asset acquisition, stock purchase, reorganization or similar business combination with one or more businesses.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the Company’s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Merger Sub, a Delaware corporation, is a wholly-owned subsidiary of the Company, formed by the Company in February 1, 2021, to consummate the Business Combination. In the Business Combination, Merger Sub will merge with and into Sema4, with Sema4 continuing as the surviving corporation.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mailing address of Merger Sub’s principal executive office is 667 Madison Avenue, New York, New York 10065.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was formed in October 2015 as Mount Sinai Genomics, Inc., a Delaware corporation, doing business as Sema4, and commenced operations in 2017. 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jc w:val="both"/>
        <w:ind w:firstLine="324"/>
        <w:spacing w:after="0" w:line="259" w:lineRule="auto"/>
        <w:rPr>
          <w:sz w:val="20"/>
          <w:szCs w:val="20"/>
          <w:color w:val="auto"/>
        </w:rPr>
      </w:pPr>
      <w:r>
        <w:rPr>
          <w:rFonts w:ascii="Arial" w:cs="Arial" w:eastAsia="Arial" w:hAnsi="Arial"/>
          <w:sz w:val="18"/>
          <w:szCs w:val="18"/>
          <w:color w:val="auto"/>
        </w:rPr>
        <w:t>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Sema4’s principal executive office is located at 333 Ludlow Street, North Tower, 8th floor, Stamford, CT 06902, and its telephone number is (800) 298-6470. Sema4’s corporate website address is </w:t>
      </w:r>
      <w:r>
        <w:rPr>
          <w:rFonts w:ascii="Arial" w:cs="Arial" w:eastAsia="Arial" w:hAnsi="Arial"/>
          <w:sz w:val="17"/>
          <w:szCs w:val="17"/>
          <w:i w:val="1"/>
          <w:iCs w:val="1"/>
          <w:color w:val="auto"/>
        </w:rPr>
        <w:t>https://www.sema4.com/</w:t>
      </w:r>
      <w:r>
        <w:rPr>
          <w:rFonts w:ascii="Arial" w:cs="Arial" w:eastAsia="Arial" w:hAnsi="Arial"/>
          <w:sz w:val="17"/>
          <w:szCs w:val="17"/>
          <w:color w:val="auto"/>
        </w:rPr>
        <w:t>. Sema4’s website and the information contained on, or that can be accessed through, the website is not deemed to be incorporated by reference in, and is not considered part of, this proxy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Proposal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Merger Sub entered into the Merger Agreement with Sema4. The Sema4 stockholders have unanimously adopted and approved the Merger Agreement. CMLS shares are currently listed on Nasdaq. If the Merger Agreement is approved by Company stockholders at the Special Meeting, Merger Sub will merge with and into Sema4, with Sema4 surviving the merger as a wholly owned subsidiary of the Company. For more information about the transactions contemplated by the Merger Agreement, please see the section entitled “P</w:t>
      </w:r>
      <w:r>
        <w:rPr>
          <w:rFonts w:ascii="Arial" w:cs="Arial" w:eastAsia="Arial" w:hAnsi="Arial"/>
          <w:sz w:val="17"/>
          <w:szCs w:val="17"/>
          <w:i w:val="1"/>
          <w:iCs w:val="1"/>
          <w:color w:val="auto"/>
        </w:rPr>
        <w:t>roposal No. 1 —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of the Business Combination</w:t>
      </w:r>
      <w:r>
        <w:rPr>
          <w:rFonts w:ascii="Arial" w:cs="Arial" w:eastAsia="Arial" w:hAnsi="Arial"/>
          <w:sz w:val="17"/>
          <w:szCs w:val="17"/>
          <w:color w:val="auto"/>
        </w:rPr>
        <w:t>.” Copy of the Merger Agreement is attached to this proxy statement as Annex 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to the Sema4 shareholders</w:t>
      </w:r>
    </w:p>
    <w:p>
      <w:pPr>
        <w:spacing w:after="0" w:line="17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21" w:right="339" w:bottom="1440" w:gutter="0" w:footer="0" w:header="0"/>
        </w:sectPr>
      </w:pPr>
    </w:p>
    <w:bookmarkStart w:id="40" w:name="page41"/>
    <w:bookmarkEnd w:id="40"/>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section describes the material provisions of the Related Agreements, but does not purport to describe all of the terms thereof. The following summary is qualified in its entirety by reference to the complete text of each of the Related Agreements. Forms of the Forfeiture Agreement, Shareholder Lock-up Letter, Sponsor Support Agreement and Subscription Agreement are attached hereto as Annexes C, D, and E, respectively. Stockholders and other interested parties are urged to read such Related Agreements in their entirety prior to voting on the proposals presented at the Special Meeting.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execution of the Business Combination Agreement, the Company, the Sponsor and certain other parties thereto (collectively, the “rights holders”) enter into the Amended and Restated Registration Rights Agreement, a form of which was agreed to on February 9, 2021, which will amend and restate in its entirety the existing registration rights agreement, dated September 1, 2020, by and between CMLS and the parties thereto. Pursuant to the terms of the Amended and Restated Registration Rights Agreement, CMLS is to prepare and file with the SEC, no later than 30 days after the Closing Date, a shelf registration statement for an offering to be made on a continuous basis from time to time with respect to the resale of the registrable shares under the Amended and Restated Registration Rights Agreement. CMLS is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CMLS that it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 review such registration statement, subject to extension in the event that the registration is subject comments from the SEC.</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CMLS file a registration statement on Form S-1 or Form S-3 to register certain shares of CMLS Class A common stock held by such rights holders. The Amended and Restated Registration Rights Agreement will also provide the rights holders with “piggy-back” registration rights, subject to certain requirements and customary conditions. The Company will bear the expenses incurred in connection with the filing of any such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Agreement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connection with the execution of the Merger Agreement, the Company and the Sponsor entered into the Forfeiture Agreement whereby the Sponsor agreed to forfeit certain of its Private Placement Warrants and Class B common stock. Under the Forfeiture Agreement, up to 33% of Sponsor’s warrants and shares are subject to forfeiture based on the extent of redemptions from the Trust Account, such that Sponsor shall forfeit the full 33% of such warrants and shares if there are redemptions for 100% of the Trust Account and no warrants or shares if there are less than 3% redemptions (with the portion of such 33% of Sponsor’s warrants and shares that are forfeited adjusting on a linear basis in between 100% and 3% redemptions from the Trust Account).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execution of the Merger Agreement, the Company and 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a shareholder of Sema4, entered into the ISMMS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ISMMS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ISMMS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 Company’s stockholders having the right to exchange their shares of Company capital stock for cash, securities or other property. Notwithstanding the foregoing, the ISMMS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connection with the execution of the Merger Agreement, each Sema4 Stockholder holding more than 1% of the outstanding common stock of Sema4 prior to the into a Stockholder Lock-up Agreement whereby such shareholder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Company Class A common stock issued to such shareholder pursuant to the Merger Agreement (such shares of Company Class A common stock, the “Lock-up Shares”), (ii) enter into any swap or other arrangement that transfers to another, in whole or in part, any of the economic consequences of ownership of any of the Lock-up Shares, in cash or otherwise, or (iii) publicly announce any intention to effect any transaction specified in clause (i) or (ii); the PIPE Investor will take none of the foregoing actions until the earliest of (a) the date that is 180 calendar days from the Closing Date, and (b) the date following the Closing Date on which the Company completes a liquidation, merger, stock exchange or other similar transaction that results in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21" w:right="339" w:bottom="1440" w:gutter="0" w:footer="0" w:header="0"/>
        </w:sectPr>
      </w:pPr>
    </w:p>
    <w:bookmarkStart w:id="42" w:name="page43"/>
    <w:bookmarkEnd w:id="42"/>
    <w:p>
      <w:pPr>
        <w:jc w:val="both"/>
        <w:spacing w:after="0" w:line="301" w:lineRule="auto"/>
        <w:rPr>
          <w:sz w:val="20"/>
          <w:szCs w:val="20"/>
          <w:color w:val="auto"/>
        </w:rPr>
      </w:pPr>
      <w:r>
        <w:rPr>
          <w:rFonts w:ascii="Arial" w:cs="Arial" w:eastAsia="Arial" w:hAnsi="Arial"/>
          <w:sz w:val="16"/>
          <w:szCs w:val="16"/>
          <w:color w:val="auto"/>
        </w:rPr>
        <w:t>Company’s stockholders having the right to exchange their shares of Company capital stock for cash, securities or other property. Notwithstanding the foregoing, the shareholder may take any of the actions specified in clauses (i), (ii) and (iii) above at any time after the first date on which the closing price of Company Class A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Support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connection with the execution of the Merger Agreement, the Sponsor entered into the Sponsor Support Agreement with the Company and Sema4, pursuant to which, among other things, the Sponsor agreed to vote all shares of Company Class B Stock and Private Placement Warrants beneficially owned by the Sponsor in favor of each of the proposals and any other matters necessary or reasonably requested by Sema4 for consummation of the merger and the other transactions contemplated by the Merger Agreement, and against any other competing business combination proposal.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Sponsor Support Agreement provides that the Sponsor will not redeem any shares of common stock in connection with the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also agreed, subject to certain exceptions, not to (a) transfer any of its Company Class B Stock (which, immediately prior to the effective time, will be converted into 1/100th of a share of Class A common stock in accordance with organizational documents of Sema4) or Private Placement Warrants, (b) enter into any swap or other arrangement that transfers to another the Sponsor’s Company Class B Stock or Private Placement Warrants, (c) publicly announce any intention to effect any transaction specified by the foregoing until the earlier of (i) the effective time, (ii) such date and time as the Merger Agreement is terminated in accordance with its terms (the earlier of (i) and (ii), the “expiration time”), (iii) liquidation of the Company subsequent to the Closing.</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Sponsor Support Agreement provides for the terms of the Sponsor’s lock-up period with respect to its capital stock and warrants, the agreement also provides that no amendment may be made to the Inside Letter.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Sponsor Support Agreement shall terminate and be of no further force or effect upon the earliest of: (i) the expiration time, (b) the liquidation of the Company, (iii) the written agreement of the Company, Sponsor and Sema4. Upon such termination of the Sponsor Support Agreement, all obligations of the parties under such agreement will terminate, without any liability or other obligation on the part of any party to any person in respect thereof or the transactions contemplated thereby, and no party shall have any claim against another (and no person shall have any rights against such party), whether under contract, tort or otherwise, with respect to the subject matter thereof; provided, however, that the termination of the Sponsor Support Agreement shall not relieve any party thereto from liability arising in respect of any breach of the Sponsor Support Agreement prior to such termination.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 Letter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connection with the underwriting agreement and the IPO of the Company, the Company, the Sponsor and each insider and the Sponsor entered into the Insider Letter providing for a lock-up in relation to the Sponsor’s Class B common stock of the Company or any shares of Class A common stock of the Company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30-day trading day period commencing at least 150 days after the Company’s initial business combination or (y) the date following the completion of the Company’s initial business combination on which the Company completes a liquidation, merger, capital stock exchange, reorganization or other similar transaction that results in all of the Company’s stockholders having the right to exchange their shares of Class A common stock for cash securities or other property. The Sponsor and each insider also agreed not to transfer any Private Placement Warrants (or any share of Class A common stock issued or issuable upon the exercise of the Private Placement Warrants), until 30 days after the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Plan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approved the form of the Incentive Plan on February 9, 2021, subject to stockholder approval of the Incentive Plan at the Special Meeting. The purpose of the Incentive Plan is to promote our long-term success of the Company and the creation of stockholder value by encouraging service providers to focus on critical long-range corporate objectives, encouraging the attraction and retention of service providers with exceptional qualifications and linking service providers directly to stockholder interests through increased stock ownership. These incentives are provided through the grant of stock options, including incentive stock options, and nonqualified stock options, stock appreciation rights, restricted stock, and restricted stock units. For more information about the Incentive Plan, please see the section entitled “</w:t>
      </w:r>
      <w:r>
        <w:rPr>
          <w:rFonts w:ascii="Arial" w:cs="Arial" w:eastAsia="Arial" w:hAnsi="Arial"/>
          <w:sz w:val="16"/>
          <w:szCs w:val="16"/>
          <w:i w:val="1"/>
          <w:iCs w:val="1"/>
          <w:color w:val="auto"/>
        </w:rPr>
        <w:t>Proposal No. 5 — Approval of the Incentive Plan — Summary of the Incentive Plan</w:t>
      </w:r>
      <w:r>
        <w:rPr>
          <w:rFonts w:ascii="Arial" w:cs="Arial" w:eastAsia="Arial" w:hAnsi="Arial"/>
          <w:sz w:val="16"/>
          <w:szCs w:val="16"/>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Board approved the form of the ESPP on February 9, 2021 subject to stockholder approval of the ESPP at the Special Meeting. The purpose of the ESPP Proposal is to provide eligible employees with an opportunity to increase their proprietary interest in the success of the Company by purchasing common stock on favorable terms and to pay for such purchases through payroll deductions. The Company believes by providing eligible employees with an opportunity to increase their proprietary interest in the success of the Company, the ESPP will motivate participants to offer their maximum effort to the Company and help focus them on the creation of long-term value consistent with the interests of the Company’s stockholders. For more information about the Incentive Plan, please see the section entitled “Proposal No. 6 — Approval of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our current certificate of incorporation, holders of public shares may elect to have their shares redeemed for cash at the applicable redemption price per share equal to the quotient obtained by dividing (i) the aggregate amount on deposit in the Trust Account as of two business days prior to the consummation of the Business Combination, including interest not previously released to the Company to pay its franchise and income taxes, by (ii) the total number of then-outstanding public shares; provided that the Company will not redeem any shares of common stock issued in the IPO to the extent that such redemption would result in the Company’s failure to have net tangible assets (as determined in accordance with Rule 3a51-1(g)(1) of the Exchange Act) in excess of $5,000,001. As of December 31, 2020, the estimated per share redemption price would have been approximately $10.00.</w:t>
      </w:r>
    </w:p>
    <w:p>
      <w:pPr>
        <w:spacing w:after="0" w:line="1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 Any request for redemption may be withdrawn until the deadline for submitting redemption requests and thereafter, with our consent, until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Impact of the Business Combination on the Company’s Public Float</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35,000,000 shares of common stock in the aggregate, for $350,000,000 of</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The ownership percentage with respect to the post-combination company following the Business Combination does not take into account</w:t>
      </w:r>
    </w:p>
    <w:p>
      <w:pPr>
        <w:spacing w:after="0" w:line="5" w:lineRule="exact"/>
        <w:rPr>
          <w:sz w:val="20"/>
          <w:szCs w:val="20"/>
          <w:color w:val="auto"/>
        </w:rPr>
      </w:pPr>
    </w:p>
    <w:p>
      <w:pPr>
        <w:jc w:val="both"/>
        <w:ind w:firstLine="8"/>
        <w:spacing w:after="0" w:line="269" w:lineRule="auto"/>
        <w:tabs>
          <w:tab w:leader="none" w:pos="231" w:val="left"/>
        </w:tabs>
        <w:numPr>
          <w:ilvl w:val="0"/>
          <w:numId w:val="80"/>
        </w:numPr>
        <w:rPr>
          <w:rFonts w:ascii="Arial" w:cs="Arial" w:eastAsia="Arial" w:hAnsi="Arial"/>
          <w:sz w:val="17"/>
          <w:szCs w:val="17"/>
          <w:color w:val="auto"/>
        </w:rPr>
      </w:pPr>
      <w:r>
        <w:rPr>
          <w:rFonts w:ascii="Arial" w:cs="Arial" w:eastAsia="Arial" w:hAnsi="Arial"/>
          <w:sz w:val="17"/>
          <w:szCs w:val="17"/>
          <w:color w:val="auto"/>
        </w:rPr>
        <w:t>warrants to purchase common stock that will remain outstanding immediately following the Business Combination, (ii) the issuance of the Earn-Out Shares to the Sema4 equity holders should the earn-out conditions in the Merger Agreement be satisfied or (iii) the issuance of any shares upon completion of the Business Combination under the Incentive Plan and the ESPP, copies of which are attached to this proxy statement as Annex D and Annex E, respectively. If the actual facts are different than these assumptions, the percentage ownership retained by the Company’s existing stockholders in the post-combination company will be different. For more information, please see the sections entitled “</w:t>
      </w:r>
      <w:r>
        <w:rPr>
          <w:rFonts w:ascii="Arial" w:cs="Arial" w:eastAsia="Arial" w:hAnsi="Arial"/>
          <w:sz w:val="17"/>
          <w:szCs w:val="17"/>
          <w:i w:val="1"/>
          <w:iCs w:val="1"/>
          <w:color w:val="auto"/>
        </w:rPr>
        <w:t>Summary of the Proxy Statement — Impact of 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 “</w:t>
      </w:r>
      <w:r>
        <w:rPr>
          <w:rFonts w:ascii="Arial" w:cs="Arial" w:eastAsia="Arial" w:hAnsi="Arial"/>
          <w:sz w:val="17"/>
          <w:szCs w:val="17"/>
          <w:i w:val="1"/>
          <w:iCs w:val="1"/>
          <w:color w:val="auto"/>
        </w:rPr>
        <w:t>Proposal No. 6 — Approval of the ESPP</w:t>
      </w:r>
      <w:r>
        <w:rPr>
          <w:rFonts w:ascii="Arial" w:cs="Arial" w:eastAsia="Arial" w:hAnsi="Arial"/>
          <w:sz w:val="17"/>
          <w:szCs w:val="17"/>
          <w:color w:val="auto"/>
        </w:rPr>
        <w:t>.”</w:t>
      </w:r>
    </w:p>
    <w:p>
      <w:pPr>
        <w:spacing w:after="0" w:line="12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illustrates varying ownership levels in the Company, assuming no redemptions by the Company’s public stockholders and the maximum redemptions by the Company’s stockholders: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No Redemptions</w:t>
            </w:r>
          </w:p>
        </w:tc>
        <w:tc>
          <w:tcPr>
            <w:tcW w:w="1700" w:type="dxa"/>
            <w:vAlign w:val="bottom"/>
          </w:tcPr>
          <w:p>
            <w:pPr>
              <w:jc w:val="right"/>
              <w:ind w:right="13"/>
              <w:spacing w:after="0"/>
              <w:rPr>
                <w:sz w:val="20"/>
                <w:szCs w:val="20"/>
                <w:color w:val="auto"/>
              </w:rPr>
            </w:pPr>
            <w:r>
              <w:rPr>
                <w:rFonts w:ascii="Arial" w:cs="Arial" w:eastAsia="Arial" w:hAnsi="Arial"/>
                <w:sz w:val="14"/>
                <w:szCs w:val="14"/>
                <w:b w:val="1"/>
                <w:bCs w:val="1"/>
                <w:color w:val="auto"/>
              </w:rPr>
              <w:t>Maximum Redemptions</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Company’s public stockholders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PIPE Investors</w:t>
            </w:r>
          </w:p>
        </w:tc>
        <w:tc>
          <w:tcPr>
            <w:tcW w:w="170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Stockholders (excluding certain PIPE Investors)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 former Sema4 equity holders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77.3 %</w:t>
            </w:r>
          </w:p>
        </w:tc>
      </w:tr>
      <w:tr>
        <w:trPr>
          <w:trHeight w:val="248"/>
        </w:trPr>
        <w:tc>
          <w:tcPr>
            <w:tcW w:w="77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Unaudited Pro Forma Condensed Combined Financial Information — Description of the Transaction</w:t>
      </w:r>
      <w:r>
        <w:rPr>
          <w:rFonts w:ascii="Arial" w:cs="Arial" w:eastAsia="Arial" w:hAnsi="Arial"/>
          <w:sz w:val="18"/>
          <w:szCs w:val="18"/>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Charter Approval Proposal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Closing, our current certificate of incorporation will be amended promptly to reflect the Charter Approval Proposal to:</w:t>
      </w:r>
    </w:p>
    <w:p>
      <w:pPr>
        <w:spacing w:after="0" w:line="17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tables;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 unless 2/3rds of the whole board of directors of the post-combination company approves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7" w:right="339" w:bottom="1440" w:gutter="0" w:footer="0" w:header="0"/>
        </w:sectPr>
      </w:pPr>
    </w:p>
    <w:bookmarkStart w:id="45" w:name="page46"/>
    <w:bookmarkEnd w:id="45"/>
    <w:p>
      <w:pPr>
        <w:ind w:left="660"/>
        <w:spacing w:after="0" w:line="277" w:lineRule="auto"/>
        <w:rPr>
          <w:sz w:val="20"/>
          <w:szCs w:val="20"/>
          <w:color w:val="auto"/>
        </w:rPr>
      </w:pPr>
      <w:r>
        <w:rPr>
          <w:rFonts w:ascii="Arial" w:cs="Arial" w:eastAsia="Arial" w:hAnsi="Arial"/>
          <w:sz w:val="18"/>
          <w:szCs w:val="18"/>
          <w:color w:val="auto"/>
        </w:rPr>
        <w:t>an amendment in which case such stockholder vote will require only a majority in voting power of the then outstanding stock of the post-combination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Proposals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stockholders of the Company will be asked to vote on:</w:t>
      </w:r>
    </w:p>
    <w:p>
      <w:pPr>
        <w:spacing w:after="0" w:line="171" w:lineRule="exact"/>
        <w:rPr>
          <w:sz w:val="20"/>
          <w:szCs w:val="20"/>
          <w:color w:val="auto"/>
        </w:rPr>
      </w:pPr>
    </w:p>
    <w:p>
      <w:pPr>
        <w:ind w:left="660" w:right="2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for purposes of complying with applicable Nasdaq Listing Rules, the issuance of more than 20% of the Company’s issued and outstanding common stock pursuant to the Business Combination and the PIPE Investment (Proposal No. 2);</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separate proposal to approve, on a non-binding advisory basis, certain governance provisions in the Amended and Restated Certificate of Incorporation in accordance with SEC requirements (Proposal No. 4);</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and adopt the Incentive Plan, a copy of which is attached to this proxy statement as Annex D, including the authorization of the initial share reserve under the Incentive Plan (Proposal No. 5);</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approve and adopt the ESPP, a copy of which is attached to this proxy as Annex E, including the authorization of the initial share reserve under the ESPP (Proposal No. 6);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the Nasdaq Stock Issuance Proposal, the Charter Approval Proposal, the Incentive Plan Proposal or the ESPP Proposal (Proposal No.7).</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Proposal No. 2 — The Nasdaq Stock Issuance Proposal</w:t>
      </w:r>
      <w:r>
        <w:rPr>
          <w:rFonts w:ascii="Arial" w:cs="Arial" w:eastAsia="Arial" w:hAnsi="Arial"/>
          <w:sz w:val="18"/>
          <w:szCs w:val="18"/>
          <w:color w:val="auto"/>
        </w:rPr>
        <w:t>,” “</w:t>
      </w:r>
      <w:r>
        <w:rPr>
          <w:rFonts w:ascii="Arial" w:cs="Arial" w:eastAsia="Arial" w:hAnsi="Arial"/>
          <w:sz w:val="18"/>
          <w:szCs w:val="18"/>
          <w:i w:val="1"/>
          <w:iCs w:val="1"/>
          <w:color w:val="auto"/>
        </w:rPr>
        <w:t>Proposal No. 4 — Approval of Certain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Provisions in the Amended and Restated Certificate of Incorporation</w:t>
      </w:r>
      <w:r>
        <w:rPr>
          <w:rFonts w:ascii="Arial" w:cs="Arial" w:eastAsia="Arial" w:hAnsi="Arial"/>
          <w:sz w:val="18"/>
          <w:szCs w:val="18"/>
          <w:color w:val="auto"/>
        </w:rPr>
        <w:t>,” “</w:t>
      </w:r>
      <w:r>
        <w:rPr>
          <w:rFonts w:ascii="Arial" w:cs="Arial" w:eastAsia="Arial" w:hAnsi="Arial"/>
          <w:sz w:val="18"/>
          <w:szCs w:val="18"/>
          <w:i w:val="1"/>
          <w:iCs w:val="1"/>
          <w:color w:val="auto"/>
        </w:rPr>
        <w:t>Proposal No. 5 — Approval of the Incentive Plan</w:t>
      </w:r>
      <w:r>
        <w:rPr>
          <w:rFonts w:ascii="Arial" w:cs="Arial" w:eastAsia="Arial" w:hAnsi="Arial"/>
          <w:sz w:val="18"/>
          <w:szCs w:val="18"/>
          <w:color w:val="auto"/>
        </w:rPr>
        <w:t>,” “</w:t>
      </w:r>
      <w:r>
        <w:rPr>
          <w:rFonts w:ascii="Arial" w:cs="Arial" w:eastAsia="Arial" w:hAnsi="Arial"/>
          <w:sz w:val="18"/>
          <w:szCs w:val="18"/>
          <w:i w:val="1"/>
          <w:iCs w:val="1"/>
          <w:color w:val="auto"/>
        </w:rPr>
        <w:t>Proposal No. 6 — Approval of the ESPP</w:t>
      </w:r>
      <w:r>
        <w:rPr>
          <w:rFonts w:ascii="Arial" w:cs="Arial" w:eastAsia="Arial" w:hAnsi="Arial"/>
          <w:sz w:val="18"/>
          <w:szCs w:val="18"/>
          <w:color w:val="auto"/>
        </w:rPr>
        <w:t>,” “</w:t>
      </w:r>
      <w:r>
        <w:rPr>
          <w:rFonts w:ascii="Arial" w:cs="Arial" w:eastAsia="Arial" w:hAnsi="Arial"/>
          <w:sz w:val="18"/>
          <w:szCs w:val="18"/>
          <w:i w:val="1"/>
          <w:iCs w:val="1"/>
          <w:color w:val="auto"/>
        </w:rPr>
        <w:t>Proposal No. 7 – The Director Election Proposal</w:t>
      </w:r>
      <w:r>
        <w:rPr>
          <w:rFonts w:ascii="Arial" w:cs="Arial" w:eastAsia="Arial" w:hAnsi="Arial"/>
          <w:sz w:val="18"/>
          <w:szCs w:val="18"/>
          <w:color w:val="auto"/>
        </w:rPr>
        <w:t>,” “</w:t>
      </w:r>
      <w:r>
        <w:rPr>
          <w:rFonts w:ascii="Arial" w:cs="Arial" w:eastAsia="Arial" w:hAnsi="Arial"/>
          <w:sz w:val="18"/>
          <w:szCs w:val="18"/>
          <w:i w:val="1"/>
          <w:iCs w:val="1"/>
          <w:color w:val="auto"/>
        </w:rPr>
        <w:t>Proposal No. 8 — The Adjournment Proposal</w:t>
      </w:r>
      <w:r>
        <w:rPr>
          <w:rFonts w:ascii="Arial" w:cs="Arial" w:eastAsia="Arial" w:hAnsi="Arial"/>
          <w:sz w:val="18"/>
          <w:szCs w:val="18"/>
          <w:color w:val="auto"/>
        </w:rPr>
        <w:t>” and “</w:t>
      </w:r>
      <w:r>
        <w:rPr>
          <w:rFonts w:ascii="Arial" w:cs="Arial" w:eastAsia="Arial" w:hAnsi="Arial"/>
          <w:sz w:val="18"/>
          <w:szCs w:val="18"/>
          <w:i w:val="1"/>
          <w:iCs w:val="1"/>
          <w:color w:val="auto"/>
        </w:rPr>
        <w:t>Proposal No. 9 --- The Auditor Ratification</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 ], [ ] at [ ] Eastern time at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r>
              <w:rPr>
                <w:rFonts w:ascii="Arial" w:cs="Arial" w:eastAsia="Arial" w:hAnsi="Arial"/>
                <w:sz w:val="18"/>
                <w:szCs w:val="18"/>
                <w:b w:val="1"/>
                <w:bCs w:val="1"/>
                <w:color w:val="auto"/>
              </w:rPr>
              <w:t>Registering for the Special Meeting</w:t>
            </w:r>
          </w:p>
        </w:tc>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620" w:type="dxa"/>
            <w:vAlign w:val="bottom"/>
          </w:tcPr>
          <w:p>
            <w:pPr>
              <w:ind w:left="340"/>
              <w:spacing w:after="0"/>
              <w:rPr>
                <w:sz w:val="20"/>
                <w:szCs w:val="20"/>
                <w:color w:val="auto"/>
              </w:rPr>
            </w:pPr>
            <w:r>
              <w:rPr>
                <w:rFonts w:ascii="Arial" w:cs="Arial" w:eastAsia="Arial" w:hAnsi="Arial"/>
                <w:sz w:val="18"/>
                <w:szCs w:val="18"/>
                <w:color w:val="auto"/>
              </w:rPr>
              <w:t>Any stockholder wishing to attend the virtual meeting should register for the meeting by [</w:t>
            </w:r>
          </w:p>
        </w:tc>
        <w:tc>
          <w:tcPr>
            <w:tcW w:w="2400" w:type="dxa"/>
            <w:vAlign w:val="bottom"/>
          </w:tcPr>
          <w:p>
            <w:pPr>
              <w:ind w:left="420"/>
              <w:spacing w:after="0"/>
              <w:rPr>
                <w:sz w:val="20"/>
                <w:szCs w:val="20"/>
                <w:color w:val="auto"/>
              </w:rPr>
            </w:pPr>
            <w:r>
              <w:rPr>
                <w:rFonts w:ascii="Arial" w:cs="Arial" w:eastAsia="Arial" w:hAnsi="Arial"/>
                <w:sz w:val="18"/>
                <w:szCs w:val="18"/>
                <w:color w:val="auto"/>
              </w:rPr>
              <w:t>], Eastern time, on [</w:t>
            </w:r>
          </w:p>
        </w:tc>
        <w:tc>
          <w:tcPr>
            <w:tcW w:w="1220" w:type="dxa"/>
            <w:vAlign w:val="bottom"/>
          </w:tcPr>
          <w:p>
            <w:pPr>
              <w:ind w:left="440"/>
              <w:spacing w:after="0"/>
              <w:rPr>
                <w:sz w:val="20"/>
                <w:szCs w:val="20"/>
                <w:color w:val="auto"/>
              </w:rPr>
            </w:pPr>
            <w:r>
              <w:rPr>
                <w:rFonts w:ascii="Arial" w:cs="Arial" w:eastAsia="Arial" w:hAnsi="Arial"/>
                <w:sz w:val="18"/>
                <w:szCs w:val="18"/>
                <w:color w:val="auto"/>
                <w:w w:val="94"/>
              </w:rPr>
              <w:t>], 2021, at</w:t>
            </w:r>
          </w:p>
        </w:tc>
      </w:tr>
    </w:tbl>
    <w:p>
      <w:pPr>
        <w:jc w:val="both"/>
        <w:spacing w:after="0" w:line="260" w:lineRule="auto"/>
        <w:rPr>
          <w:sz w:val="20"/>
          <w:szCs w:val="20"/>
          <w:color w:val="auto"/>
        </w:rPr>
      </w:pP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To register for the Special Meeting, please follow these instructions as applicable to the nature of your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w:t>
      </w:r>
    </w:p>
    <w:p>
      <w:pPr>
        <w:spacing w:after="0" w:line="131" w:lineRule="exact"/>
        <w:rPr>
          <w:sz w:val="20"/>
          <w:szCs w:val="20"/>
          <w:color w:val="auto"/>
        </w:rPr>
      </w:pPr>
    </w:p>
    <w:p>
      <w:pPr>
        <w:jc w:val="both"/>
        <w:ind w:left="660" w:right="20" w:hanging="328"/>
        <w:spacing w:after="0" w:line="279" w:lineRule="auto"/>
        <w:tabs>
          <w:tab w:leader="none" w:pos="65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21" w:right="339" w:bottom="1440" w:gutter="0" w:footer="0" w:header="0"/>
        </w:sectPr>
      </w:pPr>
    </w:p>
    <w:bookmarkStart w:id="46" w:name="page47"/>
    <w:bookmarkEnd w:id="46"/>
    <w:p>
      <w:pPr>
        <w:jc w:val="both"/>
        <w:ind w:left="660" w:hanging="328"/>
        <w:spacing w:after="0" w:line="272" w:lineRule="auto"/>
        <w:tabs>
          <w:tab w:leader="none" w:pos="6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Only Company stockholders of record at the close of business on June 21, 2021, the record date for the Special Meeting, will be entitled to vote at the Special Meeting. You are entitled to one vote for each share of Company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Company common stock outstanding and entitled to vote, of which 44,275,000 are public shares and 11,068,750 are Founder Shares held by our Initial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soliciting proxies on behalf of its Board. Proxies may be solicited by mail. The Company has engaged D.F. King to assist in the solicitation of proxies.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Arial" w:cs="Arial" w:eastAsia="Arial" w:hAnsi="Arial"/>
          <w:sz w:val="18"/>
          <w:szCs w:val="18"/>
          <w:i w:val="1"/>
          <w:iCs w:val="1"/>
          <w:color w:val="auto"/>
        </w:rPr>
        <w:t>Special Meeting of Company Stockholders — Revoking Your</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21" w:right="339" w:bottom="1440" w:gutter="0" w:footer="0" w:header="0"/>
        </w:sectPr>
      </w:pPr>
    </w:p>
    <w:bookmarkStart w:id="47" w:name="page48"/>
    <w:bookmarkEnd w:id="47"/>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 the fact that Joshua Ruch, Michael Pellini and Rachel Sherman may join as board members of the post-combination company (dependent on the approval of the Director Election Proposal), and Nat Turner, Emily Leproust and Eli Casdin will continue as a board member of the post-combination company, and each shall be entitled to receive compensation for serving on the board of directors of the post-combination company;</w:t>
      </w:r>
    </w:p>
    <w:p>
      <w:pPr>
        <w:spacing w:after="0" w:line="37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8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formed for the purpose of effecting a merger, capital stock exchange, asset acquisition, stock purchase, reorganization or similar business combination with one or more businesses. We sought to do this by utilizing the networks and industry experience of both our Sponsor and our Board to identify, acquire and operate one or more businesses within or outside of the United States, although we were not limited to a particular industry or sector, we focused on the life sciences sector.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particular, our Board considered, among other things, the following positive factors, although not weighted or in any order of significance:</w:t>
      </w:r>
    </w:p>
    <w:p>
      <w:pPr>
        <w:spacing w:after="0" w:line="183" w:lineRule="exact"/>
        <w:rPr>
          <w:sz w:val="20"/>
          <w:szCs w:val="20"/>
          <w:color w:val="auto"/>
        </w:rPr>
      </w:pPr>
    </w:p>
    <w:p>
      <w:pPr>
        <w:jc w:val="both"/>
        <w:ind w:left="660" w:hanging="328"/>
        <w:spacing w:after="0" w:line="28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Leading Industry Position with Supportive Long-Term Dynamics and Competitive Market Advantage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considered the fact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Sema4, with its next generation information and genomic platform that promises to yield insights to improve standards of care and drug discovery, satisfies all of the factors contributing to sustainable competitive advantages that the Board sought in a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21" w:right="339" w:bottom="1440" w:gutter="0" w:footer="0" w:header="0"/>
        </w:sectPr>
      </w:pPr>
    </w:p>
    <w:bookmarkStart w:id="48" w:name="page49"/>
    <w:bookmarkEnd w:id="48"/>
    <w:p>
      <w:pPr>
        <w:jc w:val="both"/>
        <w:ind w:left="328" w:hanging="328"/>
        <w:spacing w:after="0" w:line="25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Stable Free Cash Flow, Prudent Debt and Financial Visibility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no debt other than long-term debt,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portion, in the amount of $18.5 million as of March 31, 2021, limited capital expenditures, and therefore satisfies the Board’s criteria of acquiring a business that has historically generated, or has the near-term potential to generate, strong and sustainable free cash flow. The Board also took into account that Sema4 had negative cash flow from operating activities in the amounts of $93.1 million, $18.7 million, and $24.7 million for the years ended December 31, 2020, 2019 and 2018, respectively.</w:t>
      </w:r>
    </w:p>
    <w:p>
      <w:pPr>
        <w:spacing w:after="0" w:line="133" w:lineRule="exact"/>
        <w:rPr>
          <w:rFonts w:ascii="Arial" w:cs="Arial" w:eastAsia="Arial" w:hAnsi="Arial"/>
          <w:sz w:val="18"/>
          <w:szCs w:val="18"/>
          <w:color w:val="auto"/>
        </w:rPr>
      </w:pPr>
    </w:p>
    <w:p>
      <w:pPr>
        <w:jc w:val="both"/>
        <w:ind w:left="328" w:hanging="328"/>
        <w:spacing w:after="0" w:line="25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Clear Use of Proceeds and SPAC as Preferred Course of Action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a SPAC transaction is Sema4’s preferred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as opposed to a traditional initial public offering, because Sema4 can provide forward-looking guidance and talk more directly about projections for future years that are backed by existing customer contracts. As a result, Sema4’s ability to become a publicly-traded company is accelerated through a SPAC, and the proceeds raised in the Business Combination will fund Sema4 to positive cash flow and enable selective acquisitions.</w:t>
      </w:r>
    </w:p>
    <w:p>
      <w:pPr>
        <w:spacing w:after="0" w:line="133" w:lineRule="exact"/>
        <w:rPr>
          <w:rFonts w:ascii="Arial" w:cs="Arial" w:eastAsia="Arial" w:hAnsi="Arial"/>
          <w:sz w:val="18"/>
          <w:szCs w:val="18"/>
          <w:color w:val="auto"/>
        </w:rPr>
      </w:pPr>
    </w:p>
    <w:p>
      <w:pPr>
        <w:jc w:val="both"/>
        <w:ind w:left="328" w:hanging="328"/>
        <w:spacing w:after="0" w:line="293" w:lineRule="auto"/>
        <w:tabs>
          <w:tab w:leader="none" w:pos="323"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Committed and Capable Management Team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considered that Sema4 has a professional management team whose interests are aligned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of our stockholders and can clearly and confidently articulate the business plan and market opportunities to public market investors. Founder 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is an industry icon having over 20 years of financial leadership and experience, with a strong focus on the medical technology and life sciences space.</w:t>
      </w:r>
    </w:p>
    <w:p>
      <w:pPr>
        <w:spacing w:after="0" w:line="110" w:lineRule="exact"/>
        <w:rPr>
          <w:rFonts w:ascii="Arial" w:cs="Arial" w:eastAsia="Arial" w:hAnsi="Arial"/>
          <w:sz w:val="16"/>
          <w:szCs w:val="16"/>
          <w:color w:val="auto"/>
        </w:rPr>
      </w:pPr>
    </w:p>
    <w:p>
      <w:pPr>
        <w:ind w:left="328" w:hanging="328"/>
        <w:spacing w:after="0" w:line="308"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Engage Key Industry Partners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and management team includes individuals with relationships across the industry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allow Sema4 to strategically align itself for synergistic collaborations and engagement with other industry leading companies.</w:t>
      </w:r>
    </w:p>
    <w:p>
      <w:pPr>
        <w:spacing w:after="0" w:line="92"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including Through Further Consolidation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that Sema4 has the potential to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organically with its team of world class data scientists and engineers focused on category-defining healthcare intelligence. In particular, Sema4 is in an industry with significant opportunities and rationale for industry consolidation across multiple segments.</w:t>
      </w:r>
    </w:p>
    <w:p>
      <w:pPr>
        <w:spacing w:after="0" w:line="129"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328" w:hanging="328"/>
        <w:spacing w:after="0" w:line="275"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 CFO Isaac Ro has over 20 years of financial leadership and experience, with a strong focus on the medical technology and life sciences space.</w:t>
      </w:r>
    </w:p>
    <w:p>
      <w:pPr>
        <w:spacing w:after="0" w:line="122" w:lineRule="exact"/>
        <w:rPr>
          <w:rFonts w:ascii="Arial" w:cs="Arial" w:eastAsia="Arial" w:hAnsi="Arial"/>
          <w:sz w:val="17"/>
          <w:szCs w:val="17"/>
          <w:color w:val="auto"/>
        </w:rPr>
      </w:pPr>
    </w:p>
    <w:p>
      <w:pPr>
        <w:ind w:left="328" w:hanging="328"/>
        <w:spacing w:after="0" w:line="277" w:lineRule="auto"/>
        <w:tabs>
          <w:tab w:leader="none" w:pos="323"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Potential to Grow Through Both Organic and Inorganic Opportunities</w:t>
      </w:r>
      <w:r>
        <w:rPr>
          <w:rFonts w:ascii="Arial" w:cs="Arial" w:eastAsia="Arial" w:hAnsi="Arial"/>
          <w:sz w:val="17"/>
          <w:szCs w:val="17"/>
          <w:color w:val="auto"/>
        </w:rPr>
        <w:t>. The Board considered that Sema4 has the potential to grow organically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8"/>
          </w:cols>
          <w:pgMar w:left="652" w:top="1421" w:right="339" w:bottom="1440" w:gutter="0" w:footer="0" w:header="0"/>
        </w:sectPr>
      </w:pPr>
    </w:p>
    <w:bookmarkStart w:id="49" w:name="page50"/>
    <w:bookmarkEnd w:id="49"/>
    <w:p>
      <w:pPr>
        <w:ind w:left="660"/>
        <w:spacing w:after="0" w:line="277" w:lineRule="auto"/>
        <w:rPr>
          <w:sz w:val="20"/>
          <w:szCs w:val="20"/>
          <w:color w:val="auto"/>
        </w:rPr>
      </w:pPr>
      <w:r>
        <w:rPr>
          <w:rFonts w:ascii="Arial" w:cs="Arial" w:eastAsia="Arial" w:hAnsi="Arial"/>
          <w:sz w:val="18"/>
          <w:szCs w:val="18"/>
          <w:color w:val="auto"/>
        </w:rPr>
        <w:t>growth. The ability to take advantage of these opportunities is expected to be facilitated by the additional cash being made available to Sema4 as a result of the business combination.</w:t>
      </w:r>
    </w:p>
    <w:p>
      <w:pPr>
        <w:spacing w:after="0" w:line="116" w:lineRule="exact"/>
        <w:rPr>
          <w:sz w:val="20"/>
          <w:szCs w:val="20"/>
          <w:color w:val="auto"/>
        </w:rPr>
      </w:pPr>
    </w:p>
    <w:p>
      <w:pPr>
        <w:jc w:val="both"/>
        <w:ind w:left="660" w:hanging="328"/>
        <w:spacing w:after="0" w:line="25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Combining Board Members of both the Company and Sema4</w:t>
      </w:r>
      <w:r>
        <w:rPr>
          <w:rFonts w:ascii="Arial" w:cs="Arial" w:eastAsia="Arial" w:hAnsi="Arial"/>
          <w:sz w:val="18"/>
          <w:szCs w:val="18"/>
          <w:color w:val="auto"/>
        </w:rPr>
        <w:t>. The Board considered that the addition of members of the CM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to the Sema4 board of directors as part of the business combination will provide Sema4 with additional board members experienced in the life sciences industry and with experience as members of the board of a public company.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Company’s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respective obligations of the Company and Sema4 to complete the Business Combination are subject to the satisfaction of the following conditions:</w:t>
      </w:r>
    </w:p>
    <w:p>
      <w:pPr>
        <w:spacing w:after="0" w:line="116" w:lineRule="exact"/>
        <w:rPr>
          <w:sz w:val="20"/>
          <w:szCs w:val="20"/>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more fully described in “</w:t>
      </w:r>
      <w:r>
        <w:rPr>
          <w:rFonts w:ascii="Arial" w:cs="Arial" w:eastAsia="Arial" w:hAnsi="Arial"/>
          <w:sz w:val="18"/>
          <w:szCs w:val="18"/>
          <w:i w:val="1"/>
          <w:iCs w:val="1"/>
          <w:color w:val="auto"/>
        </w:rPr>
        <w:t>Proposal No. 1 — Approval of the Business Combination —</w:t>
      </w:r>
      <w:r>
        <w:rPr>
          <w:rFonts w:ascii="Arial" w:cs="Arial" w:eastAsia="Arial" w:hAnsi="Arial"/>
          <w:sz w:val="18"/>
          <w:szCs w:val="18"/>
          <w:color w:val="auto"/>
        </w:rPr>
        <w:t xml:space="preserve"> </w:t>
      </w:r>
      <w:r>
        <w:rPr>
          <w:rFonts w:ascii="Arial" w:cs="Arial" w:eastAsia="Arial" w:hAnsi="Arial"/>
          <w:sz w:val="18"/>
          <w:szCs w:val="18"/>
          <w:i w:val="1"/>
          <w:iCs w:val="1"/>
          <w:color w:val="auto"/>
        </w:rPr>
        <w:t>The Merger Agreement — Conditions to the Merger</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right="20" w:hanging="328"/>
        <w:spacing w:after="0" w:line="286"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there must be no legal requirement prohibiting, enjoining or making illegal the consummation of the transactions contemplated by the Merger Agreement and no restraining order prohibiting, enjoining or making illegal the consummation of such transactions may be in effect, as more fully described in “</w:t>
      </w:r>
      <w:r>
        <w:rPr>
          <w:rFonts w:ascii="Arial" w:cs="Arial" w:eastAsia="Arial" w:hAnsi="Arial"/>
          <w:sz w:val="17"/>
          <w:szCs w:val="17"/>
          <w:i w:val="1"/>
          <w:iCs w:val="1"/>
          <w:color w:val="auto"/>
        </w:rPr>
        <w:t>Proposal No. 1 — Approval of the Business Combination — The Merger Agreement — Conditions to the Merger</w:t>
      </w:r>
      <w:r>
        <w:rPr>
          <w:rFonts w:ascii="Arial" w:cs="Arial" w:eastAsia="Arial" w:hAnsi="Arial"/>
          <w:sz w:val="17"/>
          <w:szCs w:val="17"/>
          <w:color w:val="auto"/>
        </w:rPr>
        <w: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Company’s Obligations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obligation of the Company to complete the Business Combination is also subject to the satisfaction, or waiver by the Company, of the following conditions: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Sema4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 ;</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21" w:right="339" w:bottom="1440" w:gutter="0" w:footer="0" w:header="0"/>
        </w:sectPr>
      </w:pPr>
    </w:p>
    <w:bookmarkStart w:id="50" w:name="page51"/>
    <w:bookmarkEnd w:id="50"/>
    <w:p>
      <w:pPr>
        <w:jc w:val="both"/>
        <w:ind w:left="660" w:hanging="328"/>
        <w:spacing w:after="0" w:line="26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Sema4’s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of the date of the Merger Agreement and as of the Closing, subject to certain materiality and material adverse effect thresholds, as more fully described in “</w:t>
      </w:r>
      <w:r>
        <w:rPr>
          <w:rFonts w:ascii="Arial" w:cs="Arial" w:eastAsia="Arial" w:hAnsi="Arial"/>
          <w:sz w:val="18"/>
          <w:szCs w:val="18"/>
          <w:i w:val="1"/>
          <w:iCs w:val="1"/>
          <w:color w:val="auto"/>
        </w:rPr>
        <w:t>Proposal No. 1 — Approval of the Business Combination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 — Conditions to the Merger</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HSR Act and the rules that have been promulgated thereunder by the U.S. Federal Trade Commission (“</w:t>
      </w:r>
      <w:r>
        <w:rPr>
          <w:rFonts w:ascii="Arial" w:cs="Arial" w:eastAsia="Arial" w:hAnsi="Arial"/>
          <w:sz w:val="17"/>
          <w:szCs w:val="17"/>
          <w:i w:val="1"/>
          <w:iCs w:val="1"/>
          <w:color w:val="auto"/>
        </w:rPr>
        <w:t>FTC</w:t>
      </w:r>
      <w:r>
        <w:rPr>
          <w:rFonts w:ascii="Arial" w:cs="Arial" w:eastAsia="Arial" w:hAnsi="Arial"/>
          <w:sz w:val="17"/>
          <w:szCs w:val="17"/>
          <w:color w:val="auto"/>
        </w:rPr>
        <w:t>”), certain transactions may not be consummated unless information has been furnished to the Antitrust Division of the Department of Justice (“</w:t>
      </w:r>
      <w:r>
        <w:rPr>
          <w:rFonts w:ascii="Arial" w:cs="Arial" w:eastAsia="Arial" w:hAnsi="Arial"/>
          <w:sz w:val="17"/>
          <w:szCs w:val="17"/>
          <w:i w:val="1"/>
          <w:iCs w:val="1"/>
          <w:color w:val="auto"/>
        </w:rPr>
        <w:t>Antitrust Division</w:t>
      </w:r>
      <w:r>
        <w:rPr>
          <w:rFonts w:ascii="Arial" w:cs="Arial" w:eastAsia="Arial" w:hAnsi="Arial"/>
          <w:sz w:val="17"/>
          <w:szCs w:val="17"/>
          <w:color w:val="auto"/>
        </w:rPr>
        <w:t>”)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request for additional information or documentary material related to the Business Combination (a “</w:t>
      </w:r>
      <w:r>
        <w:rPr>
          <w:rFonts w:ascii="Arial" w:cs="Arial" w:eastAsia="Arial" w:hAnsi="Arial"/>
          <w:sz w:val="17"/>
          <w:szCs w:val="17"/>
          <w:i w:val="1"/>
          <w:iCs w:val="1"/>
          <w:color w:val="auto"/>
        </w:rPr>
        <w:t>Second Request</w:t>
      </w:r>
      <w:r>
        <w:rPr>
          <w:rFonts w:ascii="Arial" w:cs="Arial" w:eastAsia="Arial" w:hAnsi="Arial"/>
          <w:sz w:val="17"/>
          <w:szCs w:val="17"/>
          <w:color w:val="auto"/>
        </w:rPr>
        <w: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21"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Company and Sema4 filed the required forms under the HSR Act with the Antitrust Division and the FTC. The waiting period under the HSR Act with respect to the Business Combination expired on March 26, 2021.</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any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Proposal, the Adjournment Proposal and the Auditor Ratification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failure to vote or an abstention will have no effect on the Business Combination Proposal, the Nasdaq Stock Issuance Proposal, the Governance Proposal, the Incentive Plan Proposal, the ESPP Proposal, and the Adjournment Proposal. However, an abstention or failure to 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Charter Approval Proposal.</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proposals in this proxy statement (other than the Governance Proposal, the Auditor Ratification Proposal and the Adjournment Proposal) are conditioned on the approval of the Business Combination Proposal, the Nasdaq Stock Issuance Proposal, the Incentive Plan Proposal and the ESPP Proposal.</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is important for you to note that in the event that the Business Combination Proposal, the Nasdaq Stock Issuance Proposal, the Incentive Plan Proposal, the ESPP Proposal or the Charter Approval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Board believes that each of the Business Combination Proposal, the Nasdaq Stock Issuance Proposal, the Charter Approval Proposal, the Governance Proposal, the Incentive Plan Proposal, the ESPP Proposal, the Director Election Proposal, the Adjournment Proposal and the Auditor Ratification Proposal to be presented at the Special Meeting is in the best interests of the Company and our stockholders and recommends that its stockholders vote “FOR” each of the proposals.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21" w:right="339" w:bottom="1440" w:gutter="0" w:footer="0" w:header="0"/>
        </w:sectPr>
      </w:pPr>
    </w:p>
    <w:bookmarkStart w:id="52" w:name="page53"/>
    <w:bookmarkEnd w:id="52"/>
    <w:p>
      <w:pPr>
        <w:jc w:val="both"/>
        <w:spacing w:after="0" w:line="342" w:lineRule="auto"/>
        <w:rPr>
          <w:sz w:val="20"/>
          <w:szCs w:val="20"/>
          <w:color w:val="auto"/>
        </w:rPr>
      </w:pPr>
      <w:r>
        <w:rPr>
          <w:rFonts w:ascii="Arial" w:cs="Arial" w:eastAsia="Arial" w:hAnsi="Arial"/>
          <w:sz w:val="16"/>
          <w:szCs w:val="16"/>
          <w:color w:val="auto"/>
        </w:rPr>
        <w:t>stockholder. Stockholders should take these interests into account in deciding whether to approve the proposals presented at the Special Meeting, including the Business Combination Proposal. Please see “</w:t>
      </w:r>
      <w:r>
        <w:rPr>
          <w:rFonts w:ascii="Arial" w:cs="Arial" w:eastAsia="Arial" w:hAnsi="Arial"/>
          <w:sz w:val="16"/>
          <w:szCs w:val="16"/>
          <w:i w:val="1"/>
          <w:iCs w:val="1"/>
          <w:color w:val="auto"/>
        </w:rPr>
        <w:t>Special Meeting of Company Stockholders — Recommendation to Company Stockholders</w:t>
      </w:r>
      <w:r>
        <w:rPr>
          <w:rFonts w:ascii="Arial" w:cs="Arial" w:eastAsia="Arial" w:hAnsi="Arial"/>
          <w:sz w:val="16"/>
          <w:szCs w:val="16"/>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evaluating the Business Combination and the proposals to be considered and voted on at the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of this proxy statement. The occurrence of one or more of the events or circumstances described in that section, alone or in combination with other events or circumstances, may have a material adverse effect on (i) the ability of the Company and Sema4 to complete the Business Combination, and (ii) the business, cash flows, financial condition and results of operations of Sema4 prior to the consummation of the Business Combination and the post-combination company following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21" w:right="339" w:bottom="1440" w:gutter="0" w:footer="0" w:header="0"/>
        </w:sectPr>
      </w:pPr>
    </w:p>
    <w:bookmarkStart w:id="53" w:name="page54"/>
    <w:bookmarkEnd w:id="5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INFORMATION OF THE COMPANY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table contains summary historical financial data for the Company as of and for the year ended December 31, 2020 and through March 31, 2021. Such data for the year ended and as of December 31, 2020 have been derived from the audited financial statements of the Company, which are included elsewhere in this proxy statement. The information below is only a summary and should be read in conjunction with the sections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notes and schedules related thereto, which are included elsewhere in this proxy statement.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(1,845,158)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(39,907,559)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(39,907,559)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Data</w:t>
            </w:r>
          </w:p>
        </w:tc>
        <w:tc>
          <w:tcPr>
            <w:tcW w:w="1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2021 (Unaudited)</w:t>
            </w:r>
          </w:p>
        </w:tc>
        <w:tc>
          <w:tcPr>
            <w:tcW w:w="140" w:type="dxa"/>
            <w:vAlign w:val="bottom"/>
          </w:tcPr>
          <w:p>
            <w:pPr>
              <w:spacing w:after="0"/>
              <w:rPr>
                <w:sz w:val="16"/>
                <w:szCs w:val="16"/>
                <w:color w:val="auto"/>
              </w:rPr>
            </w:pPr>
          </w:p>
        </w:tc>
        <w:tc>
          <w:tcPr>
            <w:tcW w:w="14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7"/>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1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8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1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18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3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March 31, 2021</w:t>
            </w: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56,637,684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1,394,615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(386,106)</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of cash into Trust Account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(442,750,000)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(442,750,000)</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37"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433,895,000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10,855,000</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14605</wp:posOffset>
            </wp:positionV>
            <wp:extent cx="20485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444,230,787</w:t>
      </w:r>
    </w:p>
    <w:p>
      <w:pPr>
        <w:spacing w:after="0" w:line="38" w:lineRule="exact"/>
        <w:rPr>
          <w:sz w:val="20"/>
          <w:szCs w:val="20"/>
          <w:color w:val="auto"/>
        </w:rPr>
      </w:pPr>
    </w:p>
    <w:p>
      <w:pPr>
        <w:sectPr>
          <w:pgSz w:w="11900" w:h="16838" w:orient="portrait"/>
          <w:cols w:equalWidth="0" w:num="2">
            <w:col w:w="9540" w:space="720"/>
            <w:col w:w="980"/>
          </w:cols>
          <w:pgMar w:left="320" w:top="143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0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(467,266)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 Beginning of period</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627,415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1,094,681</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8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Change in value of common stock subject to possible redemption</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(58,471,923)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(27,049,112)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liabilities</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Deferred underwriting fee payable</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15,496,250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Payment of offering costs through promissory note — related party</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52,244</w:t>
            </w:r>
          </w:p>
        </w:tc>
      </w:tr>
      <w:tr>
        <w:trPr>
          <w:trHeight w:val="20"/>
        </w:trPr>
        <w:tc>
          <w:tcPr>
            <w:tcW w:w="8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37" w:right="339" w:bottom="1440" w:gutter="0" w:footer="0" w:header="0"/>
          <w:type w:val="continuous"/>
        </w:sectPr>
      </w:pPr>
    </w:p>
    <w:bookmarkStart w:id="56" w:name="page57"/>
    <w:bookmarkEnd w:id="5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DATA OF SEMA4</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selected historical consolidated statements of operations data of Sema4 for the years ended December 31, 2020, 2019 and 2018 and the historical consolidated balance sheet data as of December 31, 2020 and 2019 are derived from Sema4’s audited consolidated financial statements included elsewhere in this proxy statement. The selected consolidated statements of operations data for the three months ended March 31, 2021 and 2020 and the selected consolidated balance sheet data as of March 31, 2021 are derived from Sema4’s unaudited interim condensed consolidated financial statements included elsewhere in this proxy statement. Sema4’s historical results are not necessarily indicative of the results that may be expected in the future. You should read the following selected historical consolidated financial data together with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and Sema4 consolidated financial statements and related notes included elsewhere in this proxy statement.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16"/>
                <w:szCs w:val="16"/>
                <w:color w:val="auto"/>
              </w:rPr>
            </w:pPr>
          </w:p>
        </w:tc>
      </w:tr>
      <w:tr>
        <w:trPr>
          <w:trHeight w:val="385"/>
        </w:trPr>
        <w:tc>
          <w:tcPr>
            <w:tcW w:w="436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385"/>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1"/>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88"/>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2"/>
              </w:rPr>
              <w:t>Diagnostic test revenue (including related party revenue of</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w w:val="95"/>
              </w:rPr>
              <w:t>$33 and $61 for the three months ended March 31, 2021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8"/>
                <w:szCs w:val="18"/>
                <w:color w:val="auto"/>
              </w:rPr>
              <w:t>and 2020, respectively; and of $285, $0 and $0 for the</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4"/>
        </w:trPr>
        <w:tc>
          <w:tcPr>
            <w:tcW w:w="4360" w:type="dxa"/>
            <w:vAlign w:val="bottom"/>
          </w:tcPr>
          <w:p>
            <w:pPr>
              <w:ind w:left="20"/>
              <w:spacing w:after="0" w:line="183" w:lineRule="exact"/>
              <w:rPr>
                <w:sz w:val="20"/>
                <w:szCs w:val="20"/>
                <w:color w:val="auto"/>
              </w:rPr>
            </w:pPr>
            <w:r>
              <w:rPr>
                <w:rFonts w:ascii="Arial" w:cs="Arial" w:eastAsia="Arial" w:hAnsi="Arial"/>
                <w:sz w:val="18"/>
                <w:szCs w:val="18"/>
                <w:color w:val="auto"/>
              </w:rPr>
              <w:t>years ended December 31, 2020, 2019, and 2018,</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9"/>
        </w:trPr>
        <w:tc>
          <w:tcPr>
            <w:tcW w:w="4360" w:type="dxa"/>
            <w:vAlign w:val="bottom"/>
          </w:tcPr>
          <w:p>
            <w:pPr>
              <w:ind w:left="20"/>
              <w:spacing w:after="0" w:line="250" w:lineRule="exact"/>
              <w:rPr>
                <w:sz w:val="20"/>
                <w:szCs w:val="20"/>
                <w:color w:val="auto"/>
              </w:rPr>
            </w:pPr>
            <w:r>
              <w:rPr>
                <w:rFonts w:ascii="Arial" w:cs="Arial" w:eastAsia="Arial" w:hAnsi="Arial"/>
                <w:sz w:val="18"/>
                <w:szCs w:val="18"/>
                <w:color w:val="auto"/>
              </w:rPr>
              <w:t>respectively)</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191,667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132,970</w:t>
            </w:r>
          </w:p>
        </w:tc>
      </w:tr>
      <w:tr>
        <w:trPr>
          <w:trHeight w:val="188"/>
        </w:trPr>
        <w:tc>
          <w:tcPr>
            <w:tcW w:w="43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5"/>
              </w:rPr>
              <w:t>Other revenue (including related party revenue of $27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$0 for the three months ended March 31, 2021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6"/>
              </w:rPr>
              <w:t>and 2020, respectively; and of $3, $1,180 and $254</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7"/>
              </w:rPr>
              <w:t>for the years ended December 31, 2020, 2019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44"/>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2018, respectively)</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r>
      <w:tr>
        <w:trPr>
          <w:trHeight w:val="168"/>
        </w:trPr>
        <w:tc>
          <w:tcPr>
            <w:tcW w:w="4360" w:type="dxa"/>
            <w:vAlign w:val="bottom"/>
            <w:shd w:val="clear" w:color="auto" w:fill="CCEEFF"/>
          </w:tcPr>
          <w:p>
            <w:pPr>
              <w:ind w:left="180"/>
              <w:spacing w:after="0" w:line="168" w:lineRule="exact"/>
              <w:rPr>
                <w:sz w:val="20"/>
                <w:szCs w:val="20"/>
                <w:color w:val="auto"/>
              </w:rPr>
            </w:pPr>
            <w:r>
              <w:rPr>
                <w:rFonts w:ascii="Arial" w:cs="Arial" w:eastAsia="Arial" w:hAnsi="Arial"/>
                <w:sz w:val="18"/>
                <w:szCs w:val="18"/>
                <w:color w:val="auto"/>
                <w:w w:val="99"/>
              </w:rPr>
              <w:t>Cost of services (including related party expenses of</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7"/>
              </w:rPr>
              <w:t>$278 and $574 for the three months ended March 31,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3"/>
              </w:rPr>
              <w:t>2021 and 2020, respectively; and of $2,189, $1,859 and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4"/>
        </w:trPr>
        <w:tc>
          <w:tcPr>
            <w:tcW w:w="436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color w:val="auto"/>
                <w:w w:val="89"/>
              </w:rPr>
              <w:t>$4,122 for the years ended December 31, 2020, 2019 and</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9"/>
        </w:trPr>
        <w:tc>
          <w:tcPr>
            <w:tcW w:w="436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2018, respectively)</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19,947</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23"/>
        </w:trPr>
        <w:tc>
          <w:tcPr>
            <w:tcW w:w="4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r>
      <w:tr>
        <w:trPr>
          <w:trHeight w:val="398"/>
        </w:trPr>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4360" w:type="dxa"/>
            <w:vAlign w:val="bottom"/>
          </w:tcPr>
          <w:p>
            <w:pPr>
              <w:ind w:left="24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4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4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398"/>
        </w:trPr>
        <w:tc>
          <w:tcPr>
            <w:tcW w:w="4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398"/>
        </w:trPr>
        <w:tc>
          <w:tcPr>
            <w:tcW w:w="4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Weighted average shares outstanding of Class A common</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A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3"/>
              </w:rPr>
              <w:t>Weighted average shares outstanding of Class B common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3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Basic and diluted net loss per share, Class B common stock</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 thousands</w:t>
            </w: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440"/>
              <w:spacing w:after="0" w:line="156" w:lineRule="exact"/>
              <w:rPr>
                <w:sz w:val="20"/>
                <w:szCs w:val="20"/>
                <w:color w:val="auto"/>
              </w:rPr>
            </w:pPr>
            <w:r>
              <w:rPr>
                <w:rFonts w:ascii="Arial" w:cs="Arial" w:eastAsia="Arial" w:hAnsi="Arial"/>
                <w:sz w:val="18"/>
                <w:szCs w:val="18"/>
                <w:color w:val="auto"/>
                <w:w w:val="97"/>
              </w:rPr>
              <w:t>Total stock-based compensation</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gridSpan w:val="2"/>
            <w:vMerge w:val="restart"/>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20" w:type="dxa"/>
            <w:vAlign w:val="bottom"/>
            <w:shd w:val="clear" w:color="auto" w:fill="CCEEFF"/>
          </w:tcPr>
          <w:p>
            <w:pPr>
              <w:spacing w:after="0"/>
              <w:rPr>
                <w:sz w:val="13"/>
                <w:szCs w:val="13"/>
                <w:color w:val="auto"/>
              </w:rPr>
            </w:pPr>
          </w:p>
        </w:tc>
        <w:tc>
          <w:tcPr>
            <w:tcW w:w="100" w:type="dxa"/>
            <w:vAlign w:val="bottom"/>
            <w:gridSpan w:val="2"/>
            <w:vMerge w:val="restart"/>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expense</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58,652</w:t>
            </w:r>
          </w:p>
        </w:tc>
        <w:tc>
          <w:tcPr>
            <w:tcW w:w="2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108,132</w:t>
            </w:r>
          </w:p>
        </w:tc>
        <w:tc>
          <w:tcPr>
            <w:tcW w:w="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115,006</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251,642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203,839</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455"/>
              <w:spacing w:after="0"/>
              <w:rPr>
                <w:sz w:val="20"/>
                <w:szCs w:val="20"/>
                <w:color w:val="auto"/>
              </w:rPr>
            </w:pPr>
            <w:r>
              <w:rPr>
                <w:rFonts w:ascii="Arial" w:cs="Arial" w:eastAsia="Arial" w:hAnsi="Arial"/>
                <w:sz w:val="18"/>
                <w:szCs w:val="18"/>
                <w:color w:val="auto"/>
                <w:w w:val="89"/>
              </w:rPr>
              <w:t>247,254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75,435</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Redeemable convertible preferred stock</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334,439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217,115</w:t>
            </w: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center"/>
              <w:ind w:left="435"/>
              <w:spacing w:after="0"/>
              <w:rPr>
                <w:sz w:val="20"/>
                <w:szCs w:val="20"/>
                <w:color w:val="auto"/>
              </w:rPr>
            </w:pPr>
            <w:r>
              <w:rPr>
                <w:rFonts w:ascii="Arial" w:cs="Arial" w:eastAsia="Arial" w:hAnsi="Arial"/>
                <w:sz w:val="18"/>
                <w:szCs w:val="18"/>
                <w:color w:val="auto"/>
                <w:w w:val="93"/>
              </w:rPr>
              <w:t>(330,051)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selected unaudited pro forma condensed combined financial data is derived from the unaudited pro forma condensed combined balance sheet and unaudited pro forma condensed combined statements of operations included elsewhere in this proxy statement/prospectus.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condensed combined financial statements are based on CMLS’s and Sema4’s historical financial statements as adjusted to give effect to the Business Combination and the PIPE Investment. The unaudited pro forma condensed combined balance sheet gives pro forma effect to the Business Combination, treated as a reverse recapitalization for accounting purposes, and the PIPE Investment as if they had been consummated on March 31, 2021. The unaudited pro forma condensed combined statements of operations for the three months ended March 31, 2021 and for the year ended December 31, 2020, give effect to the Business Combination and the PIPE Investment as if they had occurred on January 1, 2020, the beginning of the earliest period presented.</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w:t>
      </w:r>
      <w:r>
        <w:rPr>
          <w:rFonts w:ascii="Arial" w:cs="Arial" w:eastAsia="Arial" w:hAnsi="Arial"/>
          <w:sz w:val="17"/>
          <w:szCs w:val="17"/>
          <w:i w:val="1"/>
          <w:iCs w:val="1"/>
          <w:color w:val="auto"/>
        </w:rPr>
        <w:t>Amendments to Financial Disclosures about Acquired and Disposed Businesses</w:t>
      </w:r>
      <w:r>
        <w:rPr>
          <w:rFonts w:ascii="Arial" w:cs="Arial" w:eastAsia="Arial" w:hAnsi="Arial"/>
          <w:sz w:val="17"/>
          <w:szCs w:val="17"/>
          <w:color w:val="auto"/>
        </w:rPr>
        <w:t>.”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unaudited pro forma condensed combined financial statements are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combined company will experience. CMLS and Sema4 have not had any historical relationship prior to the Business Combination. Accordingly, no pro forma adjustments were required to eliminate activities between the companies.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information should be read together with CMLS’s and Sema4’s historical financial statements and related notes, “</w:t>
      </w:r>
      <w:r>
        <w:rPr>
          <w:rFonts w:ascii="Arial" w:cs="Arial" w:eastAsia="Arial" w:hAnsi="Arial"/>
          <w:sz w:val="18"/>
          <w:szCs w:val="18"/>
          <w:i w:val="1"/>
          <w:iCs w:val="1"/>
          <w:color w:val="auto"/>
        </w:rPr>
        <w:t>Unaudited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Combined Financial Information</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 of CMLS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 of Sema4</w:t>
      </w:r>
      <w:r>
        <w:rPr>
          <w:rFonts w:ascii="Arial" w:cs="Arial" w:eastAsia="Arial" w:hAnsi="Arial"/>
          <w:sz w:val="18"/>
          <w:szCs w:val="18"/>
          <w:color w:val="auto"/>
        </w:rPr>
        <w:t>,” and other financial information relating to CMLS and Sema4 included elsewhere in this proxy statement/prospectus.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selected unaudited pro forma condensed combined financial data below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Assuming no Redemptions</w:t>
      </w:r>
      <w:r>
        <w:rPr>
          <w:rFonts w:ascii="Arial" w:cs="Arial" w:eastAsia="Arial" w:hAnsi="Arial"/>
          <w:sz w:val="17"/>
          <w:szCs w:val="17"/>
          <w:color w:val="auto"/>
        </w:rPr>
        <w:t>: 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4" w:lineRule="auto"/>
        <w:tabs>
          <w:tab w:leader="none" w:pos="655"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Assuming maximum Redemptions</w:t>
      </w:r>
      <w:r>
        <w:rPr>
          <w:rFonts w:ascii="Arial" w:cs="Arial" w:eastAsia="Arial" w:hAnsi="Arial"/>
          <w:sz w:val="17"/>
          <w:szCs w:val="17"/>
          <w:color w:val="auto"/>
        </w:rPr>
        <w:t>: 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(as defined herein) 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Additionally, 2,439,452 shares of Class B common stock would be forfeited by the Sponsor as a result of the maximum redemptions in accordance with the Forfeiture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w w:val="97"/>
              </w:rPr>
              <w:t>Pro Forma</w:t>
            </w:r>
          </w:p>
        </w:tc>
        <w:tc>
          <w:tcPr>
            <w:tcW w:w="1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Pr>
          <w:p>
            <w:pPr>
              <w:spacing w:after="0"/>
              <w:rPr>
                <w:sz w:val="16"/>
                <w:szCs w:val="16"/>
                <w:color w:val="auto"/>
              </w:rPr>
            </w:pPr>
          </w:p>
        </w:tc>
        <w:tc>
          <w:tcPr>
            <w:tcW w:w="290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2"/>
              </w:rPr>
              <w:t>Year Ended December 31, 2020</w:t>
            </w:r>
          </w:p>
        </w:tc>
      </w:tr>
      <w:tr>
        <w:trPr>
          <w:trHeight w:val="130"/>
        </w:trPr>
        <w:tc>
          <w:tcPr>
            <w:tcW w:w="4700" w:type="dxa"/>
            <w:vAlign w:val="bottom"/>
          </w:tcPr>
          <w:p>
            <w:pPr>
              <w:spacing w:after="0"/>
              <w:rPr>
                <w:sz w:val="11"/>
                <w:szCs w:val="11"/>
                <w:color w:val="auto"/>
              </w:rPr>
            </w:pPr>
          </w:p>
        </w:tc>
        <w:tc>
          <w:tcPr>
            <w:tcW w:w="16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b w:val="1"/>
                <w:bCs w:val="1"/>
                <w:color w:val="auto"/>
                <w:w w:val="90"/>
              </w:rPr>
              <w:t>Scenario 1 Assuming No</w:t>
            </w: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56"/>
              <w:spacing w:after="0" w:line="130" w:lineRule="exact"/>
              <w:rPr>
                <w:sz w:val="20"/>
                <w:szCs w:val="20"/>
                <w:color w:val="auto"/>
              </w:rPr>
            </w:pPr>
            <w:r>
              <w:rPr>
                <w:rFonts w:ascii="Arial" w:cs="Arial" w:eastAsia="Arial" w:hAnsi="Arial"/>
                <w:sz w:val="14"/>
                <w:szCs w:val="14"/>
                <w:b w:val="1"/>
                <w:bCs w:val="1"/>
                <w:color w:val="auto"/>
                <w:w w:val="89"/>
              </w:rPr>
              <w:t>Scenario 2 Assuming</w:t>
            </w:r>
          </w:p>
        </w:tc>
        <w:tc>
          <w:tcPr>
            <w:tcW w:w="100" w:type="dxa"/>
            <w:vAlign w:val="bottom"/>
          </w:tcPr>
          <w:p>
            <w:pPr>
              <w:spacing w:after="0"/>
              <w:rPr>
                <w:sz w:val="11"/>
                <w:szCs w:val="11"/>
                <w:color w:val="auto"/>
              </w:rPr>
            </w:pPr>
          </w:p>
        </w:tc>
        <w:tc>
          <w:tcPr>
            <w:tcW w:w="1600" w:type="dxa"/>
            <w:vAlign w:val="bottom"/>
            <w:tcBorders>
              <w:top w:val="single" w:sz="8" w:color="auto"/>
            </w:tcBorders>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tcBorders>
              <w:top w:val="single" w:sz="8" w:color="auto"/>
            </w:tcBorders>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338"/>
              <w:spacing w:after="0"/>
              <w:rPr>
                <w:sz w:val="20"/>
                <w:szCs w:val="20"/>
                <w:color w:val="auto"/>
              </w:rPr>
            </w:pPr>
            <w:r>
              <w:rPr>
                <w:rFonts w:ascii="Arial" w:cs="Arial" w:eastAsia="Arial" w:hAnsi="Arial"/>
                <w:sz w:val="14"/>
                <w:szCs w:val="14"/>
                <w:b w:val="1"/>
                <w:bCs w:val="1"/>
                <w:color w:val="auto"/>
              </w:rPr>
              <w:t>Redemptions</w:t>
            </w:r>
          </w:p>
        </w:tc>
        <w:tc>
          <w:tcPr>
            <w:tcW w:w="1720" w:type="dxa"/>
            <w:vAlign w:val="bottom"/>
            <w:gridSpan w:val="3"/>
          </w:tcPr>
          <w:p>
            <w:pPr>
              <w:ind w:left="100"/>
              <w:spacing w:after="0"/>
              <w:rPr>
                <w:sz w:val="20"/>
                <w:szCs w:val="20"/>
                <w:color w:val="auto"/>
              </w:rPr>
            </w:pPr>
            <w:r>
              <w:rPr>
                <w:rFonts w:ascii="Arial" w:cs="Arial" w:eastAsia="Arial" w:hAnsi="Arial"/>
                <w:sz w:val="14"/>
                <w:szCs w:val="14"/>
                <w:b w:val="1"/>
                <w:bCs w:val="1"/>
                <w:color w:val="auto"/>
              </w:rPr>
              <w:t>Maximum Redemptions</w:t>
            </w:r>
          </w:p>
        </w:tc>
        <w:tc>
          <w:tcPr>
            <w:tcW w:w="320" w:type="dxa"/>
            <w:vAlign w:val="bottom"/>
          </w:tcPr>
          <w:p>
            <w:pPr>
              <w:spacing w:after="0"/>
              <w:rPr>
                <w:sz w:val="16"/>
                <w:szCs w:val="16"/>
                <w:color w:val="auto"/>
              </w:rPr>
            </w:pPr>
          </w:p>
        </w:tc>
        <w:tc>
          <w:tcPr>
            <w:tcW w:w="1280" w:type="dxa"/>
            <w:vAlign w:val="bottom"/>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gridSpan w:val="3"/>
          </w:tcPr>
          <w:p>
            <w:pPr>
              <w:jc w:val="right"/>
              <w:ind w:right="1096"/>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Borders>
              <w:top w:val="single" w:sz="8" w:color="auto"/>
            </w:tcBorders>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Statement of Operations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64,351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179,322</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179,322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(289,759)</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(289,759)</w:t>
            </w:r>
          </w:p>
        </w:tc>
      </w:tr>
      <w:tr>
        <w:trPr>
          <w:trHeight w:val="467"/>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4"/>
              </w:rPr>
              <w:t>Pro Forma</w:t>
            </w:r>
          </w:p>
        </w:tc>
        <w:tc>
          <w:tcPr>
            <w:tcW w:w="8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center"/>
              <w:ind w:left="438"/>
              <w:spacing w:after="0"/>
              <w:rPr>
                <w:sz w:val="20"/>
                <w:szCs w:val="20"/>
                <w:color w:val="auto"/>
              </w:rPr>
            </w:pPr>
            <w:r>
              <w:rPr>
                <w:rFonts w:ascii="Arial" w:cs="Arial" w:eastAsia="Arial" w:hAnsi="Arial"/>
                <w:sz w:val="14"/>
                <w:szCs w:val="14"/>
                <w:b w:val="1"/>
                <w:bCs w:val="1"/>
                <w:color w:val="auto"/>
                <w:w w:val="93"/>
              </w:rPr>
              <w:t>As of March 31, 2021</w:t>
            </w:r>
          </w:p>
        </w:tc>
        <w:tc>
          <w:tcPr>
            <w:tcW w:w="840" w:type="dxa"/>
            <w:vAlign w:val="bottom"/>
            <w:tcBorders>
              <w:bottom w:val="single" w:sz="8" w:color="auto"/>
            </w:tcBorders>
          </w:tcPr>
          <w:p>
            <w:pPr>
              <w:spacing w:after="0"/>
              <w:rPr>
                <w:sz w:val="16"/>
                <w:szCs w:val="16"/>
                <w:color w:val="auto"/>
              </w:rPr>
            </w:pPr>
          </w:p>
        </w:tc>
      </w:tr>
      <w:tr>
        <w:trPr>
          <w:trHeight w:val="130"/>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4"/>
              </w:rPr>
              <w:t>Scenario 1 Assuming No</w:t>
            </w:r>
          </w:p>
        </w:tc>
        <w:tc>
          <w:tcPr>
            <w:tcW w:w="16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89"/>
              </w:rPr>
              <w:t>Scenario 2 Assuming</w:t>
            </w:r>
          </w:p>
        </w:tc>
      </w:tr>
      <w:tr>
        <w:trPr>
          <w:trHeight w:val="188"/>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94"/>
              </w:rPr>
              <w:t>Redemptions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Maximum Redemptions</w:t>
            </w:r>
          </w:p>
        </w:tc>
      </w:tr>
      <w:tr>
        <w:trPr>
          <w:trHeight w:val="183"/>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2"/>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r>
      <w:tr>
        <w:trPr>
          <w:trHeight w:val="23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Combined Balance Sheet data:</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695,135</w:t>
            </w:r>
          </w:p>
        </w:tc>
        <w:tc>
          <w:tcPr>
            <w:tcW w:w="780" w:type="dxa"/>
            <w:vAlign w:val="bottom"/>
          </w:tcPr>
          <w:p>
            <w:pPr>
              <w:jc w:val="right"/>
              <w:ind w:right="5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644,202</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7,750</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722,007</w:t>
            </w:r>
          </w:p>
        </w:tc>
        <w:tc>
          <w:tcPr>
            <w:tcW w:w="7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722,007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w:t>
            </w:r>
          </w:p>
        </w:tc>
        <w:tc>
          <w:tcPr>
            <w:tcW w:w="7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This proxy statement contains forward-looking statements within the meaning of the “safe harbor” provisions of the Private Securities Litigation Reform Act of 1995, including with respect to the anticipated timing, completion and effects of the Business Combination. These statements are based on the current expectations and beliefs of management of the Company and Sema4, and are subject to a number of factors and uncertainties that could cause actual results to differ materially from those described in the forward-looking statements. These forward-looking statements include statements about future financial and operating results of Sema4; benefits of the Business Combination; statements of the plans, strategies and objectives of management for future operations of Sema4; statements regarding future economic conditions or performance; and other statements regarding the Business Combination. Forward-looking statements may contain words such as “will be,” “will,” “expect,” “anticipate,” “continue,” “project,” “believe,” “plan,” “could,” “estimate,” “forecast,” “guidance,” “intend,” “may,” “plan,” “possible,” “potential,” “predict,” “pursue,” “should,” “target” or similar expressions, and include the assumptions that underlie such statements. These statements include, but are not limited to statements about the ability of CMLS and Sema4 prior to the Business Combination, and the post-combination company following the Business Combination, to:</w:t>
      </w:r>
    </w:p>
    <w:p>
      <w:pPr>
        <w:spacing w:after="0" w:line="114"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meet the Closing conditions to and complete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realize the benefits expected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post-combination company’s ability to raise financing in the future and to comply with restrictive covenants related to long-term indebtedness;</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post-combination company’s success in retaining or recruiting, or changes required in, its officers, key employees or directors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Sema4, including:</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post-combination company’s ability to comply with laws and regulations applicable to its business;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market conditions and global and economic factors beyond the post-combination company’s control;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intense competition and competitive pressures from other companies worldwide in the industries in which the combined company will operate;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litigation and the ability to adequately protect the post-combination company’s intellectual property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“Risk Factors.”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Sema4 will be realized. All subsequent written and oral forward-looking statements concerning the Company, Sema4, the post-combination company, the transactions contemplated by the Merger Agreement or other matters attributable to the Company or Sema4 or any person acting on their behalf are expressly qualified in their entirety by the forward-looking statements above. Except to the extent required by applicable law, the Company and Sema4 are under no obligation (and expressly disclaim any such obligation) to update or revise their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You should carefully review and consider the following risk factors and the other information contained in this proxy statement, including the financial statements and notes to the financial statements included herein, in evaluating the Business Combination and the proposals to be voted on at the Special Meeting. The following risk factors related to Sema4 apply to the business and operations of Sema4 and will also apply to the business and operations of the post-combination company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an adverse effect on the business, cash flows, financial condition and results of operations of the post-combination company. You should also carefully consider the following risk factors in addition to the other information included in this proxy statement, including matters addressed in the section entitled “Cautionary Note Regarding Forward-Looking Statements.” We or Sema4 may face additional risks and uncertainties that are not presently known to us or Sema4, or that we or Sema4 currently deem immaterial, which may also impair our or Sema4’s business or financial condition. The following discussion should be read in conjunction with the financial statements and notes to the financial statements included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Industry and Operations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risks may have a material adverse effect on Sema4’s business, financial condition and results of operations. These risks include those described below and may include additional risks and uncertainties not presently known to Sema4 or that Sema4 currently deems immaterial. These risks should be read in conjunction with the other information in this proxy statement, including Sema4’s financial statements and related notes thereto and “</w:t>
      </w:r>
      <w:r>
        <w:rPr>
          <w:rFonts w:ascii="Arial" w:cs="Arial" w:eastAsia="Arial" w:hAnsi="Arial"/>
          <w:sz w:val="17"/>
          <w:szCs w:val="17"/>
          <w:i w:val="1"/>
          <w:iCs w:val="1"/>
          <w:color w:val="auto"/>
        </w:rPr>
        <w:t>Sema4’s</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 this proxy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affected and may further materially and adversely affect Sema4’s business and financial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together with related precautionary measures, began to materially disrupt Sema4’s business in April 2020 and may continue to disrupt its business for an unknown period of time. The territories in which Sema4 markets, sells, distributes and performs its tests and performs its health information and data science services are attempting to address the COVID-19 pandemic in varying ways, including stay-at-home orders, temporarily closing businesses, restricting gatherings, restricting travel, and mandating social distancing and face coverings. Certain jurisdictions have begun re-opening only to return to restrictions due to increases in new COVID-19 cases. Even in areas where “stay-at-home” restrictions have been lifted and the number of cases of COVID-19 has declined, many individuals remain cautious about resuming activities such as preventive-care medical visits. Medical practices continue to be cautious about allowing individuals, such as sales representatives, into their offices. Many individuals continue to work from home rather than from an office setting. The level and nature of the disruption caused by COVID-19 is unpredictable, may be cyclical and long-lasting and may vary from location to location. As a result, Sema4 experienced a significant impact to its 2020 operating results, including its order volumes, revenues, margins, and cash utilization, among other measures.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2020, Sema4 undertook temporary precautionary measures intended to help minimize the risk of the virus to its employees, including requiring most employees to work remotely; suspending field-based, face-to-face interactions by its sales force; requiring on-site employees to undergo COVID-19 testing, wear personal protective equipment (including face masks or shields) and maintain social distancing; pausing all non-essential travel for its employees; and limiting employee attendance at industry events and in-person work-related meetings, to the extent those events and meetings are continuing. Sema4’s current partners also took similar precautions, including suspending face-to-face interactions between sales representatives and healthcare providers.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expects to adjust its precautionary measures at its various locations based on local recovery levels and applicable governmental regulations. For example, a portion of Sema4’s sales force has recommenced field-based interactions, although access to healthcare providers remains limited and the resumption of normal activities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gradual. Sema4’s business could be negatively affected if it takes excessive, ineffective or inadequate precautions.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COVID-19 pandemic has materially impacted Sema4’s business, and may continue to impact its business for an unknown period of time. Such impacts may include the following:</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Sema4’s products or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Restrictions on travel, commerce and shipping may prevent patients and pathologists from shipping samples to Sema4’s clinical laboratories;</w:t>
      </w:r>
    </w:p>
    <w:p>
      <w:pPr>
        <w:spacing w:after="0" w:line="194"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Illnesses, quarantines, financial hardships, restrictions on travel, commerce and shipping, or other consequences of the pandemic, may disrupt Sema4’s supply chain or other business relationships, and it or other parties may assert rights under force majeure clauses to excuse performance;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has experienced, and for an extended period of time may continue to experience, reduced volumes at its clinical laboratories and it may need to suspend operations at some or all of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has taken, and may take additional, cost cutting measures, which may hinder its efforts to commercialize its products or delay the development of future products and services. Further, Sema4 might not realize all of the cost savings it expects to achieve as a result of those efforts;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Sema4 and its partners have postponed or cancelled clinical studies, which may delay or prevent its launch of future products and services;</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Sema4’s workforce, much of which has been asked to work remotely in an effort to reduce the spread of COVID-19, may be infected by the virus or otherwise distracted;</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combination of factors, including infection from the virus, supply shortfalls, and inability to obtain or maintain equipment, could adversely affect Sema4’s lab capacity and its ability to meet the demand for its testing services. In addition, in April of 2020 Sema4 began offering a COVID-19 test and by devoting lab capacity and supplies to that test, it may experience capacity limitations and supply shortfalls that adversely affect its ability to provide women’s health and oncology testing, and other tests that may generate more revenue and higher profits; and</w:t>
      </w:r>
    </w:p>
    <w:p>
      <w:pPr>
        <w:spacing w:after="0" w:line="10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Sema4 may inaccurately estimate the duration or severity of the COVID-19 pandemic, which could cause it to misalign its staffing, spending, activities and precautionary measures with current or future market conditions.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Despite Sema4’s efforts, the ultimate impact of COVID-19 depends on factors beyond its knowledge or control, including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the anticipated economic consequences of the COVID-19 pandemic have adversely impacted financial markets, resulting in high share price volatility, reduced market liquidity, and substantial declines in the market prices of the securities of many publicly traded companies. Following the Business Combination volatile or declining markets for equities could adversely affect the post-combination company’s ability to raise capital in the future when needed through the sale of shares of common stock or other equity or equity-linked securities. If these market conditions persist when and if the post-combination company needs to raise capital, and if it is able to sell shares of its common stock following the Business Combination under then prevailing market conditions, the post-combination company might have to accept lower prices for its shares and issue a larger number of shares than might have been the case under better market conditions, resulting in significant dilution of the interests of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Due to the high degree of uncertainty regarding the implementation and impact of the CARES Act and other legislation related to COVID-19, there can be no assurance that Sema4 will be able to comply with the applicable terms and conditions of the CARES Act and retain such assistance.</w:t>
      </w:r>
    </w:p>
    <w:p>
      <w:pPr>
        <w:spacing w:after="0" w:line="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1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2020, Sema4 received $5.4 million as part of the stimulus, comprised of $2.6 million received under the Provider Relief Fund, or PRF, distribution and $2.8 million received under the Employee Retention Credit, or ERC, distribution. During the three months ended March 31, 2021, Sema4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Sema4 concluded that the eligibility requirements were met. However, subsequent to the filing of the application, Sema4’s revenue was revised due to a change in estimate as a result of finalizing its accounting records, which impacted the applicable periods and calculations for determining eligibility, and may no longer meet the eligibility requirements. As such, Sema4 has deferred the recognition of the ERC distribution and recorded the proceeds in other liabilities on the balance sheets as of December 31, 2020 and March 31, 2021. See Note 2 to Sema4’s audited financial statements and Note 2 to Sema4’s unaudited condensed financial statements contained elsewhere in this proxy statement.</w:t>
      </w:r>
    </w:p>
    <w:p>
      <w:pPr>
        <w:spacing w:after="0" w:line="13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Due to the high degree of uncertainty regarding the implementation of the CARES Act, the Consolidated Appropriations Act, 2021 and other stimulus legislation, and due to Sema4’s revenue revisions, there can be no assurance that the terms and conditions of the PRF, ERC or other relief programs will not change or be interpreted in ways that affect Sema4’s ability to comply with such terms and conditions in the future, which could affect its ability to retain such assistance. Sema4 will continue to monitor its compliance with the terms and conditions of the PRF, including demonstrating that the distributions received have been used for healthcare-related expenses or lost revenue attributable to COVID-19, and the ERC. If Sema4 is unable to comply with current or future terms and conditions, its ability to retain some or all of the distributions received may be impacted, and it may be subject to actions including payment recoupment, audits and inquiries by governmental authorities, and criminal, civil or administrative penalties.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 companies or institutions may develop and market novel or improved technologies, which may make Sema4’s technologies less competitive or obsolete.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operates in a rapidly evolving and highly competitive industry. There are a number of private and public companies that offer products or services or have announced that they are developing products or services that compete, or may one day compete, with its products or services. Some of Sema4’s current and potential competitors possess greater brand recognition, financial and other resources and development capabilities than it does. As the fields of genomic analysis and health information become more widely known to the public, Sema4 anticipates that competition will further increase. Sema4 expects to compete with a broad range of organizations in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30" w:lineRule="exact"/>
        <w:rPr>
          <w:sz w:val="20"/>
          <w:szCs w:val="20"/>
          <w:color w:val="auto"/>
        </w:rPr>
      </w:pPr>
    </w:p>
    <w:p>
      <w:pPr>
        <w:ind w:lef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 may be unable to compete effectively against its competitors either because their products and services are superior or because they may have more expertise, experience, financial resources, or stronger business relationships. These competitors may have broader product lines and greater name recognition than Sema4 does. Furthermore, Sema4 must compete successfully in its existing markets, including women’s health and oncology, but also in any new markets it expands into. Even if Sema4 does develop new marketable products or services, its current and future competitors may develop products and services that are more commercially attractive than Sema4’s, and they may bring those products and services to market earlier or more effectively than it. If Sema4 is unable to compete successfully against current or future competitors, it may be unable to increase market acceptance for and sales of its tests and services, which could prevent it from increasing or sustaining its revenues or achieving sustained profitability.</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faces intense competition. If Sema4 does not continue to innovate and provide products and services that are useful to users, it may not remain competitive, which could harm its business and operating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business environment is rapidly evolving and intensely competitive. Sema4’s businesses face changing technologies, shifting provider and patient needs, and frequent introductions of rival products and services. To compete successfully, Sema4 must accurately anticipate technology developments and deliver innovative, relevant and useful products, services, and technologies in a timely manner. As Sema4’s businesses evolve, the competitive pressure to innovate will encompass a wider range of products and services. Sema4 must continue to invest significant resources in research and development, including through acquisitions and collaborations, joint ventures and partnerships, in order to enhance its current diagnostics and health information and data science technologies, and existing and new products and services based off these technologies.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many competitors in different industries. Sema4’s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Sema4’s competitive position, including by making acquisitions, continuing to invest heavily in research and development and in talent, aggressively initiating intellectual property claims (whether or not meritorious), and continuing to compete aggressively for its customers and partners in the market for health information and data science products and services. Sema4’s competitors may be able to innovate and provide products and services faster than Sema4 can or may foresee the need for products and services before it does.</w:t>
      </w:r>
    </w:p>
    <w:p>
      <w:pPr>
        <w:spacing w:after="0" w:line="14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operating results may also suffer if its products and services are not responsive to the needs of its customers and partners. As technologies continue to develop, Sema4’s competitors may be able to offer products and services that are, or that are seen to be, substantially similar to or better than its current products and services. This may force Sema4 to compete in different ways and expend significant resources in order to remain competitive. If Sema4’s competitors are more successful than it in developing compelling products and services for or in attracting and retaining customers or partners in the market for health information and data science products and services, Sema4’s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Sema4’s tests, or seek to amend or renegotiate their fee reimbursement schedules, or if Sema4 is unable to comply with their requirements for reimbursement, its commercial success could be negatively affected.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ability to increase the number of billable tests and its revenue therefrom will depend on its success in achieving reimbursement for its tests from third-party payors. Reimbursement by a payor may depend on a number of factors, including a payer’s determination that a test is appropriate, medically necessary, cost-effective and has received prior authorization. The commercial success of Sema4’s current and future products, if approved, will depend on the extent to which its customers receive coverage and adequate reimbursement from third-party payors, including as managed care organizations and government payers (</w:t>
      </w:r>
      <w:r>
        <w:rPr>
          <w:rFonts w:ascii="Arial" w:cs="Arial" w:eastAsia="Arial" w:hAnsi="Arial"/>
          <w:sz w:val="18"/>
          <w:szCs w:val="18"/>
          <w:i w:val="1"/>
          <w:iCs w:val="1"/>
          <w:color w:val="auto"/>
        </w:rPr>
        <w:t>e.g.</w:t>
      </w:r>
      <w:r>
        <w:rPr>
          <w:rFonts w:ascii="Arial" w:cs="Arial" w:eastAsia="Arial" w:hAnsi="Arial"/>
          <w:sz w:val="18"/>
          <w:szCs w:val="18"/>
          <w:color w:val="auto"/>
        </w:rPr>
        <w:t>, Medicare and Medicaid).</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each payer makes its own decision as to whether to establish a policy or enter into a contract to cover Sema4’s tests, as well as the amount it will reimburse for a test, seeking these approvals is a time-consuming and costly process. In addition, the determination by a payer to cover and the amount it will reimburse for Sema4’s tests will likely be made on an indication-by-indication basis and may consider Sema4’s billing practices and reimbursements from other payors and from Sema4’s patient billing programs. To date, Sema4 has obtained policy-level reimbursement approval or contractual reimbursement for some indications for its tests from most of the large commercial third-party payors in the United States, and the Centers for Medicare &amp; Medicaid Services, or CMS, provides reimbursement for its multi-gene tests for hereditary breast and ovarian cancer-related disorders as well as other tests. Sema4 believes that establishing adequate reimbursement from Medicare is an important factor in gaining adoption from healthcare providers. Sema4’s claims for reimbursement from third-party payors may be denied upon submission, and Sema4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the payments for Sema4’s tests are paid or reimbursed under insurance programs with third-party payors. To contain reimbursement and utilization rates, third-party payors often attempt to, or do in fact, amend or renegotiate their fee reimbursement schedules. Loss of revenue by Sema4 caused by third-party payor cost containment efforts or an inability to negotiate satisfactory reimbursement rates could have a material adverse effect on Sema4’s revenue and results of operations.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in cases where Sema4 or its partners have established reimbursement rates with third-party payors, Sema4 faces additional challenges in complying with their procedural requirements for reimbursement. These requirements often vary from payer to payer and are reassessed by third party payors on a regular basis, and Sema4 has needed additional time and resources to comply with them. Sema4 has also experienced, and may continue to experience, delays in or denials of coverage if it does not adequately comply with these requirements. Sema4’s third-party payors have also requested, and in the future may request, audits of the amounts paid to it. Sema4 has been required to repay certain amounts to payers as a result of such audits, and Sema4 could be adversely affected if it is required to repay other payers for alleged overpayments due to lack of compliance with their reimbursement policies. In addition, Sema4 has experienced, and may continue to experience, delays in reimbursement when Sema4 transitions to being an in-network provider with a payer.</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expects to continue to focus its resources on increasing adoption of, and expanding coverage and reimbursement for, its current tests and any future tests it may develop or acquire. If Sema4 fails to expand and maintain broad adoption of, and coverage and reimbursement for, its tests, its ability to generate revenue could be harmed and its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limited experience with the development and commercialization of its databases and its health information and genomic platforms.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has limited experience with the development or commercialization of clinical or research products in connection with the databases it manages and to which it has access, and its Centrellis and Traversa platforms. Sema4’s partners’ usage of an advanced machine learning engine for therapeutic decision-making are at an early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stage of development and usage under current and proposed collaborations, and Sema4 is continuing to develop new processes that may support the development of new therapeutics applications such as the delivery of personalized clinically actional insights into clinical reports, clinical trial matching, real-world evidence trials, and clinical decision support, via an advanced programmable interface layer. Although Sema4’s partners have invested significant financial resources to develop and utilize new technologies to support preclinical studies and other early research and development activities, and provide general and administrative support for these operations, Sema4’s future success is dependent on its current and future partners’ ability to successfully derive actionable insights from the database and its platform, and its partners’ ability, where applicable, to obtain regulatory approval for new therapeutic solutions based off existing models or to obtain regulatory approval and marketing for, and to successfully commercialize, new therapeutics. The use of Sema4’s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genomic medicine and health information analysis could reduce demand for its tests.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Sema4’s use of their data. These and other ethical, legal and social concerns may limit market acceptance of its tests or services or reduce the potential markets for its tests, or services either of which could have an adverse effect on Sema4’s business, research, financial condition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fails to comply with federal and state laboratory licensing requirements or standards, Sema4 could lose the ability to perform its tests or experience disruptions to its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is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Sema4 to be eligible to bill state and federal healthcare programs, as well as many private third-party payors, for its tests. Sema4 has current CLIA, CAP, and other certifications to conduct its tests at its laboratories in Connecticut. To renew these certifications, Sema4 is subject to survey and inspection on a regular basis and at the request of the certifying bodies. Moreover, CLIA inspectors may make random inspections of its clinical reference laboratories.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would also be required to maintain in-state licenses if it were to conduct testing in other states. Several states require the licensure of out-of-state laboratories that accept specimens from certain states.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having laboratory licenses in New York, Sema4’s clinical reference laboratories are approved on test-specific bases for the tests they run as laboratory-developed tests, or LDTs, by the New York State Department of Health, or NYDOH. Other states may adopt similar licensure requirements in the future, which may require Sema4 to modify, delay or stop its operations in such jurisdictions. Sema4 may also be subject to regulation in foreign jurisdictions as it seeks to expand international utilization of its tests or such jurisdictions adopt new licensure requirements, which may require review of its tests in order to offer them or may have other limitations such as restrictions on the transport of samples necessary for it to perform its tests that may limit its ability to make its tests available outside of the United States. Complying with licensure requirements in new jurisdictions may be expensive, time-consuming, and subject Sema4 to significant and unanticipated delays.</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comply with applicable clinical laboratory licensure requirements or standards may result in a range of enforcement actions, including license suspension, limitation, or revocation, directed plan of action, onsite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monitoring, civil monetary penalties, criminal sanctions, and cancellation of the laboratory’s approval to receive Medicare and Medicaid payment for its services, as well as significant adverse publicity. Any sanction imposed under CLIA, its implementing regulations, or state or foreign laws or regulations governing clinical laboratory licensure, or Sema4’s failure to renew its CLIA certifications, a state or foreign license, or accreditation, could have a material adverse effect on its business, financial condition and results of operations. Even if Sema4 were able to bring its laboratory back into compliance, it could incur significant expenses and potentially lose revenue in doing so.</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Sema4 has CAP accreditations for its laboratories. Failure to maintain CAP accreditation could have a material adverse effect on the sales of its tests and the results of Sema4’s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Business Model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highly skilled personnel in a broad array of disciplines and, if it is unable to hire, retain or motivate these individuals, or maintain its corporate culture, it may not be able to maintain the quality of its services or grow effectively.</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Sema4’s performance, including its research and development programs and laboratory operations, largely depends on its continuing ability to identify, hire, develop, motivate and retain highly skilled personnel for all areas of its organization, including software developers, geneticists, biostatisticians, bioinformaticians, data scientists, certified laboratory directors and technicians and other scientific and technical personnel to process and interpret Sema4’s tests and related data. In addition, Sema4 may need to continue to expand its sales force with qualified and experienced personnel. Competition in Sema4’s industry for qualified employees is intense, and it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Sema4 may be unable to obtain the necessary visas for foreign personnel to work in the United States. In addition, Sema4’s compensation arrangements, such as its equity award programs, may not always be successful in attracting new employees and retaining and motivating its existing employees. If Sema4 is not able to attract and retain the necessary personnel to accomplish its business objectives, it may experience constraints that could adversely affect its ability to scale its business, support its research and development efforts and its clinical laboratories. Sema4 believes that its corporate culture fosters innovation, creativity and teamwork. However, as Sema4’s organization grows, it may find it increasingly difficult to maintain the beneficial aspects of its corporate culture. This could negatively impact Sema4’s ability to retain and attract employees and its future success.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Sema4’s senior management team could adversely affect its business.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depends in large part upon the skills, experience and performance of members of its executive management team and others in key leadership positions. The efforts of these persons will be critical to Sema4 as it continues to develop its technologies and test processes and focus on scaling its business. If Sema4 were to lose one or more key executives, including its founder and CEO, Eric Schadt, it may experience difficulties in competing effectively, developing its tests and technologies and implementing its business strategy. Only certain Sema4’s executives have employment contracts, and the majority of Sema4’s employees are at-will, which means that either Sema4 or any employee may terminate their employment at any time or in the notice period set forth in an executive’s contract. Sema4 does not carry key person insurance for any of its executives or employees. In addition, Sema4 does not have a long-term retention agreement in place with its CEO. Furthermore, Sema4 competes against other leading companies in the diagnostics, health information, and data sciences markets for top talent.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competitors offer better compensation or opportunities, there is no guarantee that Sema4 would be able to retain its key executives.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Sema4’s founder and CEO, Eric Schadt, and certain other Sema4 employees will continue to perform duties for or on behalf of Mount Sinai following the Business Combination.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founder CEO, Eric Schadt, and certain other employees of Sema4 will continue to perform duties for or on behalf of the Mount Sinai Health System, which refer to together with its related entities as Mount Sinai following the Business Combination. In the case of Dr. Schadt, in addition to serving as the CEO for and a director of Sema4, Dr. Schadt also serves as the Dean for Precision Medicine and a professor at Icahn School of Medicine at Mount Sinai, or ISMMS. Following the Business Combination, Sema4 expects Dr. Schadt to devote a substantial amount of time to the obligations of managing a public company while maintaining certain duties for Mount Sinai. Though Sema4 does not expect Dr. Schadt’s role as a CEO and a director of the post-combination company to conflict with his roles at Mount Sinai, there can be no guarantee that such conflicts will not occur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not be able to manage its future growth effectively, which could make it difficult to execute its business strategy.</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expected future growth could create a strain on its organizational, administrative and operational infrastructure, including data and laboratory operations, quality control, customer service, marketing and sales, and management. Sema4 may not be able to maintain the quality of or expected turnaround times for its products or services, or satisfy customer demand as it grows. Sema4 may need to continue expanding its sales force to facilitate its growth, and it may have difficulties locating, recruiting, training and retaining sales personnel. Sema4’s ability to manage its growth effectively will require it to continue to improve its operational, financial and management controls, as well as its reporting systems and procedures. As Sema4 grows, any failure of its controls or interruption of its facilities or systems could have a negative impact on its business and financial operations. Sema4 plans to develop and launch new versions of its Centrellis and Traversa platforms and its core diagnostic products, which will affect a broad range of business processes and functional areas. The time and resources required to implement these new systems is uncertain, and failure to complete these activities in a timely and efficient manner could adversely affect Sema4’s operations. Future growth in Sema4’s business could also make it difficult for it to maintain its corporate culture. If Sema4 is unable to manage its growth effectively, it may be difficult for it to execute its business strategy and its business could be harmed.</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needs to scale its infrastructure in advance of demand for its products and services, and its failure to generate sufficient demand for its products and services would have a negative impact on its business and its ability to attain profitability.</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Sema4’s success depends in large part on its ability to extend its market position, to provide customers with high-quality health reports and health information and data science services in a manner that differentiates it from its competitors, and to deploy technologies and achieve sufficient volumes to realize economies of scale. In order to execute its business model, Sema4 intends to continue to invest heavily in order to significantly scale its infrastructure, including its lab infrastructure and testing capacity and its information and computing systems, expand its commercial operations, customer service, billing and systems processes and enhance its internal quality assurance program. Sema4 will also need to enhance its capacity for data privacy management as it scales its infrastructure. Sema4 expects that much of this growth will be in advance of both demand for its products and services as well as its ability to diversify its offerings, including services related to Centrellis and Traversa and the databases it manages and to which it has access, and its ability to find appropriate partners through collaborations and acquisitions. Sema4’s current and future expense levels are to a large extent fixed and are largely based on its investment plans and its estimates of future revenue. Because the timing and amount of revenue from Sema4’s products and services are difficult to forecast, when revenue does not meet its expectations, Sema4 may not be able to adjust its spending promptly or reduce its spending to levels commensurate with its revenue. Even if Sema4 is able to successfully scale its infrastructure and operations while successfully diversifying its offering, it cannot assure you that demand for its products and services, including its Centrellis platform, will increase at levels consistent with the growth of its infrastructure. If Sema4 fails to generate demand commensurate with this growth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Sema4 fails to scale its infrastructure sufficiently in advance of demand to successfully meet such demand, its business, prospects, financial condition and results of operations could be adversely affected.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expansion of Sema4’s business could expose it to business, regulatory, political, operational, financial and economic risks associated with doing business outside of the United States.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cleared, authorized or approved, Sema4 and its collaborators may market, sell, and distribute its products and services outside of the United States, and its business would be subject to risks associated with doing business outside of the United States, including an increase in its expenses and diversion of its management’s attention from the development of future products and services. Accordingly, Sema4’s business and financial results in the future could be adversely affected due to a variety of factors, including:</w:t>
      </w:r>
    </w:p>
    <w:p>
      <w:pPr>
        <w:spacing w:after="0" w:line="133" w:lineRule="exact"/>
        <w:rPr>
          <w:sz w:val="20"/>
          <w:szCs w:val="20"/>
          <w:color w:val="auto"/>
        </w:rPr>
      </w:pPr>
    </w:p>
    <w:p>
      <w:pPr>
        <w:jc w:val="both"/>
        <w:ind w:left="660" w:hanging="328"/>
        <w:spacing w:after="0" w:line="263"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failure by Sema4, its collaborators or Sema4 distributors to obtain regulatory clearance, authorization or approval for the use of its products and services in various countries;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Sema4’s 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limits in Sema4’s ability to penetrate international markets if it is not able to conduct its clinical diagnostic services locally;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Sema4’s products and services and exposure to foreign currency exchange rate fluctuations;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Sema4 may in the future operate, such as the United Kingdom’s Bribery Act of 2010 and anti-bribery requirements of member states in the European Union, or EU.</w:t>
      </w:r>
    </w:p>
    <w:p>
      <w:pPr>
        <w:spacing w:after="0" w:line="13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could significantly harm Sema4’s future international expansion and operations and, consequently, its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U.S. or global economic conditions could adversely affect Sema4’s business, financial condition or results of operations.</w:t>
      </w:r>
    </w:p>
    <w:p>
      <w:pPr>
        <w:spacing w:after="0" w:line="18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results of operations could be adversely affected by general conditions in the global economy and financial markets. A severe or prolonged economic downturn could result in a variety of risks to Sema4’s business, including weakened demand for its products and services and its ability to raise additional capital when needed on favorable terms, if at all. A weak or declining economy could strain Sema4’s collaborators and suppliers, possibly resulting in supply disruption, or cause delays in their payments to Sema4. Any of the foregoing could harm its business and Sema4 cannot anticipate all of the ways in which the current economic climate and financial market conditions could adversely impact its business.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a limited number of suppliers or, in some cases, single suppliers, for some of its laboratory instruments and materials and may not be able to find replacements or immediately transition to alternative suppliers or service providers.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sourced and will continue to source components of its diagnostic testing workflow, including sequencers and other laboratory equipment, reagents, lab supplies and other laboratory services and materials and related services, from third parties.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failure to maintain a continued supply of its sequencers and other laboratory equipment, reagents, lab supplies and other laboratory services and materials, along with the right to use certain hardware and software and related services, would adversely impact its business, financial condition, and results of operations. In particular, while Sema4 is seeking to validate its tests on additional sequencing platforms Sema4 has not, to date, validated viable alternative sequencing platform on which its testing could be run in a commercially viable manner. These efforts will require significant resources, expenditures and time and attention of management, and there is no guarantee that Sema4 will be successful in implementing any such sequencing platforms in a commercially sustainable way. Sema4 also cannot guarantee that it will appropriately prioritize or select alternative sequencing platforms on which to focus its efforts, in particular given its limited product and research and development resources and various business initiatives, which could result in increased costs and delayed timelines or otherwise impact its business and results of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Because Sema4 relies on third-party manufacturers, Sema4 does not control the manufacture of these components, including whether such components will meet its quality control requirements, nor the ability of its suppliers to comply with applicable legal and regulatory requirements. In many cases, Sema4 suppliers are not contractually required to supply these components to the quality or performance standards that it requires. If the supply of components Sema4 receives does not meet its quality control or performance standards, it may not be able to use the components, or if it uses them not knowing that they are of inadequate quality, which occasionally occurs with respect to certain reagents, its tests may not work properly or at all, or may provide erroneous results, and Sema4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Sema4’s third-party manufacturers' facilities that cause a loss of manufacturing capacity would heighten the risks that it faces.</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event of any adverse developments with Sema4’s sole suppliers, or if any of its sole suppliers modifies any of the components they supply to it, its ability to supply its products may be interrupted, and obtaining substitute components could be difficult or require it to re-design or re-validate its products. Sema4’s failure to maintain a continued supply of components, or a supply that meets its quality control requirements, or changes to or termination of its agreements or inability to renew its agreements with these parties or enter into new agreements with other suppliers could result in the loss of access to important components of its tests and impact its test performance or affect its ability to perform its tests in a timely manner or at all, which could impair, delay or suspend its commercialization activities. In the event that Sema4 transitions to a new supplier from any of its sole suppliers, doing so could be time-consuming and expensive, may result in interruptions in its ability to supply its products to the market, could affect the performance of its tests or could require that Sema4 re-validate its affected tests using replacement equipment and supplies, which could delay the performance of its tests, impact diagnostic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solutions and heath information derived from such tests, and result in increased costs. Any of these occurrences could have a material adverse effect on Sema4’s business, financial condition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Sema4 relies on a limited number of product and service providers for data infrastructure and analytics capabilities, and any disruption of, or interference with, its use of data and workflow services could adversely affect its business, financial condition, and results of operations, and Sema4 may not be able to find replacements or immediately transition to alternative products or service providers.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currently relies upon third-party services for data storage and workflow management, including cloud storage solution providers, such as Amazon Web Services, or AWS, and Google Cloud Platform, or GCP. Sema4 relies on each of AWS and GCP features to complete several vital workflows in its health information and data science service delivery. To varying degrees some of those services are proprietary to how each platform performs in connection with Sema4’s current usage of the services. Further, Sema4 has also built several proprietary workflows with its vendor and partner Command Health where it maintains versions of developed software on such platforms.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Nearly all of Sema4’s data storage and analytics are conducted on, and the data and content it generates on its platforms are processed through, servers hosted by these providers, particularly AWS and GCP. Sema4 also relies on email service providers, bandwidth providers, internet service providers and mobile networks to deliver communications to patients, physicians and partners and to allow patients, physicians and its partners to access various offerings from its platforms. If Sema4’s third-party vendors are unable or unwilling to provide the services necessary to support its business, or if its agreements with such vendors are terminated, Sema4 operations could be significantly disrupted. Some of Sema4’s vendor agreements may be unilaterally terminated by the licensor for convenience, including with respect to AWS or GCP, and if such agreements are terminated, Sema4 may not be able to enter into similar relationships in the future on reasonable terms or at all.</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damage to, or failure of, Sema4’s systems or the systems of its third-party data centers or its other third-party providers could result in interruptions to the availability or functionality of database and platforms. As a result, Sema4 could lose health information data and miss opportunities to acquire and retain patients, physicians and partners including health systems and pharmaceutical and biotech companies, which could result in decreased revenue. If for any reason Sema4’s arrangements with its data centers or third-party providers are terminated or interrupted, such termination or interruption could adversely affect its business, financial condition and results of operations. Sema4 exercises little control over these providers, which increases its vulnerability to problems with the services they provide. Sema4 could incur additional expense in arranging for new or redesigned facilities, technology, services and support. In addition, the failure of Sema4’s third-party data centers or any other third-party providers to meet Sema4’s capacity needs or any system failure as a result of reliance on third parties, including network, software or hardware failure, which causes a delay or interruption in the Sema4’s services and products, including its ability to handle existing or increased processing of data on its platforms, could have a material adverse effect on the Sema4’s business, revenues, operating results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current and future products and services may never achieve significant commercial market acceptance.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success depends on the market’s confidence that Sema4 can provide data-driven research and diagnostic products and services that improve clinical outcomes, lower healthcare costs and enable better product development by pharmaceutical and biotech, or Biopharma, companies. Failure of Sema4’s products and services, or those jointly developed with its collaborators, to perform as expected or to be updated to meet market demands could significantly impair its operating results and its reputation. Sema4 believes patients, health systems, clinicians, academic institutions and Biopharma companies are likely to be particularly sensitive to defects, errors, inaccuracies and delays with Sema4’s products and services. Furthermore, inadequate performance of these products or services may result in lower confidence in Sema4’s Centrellis platform in general.</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and its collaborators may not succeed in achieving significant commercial market acceptance for its current or future products and services due to a number of factors, including:</w:t>
      </w:r>
    </w:p>
    <w:p>
      <w:pPr>
        <w:spacing w:after="0" w:line="116" w:lineRule="exact"/>
        <w:rPr>
          <w:sz w:val="20"/>
          <w:szCs w:val="20"/>
          <w:color w:val="auto"/>
        </w:rPr>
      </w:pPr>
    </w:p>
    <w:p>
      <w:pPr>
        <w:ind w:left="66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Sema4’s ability to demonstrate the utility of its platforms including Centrellis and Traversa, and related products and services and their potential advantages over existing clinical AI technology, life 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research, clinical diagnostic and drug discovery technologies to academic institutions, Biopharma companies and the medical community;</w:t>
      </w:r>
    </w:p>
    <w:p>
      <w:pPr>
        <w:spacing w:after="0" w:line="171" w:lineRule="exact"/>
        <w:rPr>
          <w:sz w:val="20"/>
          <w:szCs w:val="20"/>
          <w:color w:val="auto"/>
        </w:rPr>
      </w:pPr>
    </w:p>
    <w:p>
      <w:pPr>
        <w:ind w:left="660" w:right="20" w:hanging="328"/>
        <w:spacing w:after="0" w:line="342" w:lineRule="auto"/>
        <w:tabs>
          <w:tab w:leader="none" w:pos="6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Sema4’s ability, and that of its collaborators, to perform clinical trials or other research to gather adequate evidence and/or to secure and maintain FDA and other regulatory clearance authorization or approval for Sema4’s products or products developed based off Sema4’s platform;</w:t>
      </w:r>
    </w:p>
    <w:p>
      <w:pPr>
        <w:spacing w:after="0" w:line="69" w:lineRule="exact"/>
        <w:rPr>
          <w:rFonts w:ascii="Arial" w:cs="Arial" w:eastAsia="Arial" w:hAnsi="Arial"/>
          <w:sz w:val="16"/>
          <w:szCs w:val="16"/>
          <w:color w:val="auto"/>
        </w:rPr>
      </w:pPr>
    </w:p>
    <w:p>
      <w:pPr>
        <w:jc w:val="both"/>
        <w:ind w:left="660" w:hanging="328"/>
        <w:spacing w:after="0" w:line="342" w:lineRule="auto"/>
        <w:tabs>
          <w:tab w:leader="none" w:pos="6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agreement by third-party payors to reimburse Sema4’s products or services, the scope and extent of which will affect patients’ willingness or ability to pay for Sema4’s products or services and will likely heavily influence physicians’ decisions to recommend Sema4’s products or services;</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rate of adoption of its platforms and related products and services by academic institutions, clinicians, patients, key opinion leaders, advocacy groups and Biopharma companies;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impact of Sema4’s investments in product and services, and technological innovation and commercial growth.</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Sema4’s customers and collaborators, including Mount Sinai, may decide to decrease or discontinue their use of Sema4’s products and services due to changes in their research and development plans, failures in their clinical trials, financial constraints, the regulatory environment, negative publicity about its products and services, competing products or the reimbursement landscape, all of which are circumstances outside of its control. Sema4 may not be successful in addressing these or other factors that might affect the market acceptance of its products, services and technologies. Failure to achieve widespread market acceptance of Sema4’s platform and related products and services would materially harm Sema4’s business, financial condition and results of operations.</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Sema4’s projections are subject to significant risks, assumptions, estimates and uncertainties, including assumptions regarding adoption of its products and services. As a result, Sema4’s projected revenues, market share, expenses and profitability may differ materially from its expectations in any given quarter or fiscal year.</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Sema4 operates in rapidly changing and competitive industries and its projections are subject to the risks and assumptions made by Sema4’s management with respect to these industries. Operating results are difficult to forecast as they generally depend on Sema4’s assessment of the timing of adoption of its current and future products and services, which is uncertain. Furthermore, as Sema4 invests in the continued development of new businesses that have yet to achieve significant commercial success, whether because of competition or otherwise, Sema4 may not recover the often substantial up-front costs of developing and marketing those products and services or recover the opportunity cost of diverting management and financial resources away from other products or services. Additionally, Sema4’s business may be affected by reductions in customer or partner demand as a result of a number of factors which may be difficult to predict. Similarly, Sema4’s assumptions and expectations with respect to margins and the pricing of its products and services may not prove to be accurate as a result of competitive pressures or customer or partner demands. This may result in decreased revenue, and Sema4 may be unable to adopt measures in a timely manner to compensate for any unexpected shortfall in revenue. This inability could cause Sema4’s operating results in a given quarter or year to be higher or lower than expected. Any failure to achieve Sema4’s projected operating results could harm the trading price of the post-combination company’s securities and its financial position following the completion of the Business Combination.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has estimated the sizes of the markets for its current and future products and services, and these markets may be smaller than it estimates.</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estimates of the annual addressable markets for its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Sema4 or its collaborators are able to engage, diagnose or treat patients through or using Sema4’s products and services, the number of potential clinical tests utilized per treatment course per patient, the ongoing engagement by patients, physicians and health systems on its platforms, and the assumed prices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which Sema4 can sell its current and future products and services for markets that have not been established. While Sema4 believes its assumptions and the data underlying its estimates are reasonable, these assumptions and estimates may not be correct and the conditions supporting its assumptions or estimates may change at any time, thereby reducing the predictive accuracy of these underlying factors. As a result, Sema4’s estimates of the annual addressable market for its current or future products and services may prove to be incorrect. If the actual number of patients who would benefit from Sema4’s products or services, the price at which it can sell future products and services or the annual addressable market for its products or services is smaller than Sema4 has estimated, it may impair its sales growth and have an adverse impact on its business.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in the development and commercialization of Sema4’s enhanced or new tests or services could materially adversely affect its business, financial condition and results of operations.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Sema4’s success will depend in part on its ability to effectively introduce enhanced or new offerings. The focus of its research and development efforts has expanded beyond its current products and services, focused substantially on women’s health and oncology, as Sema4 is now also applying its expertise in processing and analyzing new areas, such as rare diseases. In recent years Sema4 has developed and/or launched several new products or enhanced versions of existing products, including products leveraging alternative sequencing technologies, and Sema4 expects to continue its efforts in all of these areas and more. The development and launch of enhanced or new tests requires the completion of certain clinical development and commercialization activities that are complex, costly, time-intensive and uncertain, and requires Sema4 to accurately anticipate patients', clinicians', payors' and other counterparties' attitudes and needs as well as emerging technology and industry trends. This process is conducted in various stages, and each stage presents the risk that Sema4 will not achieve its goals.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relatively limited experience developing and commercializing products and services outside of the fields of women’s health and oncology diagnostics, and it may not be successful in its current or future efforts to do so. Sema4 also has limited experience forecasting its future financial performance from its new products and services, and its actual results may fall below its financial guidance or other projections, or the expectations of analysts or investors, which, following the Business Combination, could cause the price of the post-combination company’s common stock and warrants to decline. Sema4 may experience research and development, regulatory, marketing and other difficulties that could delay or prevent its introduction of enhanced or new tests and result in increased costs and the diversion of management's attention and resources from other business matters, such as from its current product and service offerings, which currently represent the significant majority of its current revenues. For example, any tests that Sema4 may enhance or develop may not prove to be clinically effective in clinical trials or commercially, or may not meet its desired target product profile, be offered at acceptable cost and with the sensitivity, specificity and other test performance metrics necessary to address the relevant clinical need or commercial opportunity; Sema4’s test performance in commercial experience may be inconsistent with its validation or other clinical data; Sema4 may not be successful in achieving market awareness and demand, whether through its own sales and marketing operations or through collaborative arrangements; healthcare providers may not order or use, or third-party payors may not reimburse for, any tests that Sema4 may enhance or develop; or Sema4 may otherwise have to abandon a test or service in which Sema4 has invested substantial resources. For example, Sema4 is subject to the risk that the biological characteristics of the genetic mutations Sema4 seeks to target, and upon which its technologies rely, are uncertain and difficult to predict. Sema4 may also experience unforeseen difficulties when implementing updates to its processes.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cannot assure you that it can successfully complete the development of any new or enhanced product, or that Sema4 can establish or maintain the collaborative relationships that may be essential to its collaborators’ goals, including clinical development or commercialization efforts. For example, clinical development requires large numbers of patient specimens and, for certain products, may require large, prospective, and controlled clinical trials. Sema4 may not be able to identify and help enroll patients or collect a sufficient amount of appropriate health data in a timely manner; or it may experience delays during data analysis process due to slower than anticipated supplies of patient data, or due to changes in study design or inputs, or other unforeseen circumstances; or Sema4 or its collaborators may be unable to afford or manage the large-sized clinical trials that some of its planned future products may require. Further, the publication of clinical data in peer-reviewed journals is a crucial step in commercializing and obtaining reimbursement for certain diagnostic solutions such as the ones offered by Sema4, and its inability to control when, if ever, results are published may delay or limit Sema4’s ability to derive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any diagnostic solution that is the subject of or component in a study. Peer-reviewed publications regarding Sema4’s products may be limited by many factors, including delays in the completion of, poor design of, or lack of compelling data from, clinical studies, as well as delays in the review, acceptance and publication process. If Sema4’s diagnostic solutions or the technology underlying its current and future diagnostic solutions do not receive sufficient favorable exposure in peer-reviewed publications, the rate of clinician adoption of Sema4’s diagnostic solutions and positive reimbursement coverage determinations for its diagnostic solutions could be negatively affected.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Food and Drug Administration, or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Sema4’s product candidates, or could result in delays, modifications or abandonment of ongoing analytical or future clinical studies, or abandonment of a product development program, any of which could have a material adverse effect on its business, operating results or financial condition.</w:t>
      </w:r>
    </w:p>
    <w:p>
      <w:pPr>
        <w:spacing w:after="0" w:line="12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These and other factors beyond Sema4’s control could result in delays or other difficulties in the research and development, approval, production, launch, marketing or distribution of enhanced or new tests and could adversely affect Sema4’s competitive position and results of operations.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currently uses, and in the future expects to increase its use of, information and rights from customers, strategic partners, and collaborators for several aspects of its operations, and if Sema4 cannot maintain current and enter new relationships with these parties with adequate access and authorization to such information, its business will suffer.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Sema4’s long term business model. The regulatory landscape around the storage, processing and deidentification of genetic data is evolving globally and greatly impacts the ability of Sema4, its strategic partners and collaborators to process and use the data in connection with its products and services.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has limited resources to conduct its health information services, data analysis, life sciences research, clinical diagnostics and drug discovery operations and has not yet fully established infrastructure for sales, marketing or distribution in connection with its products and services. Accordingly, Sema4 has entered into service and collaboration agreements under which its partners, including health systems, have provided, and may in the future provide, funding, data access, and other resources for developing and potentially commercializing Sema4’s products and services. These collaborations may result in Sema4 incurring significant expenses in pursuit of potential products and services, and Sema4 may not be successful in identifying, developing or commercializing any potential products or services.</w:t>
      </w:r>
    </w:p>
    <w:p>
      <w:pPr>
        <w:spacing w:after="0" w:line="1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Sema4’s future success depends in part on its ability to maintain and grow its existing relationships, including with Mount Sinai, and to establish new relationships. Many factors may impact the success of such collaborations, including Sema4’s ability to perform its obligations, its collaborators’ satisfaction with its products and services, its collaborators’ performance of their obligations to Sema4,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Sema4’s ability to support such collaborations may also depend on factors outside of its control including the willingness of patients to engage with Sema4 and share their data, societal perspectives on privacy, and the willingness of health systems to establish collaborations, relationships and programs utilizing their data, all of which may impact the utility of these databases and the insights Sema4 will be able to generate from expanding datasets. In addition to reducing Sema4’s revenue or delaying the development of its future products and services, the loss of one or more of these relationships may reduce Sema4’s access to research, longitudinal patient health data, clinical trials or computing technologies that facilitate the collection and incorporation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information into the databases it manages and to which it has access. All of the risks relating to product and service development, regulatory clearance, authorization or approval and commercialization described herein apply to Sema4 derivatively through the activities of its collaborators. Sema4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Sema4’s existing or potential collaborations can be a catalyst for adverse speculation about it, or its products or services, which can adversely affect its reputation and its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Sema4’s products and services do not perform as expected, it may not realize the expected benefits of such products and services.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success of Sema4’s products depends on the market’s confidence that it can provide reliable products and services that enable high quality diagnostic testing and health information services with high sensitivity and specificity and short turnaround times. There is no guarantee that the accuracy and reproducibility Sema4 has demonstrated to date will continue as its product deliveries increase and its product and service portfolio expands.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Sema4 anticipates or result in longer than expected turnaround times. In addition, labs are required to validate their processes before using Sema4 products for clinical purposes. These validations are outside of Sema4’s control. If Sema4’s products do not perform, or are perceived to not have performed, as expected or favorably in it to competitive products, its consolidated operating results, reputation, and business will suffer, and Sema4 may also be subject to legal claims arising from product limitations, errors, or inaccuracies.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Sema4’s sales and development or other collaborations and commercial relationships are not successful and it is not able to offset the resulting impact through its own efforts or through agreements with new partners, its commercialization activities may be impaired and its financial results could be adversely affected.</w:t>
      </w:r>
    </w:p>
    <w:p>
      <w:pPr>
        <w:spacing w:after="0" w:line="13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Part of Sema4’s business strategy is to develop relationships with health systems, biopharma companies, and other partners to utilize its products and to provide access to data. Developing and commercializing products with third parties reduces Sema4’s control over such development and commercialization efforts and subjects it to the various risks inherent in a joint effort with a third party, such as delays, operational issues, technical difficulties and other contingencies outside of its influence or control. The financial condition of these third parties could weaken, or they could terminate their relationship with Sema4 and/or stop sharing data or other information; reduce their marketing efforts relating to Sema4’s products; develop and commercialize, or otherwise utilize competing products in addition to or in lieu of Sema4’s tests; merge with or be acquired by a competitor of Sema4 or a company that chooses to de-prioritize the efforts to utilize Sema4’s products or provide Sema4 with adequate data; or otherwise breach their agreements with Sema4. Further, Sema4 must expend resources to operationalize its existing collaborations with its health system partners, which requires substantial effort in areas such as integrations for testing workflow, EMR, consents, marketing, and billing. To the extent, Sema4 is not successful at operationalizing existing collaborations with health partners, it may not be able to further improve or pursue new agreements with additional partners. Furthermore, Sema4’s partners may misappropriate Sema4’s trade secrets or use Sema4’s proprietary information in such a way as to expose Sema4 to litigation and potential liability; and Sema4’s compliance risk may increase to the extent that Sema4 is responsible for its partners' activities. Disagreements or disputes with Sema4’s health systems and other partners, including disagreements over customers, proprietary or other rights or its or their compliance with financial or other contractual obligations, might cause delays or impair the development or commercialization of Sema4’s products, services, and technologies, lead to additional responsibilities for Sema4 with respect to new products, services and technologies, or result in litigation or arbitration, any of which would divert management attention and resources and be time-consuming and expensive. As is typical for companies in Sema4’s industry, it is continually evaluating and pursuing various strategic or commercial relationships, some of which may, following the Business Combination, involve the sale and issuance of the post-combination company’s common stock, which could result in additional dilution of the percentage ownership of its stockholders and could cause the price of its common stock and warrants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Sema4’s relationships are not successful, its ability to develop and improve of products, services and technologies, and to successfully execute its commercial strategy regarding such products, services and technologies, could be compromised.</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Sema4 is unable to deploy and maintain effective sales, marketing and medical affairs capabilities, it will have difficulty achieving market awareness and selling its products and services.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achieve commercial success for its tests and its future products and services, Sema4 must continue to develop and grow its sales, marketing and medical affairs organizations to effectively explain to healthcare providers the reliability, effectiveness and benefits of its current and future products and services as compared to alternatives. Sema4 may not be able to successfully manage its dispersed or inside sales forces or its sales force may not be effective. Because of the competition for their services, Sema4 may be unable to hire, partner with or retain additional qualified sales representatives or marketing or medical affairs personnel, either as its employees or independent contractors or through independent sales or other third-party organizations. Market competition for commercial, marketing and medical affairs talent is significant, and Sema4 may not be able to hire or retain such talent on commercially reasonable terms, if at all.</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Establishing and maintaining sales, marketing and medical affairs capabilities will be expensive and time-consuming. Sema4’s expenses associated with maintaining its sales force may be disproportionate to the revenues it may be able to generate on sales of the certain tests or any future products or services.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may never become profitable.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incurred losses since it was formed and expects to continue to generate significant operating losses for the foreseeable future. As of December 31, 2020 and March 31, 2021, Sema4 has an accumulated deficit of approximately $330.1 million and $521.0, respectively. Sema4 expects to continue investing significantly toward development and commercialization of its health information technology and other products and services. If Sema4’s revenue does not grow significantly, it will not be profitable. Sema4 cannot be certain that the revenue from the sale of any products or services based on its technologies will be sufficient to make it profitable.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operating results could be subject to significant fluctuation, which, following the Business Combination, could increase the volatility of the post-combination company’s stock and warrant price and cause losses to its stockholders.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Sema4’s success in marketing and selling, and changes in demand for, its tests, and the level of reimbursement and collection obtained for such tests;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Sema4’s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Sema4’s success in collecting payments from third-party payors, patients and collaborative partners, variation in the timing of these payments and recognition of these payments as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pricing of its tests, including potential changes in CMS or other reimbursement rates;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its tests, including weather events, supply shortages, or regulatory or other circumstances that adversely affect its ability to manufacture its tests or process tests in its clinical laboratories;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circumstances affecting Sema4’s ability to provide health information and data science services to biopharma partners, including software or hardware failures, insufficient capacity, regulatory changes or other circumstances that adversely affect the ability of Sema4 to deliver these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ind w:left="66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fluctuations in the amount and timing of Sema4’s selling and marketing costs and its ability to manage costs and expenses and effectively implement its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Sema4’s research and development activities, including the timing of clinical trials; and</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Sema4's ability to collect, use, and commercialize data in a changing regulatory environment at a time when the public is growing increasingly concerned about privacy.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Sema4’s revenue growth rate could decline over time, and it may experience downward pressure on its operating margins in the future.</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revenue growth rate could decline over time as a result of a number of factors, including increasing competition and the continued expansion of its business into a variety of new fields. Changes in geographic mix and product and service mix and an increasing competition for tests may also affect its revenue growth rate. Sema4 may also experience a decline in its revenue growth rate as its revenues increase to higher levels, if there is a decrease in the rate of adoption of its products, services, and technologies, among other factors.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a decline in its revenue growth rate, Sema4 may also experience downward pressure on its gross operating margins resulting from a variety of factors, such as the continued expansion of its business into new fields, including new products and services, as well as significant investments in new areas, all of which may have margins lower than those that Sema4 generates from testing. Sema4 may also experience downward pressure on its gross operating margins from increasing competition and increased costs for many aspects of its business. Sema4 may also pay increased fees to its partners as well as increased acquisition costs. Sema4 may also face an increase in infrastructure costs, supporting other businesses. Additionally, Sema4’s expenditures to promote new products and services or to distribute certain products and services or increased investment in its innovation efforts across its Centrellis platform may affect its operating margins.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these factors and the evolving nature of its business, Sema4’s historical projected revenue growth rate and historical gross operating margins may not be indicative of its future performance.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may need to raise additional capital to fund its existing operations, develop additional products and services, commercialize new products and services or expand its operations.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Sema4 has incurred net losses and negative cash flows since its inception and expects to continue generate significant operating losses for the foreseeable future. As of May 6, 2021, the issuance date of Sema4’s audited financial statements included elsewhere in this proxy statement, Sema4’s operating expenses and capital expenditure requirements over the next 12 months were in excess of Sema4’s existing cash and cash equivalents, and, as a result, the audit report and opinion of Sema4’s independent registered public accounting firm contained in Sema4’s audited financial statements includes an explanatory paragraph that describes conditions that raise substantial doubt about Sema4’s ability to continue as a going concern. Further, as of June 10, 2021, the issuance date of Sema4’s unaudited condensed financial statements included elsewhere in this proxy statement, Sema4 also concluded there is substantial doubt about Sema4’s ability to continue as a going concern. See “</w:t>
      </w:r>
      <w:r>
        <w:rPr>
          <w:rFonts w:ascii="Arial" w:cs="Arial" w:eastAsia="Arial" w:hAnsi="Arial"/>
          <w:sz w:val="16"/>
          <w:szCs w:val="16"/>
          <w:i w:val="1"/>
          <w:iCs w:val="1"/>
          <w:color w:val="auto"/>
        </w:rPr>
        <w:t>Sema4’s 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 - Going Concern, Liquidity and Capital Resources</w:t>
      </w:r>
      <w:r>
        <w:rPr>
          <w:rFonts w:ascii="Arial" w:cs="Arial" w:eastAsia="Arial" w:hAnsi="Arial"/>
          <w:sz w:val="16"/>
          <w:szCs w:val="16"/>
          <w:color w:val="auto"/>
        </w:rPr>
        <w:t>” for more information. Although Sema4 expects the funding to be received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the Business Combination and the PIPE Investment to address the substantial doubt about Sema4’s ability to continue as a going concern, following the Business Combination, the post-combination company may also seek to sell common or preferred equity or convertible debt securities, enter into a credit facility or another form of third-party funding or seek other debt financing. Sema4 may also seek additional capital prior to the consummation of the Business Combination, subject to Sema4’s covenants in the Merger Agreement.</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Business Combination, the post-combination company may also consider raising additional capital in the future to expand Sema4’s business, to pursue strategic investments, to take advantage of financing opportunities or for other reasons, including to:</w:t>
      </w:r>
    </w:p>
    <w:p>
      <w:pPr>
        <w:spacing w:after="0" w:line="1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 Sema4’s sales and marketing efforts to drive market adoption of its current and future products and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fund development efforts for Sema4’s current and future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expand Sema4’s products and services into other disease indications and clinical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ability to achieve revenue growth;</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rate of progress in establishing payer coverage and reimbursement arrangements with commercial third-party payors and government payers;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cost of expanding Sema4’s laboratory operations and offerings, including its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Sema4’s rate of progress in, and cost of the sales and marketing activities associated with, establishing adoption of its Centrellis solution;</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Sema4’s rate of progress in, and cost of research and development activities associated with, products and services in research and early development;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Sema4’s products and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various ways the post-combination company could raise additional capital following the Business Combination carry potential risks. If the post-combination company raises funds by issuing equity securities, dilution to its stockholders could result. Any preferred equity securities issued also could provide for rights, preferences or privileges senior to those of holders of its common stock. If the post-combination company raises funds by issuing debt securities, those debt securities would have rights, preferences and privileges senior to those of holders of its common stock. The terms of debt securities issued or borrowings pursuant to a credit agreement could impose significant restrictions on Sema4’s operations. If Sema4 raises funds through collaborations and licensing arrangements, Sema4 might be required to relinquish significant rights to its technologies or products and services or grant licenses on terms that are not favorable to it.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expects to make significant investments in its continued research and development of new products and services, which may not be successful.</w:t>
      </w:r>
    </w:p>
    <w:p>
      <w:pPr>
        <w:spacing w:after="0" w:line="20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seeking to leverage and deploy its Centrellis and Traversa platforms to develop a pipeline of future disease-specific research, diagnostic and therapeutic products and services. For example, Sema4 is attempting to extend current products into additional indications and sample types, and it is developing its population health program, and its pharmacogenomics solutions with a view toward advancing the development of tests designed to identify genetic variants for drug response that are associated with medically actionable and clinically relevant data to make more informed treatment decisions. Sema4 expects to incur significant expenses to advance these development efforts, but they may not be successful.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Developing new products and services is a speculative and risky endeavor. Products or services that initially show promise may fail to achieve the desired results or may not achieve acceptable levels of analytical accuracy or clinical utility. Sema4 may need to alter its products in development and repeat analysis or clinical studies before it identifies a potentially successful product or service. Product development is expensive, may take years to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 can have uncertain outcomes. Failure can occur at any stage of the development. If, after development, a product or service appears successful, Sema4 or its collaborators may, depending on the nature of the product or service, still need to obtain FDA and other regulatory clearances, authorizations or approvals before Sema4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Sema4 develops. Even if Sema4 develops a product or service that receives regulatory clearance, authorization or approval, or succeeds in initial product testing, it or its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Sema4 determines that any of its current or future products or services are unlikely to succeed, it may abandon them without any return on its investment. If Sema4 is unsuccessful in developing additional products or services, its potential for growth may be impaired.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has identified material weaknesses, some of which have a pervasive effect across the organization, and may identify additional material weaknesses or significant deficiencies, in its internal controls over financial reporting. Sema4’s failure to remedy these matters could result in a material misstatement of its financial statements.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course of preparing its financial statements for 2020, 2019 and 2018, Sema4 identified material weaknesses in its internal control over financial reporting which could, if not remediated, result in material misstatements in our financial statements as of December 31, 2020.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Sema4 did not design and maintain accounting policies, procedures and controls to ensure complete, accurate and timely financial reporting in accordance with U.S. GAAP. Specifically, the material weaknesses identified included the following:</w:t>
      </w:r>
    </w:p>
    <w:p>
      <w:pPr>
        <w:spacing w:after="0" w:line="124" w:lineRule="exact"/>
        <w:rPr>
          <w:sz w:val="20"/>
          <w:szCs w:val="20"/>
          <w:color w:val="auto"/>
        </w:rPr>
      </w:pPr>
    </w:p>
    <w:p>
      <w:pPr>
        <w:ind w:left="660" w:right="2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did not design and maintain accounting policies, processes and controls to analyze, account for and report its revenue arrangements in accordance with ASC 606, Revenue from Contracts with Customers, and ASC 605, Revenue Recognition.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had not developed and effectively communicated to its employees its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Sema4’s accounting and operating systems lacked controls over access, and program change management that are needed to ensure access to financial data is adequately restricted to appropriate personnel.</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Sema4 does not have sufficient, qualified finance and accounting staff with the appropriate U.S. GAAP technical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Sema4’s size and the nature and complexity of its operations. As a result, Sema4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management is preparing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Sema4 cannot guarantee that the steps it has taken or may subsequently take have been or will be sufficient to remediate the material weaknesses or ensure that Sema4’s internal controls are effective.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Furthermore, as a public company, the Company is required to comply with certain rules and requirements related to its disclosure controls and procedures and its internal control over financial reporting. Following the completion of the Business Combination, any failure to develop or maintain effective controls or any difficulties encountered in their implementation or improvement could harm the post-combination company’s operating results or cause the post-combination company to fail to meet its reporting obligations and may result in a restatement of the post-combination company’s financial statements for prior periods. For more information, see “Risk Factors—Risks Related to the Company and the Business Combination—</w:t>
      </w:r>
      <w:r>
        <w:rPr>
          <w:rFonts w:ascii="Arial" w:cs="Arial" w:eastAsia="Arial" w:hAnsi="Arial"/>
          <w:sz w:val="17"/>
          <w:szCs w:val="17"/>
          <w:i w:val="1"/>
          <w:iCs w:val="1"/>
          <w:color w:val="auto"/>
        </w:rPr>
        <w:t>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ability to use its net operating loss carry forwards and certain other tax attributes may be limited.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2020, Sema4’s total gross deferred tax assets were $60.6 million. Due to Sema4’s lack of earnings history, future deductible temporary differences related to compensation and uncertainties surrounding its ability to generate future taxable income, its net deferred tax assets have been fully offset by a valuation allowance. The deferred tax assets are primarily comprised of federal and state tax net operating losses and tax credit carryforwards, and tax deductible temporary differences.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Sema4’s existing NOLs and tax credit carryovers may be subject to limitations arising from previous ownership changes, and if it undergoes one or more ownership changes in connection with completed acquisitions, including the Business Combination, or other future transactions in Sema4’s stock, its ability to utilize NOLs and tax credit carryovers could be further limited by Section 382 of the Internal Revenue Code. As a result, if Sema4 earns future taxable income, its ability to use its pre-change net operating loss and tax credit carryforwards to offset U.S. federal taxable income may be subject to limitations, which could potentially result in increased future tax liability to it.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Key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relies on third-party laboratories to perform certain elements of its service offerings.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 limited but meaningful portion of Sema4’s genomic analysis services is performed by third-party laboratories and service providers, while the remaining portion is performed in Sema4’s laboratories. The third-party laboratories are subject to contractual obligations to perform these services for Sema4, but are not otherwise under its control. Sema4 therefore does not control the capacity and quality control efforts of these third-party laboratories other than through its ability to enforce contractual obligations on volume and quality systems, and it has no control over such laboratories’ compliance with applicable legal and regulatory requirements. Sema4 also has no control over the timeliness of such laboratories’ performance of their obligations to it, and the third-party laboratories that Sema4 has contracted with have in the past had, and occasionally continue to have, issues with delivering results to it or resolving issues with Sema4 within the time frames it expected or established in its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Sema4 and its customers expect,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ability to service customers may be delayed, interrupted or otherwise adversely affected, which could result in a loss of customers and harm to its reputation. Furthermore, when these issues arise, Sema4 has had to expend time, management’s attention and other resources to address and remedy such issues.</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may not have sufficient alternative backup if one or more of the third-party laboratories that it contracts with are unable to satisfy their obligations to it with sufficient performance, quality and timeliness, including as a result of the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Sema4 faces. Changes to or termination of agreements or inability to renew agreements with these third-party laboratories or enter into new agreements with other laboratories that are able to perform such portions of Sema4’s service offerings could impair, delay or suspend its efforts to market and sell these services. In addition, certain third-party payors, including some state Medicaid payers, that Sema4 is under contract with may take the position that sending out testing to third-party laboratories and billing for such tests is contrary to the terms of its provider agreement and may refuse to pay Sema4 for the testing. If any of these events occur, Sema4’s business, financial condition and results of operations could suffer. Further, some state laws impose anti-markup restrictions that prevent an entity from realizing a profit margin on outsourced testing. If Sema4 or its subsidiaries are unable to markup outsourced testing, its revenues and operating margins may suffer.</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Mount Sinai, a related party, and its clinicians for a portion of its test volume in connection with its diagnostic solutions and for data programs, and Sema4 has entered into certain other arrangements with Mount Sinai.</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relies on Mount Sinai, which is a related party, and its clinicians for a portion of its test volumes in connection with its diagnostic solutions and for a significant portion of the de-identified clinical records in Sema4’s databases. In 2020, orders from Mount Sinai clinicians accounted for 5.5% of Sema4’s total test volume, down from 12.8% in 2019. In addition, Sema4 subleases certain facilities from Mount Sinai, Sema4 provides certain research and data services to Mount Sinai, and Sema4 and Mount Sinai have entered into certain collaborative and commercial arrangements. Furthermore, Sema4 may in the future enter into other contracts for services or other engagements with Mount Sinai. See “Certain Relationships and Related Party Transactions — Sema4’s Related Party Transactions”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Sema4 strictly on an arms-length, fair market value basis, and the interests of Mount Sinai may not necessarily be aligned with the interests of Sema4 or its other stockholders.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is subject to risks as a result of its reliance on Mount Sinai, and if Sema4’s transactions and relationship with Mount Sinai were to cease, Sema4’s business could be disrupted and it could have a material adverse effect on Sema4’s business, research, financial condition and results of operations.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following the completion of the Business Combination, ISMMS is expected to be significant stockholder in the post-combination company. Following the expiration of the lock-up period under the ISMMS Lock-Up Agreement, ISMMS may choose to dispose of some or all of the shares of common stock held by it. Any disposal of shares of common stock by ISMMS, or the perception that these sales could occur, could cause the market price of the post-combination company’s stock or warrants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commercial courier delivery services to transport samples to its facilities in a timely and cost-efficient manner and if these delivery services are disrupted, its business could be harmed.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core business depends on its ability to quickly and reliably deliver test results to its customers. Sema4 typically receives blood, saliva, or tissue samples for analysis at its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Sema4’s ability to process or store samples in a timely manner and to service its customers, and ultimately its reputation and its business. In addition, if Sema4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unable to continue to obtain expedited delivery services on commercially reasonable terms, its operating results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Legal, Regulatory and Compliance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Sema4 may be subject to increased compliance risks as a result of its rapid growth, including its dependence on its sales, marketing and billing efforts.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Sema4 has had to expand its training and compliance efforts in line with its increasing reliance on personnel in its sales, marketing and billing functions, and its expansion of these functions in line with the overall growth in its business. Sema4 continues to monitor its personnel, but Sema4 has in the past experienced, and may in the future experience, situations in which employees fail to strictly adhere to its policies. In addition, sales and marketing activities in the healthcare space are subject to various rules and regulations. Moreover, Sema4’s billing and marketing messaging can be complex and nuanced, and there may be errors or misunderstandings in its employees' communication of such messaging. Furthermore, Sema4 utilizes text messaging, email, phone calls and other similar methods to communicate with patients who are existing or potential users of its products for various business purposes. These activities subject it to laws and regulations relating to communications with consumers, such as the CAN-SPAM Act and the Telephone Consumer Protection Act, violations of which could subject Sema4 to claims by consumers, who may seek actual or statutory damages, which could be material in the aggregate. As Sema4 continues to scale up its sales and marketing efforts in line with the growth in its business, in particular its increased pace of product launches as well as further geographical expansion, Sema4 face an increased need to continuously monitor and improve its policies, processes and procedures to maintain compliance with a growing number and variety of laws and regulations, including with respect to consumer marketing. To the extent that there is any violation, whether actual, perceived or alleged, of its policies or applicable laws and regulations, Sema4 may incur additional training and compliance costs, may receive inquiries from third-party payors or other third parties, or be held liable or otherwise responsible for such acts of non-compliance. Any of the foregoing could adversely affect Sema4’s cash flow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Sema4 uses hazardous materials in a manner that causes injury, it could be liable for resulting damages.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activities currently require the use of hazardous chemicals and biological material. Sema4 cannot eliminate the risk of accidental contamination or injury to employees or third parties from the use, storage, handling or disposal of these materials. In the event of contamination or injury, Sema4 could be held liable for any resulting damages, and any liability could exceed its resources or any applicable insurance coverage it may have. Additionally, Sema4 is subject on an ongoing basis to federal, state and local laws and regulations governing the use, storage, handling and disposal of these materials and specified waste products. The cost of compliance with these laws and regulations may become significant, and Sema4’s failure to comply may result in substantial fines or other consequences, and either could negatively affect its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and its partners will have to maintain compliance with FDA requirements for research, products and services and failure to maintain compliance with FDA requirements may prevent or delay the marketing of its products and services.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Even if Sema4 has obtained marketing authorization, it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Sema4 to recall equipment used in connection with its research, products and services. Such recalls could have an adverse effect on Sema4’s ability to provide those products and services, which in turn would adversely affect its financial condition. Sema4’s collaborators will also be required to maintain FDA clearance, authorization or approval for the products and services that Sema4 jointly develops. Any failure by Sema4 or its collaborators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maintain such clearance, authorization or approval could impair or cause a delay in its ability to profit from these collaborations.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changes in FDA enforcement discretion for LDTs could subject Sema4’s operations to much more significant regulatory requirements.</w:t>
      </w:r>
    </w:p>
    <w:p>
      <w:pPr>
        <w:spacing w:after="0" w:line="19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Sema4 currently offers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Sema4’s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that have been reviewed, cleared, authorized or approved by the FDA. If the FDA were to determine that certain tests offered by Sema4 as LDTs are not within the policy for LDTs for any reason, including new rules, policies or guidance, or due to changes in statute, its tests may become subject to extensive FDA requirements or Sema4’s business may otherwise be adversely affected. If the FDA were to disagree with Sema4’s LDT status or modify its approach to regulating LDTs, Sema4 could experience reduced revenue or increased costs, which could adversely affect Sema4’s business, prospects, results of operations and financial condition. If required, the regulatory marketing authorization process required to bring Sema4’s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 approval of a PMA. Furthermore, pending legislative proposals, if passed, such as the VALID Act, could create new or different regulatory and compliance burdens on Sema4 and could have a negative effect on its ability to keep products on the market or develop new products, which could have a material effect on its business. In the event that the FDA requires marketing authorization of Sema4’s LDTs in the future, the FDA may not ultimately grant any clearance, authorization or approval requested by Sema4 in a timely manner, or at all. In addition, if the FDA inspects Sema4’s laboratory in relation to the marketing of any FDA-authorized test, any enforcement action the FDA takes might not be limited to the FDA-authorized test carried by Sema4 and could encompass its other testing services.</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For each product and service Sema4 is developing that may require FDA premarket review prior to marketing, the FDA may not grant clearance, authorization or premarket approval and failure to obtain necessary approvals for its future products and services would adversely affect its ability to grow its business.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Before Sema4 begins to manufacture, label and market additional clinical diagnostic products for commercial diagnostic use in the United States, Sema4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to down classify the device into Class II or Class I, which would not require a PMA. In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Sema4’s business, financial condition and prospects.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FDA may identify deficiencies in Sema4’s marketing application;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FDA may identify deficiencies in Sema4 or its collaborators’ manufacturing processes, facilities or analytical methods;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4"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Sema4 may not be able to obtain these clearances, authorizations or approvals on a timely basis, or at all for its products in development. If Sema4 is unable to obtain clearance, authorization or approval for any products for which it plans to seek clearance, authorization or approval, its business may be harmed.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Sema4’s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Sema4’s decisions regarding whether new clearances, authorizations or approvals are necessary.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any product approved pursuant to a PMA, Sema4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 FDA disagrees with Sema4’s determination, which it may not review until Sema4 submits an annual report or the FDA conducts an inspection or other inquiry, and requires Sema4 to seek new clearances, authorizations or approvals for modifications to its previously cleared, authorized or approved clinical diagnostic products for which Sema4 has concluded new clearances, authorizations or approvals are unnecessary, Sema4 may be required to cease marketing or distribution of these clinical diagnostic products or to recall the modified products until Sema4 obtains clearance, authorization or approval. Sema4 may also be subject to enforcement action, including, among other things, significant regulatory fines or penalties.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for example, Sema4 plans to match its test reports for certain indications to identified mutations with FDA-approved targeted therapies or relevant clinical trials of targeted therapies. If a patient or physician who orders a test using one of Sema4’s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Sema4’s products consistently generate actionable information about their patients’ disease or condition, they may be less likely to use Sema4’s products.</w:t>
      </w:r>
    </w:p>
    <w:p>
      <w:pPr>
        <w:spacing w:after="0" w:line="1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Furthermore, Sema4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business is subject to various complex laws and regulations applicable to clinical diagnostics. Sema4 could be subject to significant fines and penalties if it or its partners fail to comply with these laws and regulations.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provider of clinical diagnostic products and services, Sema4 and its partners are subject to extensive and frequently changing federal, state, local and foreign laws and regulations governing various aspects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16"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is also required to comply with FDA regulations, including with respect to its labeling and promotion activities. In addition, advertising and marketing of its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Sema4’s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Sema4 to similar risks and delays as those it could experience under FDA, FTC and state regulation. Sema4 incurs various costs in complying and overseeing compliance with these laws and regulations. The growth of Sema4’s business and sales organization, the acquisition of additional businesses or products and services and its expansion outside of the U.S. may increase the potential of violating these laws, regulations or its internal policies and procedures.</w:t>
      </w:r>
    </w:p>
    <w:p>
      <w:pPr>
        <w:spacing w:after="0" w:line="13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its tests and planned development of products in Sema4’s pipeline has been based on existing healthcare policies. Sema4 cannot predict what additional changes, if any, will be proposed or adopted or the effect that such proposals or adoption may have on its business, financial condition and results of operations.</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Sema4 or its partners, fail to comply with these laws and regulations, it could incur significant fines and penalties and its reputation and prospects could suffer. Additionally, any such partners could be forced to cease offering Sema4’s products and services in certain jurisdictions, which could materially disrupt its business. An adverse outcome could include Sema4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its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Sema4’s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33" w:lineRule="exact"/>
        <w:rPr>
          <w:sz w:val="20"/>
          <w:szCs w:val="20"/>
          <w:color w:val="auto"/>
        </w:rPr>
      </w:pPr>
    </w:p>
    <w:p>
      <w:pPr>
        <w:ind w:left="660" w:right="20" w:hanging="328"/>
        <w:spacing w:after="0" w:line="308"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Sema4’s services, and its healthcare operations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44"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has implemented practices intended to meet the requirements of the HIPAA privacy, security and breach notification regulations, as required by law. Sema4 is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Sema4 must comply with the laws of those countries. The federal privacy regulations under HIPAA restrict Sema4’s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Sema4’s computer networks and gain access to PHI. Additionally, Sema4 shares PHI with third-parties who are legally obligated to safeguard and maintain the confidentiality of PHI. Unauthorized persons may be able to gain access to PHI stored in such third-parties computer networks. Any wrongful use or disclosure of PHI by Sema4 or such third-parties, including disclosure due to data theft or unauthorized access to Sema4 or its third-parties computer networks, could subject it to fines or penalties that could adversely affect its business and results of operations. Although the HIPAA statute and regulations do not expressly provide for a private right of damages, Sema4 could also be liable for damages under state laws to private parties for the wrongful use or disclosure of confidential health information or other private personal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Sema4’s activities may subject it to risks under federal and state laws prohibiting ‘kickbacks’ and false or fraudulent claims.</w:t>
      </w:r>
    </w:p>
    <w:p>
      <w:pPr>
        <w:spacing w:after="0" w:line="1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2018, Congress passed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not all of those same exceptions apply under EKRA. Because EKRA is a relatively new law, there is no agency guidance or court precedent to indicate how and to what extent it will be applied and enforced. Sema4 cannot assure you that its relationships with healthcare providers, hospitals, customers, its own sales representatives, or any other party will not be subject to scrutiny or will survive regulatory challenge under EKRA.</w:t>
      </w:r>
    </w:p>
    <w:p>
      <w:pPr>
        <w:spacing w:after="0" w:line="14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to avoid liability under federal false claims laws, Sema4 or its partners must carefully and accurately code claims for reimbursement, proactively monitor the accuracy and appropriateness of claims and payments received, diligently investigate any credible information indicating that it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Sema4’s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Sema4 continually strives to comply with these complex requirements, interpretations of the applicability of these laws to marketing and billing practices are constantly evolving and even an unsuccessful challenge could cause adverse publicity and be costly to respond to, and thus could harm its business and prospects. Sema4’s failure to comply with applicable laws could result in various adverse consequences that could have a material adverse effect upon its business, including the exclusion of its products and services from government programs and the imposition of civil or criminal sanctions.</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Sema4’s business could be harmed by the loss, suspension or other restriction on a license, certification or accreditation, or by the imposition of a fine or penalties, under CLIA, its implementing regulations or other state, federal and foreign laws and regulations affecting licensure or certification, or by future changes in these laws or regulations.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Sema4’s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Sema4 is subject to regulation under certain state laws and regulations governing laboratory licensure. Some states have enacted laboratory licensure and compliance laws that are more stringent than CLIA. Changes in state licensure laws that affect Sema4’s ability to offer and provide research and diagnostic products and services across state or foreign country lines could materially and adversely affect its business. In addition, state and foreign requirements for laboratory certification may be costly or difficult to meet and could affect its ability to receive specimens from certain states or foreign countries.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Sema4’s failure to renew a CLIA certificate, a state or foreign license or accreditation, could have a material adverse effect on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Sema4 may never obtain approval in the EU or in any other foreign country for any of its products or services and, even if Sema4 does, it or its partners and collaborators may never be able to commercialize them in another jurisdiction, which would limit Sema4’s ability to realize their full market potential.</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eventually market any of its current or future products and services in any particular foreign jurisdiction, Sema4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Sema4 and its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Sema4’s products and services in those countries. The foreign regulatory clearance, authorization or approval process involves all of the risks and uncertainties associated with FDA clearance, authorization or approval. Sema4 currently has limited experience in obtaining regulatory clearance, authorization or approval in international markets. If Sema4 or its collaborators fail to comply with regulatory requirements in international markets or to obtain and maintain required regulatory clearances, authorizations or approvals in international markets, or if those approvals are delayed, its target market will be reduced and its ability to realize the full market potential of Sema4’s products and services will be unrealized.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Sema4’s business is an expensive and time-consuming process, and any failure to comply could result in substantial penalties.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Sema4’s operations are subject to other extensive federal, state, local and foreign laws and regulations, all of which are subject to change. These laws and regulations currently include, among others:</w:t>
      </w:r>
    </w:p>
    <w:p>
      <w:pPr>
        <w:spacing w:after="0" w:line="116" w:lineRule="exact"/>
        <w:rPr>
          <w:sz w:val="20"/>
          <w:szCs w:val="20"/>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11"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left="328" w:hanging="328"/>
        <w:spacing w:after="0" w:line="259"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32"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16" w:lineRule="exact"/>
        <w:rPr>
          <w:rFonts w:ascii="Arial" w:cs="Arial" w:eastAsia="Arial" w:hAnsi="Arial"/>
          <w:sz w:val="18"/>
          <w:szCs w:val="18"/>
          <w:color w:val="auto"/>
        </w:rPr>
      </w:pPr>
    </w:p>
    <w:p>
      <w:pPr>
        <w:jc w:val="both"/>
        <w:ind w:left="328" w:hanging="328"/>
        <w:spacing w:after="0" w:line="286" w:lineRule="auto"/>
        <w:tabs>
          <w:tab w:leader="none" w:pos="32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11" w:lineRule="exact"/>
        <w:rPr>
          <w:rFonts w:ascii="Arial" w:cs="Arial" w:eastAsia="Arial" w:hAnsi="Arial"/>
          <w:sz w:val="17"/>
          <w:szCs w:val="17"/>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9"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32" w:lineRule="exact"/>
        <w:rPr>
          <w:rFonts w:ascii="Arial" w:cs="Arial" w:eastAsia="Arial" w:hAnsi="Arial"/>
          <w:sz w:val="18"/>
          <w:szCs w:val="18"/>
          <w:color w:val="auto"/>
        </w:rPr>
      </w:pPr>
    </w:p>
    <w:p>
      <w:pPr>
        <w:ind w:left="328" w:hanging="328"/>
        <w:spacing w:after="0" w:line="342" w:lineRule="auto"/>
        <w:tabs>
          <w:tab w:leader="none" w:pos="32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69" w:lineRule="exact"/>
        <w:rPr>
          <w:rFonts w:ascii="Arial" w:cs="Arial" w:eastAsia="Arial" w:hAnsi="Arial"/>
          <w:sz w:val="16"/>
          <w:szCs w:val="16"/>
          <w:color w:val="auto"/>
        </w:rPr>
      </w:pPr>
    </w:p>
    <w:p>
      <w:pPr>
        <w:ind w:left="328" w:hanging="328"/>
        <w:spacing w:after="0"/>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16"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it in the countries in which Sema4 operates or may operate in the future; and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8"/>
          </w:cols>
          <w:pgMar w:left="652" w:top="1440" w:right="339" w:bottom="1440" w:gutter="0" w:footer="0" w:header="0"/>
        </w:sectPr>
      </w:pPr>
    </w:p>
    <w:bookmarkStart w:id="91" w:name="page92"/>
    <w:bookmarkEnd w:id="91"/>
    <w:p>
      <w:pPr>
        <w:spacing w:after="0" w:line="14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adopted policies and procedures designed to comply with these laws and regulations. In the ordinary course of its business, Sema4 conducts internal reviews of its compliance with these laws. Sema4’s compliance may also be subject to governmental review. The growth of Sema4’s business and its expansion outside of the United States may increase the potential of violating these laws or its internal policies and procedures. The risk of Sema4 being found in violation of these or other laws and regulations is further increased by the fact that many have not been fully interpreted by the regulatory authorities or the courts, and their provisions are open to a variety of interpretations. Any action brought against Sema4 for violation of these or other laws or regulations, even if it successfully defends against it, could cause it to incur significant legal expenses and divert Sema4’s management’s attention from the operation of its business. If Sema4’s operations are found to be in violation of any of these laws and regulations, it may be subject to any applicable penalty associated with the violation, including significant administrative, civil and criminal penalties, damages, fines, imprisonment, exclusion from participation in Federal healthcare programs, refunding of payments received by it and curtailment or cessation of Sema4’s operations, which may impact existing contracts with key payors, collaborators, health systems, and commercial partners. Any of the foregoing consequences could seriously harm Sema4’s business and its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 faces uncertainty related to healthcare reform, pricing, coverage and reimbursement, which could reduce its revenue.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Sema4’s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Sema4’s tests could be materially and adversely affected. Any change in reimbursement policy could result in a change in patient cost-sharing, which could adversely affect a provider’s willingness to prescribe and patient’s willingness and ability to use Sema4’s tests and any other product or service Sema4 may develop. Healthcare reforms, which may intend to reduce healthcare costs, may have the effect of discouraging third-party payors from covering certain kinds of medical products and services, particularly newly developed technologies, or other products or tests Sema4 may develop in the future. Sema4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Sema4, which may adversely affect its business, financial condition and results of operations.</w:t>
      </w:r>
    </w:p>
    <w:p>
      <w:pPr>
        <w:spacing w:after="0" w:line="12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PAMA presents significant uncertainty for future CMS reimbursement rates for Sema4’s tests. Because Medicare currently covers a significant number of patients, any reduction in the CMS reimbursement rate for Sema4’s tests would negatively affect its revenues and its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Sema4’s tests. Congress could modify or repeal PAMA in the future or CMS could modify regulations under PAMA, and any such action could have the effect of reducing the CMS reimbursement rate for Sema4’s tests. Further, it is possible that Medicare or other federal payers that provide reimbursement for Sema4’s tests may suspend, revoke or discontinue coverage at any time, may require co-payments from patients, or may reduce the reimbursement rates payable to it. Any such action could have a negative impact on Sema4’s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Coverage of Sema4’s screening products that it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Sema4’s current tests and not all of these laws presently mandate coverage for patients within the certain age ranges. Sema4 and payers may disagree about how these mandates apply to its tests and Sema4 may find the mandates difficult to enforce. Further, if the ACA is repealed, replaced or overturned, or even if it is not, states may decide to modify their laws, which may include repeal of those coverage mandates that Sema4 believes currently apply to its oncology tests.</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Outside of the U.S., Sema4 would largely depend on public or government-controlled payers for coverage of its oncology tests. As compared to many more routine diagnostic tests, Sema4’s oncology tests are more complicated, expensive and are performed in a central, specialized lab. In order to accommodate the unique characteristics of Sema4’s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Sema4, if it were to ever sell its tests in foreign jurisdictions, including complex public tendering procedures, or on ordering physicians, which could adversely affect the number of payers covering the test or the number of orders placed. Public payers could condition reimbursement of Sema4’s tests upon performance of its tests locally or, even in laboratories owned or operated by the payers. Any such change would adversely affect Sema4’s ability to continue to serve those patients through its labs. Sema4 may develop future oncologic tests that could be performed locally by laboratory partners and in hospitals around the world, however those developments efforts may be unsuccessful and any such tests that Sema4 may develop may not be approved by regulators or accepted by payers or patients.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and professional liability suits against Sema4 could result in expensive and time-consuming litigation, payment of substantial damages and increases in its insurance rates.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sale and use of Sema4’s solutions, products and services could lead to product or professional liability claims, including class action lawsuits. Sema4 may also be subject to liability for errors in the test results including health information it provides to healthcare providers or patients or for a misunderstanding of, or inappropriate reliance upon, the information it provides. Claims could also arise out of clinical studies Sema4 may conduct or any of its other activities. A product or professional liability claim could result in substantial damages, be costly and time consuming to defend, and cause material harm to its business, reputation or financial condition. Sema4 cannot assure you that its liability insurance would protect its assets from the financial impact of defending a product or professional liability claim. Any claim brought against Sema4, with or without merit, could increase its liability insurance rates or prevent it from securing insurance coverage in the future.</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Errors, defects, or mistakes in Sema4’s products or services, and operations could harm its reputation, decrease market acceptance of its products or services.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is creating new products and services, many of which are initially based on largely untested technologies. As all of Sema4’s products and services progress, Sema4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Sema4’s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Sema4 can process in a given time period. Therefore, inefficient or variable processes can cause variability in Sema4’s operating results and damage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Sema4’s laboratory operations could result in any number of errors or defects. Sema4’s quality assurance system may fail to prevent it from inadvertent problems with samples, sample quality, lab processes including sequencing, software, data upload or analysis, raw materials, reagent manufacturing, assay quality or design, or other components or processes. In addition, Sema4’s assays may have quality or design errors, and it may have inadequate procedures or instrumentation to process samples, assemble its proprietary primer mixes and commercial materials, upload and analyze data, or otherwise conduct its laboratory operations. If Sema4 provides products or services with undiscovered errors to its customers, its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Sema4 believes its customers are likely to be particularly sensitive to product and service defects, errors and delays, including if Sema4’s products and services fail to indicate the presence of residual disease with high accuracy from clinical specimens or if Sema4 fails to list or inaccurately indicate the presence or absence of disease in its test report or analysis. In drug discovery, such errors may interfere with Sema4’s collaborators’ clinical studies or result in adverse safety or efficacy profiles for their products in development. This may harm Sema4’s customers’ businesses and may cause it to incur significant costs, divert the attention of key personnel, encourage regulatory enforcement action against it, create a significant customer relations problem for Sema4 and cause its reputation to suffer. Sema4 may also be subject to warranty and liability claims for damages related to errors or defects in its products or services. Any of these developments could harm Sema4’s business and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Sema4 is subject to increasingly complex taxation rules and practices, which may affect how it conducts its business and its results of operations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its business grows, Sema4 is required to comply with increasingly complex taxation rules and practices. Sema4 is subject to tax in multiple U.S. tax jurisdictions and may be subject to foreign tax jurisdictions in the future. The development of Sema4’s tax strategies requires additional expertise and may impact how it conducts its business. Sema4’s future effective tax rates could be unfavorably affected by changes in, or interpretations of, tax rules and regulations in the jurisdictions in which it does business or by changes in the valuation of its deferred tax assets and liabilities. Furthermore, Sema4 provides for certain tax liabilities that involve significant judgment. Sema4 is and may be subject to the examination of its tax returns by federal, state and foreign tax authorities. If Sema4’s tax strategies are ineffective or it is not in compliance with domestic and international tax laws, as applicable, its financial position, operating results and cash flows could be adversely affected.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Sema4’s Intellectual Property and Trade Secrets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inability to effectively protect its proprietary products, processes, and technologies, including the confidentiality of its trade secrets, could harm its competitive position.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 currently relies upon trade secret protection and copyright, as well as non-disclosure agreements and invention assignment agreements with its employees, consultants and third parties, and to a limited extent patent protection, to protect its confidential and proprietary information. Although Sema4’s competitors have utilized and are expected to continue utilizing similar methods and have aggregated and are expected to continue to aggregate similar databases of genetic testing information, its success will depend upon its ability to develop proprietary methods and databases and to defend any advantages afforded to it by its methods and databases relative to its competitors. If Sema4 does not protect its intellectual property adequately, competitors may be able to use its methods and databases and thereby erode any competitive advantages Sema4 may have.</w:t>
      </w:r>
    </w:p>
    <w:p>
      <w:pPr>
        <w:spacing w:after="0" w:line="1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will be able to protect its proprietary rights from unauthorized use by third parties only to the extent that its proprietary technologies are covered by valid and enforceable patents or are effectively maintained as trade secrets. In this regard, Sema4 has applied, and it intends to continue applying, for patents covering such aspects of its technologies as it deems appropriate. However, Sema4 expects that potential patent coverage it may obtain will not be sufficient to prevent substantial competition. In this regard, Sema4 believes it is probable that others will independently develop similar or alternative technologies or design around those technologies for which Sema4 may obtain patent protection. In addition, any patent applications Sema4 files may be challenged and may not result in issued patents or may be invalidated or narrowed in scope after they are issued. Questions as to inventorship or ownership may also arise. Any finding that Sema4’s patents or applications are unenforceable could harm its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prevent others from practicing the related technology, and a finding that others have inventorship or ownership rights to its patents and applications could require it to obtain certain rights to practice related technologies, which may not be available on favorable terms, if at all. If Sema4 initiates lawsuits to protect or enforce its patents, or litigate against third-party claims, which would be expensive, and Sema4 loses, it may lose some of its intellectual property rights. Furthermore, these lawsuits may divert the attention of its management and technical personnel.</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expects to rely substantially upon trade secrets and proprietary know-how protection for its confidential and proprietary information, and Sema4 has taken security measures to protect this information. These measures, however, may not provide adequate protection for its trade secrets, know-how or other confidential information. Among other things, Sema4 seeks to protect its trade secrets and confidential information by entering into confidentiality agreements with employees and consultants. There can be no assurance that any confidentiality agreements that Sema4 has with its employees and consultants will provide meaningful protection for its trade secrets and confidential information or will provide adequate remedies in the event of unauthorized use or disclosure of such information. Accordingly, there also can be no assurance that Sema4’s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Sema4. If any of Sema4’s confidential or proprietary information, such as its trade secrets, were to be disclosed or misappropriated, or if any such information was independently developed by a competitor, Sema4’s competitive position could be harmed.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Sema4’s proprietary technologies under certain jurisdictions and legal regimes could harm its competitive position.</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success and ability to compete in certain jurisdictions and under certain legal regimes depend to a large extent on its ability to develop proprietary products and technologies and to maintain adequate protection of its intellectual property in the United States and other countries; this becomes increasingly important as Sema4 expands its operations and enters into strategic collaborations with partners to develop and commercialize products. The laws of some foreign countries do not protect proprietary rights to the same extent as the laws of the United States, and Sema4 may encounter difficulties in establishing and enforcing its proprietary rights outside of the United States. In addition, the proprietary positions of companies developing and commercializing tools for molecular diagnostics, including Sema4’s, generally are uncertain and involve complex legal and factual questions. This uncertainty may materially affect Sema4’s ability to defend or obtain patents or to address the patents and patent applications owned or controlled by its collaborators and licensors.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of these factors could adversely affect Sema4’s ability to obtain commercially relevant or competitively advantageous patent protection for its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Sema4’s business.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its business.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w:t>
      </w:r>
      <w:r>
        <w:rPr>
          <w:rFonts w:ascii="Arial" w:cs="Arial" w:eastAsia="Arial" w:hAnsi="Arial"/>
          <w:sz w:val="18"/>
          <w:szCs w:val="18"/>
          <w:color w:val="auto"/>
        </w:rPr>
        <w:t>and</w:t>
      </w:r>
      <w:r>
        <w:rPr>
          <w:rFonts w:ascii="Arial" w:cs="Arial" w:eastAsia="Arial" w:hAnsi="Arial"/>
          <w:sz w:val="18"/>
          <w:szCs w:val="18"/>
          <w:i w:val="1"/>
          <w:iCs w:val="1"/>
          <w:color w:val="auto"/>
        </w:rPr>
        <w:t xml:space="preserve"> Myriad </w:t>
      </w:r>
      <w:r>
        <w:rPr>
          <w:rFonts w:ascii="Arial" w:cs="Arial" w:eastAsia="Arial" w:hAnsi="Arial"/>
          <w:sz w:val="18"/>
          <w:szCs w:val="18"/>
          <w:color w:val="auto"/>
        </w:rPr>
        <w:t>decisions, as well as subsequent case law, affect the legal concept of subject matter eligibility by seemingly narrowing the scope of the statute defining patentable inventions.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6"/>
          <w:szCs w:val="16"/>
          <w:i w:val="1"/>
          <w:iCs w:val="1"/>
          <w:color w:val="auto"/>
        </w:rPr>
        <w:t>Mayo, Association for Molecular Pathology v. Myriad Genetics, Inc</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Alice Corporation Pty. Ltd. v. CLS Bank International, </w:t>
      </w:r>
      <w:r>
        <w:rPr>
          <w:rFonts w:ascii="Arial" w:cs="Arial" w:eastAsia="Arial" w:hAnsi="Arial"/>
          <w:sz w:val="16"/>
          <w:szCs w:val="16"/>
          <w:color w:val="auto"/>
        </w:rPr>
        <w:t>and others. The guidance indicates that claims directed to a law of nature, a natural phenomenon,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 abstract idea that do not meet the eligibility requirements should be rejected as non-statutory, patent ineligible subject matter. While these guidelines may be subject to review and modification by the USPTO over time, Sema4 cannot assure you that its intellectual property strategy or patent portfolio will not be negatively impacted by the decisions described above, rulings in other cases or changes in guidance or procedures issued by the USPTO.</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Sema4’s ability to obtain, enforce or defend its patents. Accordingly, it is not clear what, if any, impact these substantive changes will ultimately have on the cost of prosecuting Sema4’s patent applications, its ability to obtain patents based on its discoveries and its ability to enforce or defend its issued patents, all of which could have a material adverse effect on its business.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 is not able to adequately protect its trade secrets and other proprietary information, including the databases it manages and to which it has access, the value of its technology and products could be significantly diminished.</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Sema4 relies on trade secret and proprietary know-how protection for its confidential and proprietary information and have taken security measures to protect this information. These measures, however, may not provide adequate protection. For example, Sema4 has a policy of requiring its consultants, advisors and collaborators, including, for example, its strategic collaborators with whom Sema4 seek to develop and commercialize products, to enter into confidentiality agreements and its employees to enter into invention, non-disclosure and in certain cases non-compete agreements. However, breaches of Sema4’s physical or electronic security systems, or breaches caused by its employees who failing to abide by their confidentiality obligations during or upon termination of their employment with it, could compromise these protection efforts. Any action Sema4 take to enforce its rights may be time-consuming, expensive, and possibly unsuccessful. Even if successful, the resulting remedy may not adequately compensate Sema4 for the harm caused by the breach. These risks are heightened in countries where laws or law enforcement practices may not protect proprietary rights as fully as in the United States or Europe. Any unauthorized use or disclosure of, or access to, Sema4’s trade secrets, know-how or other proprietary information, whether accidentally or through willful misconduct, could have a material adverse effect on its programs and its strategy, and on its ability to compete effectively.</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Sema4’s trademarks and trade names are not adequately protected, it may not be able to build name recognition in its markets of interest, and its business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Failure to maintain Sema4’s trademark registrations, or to obtain new trademark registrations in the future, could limit its ability to protect its trademarks and impede its marketing efforts in the countries in which Sema4 operates. Sema4 may not be able to protect its rights to trademarks and trade names which Sema4 may need to build name recognition with potential partners or customers in its markets of interest. As a means to enforce Sema4’s trademark rights and prevent infringement, Sema4 may be required to file trademark claims against third parties or initiate trademark opposition proceedings. This can be expensive and time-consuming, and possibly unsuccessful. Sema4’s registered or unregistered trademarks or trade names may be challenged, infringed, circumvented, declared generic or determined to infringe on other marks.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pending trademark applications in the United States and in other foreign jurisdictions where Sema4 may file may not be successful. Even if these applications result in registered trademarks, third parties may challenge these trademarks in the future. Over the long term, if Sema4 is unable to establish name recognition based on its trademarks and trade names, then it may not be able to compete effectively, and its business may be adversely affected.</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Litigation or other proceedings resulting from either third-party claims of patent infringement, or asserting infringement by third parties of Sema4’s technology, could be costly, time-consuming, and could limit its ability to commercialize its products or services.</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Sema4’s success depends in part on its non-infringement of the patents or intellectual property rights of third parties, and its ability to successfully prevent third parties from infringing its intellectual property. Sema4 operates in a crowded technology area in which there has been substantial litigation and other proceedings regarding patent and other intellectual property rights in the genetic diagnostics industry. Third parties, including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competitors, have asserted and may in the future assert that Sema4 is infringing their intellectual property rights. Sema4 may also become subject to and/or initiate future intellectual property litigation as its product portfolio and the level of competition in its industry grow.</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the U.S. Patent &amp; Trademark Office, or USPTO, maintains patent applications in secrecy until a patent application publishes or the patent is issued, Sema4 has no way of knowing if others may have filed patent applications covering technologies used by it or its partners. Additionally, there may be third-party patents, patent applications and other intellectual property relevant to Sema4’s technologies that may block or compete with its technologies. From time-to-time Sema4 has received correspondence from third parties alleging to hold intellectual property rights that could block its development or commercialization of products. While none of these inquiries to date have had any material effect on it, Sema4 may receive inquiries in the future that could have a material effect on its business. Even if third-party claims are without merit, defending a lawsuit may result in substantial expense to Sema4 and may divert the attention of management and key personnel. In addition, Sema4 cannot provide assurance that it would prevail in any such suits to the extent necessary to conduct its business according to its strategic plan or that the damages or other remedies, if any, awarded against it would not be substantial. Claims of intellectual property infringement may require that Sema4, or its strategic partners, enter into unsustainably high royalty or license agreements with third parties that may only be available on unacceptable terms, if at all. In addition, Sema4 could experience delays in product introductions or sales growth while Sema4 attempts to develop non-infringing alternatives. These claims could also result in injunctions against the further development and commercial sale of services or products containing Sema4’s technologies, which would have a material adverse effect on its business, financial condition and results of operations.</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Further, patents and patent applications owned by Sema4 may become the subject of interference proceedings in the USPTO to determine priority of invention, which could result in substantial cost to Sema4 as well as a possible adverse decision as to the priority of invention of the patent or patent application involved. An adverse decision in an interference proceeding may result in the loss of rights under a patent or patent application subject to such a proceeding. Sema4 cannot predict whether, or offer any assurance that, the patent infringement claims may initiate in the future will be successful. Sema4 is and may become subject to counterclaims by patent infringement defendants. Sema4’s patents may be declared invalid or unenforceable, or narrowed in scope. Even if Sema4 prevails in an infringement action, Sema4 cannot assure you that it would be adequately compensated for the harm to its business. If Sema4 is unable to enjoin third-party infringement, its revenues may be adversely impacted and it may lose market share; and such third-party product may continue to exist in the market, but fail to meet its regulatory or safety standards, thereby causing irreparable harm to Sema4’s reputation as a provider of quality products, which in turn could result in loss of market share and have a material adverse effect on its business, financial condition and its results of operations.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Sema4’s agreements with some of its customers, suppliers, and other entities with whom Sema4 does business require it to defend or indemnify these parties to the extent they become involved in patent infringement claims, including the types of claims described in this risk factor. Sema4 has agreed, and may in the future agree, to defend or indemnify third parties if Sema4 determines it to be in the best interests of its business relationships. If Sema4 is required or agree to defend or indemnify third parties in connection with any infringement claims, Sema4 could incur significant costs and expenses that could adversely affect its business, financial condition and results of operations.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Sema4’s use of open-source software could subject it to possible litigation or cause Sema4 to subject its platform to unwanted open-source license conditions that could negatively impact its sales.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limited but meaningful portion of Sema4’s platforms and products incorporate open-source software, and it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Sema4’s business is unknown and may result in unanticipated obligations regarding its products and technologies. If an author or other third party that distributes such open-source software were to allege that Sema4 had not complied with the conditions of one or more of these licenses, Sema4 could be required to incur significant legal expenses defending against such allegations. In addition, if Sema4 combines its proprietary software with open-source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software in a certain manner, under some open-source licenses, Sema4 could be required to release the source code of its proprietary software, which could substantially help its competitors develop products that are similar to or better than Sema4’s products.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relies on strategic collaborative and licensing arrangements with third parties to develop critical intellectual property. Sema4 may not be able to successfully establish and maintain such intellectual property.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development and commercialization of Sema4’s products and services rely, directly or indirectly, upon strategic collaborations and licensing agreements with third parties. Such arrangements provide Sema4 with intellectual property and other business rights crucial to its product development and commercialization. Sema4 has incorporated licensed technology into its tests. Sema4’s dependence on licensing, collaboration and other similar agreements with third parties may subject it to a number of risks. There can be no assurance that any current contractual arrangements between Sema4 and third parties or between its strategic partners and other third parties will be continued on materially similar terms and will not be breached or terminated early. Any failure to obtain or retain the rights to necessary technologies on acceptable commercial terms could require Sema4 to re-configure its products and services, which could negatively impact their commercial sale or increase the associated costs, either of which could materially harm its business and adversely affect its future revenues and ability to achieve sustained profitability.</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expects to continue and expand its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Sema4 agrees to work exclusively with one collaborator in a given area, its opportunities to collaborate with other entities could be limited. Potential collaborators or licensors may reject collaborations with it based upon their assessment of Sema4’s financial, regulatory or intellectual property position or other factors. Even if Sema4 successfully establishes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Sema4’s collaborators will continue to be successful and, as a result, Sema4 may expend considerable time and resources developing products or services that will not ultimately be commercialized.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Risks Related to Cybersecurity, Privacy and Information Technology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Interruption, interference with, or failure of Sema4’s information technology and communications systems could hurt its ability to effectively provide its products and services, which could harm its reputation, financial condition, and operating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availability of Sema4’s products and services and fulfillment of its customer contracts depend on the continuing operation of Sema4’s information technology and communications systems. Sema4’s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Sema4’s systems. Some of Sema4’s data centers are located in areas with a high risk of major earthquakes or other natural disasters. Sema4’s data centers are also subject to break-ins, sabotage, and intentional acts of vandalism, and, in some cases, to potential disruptions resulting from problems experienced by facility operators. Some of Sema4’s systems are not fully redundant, and disaster recovery planning cannot account for all eventualities.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occurrence of a natural disaster, closure of a facility, or other unanticipated problems at Sema4’s data centers could result in lengthy interruptions in its service. In addition, Sema4’s products and services are highly technical and complex and may contain errors or vulnerabilities, which could result in interruptions in or failure of its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Sema4’s business, could prevent it from accessing critical information, and could expose it to regulatory liability, which could adversely affect its business.</w:t>
      </w:r>
    </w:p>
    <w:p>
      <w:pPr>
        <w:spacing w:after="0" w:line="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ordinary course of its business, Sema4 collects and stores sensitive data, including protected health information, or PHI, personally identifiable information, genetic information, credit card information, intellectual property and proprietary business information owned or controlled by Sema4 or its customers, payers and other parties. Sema4 manages and maintains its applications and data utilizing a combination of on-site systems, managed data center systems and cloud-based systems. Sema4 also communicates PHI and other sensitive patient data through its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Sema4 faces a number of risks relative to protecting this critical information, including loss of access risk, inappropriate disclosure, inappropriate modification, and the risk of its being unable to adequately monitor and modify its controls over its critical information. Any technical problems that may arise in connection with the data that Sema4 accesses and Sema4’s systems, including those that are hosted by third-party providers, could result in interruptions to its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Sema4’s business and operations.</w:t>
      </w:r>
    </w:p>
    <w:p>
      <w:pPr>
        <w:spacing w:after="0" w:line="12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Sema4’s operations and business strategy, and it devotes significant resources to protecting such information. Although Sema4 takes what it believes to be reasonable and appropriate measures, including a formal, dedicated enterprise security program, to protect sensitive information from various compromises (including unauthorized access, disclosure, or modification or lack of availability), Sema4’s information technology and infrastructure may be vulnerable to attacks by hackers or viruses or breached due to employee error, malfeasance or other disruptions. Any such breach or interruption could compromise Sema4’s networks and the information stored therein could be accessed by unauthorized parties, altered, publicly disclosed, lost or stolen.</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Sema4’s some of customer tools and platforms are currently accessible through a portal and there is no guarantee that Sema4 can protect its portal them from a security breach. Unauthorized access, loss or dissemination could also disrupt Sema4’s operations (including its ability to conduct its analyses, provide test results, bill payers or patients, process claims and appeals, provide customer assistance, conduct research and development activities, collect, process and prepare company financial information, provide information about its tests and other patient and physician education and outreach efforts through its website, and manage the administrative aspects of its business) and damage its reputation, any of which could adversely affect Sema4’s business. In addition to data security risks, Sema4 also face privacy risks. Should Sema4 actually violate, or be perceived to have violated, any privacy promises it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Sema4 collects.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20M euros or 4% of an organization’s annual global revenue, whichever is greater.</w:t>
      </w:r>
    </w:p>
    <w:p>
      <w:pPr>
        <w:spacing w:after="0" w:line="12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Sema4’s potential liability and adversely affect its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possible the GDPR, CCPA and other emerging United States and international data protection laws may be interpreted and applied in manner that is inconsistent with Sema4’s practices. If so, this could result in government-imposed fines or orders requiring that Sema4 change its practices, which could adversely affect its business. In addition, these privacy laws and regulations may differ from country to country and state to state, and Sema4’s obligations under these laws and regulations vary based on the nature of its activities in the particular jurisdiction, such as whether Sema4 collects samples from individuals in the local jurisdiction, performs testing in the local jurisdiction, or processes personal information regarding employees or other individuals in the local jurisdiction. Complying with these various laws and regulations could cause Sema4 to incur substantial costs or require it to change its business practices and compliance procedures in a manner adverse to its business. Sema4 can provide no assurance that it is or will remain in compliance with diverse privacy and data security requirements in all of the jurisdictions in which it does business. Failure to comply with privacy and data security requirements could result in a variety of consequences, or damage to Sema4’s reputation, any of which could have a material adverse effect on its business.</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Data privacy and security concerns relating to Sema4’s technology and its practices could damage its reputation, subject it to significant legal and financial exposure, and deter current and potential users or customers from using its products and services. Software bugs or defects, security breaches, and attacks on Sema4’s systems could result in the improper disclosure and use of user data and interference with its users and customers’ ability to use its products and services, harming its business operations and reputation.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Concerns about Sema4’s practices with regard to the collection, use, disclosure, or security of personal information or other data-privacy-related matters, even if unfounded, could harm its reputation, financial condition, and operating results. Sema4’s policies and practices may change over time as expectations regarding privacy and data change.</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Sema4’s products and services involve the storage and transmission of protected health information and other personal information, proprietary information, and bugs, theft, misuse, defects, vulnerabilities in its products and services, and security breaches expose it to a risk of loss of this information, improper use and disclosure of such information, litigation, and other potential liability. Systems and control failures, security breaches, failure to comply with Sema4’s privacy policies, and/or inadvertent disclosure of user data could result in government and legal exposure, seriously harm its reputation and brand and, therefore, its business, and impair its ability to attract and retain users or customers. Sema4 expects to continue to expend significant resources to maintain security protections that shield against bugs, theft, misuse, or security vulnerabilities or breaches.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experiences cyber-attacks and other attempts to gain unauthorized access to its systems on a regular basis. Sema4 may experience future security issues, whether due to employee error or malfeasance or system errors or vulnerabilities in its or other parties’ systems, which could result in significant legal and financial exposure. Government inquiries and enforcement actions, litigation, and adverse press coverage could harm its business. Sema4 may be unable to anticipate or detect attacks or vulnerabilities or implement adequate preventative measures. Attacks and security issues could also compromise trade secrets and other sensitive information, harming its business.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Sema4 has dedicated significant resources to privacy and security incident response capabilities, including dedicated worldwide incident response teams, its response process may not be adequate, may fail to accurately assess the severity of an incident, may not respond quickly enough, or may fail to sufficiently remediate an incident. As a result, Sema4 may suffer significant legal, reputational, or financial exposure, which could harm its business, financial condition, and operating results.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depends on its scientific computing and information technology and management systems and any failure of these systems could harm its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depends on scientific computing and information technology and management systems, including third-party cloud computing infrastructure, operating systems and artificial intelligence platforms, for significant elements of its operations, including its laboratory information management system, clinical database, analytical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workflow tools, customer and collaborator reporting and related functions. Sema4 also depends on its proprietary workflow software to support new product and service launches and regulatory compliance.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uses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 has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Sema4 has installed, and intends to extend, the capabilities of both its preventative and detective security controls by augmenting the monitoring and alerting functions, the network design and the automatic countermeasure operations of its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Sema4’s third-party billing and collections provider depends upon technology and telecommunications systems provided by outside vendors.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its servers are potentially vulnerable to physical or electronic break-ins, computer viruses and similar disruptive problems. Despite the precautionary measures Sema4 has taken to prevent unanticipated problems that could affect its information technology and telecommunications systems, failures or significant downtime of these systems or those used by its collaborators or subcontractors could prevent it from conducting its comprehensive screening analysis, clinical diagnostics and drug discovery, preparing and providing reports to researchers, clinicians and its collaborators, billing payers, handling physician inquiries, conducting research and development activities and managing the administrative aspects of its business. Any disruption or loss of information technology or telecommunications systems on which critical aspects of Sema4’s operations depend could have an adverse effect on its business and its reputation, and Sema4 may be unable to regain or repair its reputation in the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Sema4 Being a Public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Sema4 will incur increased costs and demands on management as a result of compliance with laws and regulations applicable to public companies, which could harm its operating results.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has never been a public company. Following the Business Combination, the post-combination company could incur significant legal, accounting and other expenses, including costs associated with public company reporting requirements. In addition, the Sarbanes-Oxley Act of 2002, or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post-combination company’s compliance. In addition, the Dodd-Frank Wall Street Reform and Consumer Protection Act, or the Dodd-Frank Act, enacted in 2010, includes significant corporate governance and executive-compensation-related provisions. The post-combination company’s management and other personnel will need to devote a substantial amount of time to these compliance and disclosure obligations. If these requirements divert the attention of the post-combination company’s management and personnel from other aspects of its business concerns, they could have a material adverse effect on its business, financial condition and results of operations. Moreover, these rules and regulations applicable to public companies substantially could increase the post-combination company’s legal, accounting and financial compliance costs, require that the post-combination company hire additional personnel and make some activities more time consuming and costly. It may also be more expensive for the post-combination company to obtain director and officer liability insurance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 and the Business Combination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have agreed to vote in favor of the Business Combination and the other proposals described in this proxy statement, regardless of how our public stockholders vote.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Unlike many other blank check companies in which the founders agree to vote their Founder Shares in accordance with the majority of the votes cast by the holders of public stock in connection with an initial business combination, our Initial Stockholders have agreed to vote any shares of common stock owned by them in favor of the Business Combination Proposal and the other proposals described in this proxy statement. As of the date hereof, our Initial Stockholders own shares equal to 20% of our issued and outstanding shares of common stock. Accordingly, it is more likely that the necessary stockholder approval will be received for the Business Combination than would be the case if our Initial Stockholders agreed to vote any shares of common stock owned by them in accordance with the majority of the votes cast by our public stockholders.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Sponsor, certain members of our Board and our officers have interests in the Business Combination that are different from or are in addition to other stockholders in recommending that stockholders vote in favor of approval of the Business Combination Proposal and approval of the other proposals described in this proxy statement.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considering our Board’s recommendation that our stockholders vote in favor of the approval of the Business Combination Proposal, our stockholders should be aware that the directors and officers of the Company have interests in the Business Combination that may be different from, or in addition to, the interests of our stockholders. These interests include:</w:t>
      </w:r>
    </w:p>
    <w:p>
      <w:pPr>
        <w:spacing w:after="0" w:line="130" w:lineRule="exact"/>
        <w:rPr>
          <w:sz w:val="20"/>
          <w:szCs w:val="20"/>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Founder Shares and now holds 10,993,750 Founder Shares, which will convert into 10,993,750 shares of Class A common stock in accordance with the terms of the Merger Agreement; such shares will have a significantly higher value at the time of the Business Combination, which if unrestricted and freely tradable would have an aggregate market value of approximately $130,605,750 based upon the closing price of $11.88 per public share on Nasdaq on June 7, 2021, but, given the restrictions on such shares, we believe such shares have less value;</w:t>
      </w:r>
    </w:p>
    <w:p>
      <w:pPr>
        <w:spacing w:after="0" w:line="133"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fact that (i) Munib Islam, one of our directors, owns 25,000 Founder Shares, (ii) Emily Leproust, one of our directors, owns 25,000 Founder Shares, and (iii) Nat Turner, one of our directors, owns 25,000 Founder Shares, which will convert into 25,000, 25,000 and 25,000 shares of Class A common stock, respectively, in accordance with the terms of the Merger Agreement, such shares if unrestricted and freely tradable would have a value at the time of the Business Combination of $297,000 to each of the aforementioned directors, based upon the closing price of $11.88 per public share on Nasdaq on June 7, 2021, but, given the restrictions on the shares, we believe such shares have less value;</w:t>
      </w:r>
    </w:p>
    <w:p>
      <w:pPr>
        <w:spacing w:after="0" w:line="107"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own 7,236,667 private placement warrants, which were purchased at a purchase price of $1.50 per private placement warrant; 6,736,669 of which are held by our Sponsor and 499,998 of which are held in the aggregate by Mr. Islam, Dr. Leproust and Mr. Turner;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the Initial Stockholders could make a substantial profit after the consummation of the Business Combination even if public investors experience substantial losses;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33" w:lineRule="exact"/>
        <w:rPr>
          <w:sz w:val="20"/>
          <w:szCs w:val="20"/>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Initial Stockholders, including our Sponsor and our independent directors, hold a significant number of shares of our common stock. The aggregate average investment made by our Initial Stockholders for their investments in the Founder Shares was approximately $0.002 per share, or approximately $24,850 for our Sponsor and approximately $50 for each of Mr. Munib Islam, Dr. Emily Leproust and Mr. Nat Turner. The aggregate average investment made by our Initial Stockholders for their investments in the private placement warrants was $1.50 per private placement warrant, or approximately $10.1 million for our Sponsor and approximately $250,000 for each of Mr. Islam, Dr. Leproust and Mr. Turner. They will lose their entire investment in us if a business combination is not completed. There are no outstanding loans, fees due, or out-of-pocket expenses for which the Sponsor or its affiliates or our directors are awaiting reimbursement.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Initial Stockholders hold in the aggregate 11,068,750 Founder Shares, representing 20% of the total shares outstanding as of the date of this proxy.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Founder Shares will be worthless if we do not complete a business combination by the applicable deadline.</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Founder’s Shares are identical to the shares of common stock included in the public units, except that: (i) the Founder Shares are subject to certain transfer restrictions; (ii) our Initial Stockholders, officers and directors have entered into a letter agreement with us, pursuant to which they have agreed: (a) to waive their redemption rights with respect to their shares of common stock in connection with the completion of our Business Combination; (b) waive their redemption rights with respect to their shares of common stock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IPO or to provide for redemption in connection with a business combination; and (c) to waive their rights to liquidating distributions from the Trust Account with respect to their Founder Shares if we fail to complete our initial business combination by the applicable deadline (although they will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liquidating distributions from the Trust Account with respect to any public shares they hold if we fail to complete our initial business combination by the applicable deadline.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personal and financial interests of our officers and directors may have influenced their motivation in identifying and selecting Sema4, completing a business combination with Sema4 and may influence their operation of the post-combination company following the Business Combination. This risk may become more acute as the deadline for completing an initial business combination nears.</w:t>
      </w:r>
    </w:p>
    <w:p>
      <w:pPr>
        <w:spacing w:after="0" w:line="1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Sponsor, directors or officers or their affiliates may elect to purchase shares or warrants from public stockholders, which may influence a vote on a proposed Business Combination and the other proposals described in this proxy statement and reduce the public “float” of our common stock.</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Sponsor, directors or officers or their affiliates may purchase shares in privately negotiated transactions or in the open market either prior to or following the completion of our Business Combination, although they are under no obligation to do so. Such a purchase may include a contractual acknowledgement that such stockholder, although still the record holder of our shares is no longer the beneficial owner thereof and therefore agrees not to exercise its redemption rights. In the event that our Sponsor, directors, officers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Business Combination and thereby increase the likelihood of obtaining stockholder approval of the Business Combination or to satisfy closing conditions in the Merger Agreement regarding required amounts in the Trust Account and the proceeds from the PIPE Investment equaling or exceeding certain thresholds where it appears that such requirements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This may result in the completion of our Business Combination that may not otherwise have been possible. Any such purchases will be reported pursuant to Section 13 and Section 16 of the Exchange Act to the extent such purchasers are subject to such reporting requirements.</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and the number of beneficial holders of our securities may be reduced, possibly making it difficult to obtain or maintain the quotation, listing or trading of our securities on the NYSE or another national securities exchange or reducing the liquidity of the trading market for our common stock.</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public stockholders will experience dilution as a consequence of, among other transactions, the issuance of common stock as consideration in the Business Combination and the PIPE Investment. Having a minority share position may reduce the influence that our current stockholders have on the management of the post-combination company.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issuance of the common stock in the Business Combination and in the PIPE Investment will dilute the equity interest of our existing stockholders and may adversely affect prevailing market prices for our public shares and/or public warrants.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It is anticipated that, upon completion of the Business Combination, assuming no redemptions: (i) the Company’s public stockholders (other than the PIPE Investors) will retain an ownership interest of approximately 18.6% in the post-combination company; (ii) the PIPE Investors will own approximately 12.2% (excluding certain PIPE Investors, who owned shares pre-transaction) of the post-combination company (such that public stockholders, including PIPE Investors, will own approximately 30.8% (adding the foregoing 2 subsets) of the post-combination company); (iii) our Initial Stockholders (including our Sponsor) will own approximately 23.2% of the post-combination company; and (iv)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6"/>
          <w:szCs w:val="16"/>
          <w:i w:val="1"/>
          <w:iCs w:val="1"/>
          <w:color w:val="auto"/>
        </w:rPr>
        <w:t>Unaudited Pro Forma Condensed Combined Financial Information —</w:t>
      </w:r>
      <w:r>
        <w:rPr>
          <w:rFonts w:ascii="Arial" w:cs="Arial" w:eastAsia="Arial" w:hAnsi="Arial"/>
          <w:sz w:val="16"/>
          <w:szCs w:val="16"/>
          <w:color w:val="auto"/>
        </w:rPr>
        <w:t xml:space="preserve"> </w:t>
      </w:r>
      <w:r>
        <w:rPr>
          <w:rFonts w:ascii="Arial" w:cs="Arial" w:eastAsia="Arial" w:hAnsi="Arial"/>
          <w:sz w:val="16"/>
          <w:szCs w:val="16"/>
          <w:i w:val="1"/>
          <w:iCs w:val="1"/>
          <w:color w:val="auto"/>
        </w:rPr>
        <w:t>Description of the Transaction.</w:t>
      </w:r>
      <w:r>
        <w:rPr>
          <w:rFonts w:ascii="Arial" w:cs="Arial" w:eastAsia="Arial" w:hAnsi="Arial"/>
          <w:sz w:val="16"/>
          <w:szCs w:val="16"/>
          <w:color w:val="auto"/>
        </w:rPr>
        <w:t>” The PIPE Investors have agreed to purchase in the aggregate 35,000,000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common stock, for approximately $350,000,000 of gross proceeds, in the PIPE Investment. The ownership percentage with respect to the post-combination company following the Business Combination does not take into account (i) warrants to purchase common stock that will remain outstanding immediately following the Business Combination, (ii) the issuance of Earn-Out Shares to the Sema4 equity holders should the earn-out conditions in the Merger Agreement be satisfied or (iii)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 Impact of the Business Combination on the</w:t>
      </w:r>
      <w:r>
        <w:rPr>
          <w:rFonts w:ascii="Arial" w:cs="Arial" w:eastAsia="Arial" w:hAnsi="Arial"/>
          <w:sz w:val="17"/>
          <w:szCs w:val="17"/>
          <w:color w:val="auto"/>
        </w:rPr>
        <w:t xml:space="preserve"> </w:t>
      </w:r>
      <w:r>
        <w:rPr>
          <w:rFonts w:ascii="Arial" w:cs="Arial" w:eastAsia="Arial" w:hAnsi="Arial"/>
          <w:sz w:val="17"/>
          <w:szCs w:val="17"/>
          <w:i w:val="1"/>
          <w:iCs w:val="1"/>
          <w:color w:val="auto"/>
        </w:rPr>
        <w:t>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Proposal No. 6 — ESPP Proposal.</w:t>
      </w:r>
      <w:r>
        <w:rPr>
          <w:rFonts w:ascii="Arial" w:cs="Arial" w:eastAsia="Arial" w:hAnsi="Arial"/>
          <w:sz w:val="17"/>
          <w:szCs w:val="17"/>
          <w:color w:val="auto"/>
        </w:rPr>
        <w: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not list the post-combination company’s securities on its exchange, which could limit investors’ ability to make transactions in our securities and subject us to additional trading restrictions.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Business Combination, in order to obtain the listing of the post-combination company’s securities on Nasdaq, we will be required to demonstrate compliance with Nasdaq’s initial listing requirements, which are more rigorous than the NYSE’s continued listing requirements. We will seek to have the post-combination company’s securities listed on Nasdaq upon consummation of the Business Combination. We cannot assure you that we will be able to meet all initial listing requirements. Even if the post-combination company’s securities are listed on Nasdaq, we may be unable to maintain the listing of its securities in the future.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fail to meet the initial listing requirements and Nasdaq does not list the post-combination company’s securities on its exchange, Sema4 would not be required to consummate the Business Combination. In the event that Sema4 elected to waive this condition, and the Business Combination was consummated without the post-combination company’s securities being listed on Nasdaq or on another national securities exchange, we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If the post-combination company’s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other than the State of Idaho,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Resales of the shares of common stock included in the stock consideration could depress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of the shares of common stock included in the stock consideration could depress the market price of our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will have approximately 238,266,485 million shares of common stock outstanding immediately following the Business Combination, and there may be a large number of shares of common stock sold in the market following the completion of the Business Combination or shortly thereafter. The shares held by the Company’s public stockholders are freely tradable, and the shares of common stock held by the PIPE Investors will be freely tradable following effectiveness of the registration statement that we have agreed to file in connection with the Business Combination covering the resales of such shares. In addition, the Company will be obligated to register the resale of shares of common stock issued as merger consideration, which shares will become available for resale following the expiration of any applicable lockup period. We also expect that Rule 144 will become available for the resale of shares of our common stock that are not registered for resale once one year has elapsed from the date that we file the Current Report on Form 8-K following the Closing that includes the required Form 10 information that reflects we are no longer a shell company. Such sales of shares of common stock or the perception of such sales may depress the market price of our common stock.</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process of taking a company public by means of a business combination with a special purpose acquisition company is different from taking a company public through an IPO and may create risks for our unaffiliated investors.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IPO involves a company engaging underwriters to purchase its shares and resell them to the public. An underwritten offering imposes statutory liability on the underwriters for material misstatements or omissions contained in the registration statement unless they are able to sustain the burden of providing that they did not know and could not reasonably have discovered such material misstatements or omissions. This is referred to as a “due diligence” defense and results in the underwriters undertaking a detailed review of IPO company’s business, financial condition and results of operations. Going public via a business combination with a SPAC does not involve any underwriters and may therefore result in less careful review of information that is presented to the public.</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going public via a business combination with a SPAC does not involve a book-building process as is the case in an IPO. In any IPO, the initial value of a company is set by investors who indicate the price at which they are prepare to purchase shares from the underwriters. In the case of a SPAC transaction, the value of the company is established by means of negotiations between the target company, the SPAC and, in some cases, “PIPE” investors who agree to purchase shares at the time of the business combination. The process of establishing the value of a company in a SPAC business combination may be less effective than an IPO bookbuilding process and also does not reflect events that may have occurred between the date of the business combination agreement and the closing of the transaction. In addition, IPOs are frequently oversubscribed resulting in additional potential demand for shares in the aftermarket following the IPO. There is no such book of demand built up in connection with SPAC transaction which may result in the share price being harder to sustain after the transaction.</w:t>
      </w:r>
    </w:p>
    <w:p>
      <w:pPr>
        <w:spacing w:after="0" w:line="1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 operating history and are subject to a mandatory liquidation and subsequent dissolution requirement. As such, there is a risk that we will be unable to continue as a going concern if we do not consummate an initial business combination by the applicable deadline. If we are unable to effect an initial business combination by the applicable deadline, we will be forced to liquidate and our warrants will expire worthless.</w:t>
      </w:r>
    </w:p>
    <w:p>
      <w:pPr>
        <w:spacing w:after="0" w:line="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a blank check company, and as we have no operating history and are subject to a mandatory liquidation and subsequent dissolution requirement, there is a risk that we will be unable to continue as a going concern if we do not consummate an initial business combination by the applicable deadline. Unless we amend our current certificate of incorporation to extend the life of the Company and certain other agreements into which we have entered, if we do not complete an initial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stockholders (including the right to receive further liquidating distributions, if any), subject to applicable law; and (iii) as promptly as reasonably possible following such redemption, subject to the approval of our remaining stockholders and our Board, dissolve and liquidate, subject in each case to our obligations under the DGCL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public unit in the IPO. In addition, if we fail to complete an initial business combination by the applicable deadline, there will be no redemption rights or liquidating distributions with respect to our public warrants or the private placement warrants, which will expire worthless. We expect to consummate the Business Combination and do not intend to take any action to extend the life of the Company beyond the applicable deadline if we are unable to effect an initial business combination by that date.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consummate the Business Combination, there is no guarantee that the public warrants will ever be in the money, and they may expire worthless and the terms of our public warrants may be amended.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our key personnel, including the key personnel of Sema4. The loss of key personnel could negatively impact the operations and profitability of our post-combination business and its financial condition could suffer as a result.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successfully effect our Business Combination is dependent upon the efforts of our key personnel, including the key personnel of Sema4. Although some of our key personnel are expected to remain with the post-combination company as members of the board of directors or in advisory positions following our Business Combination, it is possible that we will lose some key personnel, the loss of which could negatively impact the operations and profitability of our post-combination business. We anticipate that the executive officers of Sema4 will serve the post-combination company in their respective roles immediately following the Closing.</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success depends to a significant degree upon the continued contributions of senior management, certain of whom would be difficult to replace. Departure by certain of Sema4’s officers could have a material adverse effect on Sema4’s business, financial condition, or operating results. The services of such personnel may not continue to be available to the post-combination company following the Closing. See “Risk Factors—Risks Related to Sema4’s Business Model—</w:t>
      </w:r>
      <w:r>
        <w:rPr>
          <w:rFonts w:ascii="Arial" w:cs="Arial" w:eastAsia="Arial" w:hAnsi="Arial"/>
          <w:sz w:val="16"/>
          <w:szCs w:val="16"/>
          <w:i w:val="1"/>
          <w:iCs w:val="1"/>
          <w:color w:val="auto"/>
        </w:rPr>
        <w:t>The loss of any member or change in structure of Sema4’s senior management team could adversely affect its business.</w:t>
      </w:r>
      <w:r>
        <w:rPr>
          <w:rFonts w:ascii="Arial" w:cs="Arial" w:eastAsia="Arial" w:hAnsi="Arial"/>
          <w:sz w:val="16"/>
          <w:szCs w:val="16"/>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and Sema4 will be subject to business uncertainties and contractual restrictions while the Business Combination is pending.</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Uncertainty about the effect of the Business Combination on employees and third parties may have an adverse effect on the Company and Sema4. These uncertainties may impair our or Sema4’s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Business Combination, our or Sema4’s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agree to waive, in whole or in part, one or more of the conditions to our obligations to complete the Business Combination, to the extent permitted by our current certificate of incorporation and bylaws and applicable laws. We may not waive the condition that our stockholders approve the Business Combination. Please see the section entitled “</w:t>
      </w:r>
      <w:r>
        <w:rPr>
          <w:rFonts w:ascii="Arial" w:cs="Arial" w:eastAsia="Arial" w:hAnsi="Arial"/>
          <w:sz w:val="18"/>
          <w:szCs w:val="18"/>
          <w:i w:val="1"/>
          <w:iCs w:val="1"/>
          <w:color w:val="auto"/>
        </w:rPr>
        <w:t>Proposal No. 1 — Approval of the Business Combination — The Merger Agreement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spacing w:after="0" w:line="13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period leading up to the Closing, other events may occur that, pursuant to the Merger Agreement, would require the Company to agree to amend the Merger Agreement, to consent to certain actions or to waive rights that we are entitled to under those agreements. Such events could arise because of changes in the course of Sema4’s business, a request by Sema4 to undertake actions that would otherwise be prohibited by the terms of the Merger Agreement or the occurrence of other events that would have a material adverse effect on Sema4’s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stockholder approval of the Business Combination has been obtained at the Special Meeting. While certain changes could be made without further stockholder approval, if there is a change to the terms of the Business Combination that would have a material impact on the stockholders, we will be required to circulate a new or amended proxy statement relating to the Business Combination or supplement thereto and resolicit the vote of our stockholders with respect to the Business Combination Proposal thereto.</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Shareholders may not know immediately after the special meeting whether we have satisfied the closing condition that the Trust Account and the proceeds from the PIPE Investment equal or exceed $300,000,000.</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 after the payment of redemptions and satisfaction of Company and Sema4 transaction expenses. This process could take a number of days, and there may be a period of time after the special meeting and before the Closing when stockholders do not know whether we have satisfied this closing condition. Furthermore, the Subscription Agreements for the PIPE Investment are subject to certain conditions and there can be no guarantee that all the PIPE Investors will purchase their shares of common stock pursuant to the PIPE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Sema4 will incur significant transaction and transition costs in connection with the Business Combination.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and Sema4 have both incurred and expect to incur significant, non-recurring costs in connection with consummating the Business Combination and operating as a public company following the consummation of the Business Combination. We and Sema4 may also incur additional costs to retain key employees. All expenses incurred in connection with the Merger Agreement and the transactions contemplated thereby (including the Business Combination), including all legal, accounting, consulting, investment banking and other fees, expenses and costs, will be for the account of the party incurring such fees, expenses and costs or paid by the Company following the Closing.</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aggregate transaction expenses as a result of the Business Combination are expected to be approximately $35 million. The per-share amount we will distribute to stockholders who properly exercise their redemption rights will not be reduced by the transaction expenses and after such redemptions, the per-share value of shares held by non-redeeming stockholders will reflect our obligation to pay the transaction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complete an initial business combination, our public stockholders may receive only approximately $10.00 per share on the liquidation of the Trust Account (or less than $10.00 per share in certain circumstances where a third party brings a claim against us that our Sponsor is unable to indemnify), and our warrants will expire worthless.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unable to complete an initial business combination by the applicable deadline, our public stockholders may receive only approximately $10.00 per share on the liquidation of the Trust Account (or less than $10.00 per share in certain circumstances where a third-party brings a claim against us that our Sponsor is unable to indemnify (as described herein)) and our warrants will expire worthless.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or other entities with which we do business execute agreements with us waiving any right, title, interest or claim of any kind in or to any funds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funds held in the Trust Account, our management will perform an analysis of the alternatives available to it and will only enter into an agreement with a third-party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stockholders could be less than the $10.00 per share initially held in the Trust Account, due to claims of such creditors.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IPO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As a result, if any such claims were successfully made against the Trust Account, the funds available for our business combination and redemptions could be reduced to less than $10.00 per public share. In such event, we may not be able to complete our business combination, and you would receive such lesser amount per share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connection with any redemption of your public shares. None of our officers or directors will indemnify us for claims by third parties including, without limitation, claims by vendors and prospective target businesses.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3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only significant asset will be our ownership interest in Sema4 and such ownership may not be sufficient to pay dividends or make distributions or loans to enable us to pay any dividends on our common stock or satisfy our other financial obligations.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Following the consummation of the Business Combination, we will have no direct operations and no significant assets other than our ownership of Sema4. The Sema4 equity holders, and directors and officers of Sema4 will become stockholders of the post-combination company at that time. We will depend on Sema4 for distributions, loans and other payments to generate the funds necessary to meet our financial obligations, including our expenses as a publicly traded company and to pay any dividends with respect to our common stock. The financial condition and operating requirements of Sema4 may limit our ability to obtain cash from Sema4. The earnings from, or other available assets of, Sema4 may not be sufficient to pay dividends or make distributions or loans to enable us to pay any dividends on our common stock or satisfy our other financial obligations.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ability of Sema4 to make distributions, loans and other payments to us for the purposes described above and for any other purpose may be limited by credit agreements to which Sema4 is party from time to time, and will be subject to any negative covenants set forth therein. Any loans or other extensions of credit to us from Sema4 will be permitted only to the extent there is an applicable exception to the investment covenants under these credit agreements. Similarly, any dividends, distributions or similar payments to us from Sema4 will be permitted only to the extent there is an applicable exception to the dividends and distributions covenants under these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our completion of our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we have conducted due diligence on Sema4, we cannot assure you that this diligence will surface all material issues that may be present in Sema4’s business, that it would be possible to uncover all material issues through a customary amount of due diligence, or that factors outside of Sema4’s business and outside of our and Sema4’s control will not later arise. As a result of these factors, we may be forced to later write down or write off assets, restructure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post-combination company or its securities. Accordingly, any of our stockholders who choose to remain stockholders following our Business Combination could suffer a reduction in the value of their shares. Such stockholders are unlikely to have a remedy for such reduction in value.</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 operating or financial history and our results of operations and those of the post-combination company may differ significantly from the unaudited pro forma financial data included in this proxy statement.</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blank check company and we have no operating history and no revenues. This proxy statement includes unaudited pro forma condensed combined financial statements for the post-combination company. The unaudited pro forma condensed combined statement of operations of the post-combination company combines the historical audited results of operations of the Company for the year ended December 31, 2020, with the historical audited results of operations of Sema4 for the year ended December 31, 2020, and gives pro forma effect to the Business Combination as if it had been consummated on January 1, 2021. The unaudited pro forma condensed combined balance sheet of the post-combination company combines the historical balance sheets of the Company as of December 31, 2020 and of Sema4 as of December 31, 2020 and gives pro forma effect to the Business Combination as if it had been consummated on January 1, 2021.</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and the acquisitions by Sema4 been consummated on the dates indicated above, or the future consolidated results of operations or financial position of the post-combination company. Accordingly, the post-combination company’s business, assets, cash flows, results of operations and financial condition may differ significantly from those indicated by the unaudited pro forma condensed combined financial statements included in this document. For more information, please see the section entitled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will be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2" w:lineRule="exact"/>
        <w:rPr>
          <w:sz w:val="20"/>
          <w:szCs w:val="20"/>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4" w:lineRule="exact"/>
        <w:rPr>
          <w:sz w:val="20"/>
          <w:szCs w:val="20"/>
          <w:color w:val="auto"/>
        </w:rPr>
      </w:pPr>
    </w:p>
    <w:p>
      <w:pPr>
        <w:ind w:left="660" w:right="20" w:hanging="328"/>
        <w:spacing w:after="0" w:line="277"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the Company’s securities prior to the Closing may decline. The market values of our securities at the time of the Business Combination may vary significantly from their prices on the date the Merger Agreement was executed, the date of this proxy statement, or the date on which our stockholders vote on the Business Combination.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following the Business Combination, fluctuations in the price of our securities could contribute to the loss of all or part of your investment. Immediately prior to the Business Combination, there has not been a public market for Sema4’s stock and trading in the shares of our common stock has not been active. Accordingly, the valuation ascribed to Sema4 and our common stock in the Business Combination may not be indicative of the price of the post-combination company that will prevail in the trading market following the Business Combination. If an active market for our securities develops and continues, the trading price of our 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the post-combination company’s securities following the Business Combination may include:</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changes in financial estimates and recommendations by securities analysts concerning the post-combination company or the market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the post-combination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changes in the post-combination company’s capital structure, such as future issuances of securities or the incurrence of additional debt;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sales of substantial amounts of common stock by our directors, officers or significant stockholders or the perception that such sales could occur;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failure to comply with SOX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the post-combination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following the Business Combination, securities or industry analysts do not publish or cease publishing research or reports about the post-combination company, its business, or its market, or if they change their recommendations regarding our common stock adversely, then the price and trading volume of our common could decline.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Securities and industry analysts do not currently, and may never, publish research on the Company or the post-combination company. If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or industry analysts commence coverage of the post-combination company, our stock price and trading volume would likely be negatively impacted. If any of the analysts who may cover the post-combination company change their recommendation regarding our stock adversely, or provide more favorable relative recommendations about our competitors, the price of our common stock would likely decline. If any analyst who may cover the Company were to cease coverage of the post-combination company or fail to regularly publish reports on it, we could lose visibility in the financial markets, which could cause our stock price or trading volume to decline.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common stock issuable upon exercise of the public warrants under the Securities Act or any state securities laws at this time, and such registration may not be in place when an investor desires to exercise public warrants, thus precluding such investor from being able to exercise its public warrants except on a cashless basis and potentially causing such public warrants to expire worthless.</w:t>
      </w:r>
    </w:p>
    <w:p>
      <w:pPr>
        <w:spacing w:after="0" w:line="9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have not registered the shares of common stock issuable upon exercise of the public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warrants and thereafter will use our best efforts to cause the same to become effective within 60 business days following our initial business combination and to maintain a current prospectus relating to the common stock issuable upon exercise of the public warrants, until the expiration of the public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public warrants are not registered under the Securities Act, we will be required to permit holders to exercise their public warrants on a cashless basis. However,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no event will we be required to net cash settle any public warrant, or issue securities or other compensation in exchange for the public warrants in the event that we are unable to register or qualify the shares underlying the public warrants under applicable state securities laws and there is no exemption available. If the issuance of the shares upon exercise of the public warrants is not so registered or qualified or exempt from registration or qualification, the holder of such public warrant shall not be entitled to exercise such public warrant and such public warrant may have no value and expire worthless. In such event, holders who acquired their public warrants as part of a purchase of public units will have paid the full unit purchase price solely for the shares of common stock included in the public units.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the warrants were offered by us in the IPO. However, there may be instances in which holders of our public warrants may be unable to exercise such public warrants but holders of our private warrants may be able to exercise such private warrants.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price for our public warrants is higher than in many similar blank check company offerings in the past, and, accordingly, the public warrants are more likely to expire worthless.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of our public warrants is higher than is typical with many similar blank check companies in the past. Historically, with regard to units offered by blank check companies, the exercise price of a public warrant was generally a fraction of the purchase price of the units in the initial public offering. The exercise price for our public warrants is $11.50 per share, subject to adjustment as provided herein. As a result, the public warrants are less likely to ever be in the money and more likely to expire worthless.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the ability to redeem outstanding public warrants at any time after they become exercisable and prior to their expiration, at a price of $0.01 per public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our Sponsor or its permitted transferees. 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6"/>
          <w:szCs w:val="16"/>
          <w:i w:val="1"/>
          <w:iCs w:val="1"/>
          <w:color w:val="auto"/>
        </w:rPr>
        <w:t>The Business Combination Proposal — Related Agreements — Forfeiture Agreement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public warrants are exercisable for 14,758,333 shares of common stock as part of our IPO at $11.50 per share. Our private warrants are exercisable for 7,236,667 shares of common stock as part of our IPO at $11.50 per share. We expect to issue 35,000,000 shares of our common stock to the PIPE Investors in the PIPE Investment upon consummation of the Business Combination. The shares of common stock issued in the PIPE Investment and additional shares of our common stock issued upon exercise of our warrants will result in dilution to the then existing holders of common stock of the Company and increase the number of shares eligible for resale in the public market. Sales of substantial numbers of such shares in the public market could adversely affect the market price of our common stock.</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the Trust Account distributed to our public stockholders upon the redemption of our public shares in the event we do not complete an initial business combination by the applicable deadline may be considered a liquidating distribution under Delaware law. If a corporation complies with certain procedures set forth in Section 280 of the DGCL intended to ensure that it makes reasonable provision for all claims against it, including a 60- 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applicable deadline in the event we do not complete an initial business combination and, therefore, we do not intend to comply with the foregoing procedures.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of the DGCL, Section 281(b) of the DGCL requires us to adopt a plan, based on facts known to us at such time that will provide for our payment of all existing and pending claims or claims that may be potentially brought against us within the ten years following our dissolution.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an initial business combination by the applicable deadline is not considered a liquidating distribution under Delaware law and such redemption distribution is deemed to be unlawful, then pursuant to Section 174 of the DGCL, the statute of limitations for claims of creditors could then be six years after the unlawful redemption distribution, instead of three years, as in the case of a liquidating distribution.</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stockholders. In addition, our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bylaws, as well as provisions of Delaware law, could impair a takeover attempt.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Assuming the post-combination company’s Amended and Restated Certificate of Incorporation is approved at the Special Meeting, it will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34"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a majority of the board, the chairman of the board or the chief executive officer of the post-combination company and may not be called by any other person, which may delay the ability of our stockholders to force consideration of a proposal or to take action, including the removal of directors;</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Amended and Restated Certificate of Incorporation must be approved by holders of at least two-thirds of the common stock of the post-combination company;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SOX;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prior June 30th, and (ii) the date on which we have issued more than $1.0 billion in non-convertible debt during the prior three-year period.</w:t>
      </w:r>
    </w:p>
    <w:p>
      <w:pPr>
        <w:spacing w:after="0" w:line="1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SOX, which require management to certify financial and other information in our quarterly and annual reports and provide an annual management report on the effectiveness of internal control over financial reporting. To comply with the requirements of being a public company, the post-combination company will be required to provide management’s assessment on internal controls commencing with the annual report for fiscal year ended December 31, 2020, and we may need to undertake various actions, such as implementing additional internal controls and procedures and hiring additional accounting or internal audit staff. The standards required for a public company under Section 404 of SOX are significantly more stringent than those required of Sema4 as a privately-held company.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post-combination company are documented, designed or operating.</w:t>
      </w:r>
    </w:p>
    <w:p>
      <w:pPr>
        <w:spacing w:after="0" w:line="13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post-combination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14,758,333 public warrants and 7,236,667 private placement warrants, and determined to classify the warrants as derivative liabilities measured at fair value, with changes in fair value each period reported in earnings.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included on our balance sheet as of December 31, 2020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as of December 31, 2020.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this issuance of the SEC Statement, on April 12, 2021, after consultation with our independent registered public accounting firm, our management and our audit committee concluded that, in light of the SEC Statement, it was appropriate to restate our previously issued audited financial statements as of and for the period ended December 31, 2020 (the “Restatement”). See “</w:t>
      </w:r>
      <w:r>
        <w:rPr>
          <w:rFonts w:ascii="Arial" w:cs="Arial" w:eastAsia="Arial" w:hAnsi="Arial"/>
          <w:sz w:val="18"/>
          <w:szCs w:val="18"/>
          <w:i w:val="1"/>
          <w:iCs w:val="1"/>
          <w:color w:val="auto"/>
        </w:rPr>
        <w:t>—Our warrants are accounted for as liabilities and the changes in</w:t>
      </w:r>
      <w:r>
        <w:rPr>
          <w:rFonts w:ascii="Arial" w:cs="Arial" w:eastAsia="Arial" w:hAnsi="Arial"/>
          <w:sz w:val="18"/>
          <w:szCs w:val="18"/>
          <w:color w:val="auto"/>
        </w:rPr>
        <w:t xml:space="preserve"> </w:t>
      </w:r>
      <w:r>
        <w:rPr>
          <w:rFonts w:ascii="Arial" w:cs="Arial" w:eastAsia="Arial" w:hAnsi="Arial"/>
          <w:sz w:val="18"/>
          <w:szCs w:val="18"/>
          <w:i w:val="1"/>
          <w:iCs w:val="1"/>
          <w:color w:val="auto"/>
        </w:rPr>
        <w:t>value of our warrants could have a material effect on our financial results</w:t>
      </w:r>
      <w:r>
        <w:rPr>
          <w:rFonts w:ascii="Arial" w:cs="Arial" w:eastAsia="Arial" w:hAnsi="Arial"/>
          <w:sz w:val="18"/>
          <w:szCs w:val="18"/>
          <w:color w:val="auto"/>
        </w:rPr>
        <w:t>.” As part of such process, we identified a material weakness in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over financial reporting.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We continue to evaluate steps to remediate the material weakness. These remediation measures may be time consuming and costly and there is no assurance that these initiatives will ultimately have the intended effects.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following the Business Combination, the post-business combination company, may face litigation and other risks as a result of the material weakness in our internal control over financial reporting.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issuance of the SEC Statement, after consultation with our independent registered public accounting firm, our management and our audit committee concluded that it was appropriate to restate our previously issued audited financial statements as of December 31, 2020 and for the period from July 10, 2020 (inception) through December 31, 2020. See section entitled “—</w:t>
      </w:r>
      <w:r>
        <w:rPr>
          <w:rFonts w:ascii="Arial" w:cs="Arial" w:eastAsia="Arial" w:hAnsi="Arial"/>
          <w:sz w:val="18"/>
          <w:szCs w:val="18"/>
          <w:i w:val="1"/>
          <w:iCs w:val="1"/>
          <w:color w:val="auto"/>
        </w:rPr>
        <w:t>Our warrants are accounted for as liabilities and the changes in value of our</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 could have a material effect on our financial results</w:t>
      </w:r>
      <w:r>
        <w:rPr>
          <w:rFonts w:ascii="Arial" w:cs="Arial" w:eastAsia="Arial" w:hAnsi="Arial"/>
          <w:sz w:val="18"/>
          <w:szCs w:val="18"/>
          <w:color w:val="auto"/>
        </w:rPr>
        <w:t>.” As part of the Restatement, we identified a material weakness in our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such material weakness, the Restatement, the change in accounting for the warrants, and other matters raised or that may in the future be raised by the SEC, we face potential for litigation or other disputes which may include, among others, claims invoking the federal and state securities laws, contractual claims or other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arising from the Restatement and material weaknesses in our internal control over financial reporting and the preparation of our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results of operations and financial condition or our ability to complete a Business Combination.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obtain a favorable judicial forum for disputes with the post-combination company or its directors, officers or employees.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proposed Amended and Restated Certificate of Incorporation designates the Court of Chancery of the State of Delaware and federal court within the State of Delaware as the exclusive forum for certain types of actions and proceedings that the post-combination company’s stockholders may initiate, which could limit a stockholder’s ability to bring an action or proceeding in an alternative judicial forum that a stockholder may prefer for disputes with the post-combination company or its directors, officers or employees.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proposed Amended and Restated Certificate of Incorporation provides that, subject to limited exceptions, the Court of Chancery of the State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 and federal court within the State of Delaware will be exclusive forums for any:</w:t>
      </w:r>
    </w:p>
    <w:p>
      <w:pPr>
        <w:spacing w:after="0" w:line="157"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General Corporation Law, the Company’s Amended and Restated Certificate of Incorporation or Bylaws or as to which the General Corporation Law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under the Exchange Act or any other claim for which federal courts have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the Company’s exclusive forum provision in the restated bylaws and the choice of forum provision in the proposed Amended and Restated Certificate of Incorporation.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the post-combination company or any of its directors, officers, or other employees, which may discourage lawsuits with respect to such claims. Alternatively, if a court were to find the choice of forum provisions contained in the post-combination company’s restated certificate of incorporation to be inapplicable or unenforceable in an action, it may incur additional costs associated with resolving such action in other jurisdictions, which could harm its business, results of operations and financial condition.</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stockholders will not be deemed to have waived the post-combination company’s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person or entity purchasing or otherwise acquiring or holding any interest in any of the post-combination company’s securities shall be deemed to have notice of and consented to its exclusive forum provisions, including the choice of forum provision. These provisions may limit a stockholders’ ability to bring a claim, and may result in increased costs for a stockholder to bring a claim in a judicial forum of their choosing for disputes with the post-combination company or its directors, officers, or other employees, which may discourage lawsuits against us and our directors, officers, and other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 Business Combination with which a substantial majority of our stockholders do not agree.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current certificate of incorporation does not provide a specified maximum redemption threshold, except that we will not redeem our public shares in an amount that would cause the Company’s net tangible assets to be less than $5,000,001 upon consummation of our initial business combination (such that we are not subject to the SEC’s “penny stock” rules). However, the Merger Agreement provides that our obligation to consummate the Business Combination is conditioned on the amount in the Trust Account and the proceeds from the PIPE Investment equaling or exceeding $300,000,000, and the obligation of Sema4 to consummate the Business Combination is conditioned on the amount in the Trust Account and the proceeds from the PIPE Investment equaling or exceeding $300,000,000, in each case after the payment of redemptions and satisfaction of Company and Sema4 transaction expenses. As a result, we may be able to complete our Business Combination even though a substantial portion of our public stockholders do not agree with the transaction and have redeemed their shares or have entered into privately negotiated agreements to sell their shares to our Sponsor, directors or officers or their affiliates. Based on the amount of approximately $442,763,951 million in our Trust Account as of December 31, 2021, and taking into account the anticipated gross proceeds of approximately $350,000,000 from the PIPE Investment, all of our shares of common stock may be redeemed and still enable us to have sufficient cash to satisfy the cash closing conditions in the Merger Agreement. As of the date of this proxy statement, no agreements with respect to the private purchase of public shares by the Company or the persons described above have been entered into with any such investor or holder. We will file a Current Report on Form 8-K with the SEC to disclose private arrangements entered into or significant private purchases made by any of the aforementioned persons that would affect the vote on the Business Combination Proposal or other proposals (as described in this proxy statement) at the Special Meeting.</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the aggregate cash consideration we would be required to pay for all shares of common stock that are validly submitted for redemption plus any amount required to satisfy cash conditions pursuant to the terms of the Merger Agreement exceeds the aggregate amount of cash available to us, we may not complete the Business Combination or redeem any shares, all shares of common stock submitted for redemption will be returned to the holders thereof, and we instead may search for an alternate business combination.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our share price, and may result in a lower value realized now than a stockholder of the Company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 A stockholder should consult the stockholder’s own tax and/or financial advisor for assistance on how this may affect his, her or its individual situation.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Stockholders of the Company who wish to redeem their shares for a pro rata portion of the Trust Account must comply with specific requirements for redemption that may make it more difficult for them to exercise their redemption rights prior to the deadline. If stockholders fail to comply with the redemption requirements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this proxy statement, they will not be entitled to redeem their shares of our common stock for a pro rata portion of the funds held in our Trust Account.</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Public stockholders who wish to redeem their shares for a pro rata portion of the Trust Account must, among other things (i) submit a request in writing and (ii) tender their certificates to our Transfer Agent or deliver their shares to the Transfer Agent electronically through the DWAC system at least two business days prior to the Special Meeting.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which we refer to as “DTC,”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Special Meeting of Company</w:t>
      </w:r>
      <w:r>
        <w:rPr>
          <w:rFonts w:ascii="Arial" w:cs="Arial" w:eastAsia="Arial" w:hAnsi="Arial"/>
          <w:sz w:val="17"/>
          <w:szCs w:val="17"/>
          <w:color w:val="auto"/>
        </w:rPr>
        <w:t xml:space="preserve"> </w:t>
      </w:r>
      <w:r>
        <w:rPr>
          <w:rFonts w:ascii="Arial" w:cs="Arial" w:eastAsia="Arial" w:hAnsi="Arial"/>
          <w:sz w:val="17"/>
          <w:szCs w:val="17"/>
          <w:i w:val="1"/>
          <w:iCs w:val="1"/>
          <w:color w:val="auto"/>
        </w:rPr>
        <w:t>Stockholders — Redemption Rights</w:t>
      </w:r>
      <w:r>
        <w:rPr>
          <w:rFonts w:ascii="Arial" w:cs="Arial" w:eastAsia="Arial" w:hAnsi="Arial"/>
          <w:sz w:val="17"/>
          <w:szCs w:val="17"/>
          <w:color w:val="auto"/>
        </w:rPr>
        <w:t>” for additional information on how to exercise your redemption rights.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Business Combination, or fails to comply with the procedures for tendering its shares, such shares may not be redeemed.</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despite our compliance with the proxy rules, a stockholder fails to receive our proxy materials, such stockholder may not become aware of the opportunity to redeem its shares. In addition, the proxy materials that we are furnishing to holders of our public shares in connection with our Business Combination describes the various procedures that must be complied with in order to validly redeem public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Adjournment Proposal is not approved, the Business Combination would not be completed.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or any other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PARTIES TO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CMLS is a blank check company whose business purpose is to effect a merger, capital stock exchange, asset acquisition, stock purchase, reorganization or similar business combination with one or more businesses. For more information regarding Fusion, see the section entitled “Information About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Sub</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Merger Sub is a wholly-owned subsidiary of the Company formed solely for the purpose of effecting the Business Combination. Merger Sub was incorporated under the DGCL on February 9, 2021. Merger Sub owns no material assets and does not operate any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its efforts both to deliver better outcomes for patients and to transform the practice of medicine, including how diseases are diagnosed, treated, and prevented.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terms included below have the same meaning as terms defined and included elsewhere in this proxy statement/prospectus.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pro forma condensed combined financial information is provided to aid you in your analysis of the financial aspects of the Business Combination and the PIPE Investment.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unaudited pro forma condensed combined balance sheet as of March 31, 2021 combines the historical balance sheet of CMLS as of March 31, 2021 with the historical balance sheet of Sema4 as of March 31, 2021, giving effect to the Business Combination and the PIPE Investment as if they had been consummated as of that date.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unaudited pro forma condensed combined statements of operations for the three months ended March 31, 2021 and the year ended December 31, 2020 combine the historical statements of operations of CMLS and Sema4 for such periods, giving effect to the Business Combination and the PIPE Investment as if they had been consummated on January 1, 2020, the beginning of the earliest period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statements;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sections entitled “Management’s Discussion and Analysis of Financial Condition and Results of Operations of CMLS,” “Management’s Discussion and Analysis of Financial Condition and Results of Operation of Sema4,” and other financial information relating to CMLS and 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jc w:val="right"/>
              <w:ind w:right="531"/>
              <w:spacing w:after="0"/>
              <w:rPr>
                <w:sz w:val="20"/>
                <w:szCs w:val="20"/>
                <w:color w:val="auto"/>
              </w:rPr>
            </w:pPr>
            <w:r>
              <w:rPr>
                <w:rFonts w:ascii="Arial" w:cs="Arial" w:eastAsia="Arial" w:hAnsi="Arial"/>
                <w:sz w:val="14"/>
                <w:szCs w:val="14"/>
                <w:b w:val="1"/>
                <w:bCs w:val="1"/>
                <w:color w:val="auto"/>
              </w:rPr>
              <w:t>Historical</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200"/>
              <w:spacing w:after="0"/>
              <w:rPr>
                <w:sz w:val="20"/>
                <w:szCs w:val="20"/>
                <w:color w:val="auto"/>
              </w:rPr>
            </w:pPr>
            <w:r>
              <w:rPr>
                <w:rFonts w:ascii="Arial" w:cs="Arial" w:eastAsia="Arial" w:hAnsi="Arial"/>
                <w:sz w:val="14"/>
                <w:szCs w:val="14"/>
                <w:b w:val="1"/>
                <w:bCs w:val="1"/>
                <w:color w:val="auto"/>
              </w:rPr>
              <w:t>Scenario 1 Assuming No</w:t>
            </w:r>
          </w:p>
        </w:tc>
        <w:tc>
          <w:tcPr>
            <w:tcW w:w="100" w:type="dxa"/>
            <w:vAlign w:val="bottom"/>
          </w:tcPr>
          <w:p>
            <w:pPr>
              <w:spacing w:after="0"/>
              <w:rPr>
                <w:sz w:val="14"/>
                <w:szCs w:val="14"/>
                <w:color w:val="auto"/>
              </w:rPr>
            </w:pPr>
          </w:p>
        </w:tc>
        <w:tc>
          <w:tcPr>
            <w:tcW w:w="20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2"/>
              </w:rPr>
              <w:t>Scenario 2 Assuming Maximum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4"/>
                <w:szCs w:val="14"/>
                <w:b w:val="1"/>
                <w:bCs w:val="1"/>
                <w:color w:val="auto"/>
                <w:w w:val="92"/>
              </w:rPr>
              <w:t>Redemptions</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5(A)</w:t>
            </w:r>
          </w:p>
        </w:tc>
        <w:tc>
          <w:tcPr>
            <w:tcW w:w="180" w:type="dxa"/>
            <w:vAlign w:val="bottom"/>
          </w:tcPr>
          <w:p>
            <w:pPr>
              <w:spacing w:after="0"/>
              <w:rPr>
                <w:sz w:val="11"/>
                <w:szCs w:val="11"/>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5(B)</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3"/>
              </w:rPr>
              <w:t>Transaction</w:t>
            </w:r>
          </w:p>
        </w:tc>
        <w:tc>
          <w:tcPr>
            <w:tcW w:w="440" w:type="dxa"/>
            <w:vAlign w:val="bottom"/>
          </w:tcPr>
          <w:p>
            <w:pPr>
              <w:spacing w:after="0"/>
              <w:rPr>
                <w:sz w:val="11"/>
                <w:szCs w:val="11"/>
                <w:color w:val="auto"/>
              </w:rPr>
            </w:pP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1"/>
                <w:szCs w:val="11"/>
                <w:color w:val="auto"/>
              </w:rPr>
            </w:pPr>
          </w:p>
        </w:tc>
        <w:tc>
          <w:tcPr>
            <w:tcW w:w="1300" w:type="dxa"/>
            <w:vAlign w:val="bottom"/>
            <w:gridSpan w:val="3"/>
          </w:tcPr>
          <w:p>
            <w:pPr>
              <w:jc w:val="right"/>
              <w:ind w:right="500"/>
              <w:spacing w:after="0" w:line="130" w:lineRule="exact"/>
              <w:rPr>
                <w:sz w:val="20"/>
                <w:szCs w:val="20"/>
                <w:color w:val="auto"/>
              </w:rPr>
            </w:pPr>
            <w:r>
              <w:rPr>
                <w:rFonts w:ascii="Arial" w:cs="Arial" w:eastAsia="Arial" w:hAnsi="Arial"/>
                <w:sz w:val="14"/>
                <w:szCs w:val="14"/>
                <w:b w:val="1"/>
                <w:bCs w:val="1"/>
                <w:color w:val="auto"/>
                <w:w w:val="98"/>
              </w:rPr>
              <w:t>Transaction</w:t>
            </w:r>
          </w:p>
        </w:tc>
        <w:tc>
          <w:tcPr>
            <w:tcW w:w="88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Accounting</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Balance</w:t>
            </w:r>
          </w:p>
        </w:tc>
        <w:tc>
          <w:tcPr>
            <w:tcW w:w="1300" w:type="dxa"/>
            <w:vAlign w:val="bottom"/>
            <w:gridSpan w:val="3"/>
          </w:tcPr>
          <w:p>
            <w:pPr>
              <w:jc w:val="right"/>
              <w:ind w:right="520"/>
              <w:spacing w:after="0" w:line="135" w:lineRule="exact"/>
              <w:rPr>
                <w:sz w:val="20"/>
                <w:szCs w:val="20"/>
                <w:color w:val="auto"/>
              </w:rPr>
            </w:pPr>
            <w:r>
              <w:rPr>
                <w:rFonts w:ascii="Arial" w:cs="Arial" w:eastAsia="Arial" w:hAnsi="Arial"/>
                <w:sz w:val="14"/>
                <w:szCs w:val="14"/>
                <w:b w:val="1"/>
                <w:bCs w:val="1"/>
                <w:color w:val="auto"/>
                <w:w w:val="98"/>
              </w:rPr>
              <w:t>Accounting</w:t>
            </w:r>
          </w:p>
        </w:tc>
        <w:tc>
          <w:tcPr>
            <w:tcW w:w="200" w:type="dxa"/>
            <w:vAlign w:val="bottom"/>
          </w:tcPr>
          <w:p>
            <w:pPr>
              <w:spacing w:after="0"/>
              <w:rPr>
                <w:sz w:val="11"/>
                <w:szCs w:val="11"/>
                <w:color w:val="auto"/>
              </w:rPr>
            </w:pPr>
          </w:p>
        </w:tc>
        <w:tc>
          <w:tcPr>
            <w:tcW w:w="680" w:type="dxa"/>
            <w:vAlign w:val="bottom"/>
          </w:tcPr>
          <w:p>
            <w:pPr>
              <w:jc w:val="center"/>
              <w:ind w:right="111"/>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CMLS</w:t>
            </w:r>
          </w:p>
        </w:tc>
        <w:tc>
          <w:tcPr>
            <w:tcW w:w="18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Sema4</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Sheet</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6"/>
                <w:szCs w:val="16"/>
                <w:color w:val="auto"/>
              </w:rPr>
            </w:pPr>
          </w:p>
        </w:tc>
        <w:tc>
          <w:tcPr>
            <w:tcW w:w="680" w:type="dxa"/>
            <w:vAlign w:val="bottom"/>
          </w:tcPr>
          <w:p>
            <w:pPr>
              <w:jc w:val="center"/>
              <w:ind w:right="111"/>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533,907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(50,933) 5(i)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482,974</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33,490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from related parties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32,969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23"/>
        </w:trPr>
        <w:tc>
          <w:tcPr>
            <w:tcW w:w="486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140,530</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474,628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616,079</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565,146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442,775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w w:val="91"/>
              </w:rPr>
              <w:t>(442,775) 5(b)</w:t>
            </w: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443,696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695,135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(50,933)</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644,202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REDEEMABLE CONVERTIBLE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43,101</w:t>
            </w: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Due to related parties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contract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(1,846)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21,145</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4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(10,752) 5(c)</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liabilities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296,952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296,952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296,952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22,530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199,962</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5(d)</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199,962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199,962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126,960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126,960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126,960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(15,496) 5(e)</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143,948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406,191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171,868</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722,007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722,007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8"/>
              </w:rPr>
              <w:t>Sema4 Series A-1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40"/>
              <w:spacing w:after="0" w:line="176" w:lineRule="exact"/>
              <w:rPr>
                <w:sz w:val="20"/>
                <w:szCs w:val="20"/>
                <w:color w:val="auto"/>
              </w:rPr>
            </w:pPr>
            <w:r>
              <w:rPr>
                <w:rFonts w:ascii="Arial" w:cs="Arial" w:eastAsia="Arial" w:hAnsi="Arial"/>
                <w:sz w:val="18"/>
                <w:szCs w:val="18"/>
                <w:color w:val="auto"/>
                <w:w w:val="98"/>
              </w:rPr>
              <w:t>Sema4 Series A-2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Sema4 Series B redeemable convertible preferred stock,</w:t>
            </w: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(118,824)</w:t>
            </w:r>
          </w:p>
        </w:tc>
        <w:tc>
          <w:tcPr>
            <w:tcW w:w="4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60"/>
              <w:spacing w:after="0" w:line="176" w:lineRule="exact"/>
              <w:rPr>
                <w:sz w:val="20"/>
                <w:szCs w:val="20"/>
                <w:color w:val="auto"/>
              </w:rPr>
            </w:pPr>
            <w:r>
              <w:rPr>
                <w:rFonts w:ascii="Arial" w:cs="Arial" w:eastAsia="Arial" w:hAnsi="Arial"/>
                <w:sz w:val="18"/>
                <w:szCs w:val="18"/>
                <w:color w:val="auto"/>
              </w:rPr>
              <w:t>Sema4 Series C redeemable convertible preferred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0"/>
              </w:rPr>
              <w:t>(117,324)</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5(f)</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440"/>
              <w:spacing w:after="0"/>
              <w:rPr>
                <w:sz w:val="20"/>
                <w:szCs w:val="20"/>
                <w:color w:val="auto"/>
              </w:rPr>
            </w:pPr>
            <w:r>
              <w:rPr>
                <w:rFonts w:ascii="Arial" w:cs="Arial" w:eastAsia="Arial" w:hAnsi="Arial"/>
                <w:sz w:val="18"/>
                <w:szCs w:val="18"/>
                <w:color w:val="auto"/>
              </w:rPr>
              <w:t>$0.00001 par value</w:t>
            </w: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Redeemable convertible preferred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(334,439)</w:t>
            </w:r>
          </w:p>
        </w:tc>
        <w:tc>
          <w:tcPr>
            <w:tcW w:w="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5(f)</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8"/>
              </w:rPr>
              <w:t>CMLS Class A Common stock subject to possible redemption</w:t>
            </w:r>
          </w:p>
        </w:tc>
        <w:tc>
          <w:tcPr>
            <w:tcW w:w="880" w:type="dxa"/>
            <w:vAlign w:val="bottom"/>
          </w:tcPr>
          <w:p>
            <w:pPr>
              <w:jc w:val="right"/>
              <w:spacing w:after="0"/>
              <w:rPr>
                <w:sz w:val="20"/>
                <w:szCs w:val="20"/>
                <w:color w:val="auto"/>
              </w:rPr>
            </w:pPr>
            <w:r>
              <w:rPr>
                <w:rFonts w:ascii="Arial" w:cs="Arial" w:eastAsia="Arial" w:hAnsi="Arial"/>
                <w:sz w:val="18"/>
                <w:szCs w:val="18"/>
                <w:color w:val="auto"/>
              </w:rPr>
              <w:t>294,748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(294,748)</w:t>
            </w:r>
          </w:p>
        </w:tc>
        <w:tc>
          <w:tcPr>
            <w:tcW w:w="440" w:type="dxa"/>
            <w:vAlign w:val="bottom"/>
          </w:tcPr>
          <w:p>
            <w:pPr>
              <w:ind w:left="20"/>
              <w:spacing w:after="0"/>
              <w:rPr>
                <w:sz w:val="20"/>
                <w:szCs w:val="20"/>
                <w:color w:val="auto"/>
              </w:rPr>
            </w:pPr>
            <w:r>
              <w:rPr>
                <w:rFonts w:ascii="Arial" w:cs="Arial" w:eastAsia="Arial" w:hAnsi="Arial"/>
                <w:sz w:val="18"/>
                <w:szCs w:val="18"/>
                <w:color w:val="auto"/>
              </w:rPr>
              <w:t>5(g)</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Sema4 Class A common stock, $0.00001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w w:val="96"/>
              </w:rPr>
              <w:t>Sema4 Class B convertible common stock, $0.00001 par value</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Preferred stock, $0.0001 par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CMLS Class A common stock, $0.0001 par value</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 5(i)</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CMLS Class B common stock, $0.0001 par value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103,378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399,267</w:t>
            </w:r>
          </w:p>
        </w:tc>
        <w:tc>
          <w:tcPr>
            <w:tcW w:w="440" w:type="dxa"/>
            <w:vAlign w:val="bottom"/>
          </w:tcPr>
          <w:p>
            <w:pPr>
              <w:ind w:left="20"/>
              <w:spacing w:after="0"/>
              <w:rPr>
                <w:sz w:val="20"/>
                <w:szCs w:val="20"/>
                <w:color w:val="auto"/>
              </w:rPr>
            </w:pPr>
            <w:r>
              <w:rPr>
                <w:rFonts w:ascii="Arial" w:cs="Arial" w:eastAsia="Arial" w:hAnsi="Arial"/>
                <w:sz w:val="18"/>
                <w:szCs w:val="18"/>
                <w:color w:val="auto"/>
              </w:rPr>
              <w:t>5(h)</w:t>
            </w:r>
          </w:p>
        </w:tc>
        <w:tc>
          <w:tcPr>
            <w:tcW w:w="880" w:type="dxa"/>
            <w:vAlign w:val="bottom"/>
          </w:tcPr>
          <w:p>
            <w:pPr>
              <w:jc w:val="right"/>
              <w:spacing w:after="0"/>
              <w:rPr>
                <w:sz w:val="20"/>
                <w:szCs w:val="20"/>
                <w:color w:val="auto"/>
              </w:rPr>
            </w:pPr>
            <w:r>
              <w:rPr>
                <w:rFonts w:ascii="Arial" w:cs="Arial" w:eastAsia="Arial" w:hAnsi="Arial"/>
                <w:sz w:val="18"/>
                <w:szCs w:val="18"/>
                <w:color w:val="auto"/>
              </w:rPr>
              <w:t>502,645</w:t>
            </w:r>
          </w:p>
        </w:tc>
        <w:tc>
          <w:tcPr>
            <w:tcW w:w="8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(50,932) 5(i)</w:t>
            </w:r>
          </w:p>
        </w:tc>
        <w:tc>
          <w:tcPr>
            <w:tcW w:w="880" w:type="dxa"/>
            <w:vAlign w:val="bottom"/>
          </w:tcPr>
          <w:p>
            <w:pPr>
              <w:jc w:val="right"/>
              <w:spacing w:after="0"/>
              <w:rPr>
                <w:sz w:val="20"/>
                <w:szCs w:val="20"/>
                <w:color w:val="auto"/>
              </w:rPr>
            </w:pPr>
            <w:r>
              <w:rPr>
                <w:rFonts w:ascii="Arial" w:cs="Arial" w:eastAsia="Arial" w:hAnsi="Arial"/>
                <w:sz w:val="18"/>
                <w:szCs w:val="18"/>
                <w:color w:val="auto"/>
              </w:rPr>
              <w:t>451,713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89,883</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(529,541)</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stockholders'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489,172</w:t>
            </w:r>
          </w:p>
        </w:tc>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5(h)</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(26,872)</w:t>
            </w:r>
          </w:p>
        </w:tc>
        <w:tc>
          <w:tcPr>
            <w:tcW w:w="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(50,933)</w:t>
            </w:r>
          </w:p>
        </w:tc>
        <w:tc>
          <w:tcPr>
            <w:tcW w:w="42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2"/>
              </w:rPr>
              <w:t>5(i)</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(77,805)</w:t>
            </w: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ind w:left="240"/>
              <w:spacing w:after="0" w:line="156" w:lineRule="exact"/>
              <w:rPr>
                <w:sz w:val="20"/>
                <w:szCs w:val="20"/>
                <w:color w:val="auto"/>
              </w:rPr>
            </w:pPr>
            <w:r>
              <w:rPr>
                <w:rFonts w:ascii="Arial" w:cs="Arial" w:eastAsia="Arial" w:hAnsi="Arial"/>
                <w:sz w:val="18"/>
                <w:szCs w:val="18"/>
                <w:color w:val="auto"/>
                <w:w w:val="97"/>
              </w:rPr>
              <w:t>Total liabilities, redeemable convertible preferred stock and</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$ 443,696</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$ 219,586</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4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$ 695,135</w:t>
            </w:r>
          </w:p>
        </w:tc>
        <w:tc>
          <w:tcPr>
            <w:tcW w:w="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  (50,933)</w:t>
            </w:r>
          </w:p>
        </w:tc>
        <w:tc>
          <w:tcPr>
            <w:tcW w:w="4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$ 644,202</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400"/>
              <w:spacing w:after="0" w:line="202" w:lineRule="exact"/>
              <w:rPr>
                <w:sz w:val="20"/>
                <w:szCs w:val="20"/>
                <w:color w:val="auto"/>
              </w:rPr>
            </w:pPr>
            <w:r>
              <w:rPr>
                <w:rFonts w:ascii="Arial" w:cs="Arial" w:eastAsia="Arial" w:hAnsi="Arial"/>
                <w:sz w:val="18"/>
                <w:szCs w:val="18"/>
                <w:color w:val="auto"/>
              </w:rPr>
              <w:t>stockholders' deficit</w:t>
            </w: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Scenario 1</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0"/>
              </w:rPr>
              <w:t>Scenario 2</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gridSpan w:val="4"/>
          </w:tcPr>
          <w:p>
            <w:pPr>
              <w:jc w:val="right"/>
              <w:ind w:right="832"/>
              <w:spacing w:after="0" w:line="135" w:lineRule="exact"/>
              <w:rPr>
                <w:sz w:val="20"/>
                <w:szCs w:val="20"/>
                <w:color w:val="auto"/>
              </w:rPr>
            </w:pPr>
            <w:r>
              <w:rPr>
                <w:rFonts w:ascii="Arial" w:cs="Arial" w:eastAsia="Arial" w:hAnsi="Arial"/>
                <w:sz w:val="14"/>
                <w:szCs w:val="14"/>
                <w:b w:val="1"/>
                <w:bCs w:val="1"/>
                <w:color w:val="auto"/>
              </w:rPr>
              <w:t>Assuming No</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0" w:type="dxa"/>
            <w:vAlign w:val="bottom"/>
            <w:gridSpan w:val="4"/>
          </w:tcPr>
          <w:p>
            <w:pPr>
              <w:jc w:val="center"/>
              <w:ind w:right="72"/>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Redemptions</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2"/>
              </w:rPr>
              <w:t>Redemptions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6(A)</w:t>
            </w:r>
          </w:p>
        </w:tc>
        <w:tc>
          <w:tcPr>
            <w:tcW w:w="260" w:type="dxa"/>
            <w:vAlign w:val="bottom"/>
          </w:tcPr>
          <w:p>
            <w:pPr>
              <w:spacing w:after="0"/>
              <w:rPr>
                <w:sz w:val="12"/>
                <w:szCs w:val="12"/>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rPr>
              <w:t>6(B)</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w w:val="93"/>
              </w:rPr>
              <w:t>Transaction</w:t>
            </w:r>
          </w:p>
        </w:tc>
        <w:tc>
          <w:tcPr>
            <w:tcW w:w="140" w:type="dxa"/>
            <w:vAlign w:val="bottom"/>
          </w:tcPr>
          <w:p>
            <w:pPr>
              <w:spacing w:after="0"/>
              <w:rPr>
                <w:sz w:val="12"/>
                <w:szCs w:val="12"/>
                <w:color w:val="auto"/>
              </w:rPr>
            </w:pPr>
          </w:p>
        </w:tc>
        <w:tc>
          <w:tcPr>
            <w:tcW w:w="980" w:type="dxa"/>
            <w:vAlign w:val="bottom"/>
          </w:tcPr>
          <w:p>
            <w:pPr>
              <w:jc w:val="center"/>
              <w:ind w:right="52"/>
              <w:spacing w:after="0" w:line="143"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90"/>
              </w:rPr>
              <w:t>Transaction</w:t>
            </w:r>
          </w:p>
        </w:tc>
        <w:tc>
          <w:tcPr>
            <w:tcW w:w="140" w:type="dxa"/>
            <w:vAlign w:val="bottom"/>
          </w:tcPr>
          <w:p>
            <w:pPr>
              <w:spacing w:after="0"/>
              <w:rPr>
                <w:sz w:val="12"/>
                <w:szCs w:val="12"/>
                <w:color w:val="auto"/>
              </w:rPr>
            </w:pPr>
          </w:p>
        </w:tc>
        <w:tc>
          <w:tcPr>
            <w:tcW w:w="1000" w:type="dxa"/>
            <w:vAlign w:val="bottom"/>
          </w:tcPr>
          <w:p>
            <w:pPr>
              <w:jc w:val="center"/>
              <w:ind w:right="32"/>
              <w:spacing w:after="0" w:line="143" w:lineRule="exact"/>
              <w:rPr>
                <w:sz w:val="20"/>
                <w:szCs w:val="20"/>
                <w:color w:val="auto"/>
              </w:rPr>
            </w:pPr>
            <w:r>
              <w:rPr>
                <w:rFonts w:ascii="Arial" w:cs="Arial" w:eastAsia="Arial" w:hAnsi="Arial"/>
                <w:sz w:val="14"/>
                <w:szCs w:val="14"/>
                <w:b w:val="1"/>
                <w:bCs w:val="1"/>
                <w:color w:val="auto"/>
                <w:w w:val="97"/>
              </w:rPr>
              <w:t>Pro Forma</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8"/>
                <w:szCs w:val="8"/>
                <w:color w:val="auto"/>
              </w:rPr>
            </w:pPr>
          </w:p>
        </w:tc>
        <w:tc>
          <w:tcPr>
            <w:tcW w:w="980" w:type="dxa"/>
            <w:vAlign w:val="bottom"/>
            <w:vMerge w:val="restart"/>
          </w:tcPr>
          <w:p>
            <w:pPr>
              <w:jc w:val="center"/>
              <w:ind w:right="3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Accounting</w:t>
            </w:r>
          </w:p>
        </w:tc>
        <w:tc>
          <w:tcPr>
            <w:tcW w:w="140" w:type="dxa"/>
            <w:vAlign w:val="bottom"/>
          </w:tcPr>
          <w:p>
            <w:pPr>
              <w:spacing w:after="0"/>
              <w:rPr>
                <w:sz w:val="8"/>
                <w:szCs w:val="8"/>
                <w:color w:val="auto"/>
              </w:rPr>
            </w:pPr>
          </w:p>
        </w:tc>
        <w:tc>
          <w:tcPr>
            <w:tcW w:w="1000" w:type="dxa"/>
            <w:vAlign w:val="bottom"/>
            <w:vMerge w:val="restart"/>
          </w:tcPr>
          <w:p>
            <w:pPr>
              <w:jc w:val="center"/>
              <w:ind w:right="52"/>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CMLS</w:t>
            </w:r>
          </w:p>
        </w:tc>
        <w:tc>
          <w:tcPr>
            <w:tcW w:w="260" w:type="dxa"/>
            <w:vAlign w:val="bottom"/>
          </w:tcPr>
          <w:p>
            <w:pPr>
              <w:spacing w:after="0"/>
              <w:rPr>
                <w:sz w:val="3"/>
                <w:szCs w:val="3"/>
                <w:color w:val="auto"/>
              </w:rPr>
            </w:pPr>
          </w:p>
        </w:tc>
        <w:tc>
          <w:tcPr>
            <w:tcW w:w="86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8"/>
              </w:rPr>
              <w:t>Sema4</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6"/>
                <w:szCs w:val="16"/>
                <w:color w:val="auto"/>
              </w:rPr>
            </w:pPr>
          </w:p>
        </w:tc>
        <w:tc>
          <w:tcPr>
            <w:tcW w:w="980" w:type="dxa"/>
            <w:vAlign w:val="bottom"/>
          </w:tcPr>
          <w:p>
            <w:pPr>
              <w:jc w:val="center"/>
              <w:ind w:right="52"/>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6"/>
                <w:szCs w:val="16"/>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91"/>
              </w:rPr>
              <w:t>Operations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62,760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62,760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53,131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101,917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103,762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expenses</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181,414</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190,259</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197,720</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40"/>
              <w:spacing w:after="0" w:line="176" w:lineRule="exact"/>
              <w:rPr>
                <w:sz w:val="20"/>
                <w:szCs w:val="20"/>
                <w:color w:val="auto"/>
              </w:rPr>
            </w:pPr>
            <w:r>
              <w:rPr>
                <w:rFonts w:ascii="Arial" w:cs="Arial" w:eastAsia="Arial" w:hAnsi="Arial"/>
                <w:sz w:val="18"/>
                <w:szCs w:val="18"/>
                <w:color w:val="auto"/>
              </w:rPr>
              <w:t>Interest earned on marketable</w:t>
            </w:r>
          </w:p>
        </w:tc>
        <w:tc>
          <w:tcPr>
            <w:tcW w:w="1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restart"/>
          </w:tcPr>
          <w:p>
            <w:pPr>
              <w:ind w:left="660"/>
              <w:spacing w:after="0"/>
              <w:rPr>
                <w:sz w:val="20"/>
                <w:szCs w:val="20"/>
                <w:color w:val="auto"/>
              </w:rPr>
            </w:pPr>
            <w:r>
              <w:rPr>
                <w:rFonts w:ascii="Arial" w:cs="Arial" w:eastAsia="Arial" w:hAnsi="Arial"/>
                <w:sz w:val="18"/>
                <w:szCs w:val="18"/>
                <w:color w:val="auto"/>
              </w:rPr>
              <w:t>(11) 6(c)</w:t>
            </w: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400"/>
              <w:spacing w:after="0"/>
              <w:rPr>
                <w:sz w:val="20"/>
                <w:szCs w:val="20"/>
                <w:color w:val="auto"/>
              </w:rPr>
            </w:pPr>
            <w:r>
              <w:rPr>
                <w:rFonts w:ascii="Arial" w:cs="Arial" w:eastAsia="Arial" w:hAnsi="Arial"/>
                <w:sz w:val="18"/>
                <w:szCs w:val="18"/>
                <w:color w:val="auto"/>
              </w:rPr>
              <w:t>securities held in Trust Account</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Change in fair value of warrant</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(56,638)</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(51,756)</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9"/>
              </w:rPr>
              <w:t>Net loss before income taxes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left="17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center"/>
              <w:ind w:left="554"/>
              <w:spacing w:after="0"/>
              <w:rPr>
                <w:sz w:val="20"/>
                <w:szCs w:val="20"/>
                <w:color w:val="auto"/>
              </w:rPr>
            </w:pPr>
            <w:r>
              <w:rPr>
                <w:rFonts w:ascii="Arial" w:cs="Arial" w:eastAsia="Arial" w:hAnsi="Arial"/>
                <w:sz w:val="18"/>
                <w:szCs w:val="18"/>
                <w:color w:val="auto"/>
                <w:w w:val="93"/>
              </w:rPr>
              <w:t>(11)</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(249,476)</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6"/>
              </w:rPr>
              <w:t>Weighted average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w w:val="95"/>
              </w:rPr>
              <w:t>11,068,750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9"/>
              </w:rPr>
              <w:t>238,266,485</w:t>
            </w:r>
          </w:p>
        </w:tc>
        <w:tc>
          <w:tcPr>
            <w:tcW w:w="56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w w:val="96"/>
              </w:rPr>
              <w:t>6(c)</w:t>
            </w:r>
          </w:p>
        </w:tc>
        <w:tc>
          <w:tcPr>
            <w:tcW w:w="1060" w:type="dxa"/>
            <w:vAlign w:val="bottom"/>
            <w:gridSpan w:val="2"/>
            <w:vMerge w:val="restart"/>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1"/>
              </w:rPr>
              <w:t>230,733,726</w:t>
            </w:r>
          </w:p>
        </w:tc>
        <w:tc>
          <w:tcPr>
            <w:tcW w:w="380" w:type="dxa"/>
            <w:vAlign w:val="bottom"/>
            <w:vMerge w:val="restart"/>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3"/>
        </w:trPr>
        <w:tc>
          <w:tcPr>
            <w:tcW w:w="3020" w:type="dxa"/>
            <w:vAlign w:val="bottom"/>
          </w:tcPr>
          <w:p>
            <w:pPr>
              <w:ind w:left="180"/>
              <w:spacing w:after="0" w:line="202" w:lineRule="exact"/>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6(c)</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6(c)</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8" w:name="page129"/>
    <w:bookmarkEnd w:id="128"/>
    <w:p>
      <w:pPr>
        <w:jc w:val="center"/>
        <w:ind w:left="340" w:right="2040"/>
        <w:spacing w:after="0" w:line="454"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4"/>
            <w:vMerge w:val="restart"/>
          </w:tcPr>
          <w:p>
            <w:pPr>
              <w:jc w:val="right"/>
              <w:ind w:right="156"/>
              <w:spacing w:after="0"/>
              <w:rPr>
                <w:sz w:val="20"/>
                <w:szCs w:val="20"/>
                <w:color w:val="auto"/>
              </w:rPr>
            </w:pPr>
            <w:r>
              <w:rPr>
                <w:rFonts w:ascii="Arial" w:cs="Arial" w:eastAsia="Arial" w:hAnsi="Arial"/>
                <w:sz w:val="14"/>
                <w:szCs w:val="14"/>
                <w:b w:val="1"/>
                <w:bCs w:val="1"/>
                <w:color w:val="auto"/>
                <w:w w:val="94"/>
              </w:rPr>
              <w:t>Scenario 1 Assuming No Redemptions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56"/>
              <w:spacing w:after="0"/>
              <w:rPr>
                <w:sz w:val="20"/>
                <w:szCs w:val="20"/>
                <w:color w:val="auto"/>
              </w:rPr>
            </w:pPr>
            <w:r>
              <w:rPr>
                <w:rFonts w:ascii="Arial" w:cs="Arial" w:eastAsia="Arial" w:hAnsi="Arial"/>
                <w:sz w:val="14"/>
                <w:szCs w:val="14"/>
                <w:b w:val="1"/>
                <w:bCs w:val="1"/>
                <w:color w:val="auto"/>
                <w:w w:val="92"/>
              </w:rPr>
              <w:t>Scenario 2 Assuming Maximum</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56"/>
              <w:spacing w:after="0"/>
              <w:rPr>
                <w:sz w:val="20"/>
                <w:szCs w:val="20"/>
                <w:color w:val="auto"/>
              </w:rPr>
            </w:pPr>
            <w:r>
              <w:rPr>
                <w:rFonts w:ascii="Arial" w:cs="Arial" w:eastAsia="Arial" w:hAnsi="Arial"/>
                <w:sz w:val="14"/>
                <w:szCs w:val="14"/>
                <w:b w:val="1"/>
                <w:bCs w:val="1"/>
                <w:color w:val="auto"/>
                <w:w w:val="90"/>
              </w:rPr>
              <w:t>Redemptions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6(A)</w:t>
            </w:r>
          </w:p>
        </w:tc>
        <w:tc>
          <w:tcPr>
            <w:tcW w:w="280" w:type="dxa"/>
            <w:vAlign w:val="bottom"/>
          </w:tcPr>
          <w:p>
            <w:pPr>
              <w:spacing w:after="0"/>
              <w:rPr>
                <w:sz w:val="11"/>
                <w:szCs w:val="11"/>
                <w:color w:val="auto"/>
              </w:rPr>
            </w:pPr>
          </w:p>
        </w:tc>
        <w:tc>
          <w:tcPr>
            <w:tcW w:w="84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5"/>
              </w:rPr>
              <w:t>6(B)</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7"/>
              <w:spacing w:after="0" w:line="130" w:lineRule="exact"/>
              <w:rPr>
                <w:sz w:val="20"/>
                <w:szCs w:val="20"/>
                <w:color w:val="auto"/>
              </w:rPr>
            </w:pPr>
            <w:r>
              <w:rPr>
                <w:rFonts w:ascii="Arial" w:cs="Arial" w:eastAsia="Arial" w:hAnsi="Arial"/>
                <w:sz w:val="14"/>
                <w:szCs w:val="14"/>
                <w:b w:val="1"/>
                <w:bCs w:val="1"/>
                <w:color w:val="auto"/>
                <w:w w:val="90"/>
              </w:rPr>
              <w:t>Transaction</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7"/>
              </w:rPr>
              <w:t>Pro Forma</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0"/>
              </w:rPr>
              <w:t>Transaction</w:t>
            </w:r>
          </w:p>
        </w:tc>
        <w:tc>
          <w:tcPr>
            <w:tcW w:w="180" w:type="dxa"/>
            <w:vAlign w:val="bottom"/>
          </w:tcPr>
          <w:p>
            <w:pPr>
              <w:spacing w:after="0"/>
              <w:rPr>
                <w:sz w:val="11"/>
                <w:szCs w:val="11"/>
                <w:color w:val="auto"/>
              </w:rPr>
            </w:pPr>
          </w:p>
        </w:tc>
        <w:tc>
          <w:tcPr>
            <w:tcW w:w="1120" w:type="dxa"/>
            <w:vAlign w:val="bottom"/>
          </w:tcPr>
          <w:p>
            <w:pPr>
              <w:jc w:val="center"/>
              <w:ind w:right="96"/>
              <w:spacing w:after="0" w:line="130" w:lineRule="exact"/>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0"/>
              </w:rPr>
              <w:t>Accounting</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Accounting</w:t>
            </w:r>
          </w:p>
        </w:tc>
        <w:tc>
          <w:tcPr>
            <w:tcW w:w="180" w:type="dxa"/>
            <w:vAlign w:val="bottom"/>
          </w:tcPr>
          <w:p>
            <w:pPr>
              <w:spacing w:after="0"/>
              <w:rPr>
                <w:sz w:val="11"/>
                <w:szCs w:val="11"/>
                <w:color w:val="auto"/>
              </w:rPr>
            </w:pPr>
          </w:p>
        </w:tc>
        <w:tc>
          <w:tcPr>
            <w:tcW w:w="112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1"/>
              </w:rPr>
              <w:t>Statement of</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CMLS</w:t>
            </w:r>
          </w:p>
        </w:tc>
        <w:tc>
          <w:tcPr>
            <w:tcW w:w="280" w:type="dxa"/>
            <w:vAlign w:val="bottom"/>
          </w:tcPr>
          <w:p>
            <w:pPr>
              <w:spacing w:after="0"/>
              <w:rPr>
                <w:sz w:val="16"/>
                <w:szCs w:val="16"/>
                <w:color w:val="auto"/>
              </w:rPr>
            </w:pPr>
          </w:p>
        </w:tc>
        <w:tc>
          <w:tcPr>
            <w:tcW w:w="840" w:type="dxa"/>
            <w:vAlign w:val="bottom"/>
          </w:tcPr>
          <w:p>
            <w:pPr>
              <w:jc w:val="center"/>
              <w:ind w:right="196"/>
              <w:spacing w:after="0"/>
              <w:rPr>
                <w:sz w:val="20"/>
                <w:szCs w:val="20"/>
                <w:color w:val="auto"/>
              </w:rPr>
            </w:pPr>
            <w:r>
              <w:rPr>
                <w:rFonts w:ascii="Arial" w:cs="Arial" w:eastAsia="Arial" w:hAnsi="Arial"/>
                <w:sz w:val="14"/>
                <w:szCs w:val="14"/>
                <w:b w:val="1"/>
                <w:bCs w:val="1"/>
                <w:color w:val="auto"/>
                <w:w w:val="88"/>
              </w:rPr>
              <w:t>Sema4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Operations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12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Operations</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Diagnostic test revenue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175,351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175,351</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175,351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revenue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179,322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184,648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tcPr>
          <w:p>
            <w:pPr>
              <w:ind w:left="460"/>
              <w:spacing w:after="0"/>
              <w:rPr>
                <w:sz w:val="20"/>
                <w:szCs w:val="20"/>
                <w:color w:val="auto"/>
              </w:rPr>
            </w:pPr>
            <w:r>
              <w:rPr>
                <w:rFonts w:ascii="Arial" w:cs="Arial" w:eastAsia="Arial" w:hAnsi="Arial"/>
                <w:sz w:val="17"/>
                <w:szCs w:val="17"/>
                <w:color w:val="auto"/>
              </w:rPr>
              <w:t>Total gross profit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72,700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72,700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53,831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100,742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8,175</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6(a)</w:t>
            </w:r>
          </w:p>
        </w:tc>
        <w:tc>
          <w:tcPr>
            <w:tcW w:w="110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109,123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Related party expenses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236,668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8,175</w:t>
            </w:r>
          </w:p>
        </w:tc>
        <w:tc>
          <w:tcPr>
            <w:tcW w:w="4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245,049</w:t>
            </w:r>
          </w:p>
        </w:tc>
        <w:tc>
          <w:tcPr>
            <w:tcW w:w="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Loss from operations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(250,375)</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(322)</w:t>
            </w:r>
          </w:p>
        </w:tc>
        <w:tc>
          <w:tcPr>
            <w:tcW w:w="600" w:type="dxa"/>
            <w:vAlign w:val="bottom"/>
            <w:gridSpan w:val="2"/>
          </w:tcPr>
          <w:p>
            <w:pPr>
              <w:jc w:val="right"/>
              <w:ind w:right="115"/>
              <w:spacing w:after="0"/>
              <w:rPr>
                <w:sz w:val="20"/>
                <w:szCs w:val="20"/>
                <w:color w:val="auto"/>
              </w:rPr>
            </w:pPr>
            <w:r>
              <w:rPr>
                <w:rFonts w:ascii="Arial" w:cs="Arial" w:eastAsia="Arial" w:hAnsi="Arial"/>
                <w:sz w:val="17"/>
                <w:szCs w:val="17"/>
                <w:color w:val="auto"/>
              </w:rPr>
              <w:t>6(b)</w:t>
            </w:r>
          </w:p>
        </w:tc>
        <w:tc>
          <w:tcPr>
            <w:tcW w:w="110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net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240"/>
              <w:spacing w:after="0" w:line="162" w:lineRule="exact"/>
              <w:rPr>
                <w:sz w:val="20"/>
                <w:szCs w:val="20"/>
                <w:color w:val="auto"/>
              </w:rPr>
            </w:pPr>
            <w:r>
              <w:rPr>
                <w:rFonts w:ascii="Arial" w:cs="Arial" w:eastAsia="Arial" w:hAnsi="Arial"/>
                <w:sz w:val="17"/>
                <w:szCs w:val="17"/>
                <w:color w:val="auto"/>
              </w:rPr>
              <w:t>Interest earned on marketable</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600" w:type="dxa"/>
            <w:vAlign w:val="bottom"/>
            <w:gridSpan w:val="2"/>
            <w:vMerge w:val="restart"/>
          </w:tcPr>
          <w:p>
            <w:pPr>
              <w:jc w:val="right"/>
              <w:ind w:right="115"/>
              <w:spacing w:after="0"/>
              <w:rPr>
                <w:sz w:val="20"/>
                <w:szCs w:val="20"/>
                <w:color w:val="auto"/>
              </w:rPr>
            </w:pPr>
            <w:r>
              <w:rPr>
                <w:rFonts w:ascii="Arial" w:cs="Arial" w:eastAsia="Arial" w:hAnsi="Arial"/>
                <w:sz w:val="17"/>
                <w:szCs w:val="17"/>
                <w:color w:val="auto"/>
              </w:rPr>
              <w:t>6(c)</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400"/>
              <w:spacing w:after="0"/>
              <w:rPr>
                <w:sz w:val="20"/>
                <w:szCs w:val="20"/>
                <w:color w:val="auto"/>
              </w:rPr>
            </w:pPr>
            <w:r>
              <w:rPr>
                <w:rFonts w:ascii="Arial" w:cs="Arial" w:eastAsia="Arial" w:hAnsi="Arial"/>
                <w:sz w:val="17"/>
                <w:szCs w:val="17"/>
                <w:color w:val="auto"/>
                <w:w w:val="94"/>
              </w:rPr>
              <w:t>securities held in Trust Account</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rPr>
              <w:t>Change in fair value of warrant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(38,511)</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liability</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7"/>
                <w:szCs w:val="17"/>
                <w:color w:val="auto"/>
              </w:rPr>
              <w:t>Transaction costs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other income, 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(39,702)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(39,384)</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w w:val="99"/>
              </w:rPr>
              <w:t>Net loss before income taxes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460"/>
              <w:spacing w:after="0"/>
              <w:rPr>
                <w:sz w:val="20"/>
                <w:szCs w:val="20"/>
                <w:color w:val="auto"/>
              </w:rPr>
            </w:pPr>
            <w:r>
              <w:rPr>
                <w:rFonts w:ascii="Arial" w:cs="Arial" w:eastAsia="Arial" w:hAnsi="Arial"/>
                <w:sz w:val="17"/>
                <w:szCs w:val="17"/>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(39,908)</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(241,340)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(8,511)</w:t>
            </w:r>
          </w:p>
        </w:tc>
        <w:tc>
          <w:tcPr>
            <w:tcW w:w="4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(289,759)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Weighted average shares outstanding,</w:t>
            </w:r>
          </w:p>
        </w:tc>
        <w:tc>
          <w:tcPr>
            <w:tcW w:w="1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10,633,062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238,266,485</w:t>
            </w:r>
          </w:p>
        </w:tc>
        <w:tc>
          <w:tcPr>
            <w:tcW w:w="540" w:type="dxa"/>
            <w:vAlign w:val="bottom"/>
            <w:gridSpan w:val="2"/>
            <w:vMerge w:val="restart"/>
            <w:shd w:val="clear" w:color="auto" w:fill="CCEEFF"/>
          </w:tcPr>
          <w:p>
            <w:pPr>
              <w:jc w:val="right"/>
              <w:ind w:right="55"/>
              <w:spacing w:after="0"/>
              <w:rPr>
                <w:sz w:val="20"/>
                <w:szCs w:val="20"/>
                <w:color w:val="auto"/>
              </w:rPr>
            </w:pPr>
            <w:r>
              <w:rPr>
                <w:rFonts w:ascii="Arial" w:cs="Arial" w:eastAsia="Arial" w:hAnsi="Arial"/>
                <w:sz w:val="17"/>
                <w:szCs w:val="17"/>
                <w:color w:val="auto"/>
              </w:rPr>
              <w:t>6(d)</w:t>
            </w: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230,733,726</w:t>
            </w:r>
          </w:p>
        </w:tc>
        <w:tc>
          <w:tcPr>
            <w:tcW w:w="42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42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tcPr>
          <w:p>
            <w:pPr>
              <w:ind w:left="20"/>
              <w:spacing w:after="0" w:line="190" w:lineRule="exact"/>
              <w:rPr>
                <w:sz w:val="20"/>
                <w:szCs w:val="20"/>
                <w:color w:val="auto"/>
              </w:rPr>
            </w:pPr>
            <w:r>
              <w:rPr>
                <w:rFonts w:ascii="Arial" w:cs="Arial" w:eastAsia="Arial" w:hAnsi="Arial"/>
                <w:sz w:val="17"/>
                <w:szCs w:val="17"/>
                <w:color w:val="auto"/>
                <w:w w:val="97"/>
              </w:rPr>
              <w:t>Basic and diluted net loss per share</w:t>
            </w:r>
          </w:p>
        </w:tc>
        <w:tc>
          <w:tcPr>
            <w:tcW w:w="1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(3.75)</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95"/>
              <w:spacing w:after="0" w:line="190" w:lineRule="exact"/>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w w:val="91"/>
              </w:rPr>
              <w:t>(5,824,000)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(1.22)</w:t>
            </w:r>
          </w:p>
        </w:tc>
        <w:tc>
          <w:tcPr>
            <w:tcW w:w="540" w:type="dxa"/>
            <w:vAlign w:val="bottom"/>
            <w:gridSpan w:val="2"/>
          </w:tcPr>
          <w:p>
            <w:pPr>
              <w:jc w:val="right"/>
              <w:ind w:right="55"/>
              <w:spacing w:after="0" w:line="190" w:lineRule="exact"/>
              <w:rPr>
                <w:sz w:val="20"/>
                <w:szCs w:val="20"/>
                <w:color w:val="auto"/>
              </w:rPr>
            </w:pPr>
            <w:r>
              <w:rPr>
                <w:rFonts w:ascii="Arial" w:cs="Arial" w:eastAsia="Arial" w:hAnsi="Arial"/>
                <w:sz w:val="17"/>
                <w:szCs w:val="17"/>
                <w:color w:val="auto"/>
              </w:rPr>
              <w:t>6(d)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center"/>
              <w:spacing w:after="0" w:line="190" w:lineRule="exact"/>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(1.26)</w:t>
            </w:r>
          </w:p>
        </w:tc>
        <w:tc>
          <w:tcPr>
            <w:tcW w:w="420" w:type="dxa"/>
            <w:vAlign w:val="bottom"/>
          </w:tcPr>
          <w:p>
            <w:pPr>
              <w:ind w:left="120"/>
              <w:spacing w:after="0" w:line="190" w:lineRule="exact"/>
              <w:rPr>
                <w:sz w:val="20"/>
                <w:szCs w:val="20"/>
                <w:color w:val="auto"/>
              </w:rPr>
            </w:pPr>
            <w:r>
              <w:rPr>
                <w:rFonts w:ascii="Arial" w:cs="Arial" w:eastAsia="Arial" w:hAnsi="Arial"/>
                <w:sz w:val="17"/>
                <w:szCs w:val="17"/>
                <w:color w:val="auto"/>
                <w:w w:val="92"/>
              </w:rPr>
              <w:t>6(d)</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9" w:name="page130"/>
    <w:bookmarkEnd w:id="129"/>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February 9, 2021, the Company and its wholly owned subsidiary, S-IV Sub, Inc. (“</w:t>
      </w:r>
      <w:r>
        <w:rPr>
          <w:rFonts w:ascii="Arial" w:cs="Arial" w:eastAsia="Arial" w:hAnsi="Arial"/>
          <w:sz w:val="17"/>
          <w:szCs w:val="17"/>
          <w:i w:val="1"/>
          <w:iCs w:val="1"/>
          <w:color w:val="auto"/>
        </w:rPr>
        <w:t>Merger Sub</w:t>
      </w:r>
      <w:r>
        <w:rPr>
          <w:rFonts w:ascii="Arial" w:cs="Arial" w:eastAsia="Arial" w:hAnsi="Arial"/>
          <w:sz w:val="17"/>
          <w:szCs w:val="17"/>
          <w:color w:val="auto"/>
        </w:rPr>
        <w:t>”), entered into an Agreement and Plan of Merger with Mount Sinai Genomics, Inc. d/b/a Sema4 (“</w:t>
      </w:r>
      <w:r>
        <w:rPr>
          <w:rFonts w:ascii="Arial" w:cs="Arial" w:eastAsia="Arial" w:hAnsi="Arial"/>
          <w:sz w:val="17"/>
          <w:szCs w:val="17"/>
          <w:i w:val="1"/>
          <w:iCs w:val="1"/>
          <w:color w:val="auto"/>
        </w:rPr>
        <w:t>Sema4</w:t>
      </w:r>
      <w:r>
        <w:rPr>
          <w:rFonts w:ascii="Arial" w:cs="Arial" w:eastAsia="Arial" w:hAnsi="Arial"/>
          <w:sz w:val="17"/>
          <w:szCs w:val="17"/>
          <w:color w:val="auto"/>
        </w:rPr>
        <w:t>”) (the “</w:t>
      </w:r>
      <w:r>
        <w:rPr>
          <w:rFonts w:ascii="Arial" w:cs="Arial" w:eastAsia="Arial" w:hAnsi="Arial"/>
          <w:sz w:val="17"/>
          <w:szCs w:val="17"/>
          <w:i w:val="1"/>
          <w:iCs w:val="1"/>
          <w:color w:val="auto"/>
        </w:rPr>
        <w:t>Merger Agreement</w:t>
      </w:r>
      <w:r>
        <w:rPr>
          <w:rFonts w:ascii="Arial" w:cs="Arial" w:eastAsia="Arial" w:hAnsi="Arial"/>
          <w:sz w:val="17"/>
          <w:szCs w:val="17"/>
          <w:color w:val="auto"/>
        </w:rPr>
        <w:t>”). If the Merger Agreement is approved by Company stockholders at the Special Meeting (and all other conditions pursuant to the Merger Agreement are either satisfied or waived) Merger Sub will merge with and into Sema4, with Sema4 surviving the merger as a wholly owned subsidiary of the Company. Upon the consummation of the transactions contemplated by the Merger Agreement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the Company will change its name to Sema4 Holdings Corp.</w:t>
      </w:r>
    </w:p>
    <w:p>
      <w:pPr>
        <w:spacing w:after="0" w:line="12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(each as defined in the Merger Agreement))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(as defined in the Merger Agreement) if such Sema4 Stockholder has made an election to receive cash, and, if so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such Sema4 Stockholder’s total outstanding shares multiplied by the Per Share Amount minus (2) such Sema4 Stockholder’s stockholder cash payment amount divided by (B) $10.00; and (iii) its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securities and each certificate relating to ownership of shares of Sema4 Common Stock and Sema4 Preferred Stock (other than Excluded Shares) will only represent the right to receive the applicable portion of the merger consideration.</w:t>
      </w:r>
    </w:p>
    <w:p>
      <w:pPr>
        <w:spacing w:after="0" w:line="1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Following the Closing, within five Business Days (as defined in the Merger Agreement) after the occurrence of a Triggering Event, the Company shall issue or cause to be issued to the Sema4 Stockholders (other than holders of Dissenting Shares and Excluded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each Sema4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Sema4 Stockholders pursuant to the Merger Agreement as a result of the occurrence of a Triggering Event had they not been made subject to an award of Earnout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an aggregate number of Earn-Out Shares equal to more than 11% of the Earn-Out Total Outstanding Shares. Earn-Out Shares will be issued from the Forfeiture Pool only if the applicable Triggering event occurs.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Earn-Out Shares issuable to Sema4 Stockholders are accounted for as contingent consideration in accordance with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The contingent consideration is not considered indexed to the Company’s own stock and is therefore classified as a liability in the unaudited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 forma condensed combined balance sheet and will be remeasured to fair value at each reporting date (see Note 5(c)). The Earn-Out Shares issuable to Earn-Out Service Providers are accounted for as equity-classified, share-based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 the shares are subject to additional vesting conditions and continued employment.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 Investment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February 9, 2021, concurrently with the execution of the Merger Agreement, CMLS entered into subscription agreements (collectively, the “Subscription Agreements”) with certain investors (collectively, the “PIPE Investors” which include certain existing Sema4 equity holders), pursuant to which the PIPE Investors have collectively subscribed for 35,000,000 shares of Common Stock for an aggregate purchase price equal to $350,000,000 (the “PIPE Investment”). The PIPE Investment will be consummated immediately prior to the closing of the Business Combination.</w:t>
      </w:r>
    </w:p>
    <w:p>
      <w:pPr>
        <w:spacing w:after="0" w:line="113"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CMLS has elected not to present Management’s Adjustments and will only be presenting Transaction Accounting Adjustments in the unaudited pro forma condensed combined financial statements. The adjustments presented in the unaudited pro forma condensed combined financial statements have been identified and presented to provide relevant information necessary for an understanding of the combined company upon consummation of the Business Combination and the PIPE Investment.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condensed combined balance sheet as of March 31, 2021 gives effect to the Business Combination and the PIPE Investment as if they occurred on March 31, 2021. The unaudited pro forma condensed combined statements of operations for the three months ended March 31, 2021 and the year ended December 31, 2020 give effect to the Business Combination and the PIPE Investment as if they occurred on January 1, 2020, the beginning of the earliest period presented.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pro forma adjustments reflecting the consummation of the Business Combination and the PIPE Investment are based on certain currently available information and certain assumptions and methodologies that CMLS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CMLS believes that its assumptions and methodologies provide a reasonable basis for presenting all of the significant effects of the Business Combination and the PIPE Investment based on information available to management at this time and that the pro forma adjustments give appropriate effect to those assumptions and are properly applied in the unaudited pro forma condensed combined financial information.</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do not give effect to any anticipated synergies, operating efficiencies, tax savings, or cost savings that may be associated with the Business Combination. CMLS and Sema4 have not had any historical relationship prior to the Business Combination. Accordingly, no pro forma adjustments were required to eliminate activities between the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67" w:lineRule="exact"/>
        <w:rPr>
          <w:sz w:val="20"/>
          <w:szCs w:val="20"/>
          <w:color w:val="auto"/>
        </w:rPr>
      </w:pPr>
    </w:p>
    <w:p>
      <w:pPr>
        <w:jc w:val="both"/>
        <w:ind w:left="660" w:hanging="328"/>
        <w:spacing w:after="0" w:line="289" w:lineRule="auto"/>
        <w:tabs>
          <w:tab w:leader="none" w:pos="655"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 xml:space="preserve">Assuming no Redemptions: </w:t>
      </w:r>
      <w:r>
        <w:rPr>
          <w:rFonts w:ascii="Arial" w:cs="Arial" w:eastAsia="Arial" w:hAnsi="Arial"/>
          <w:sz w:val="17"/>
          <w:szCs w:val="17"/>
          <w:color w:val="auto"/>
        </w:rPr>
        <w:t>This presentation assumes that no CMLS public stockholders exercise their rights to redeem any of their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Shares for a pro rata portion of the funds in the Trust Account. Thus, the full amount held in the Trust Account as of Closing is available for the Business Combination, and Sema4 equity holders receive $243.8 million of Merger Consideration in cash at Closing.</w:t>
      </w:r>
    </w:p>
    <w:p>
      <w:pPr>
        <w:spacing w:after="0" w:line="103" w:lineRule="exact"/>
        <w:rPr>
          <w:rFonts w:ascii="Arial" w:cs="Arial" w:eastAsia="Arial" w:hAnsi="Arial"/>
          <w:sz w:val="17"/>
          <w:szCs w:val="17"/>
          <w:color w:val="auto"/>
        </w:rPr>
      </w:pPr>
    </w:p>
    <w:p>
      <w:pPr>
        <w:jc w:val="both"/>
        <w:ind w:left="660" w:hanging="328"/>
        <w:spacing w:after="0" w:line="273" w:lineRule="auto"/>
        <w:tabs>
          <w:tab w:leader="none" w:pos="655"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 xml:space="preserve">Assuming maximum Redemptions: </w:t>
      </w:r>
      <w:r>
        <w:rPr>
          <w:rFonts w:ascii="Arial" w:cs="Arial" w:eastAsia="Arial" w:hAnsi="Arial"/>
          <w:sz w:val="17"/>
          <w:szCs w:val="17"/>
          <w:color w:val="auto"/>
        </w:rPr>
        <w:t>This presentation assumes that CMLS public stockholders holding 29,474,795 shares of Class A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exercise their rights to redeem their Public Shares for a pro rata portion of the funds in the Trust Account. This scenario gives effect to redemptions of 29,474,795 shares of Class A common stock of CMLS for aggregate redemption payments of $294.7 million, using a per-share redemption price of $10.00, which is the maximum redemption amount after which the closing conditions of the Merger Agreement are still achieved. Under this maximum redemption scenario, Sema4 equity holders would not be entitled to receive any of their Merger Consideration in cash, and the closing cash payment amount under the Merger Agreement is $0. Additionally, 2,439,452 shares of Class B common stock would be forfeited by the Sponsor as a result of the maximum redemptions in accordance with the Forfeiture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 with:</w:t>
      </w:r>
    </w:p>
    <w:p>
      <w:pPr>
        <w:spacing w:after="0" w:line="194" w:lineRule="exact"/>
        <w:rPr>
          <w:sz w:val="20"/>
          <w:szCs w:val="20"/>
          <w:color w:val="auto"/>
        </w:rPr>
      </w:pPr>
    </w:p>
    <w:p>
      <w:pPr>
        <w:jc w:val="both"/>
        <w:ind w:hanging="4"/>
        <w:spacing w:after="0" w:line="263" w:lineRule="auto"/>
        <w:rPr>
          <w:sz w:val="20"/>
          <w:szCs w:val="20"/>
          <w:color w:val="auto"/>
        </w:rPr>
      </w:pPr>
      <w:r>
        <w:rPr>
          <w:rFonts w:ascii="Arial" w:cs="Arial" w:eastAsia="Arial" w:hAnsi="Arial"/>
          <w:sz w:val="18"/>
          <w:szCs w:val="18"/>
          <w:color w:val="auto"/>
        </w:rPr>
        <w:t>the (i) audited historical financial statements of CMLS as of December 31, 2020 and for the period from July 10, 2020 (inception) through December 31, 2020 and (ii) unaudited historical condensed financial statements of CMLS as of and for the three months ended March 31, 2021, and the related notes in each case, included elsewhere in this proxy statement/prospectus;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 audited historical financial statements of Sema4 as of and for the year ended December 31, 2020 and (ii) unaudited historical condensed financial statements of Sema4 as of and for the three months ended March 31, 2021, and the related notes in each case, included elsewhere in this proxy statement/prospectus; and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sections entitled </w:t>
      </w:r>
      <w:r>
        <w:rPr>
          <w:rFonts w:ascii="Arial" w:cs="Arial" w:eastAsia="Arial" w:hAnsi="Arial"/>
          <w:sz w:val="18"/>
          <w:szCs w:val="18"/>
          <w:i w:val="1"/>
          <w:iCs w:val="1"/>
          <w:color w:val="auto"/>
        </w:rPr>
        <w:t>“Management’s Discussion and Analysis of Financial Condition and Results of Operations of CMLS,”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 of Sema4,” </w:t>
      </w:r>
      <w:r>
        <w:rPr>
          <w:rFonts w:ascii="Arial" w:cs="Arial" w:eastAsia="Arial" w:hAnsi="Arial"/>
          <w:sz w:val="18"/>
          <w:szCs w:val="18"/>
          <w:color w:val="auto"/>
        </w:rPr>
        <w:t>and other financial information relating to CMLS and</w:t>
      </w:r>
      <w:r>
        <w:rPr>
          <w:rFonts w:ascii="Arial" w:cs="Arial" w:eastAsia="Arial" w:hAnsi="Arial"/>
          <w:sz w:val="18"/>
          <w:szCs w:val="18"/>
          <w:i w:val="1"/>
          <w:iCs w:val="1"/>
          <w:color w:val="auto"/>
        </w:rPr>
        <w:t xml:space="preserve"> </w:t>
      </w:r>
      <w:r>
        <w:rPr>
          <w:rFonts w:ascii="Arial" w:cs="Arial" w:eastAsia="Arial" w:hAnsi="Arial"/>
          <w:sz w:val="18"/>
          <w:szCs w:val="18"/>
          <w:color w:val="auto"/>
        </w:rPr>
        <w:t>Sema4 included elsewhere in this proxy statement/prospectus.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unaudited pro forma condensed combined financial statements are for illustrative purposes only and are not necessarily indicative of what the actual results of operations and financial position would have been had the Business Combination and the PIPE Investment taken place on the dates indicated, nor are they indicative of the future consolidated results of operations or financial position of the combined company.</w:t>
      </w:r>
    </w:p>
    <w:p>
      <w:pPr>
        <w:spacing w:after="0" w:line="107"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although CMLS will issue shares for outstanding equity interests of Sema4 in the Business Combination, CMLS will be treated as the “acquired” company for financial reporting purposes. Accordingly, the Business Combination will be treated as the equivalent of Sema4 issuing stock for the net assets of CMLS, accompanied by a recapitalization. The net assets of CMLS will be stated at historical cost, with no goodwill or other intangible assets recorded. Operations prior to the Business Combination will be those of Sema4.</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has been determined to be the accounting acquirer based on the evaluation of the following facts and circumstances under both the no and maximum Redemption scenarios:</w:t>
      </w:r>
    </w:p>
    <w:p>
      <w:pPr>
        <w:spacing w:after="0" w:line="116"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former owners of Sema4 hold the largest portion of voting rights in the combined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Sema4 has the right to appoint a majority of the directors in the combined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1" w:right="339" w:bottom="1440" w:gutter="0" w:footer="0" w:header="0"/>
        </w:sectPr>
      </w:pPr>
    </w:p>
    <w:bookmarkStart w:id="132" w:name="page133"/>
    <w:bookmarkEnd w:id="132"/>
    <w:p>
      <w:pPr>
        <w:ind w:left="4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Sema4’s existing senior management team will comprise senior management of the combined company;</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operations of the combined company will represent the operations of Sema4;</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combined company will assume Sema4’s name and headquarters.</w:t>
      </w:r>
    </w:p>
    <w:p>
      <w:pPr>
        <w:spacing w:after="0" w:line="167" w:lineRule="exact"/>
        <w:rPr>
          <w:rFonts w:ascii="Arial" w:cs="Arial" w:eastAsia="Arial" w:hAnsi="Arial"/>
          <w:sz w:val="18"/>
          <w:szCs w:val="18"/>
          <w:color w:val="auto"/>
        </w:rPr>
      </w:pPr>
    </w:p>
    <w:p>
      <w:pPr>
        <w:ind w:left="760" w:hanging="652"/>
        <w:spacing w:after="0"/>
        <w:tabs>
          <w:tab w:leader="none" w:pos="7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100" w:firstLine="324"/>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CMLS following the Business Combination and PIPE Investment under both the no redemption and maximum redemption scenarios: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40" w:type="dxa"/>
            <w:vAlign w:val="bottom"/>
            <w:gridSpan w:val="3"/>
          </w:tcPr>
          <w:p>
            <w:pPr>
              <w:ind w:left="980"/>
              <w:spacing w:after="0"/>
              <w:rPr>
                <w:sz w:val="20"/>
                <w:szCs w:val="20"/>
                <w:color w:val="auto"/>
              </w:rPr>
            </w:pPr>
            <w:r>
              <w:rPr>
                <w:rFonts w:ascii="Arial" w:cs="Arial" w:eastAsia="Arial" w:hAnsi="Arial"/>
                <w:sz w:val="14"/>
                <w:szCs w:val="14"/>
                <w:b w:val="1"/>
                <w:bCs w:val="1"/>
                <w:color w:val="auto"/>
              </w:rPr>
              <w:t>Scenario 1</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3"/>
          </w:tcPr>
          <w:p>
            <w:pPr>
              <w:ind w:left="1000"/>
              <w:spacing w:after="0"/>
              <w:rPr>
                <w:sz w:val="20"/>
                <w:szCs w:val="20"/>
                <w:color w:val="auto"/>
              </w:rPr>
            </w:pPr>
            <w:r>
              <w:rPr>
                <w:rFonts w:ascii="Arial" w:cs="Arial" w:eastAsia="Arial" w:hAnsi="Arial"/>
                <w:sz w:val="14"/>
                <w:szCs w:val="14"/>
                <w:b w:val="1"/>
                <w:bCs w:val="1"/>
                <w:color w:val="auto"/>
              </w:rPr>
              <w:t>Scenario 2</w:t>
            </w:r>
          </w:p>
        </w:tc>
        <w:tc>
          <w:tcPr>
            <w:tcW w:w="1260" w:type="dxa"/>
            <w:vAlign w:val="bottom"/>
          </w:tcPr>
          <w:p>
            <w:pPr>
              <w:spacing w:after="0"/>
              <w:rPr>
                <w:sz w:val="14"/>
                <w:szCs w:val="14"/>
                <w:color w:val="auto"/>
              </w:rPr>
            </w:pPr>
          </w:p>
        </w:tc>
      </w:tr>
      <w:tr>
        <w:trPr>
          <w:trHeight w:val="186"/>
        </w:trPr>
        <w:tc>
          <w:tcPr>
            <w:tcW w:w="46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Assuming No Redemptions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Assuming Maximum Redemptions</w:t>
            </w:r>
          </w:p>
        </w:tc>
      </w:tr>
      <w:tr>
        <w:trPr>
          <w:trHeight w:val="183"/>
        </w:trPr>
        <w:tc>
          <w:tcPr>
            <w:tcW w:w="4620" w:type="dxa"/>
            <w:vAlign w:val="bottom"/>
          </w:tcPr>
          <w:p>
            <w:pPr>
              <w:spacing w:after="0"/>
              <w:rPr>
                <w:sz w:val="20"/>
                <w:szCs w:val="20"/>
                <w:color w:val="auto"/>
              </w:rPr>
            </w:pPr>
            <w:r>
              <w:rPr>
                <w:rFonts w:ascii="Arial" w:cs="Arial" w:eastAsia="Arial" w:hAnsi="Arial"/>
                <w:sz w:val="14"/>
                <w:szCs w:val="14"/>
                <w:b w:val="1"/>
                <w:bCs w:val="1"/>
                <w:color w:val="auto"/>
              </w:rPr>
              <w:t>ty Capitalization Summary</w:t>
            </w: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ind w:left="32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813"/>
              <w:spacing w:after="0"/>
              <w:rPr>
                <w:sz w:val="20"/>
                <w:szCs w:val="20"/>
                <w:color w:val="auto"/>
              </w:rPr>
            </w:pPr>
            <w:r>
              <w:rPr>
                <w:rFonts w:ascii="Arial" w:cs="Arial" w:eastAsia="Arial" w:hAnsi="Arial"/>
                <w:sz w:val="14"/>
                <w:szCs w:val="14"/>
                <w:b w:val="1"/>
                <w:bCs w:val="1"/>
                <w:color w:val="auto"/>
              </w:rPr>
              <w:t>%</w:t>
            </w:r>
          </w:p>
        </w:tc>
      </w:tr>
      <w:tr>
        <w:trPr>
          <w:trHeight w:val="226"/>
        </w:trPr>
        <w:tc>
          <w:tcPr>
            <w:tcW w:w="4620" w:type="dxa"/>
            <w:vAlign w:val="bottom"/>
          </w:tcPr>
          <w:p>
            <w:pPr>
              <w:spacing w:after="0" w:line="225" w:lineRule="exact"/>
              <w:rPr>
                <w:sz w:val="20"/>
                <w:szCs w:val="20"/>
                <w:color w:val="auto"/>
              </w:rPr>
            </w:pPr>
            <w:r>
              <w:rPr>
                <w:rFonts w:ascii="Arial" w:cs="Arial" w:eastAsia="Arial" w:hAnsi="Arial"/>
                <w:sz w:val="18"/>
                <w:szCs w:val="18"/>
                <w:color w:val="auto"/>
              </w:rPr>
              <w:t>a4 Equity Holders</w:t>
            </w:r>
            <w:r>
              <w:rPr>
                <w:rFonts w:ascii="Arial" w:cs="Arial" w:eastAsia="Arial" w:hAnsi="Arial"/>
                <w:sz w:val="23"/>
                <w:szCs w:val="23"/>
                <w:color w:val="auto"/>
                <w:vertAlign w:val="superscript"/>
              </w:rPr>
              <w:t>(1)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153,922,735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178,304,223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Public Stockholders</w:t>
            </w:r>
            <w:r>
              <w:rPr>
                <w:rFonts w:ascii="Arial" w:cs="Arial" w:eastAsia="Arial" w:hAnsi="Arial"/>
                <w:sz w:val="23"/>
                <w:szCs w:val="23"/>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44,275,000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14,800,205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4620" w:type="dxa"/>
            <w:vAlign w:val="bottom"/>
          </w:tcPr>
          <w:p>
            <w:pPr>
              <w:spacing w:after="0" w:line="230" w:lineRule="exact"/>
              <w:rPr>
                <w:sz w:val="20"/>
                <w:szCs w:val="20"/>
                <w:color w:val="auto"/>
              </w:rPr>
            </w:pPr>
            <w:r>
              <w:rPr>
                <w:rFonts w:ascii="Arial" w:cs="Arial" w:eastAsia="Arial" w:hAnsi="Arial"/>
                <w:sz w:val="18"/>
                <w:szCs w:val="18"/>
                <w:color w:val="auto"/>
              </w:rPr>
              <w:t>LS Sponsor</w:t>
            </w:r>
            <w:r>
              <w:rPr>
                <w:rFonts w:ascii="Arial" w:cs="Arial" w:eastAsia="Arial" w:hAnsi="Arial"/>
                <w:sz w:val="23"/>
                <w:szCs w:val="23"/>
                <w:color w:val="auto"/>
                <w:vertAlign w:val="superscript"/>
              </w:rPr>
              <w:t>(3)</w:t>
            </w:r>
          </w:p>
        </w:tc>
        <w:tc>
          <w:tcPr>
            <w:tcW w:w="1500" w:type="dxa"/>
            <w:vAlign w:val="bottom"/>
          </w:tcPr>
          <w:p>
            <w:pPr>
              <w:jc w:val="right"/>
              <w:spacing w:after="0"/>
              <w:rPr>
                <w:sz w:val="20"/>
                <w:szCs w:val="20"/>
                <w:color w:val="auto"/>
              </w:rPr>
            </w:pPr>
            <w:r>
              <w:rPr>
                <w:rFonts w:ascii="Arial" w:cs="Arial" w:eastAsia="Arial" w:hAnsi="Arial"/>
                <w:sz w:val="18"/>
                <w:szCs w:val="18"/>
                <w:color w:val="auto"/>
              </w:rPr>
              <w:t>11,068,750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8,629,298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620" w:type="dxa"/>
            <w:vAlign w:val="bottom"/>
          </w:tcPr>
          <w:p>
            <w:pPr>
              <w:ind w:left="80"/>
              <w:spacing w:after="0" w:line="230" w:lineRule="exact"/>
              <w:rPr>
                <w:sz w:val="20"/>
                <w:szCs w:val="20"/>
                <w:color w:val="auto"/>
              </w:rPr>
            </w:pPr>
            <w:r>
              <w:rPr>
                <w:rFonts w:ascii="Arial" w:cs="Arial" w:eastAsia="Arial" w:hAnsi="Arial"/>
                <w:sz w:val="18"/>
                <w:szCs w:val="18"/>
                <w:color w:val="auto"/>
              </w:rPr>
              <w:t>PIPE Investors</w:t>
            </w:r>
            <w:r>
              <w:rPr>
                <w:rFonts w:ascii="Arial" w:cs="Arial" w:eastAsia="Arial" w:hAnsi="Arial"/>
                <w:sz w:val="23"/>
                <w:szCs w:val="23"/>
                <w:color w:val="auto"/>
                <w:vertAlign w:val="superscript"/>
              </w:rPr>
              <w:t>(4)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29,000,000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otal Class A common stock</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238,266,485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230,733,726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-779145</wp:posOffset>
            </wp:positionV>
            <wp:extent cx="684911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911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-479425</wp:posOffset>
            </wp:positionV>
            <wp:extent cx="684911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11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84911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440" w:right="40" w:hanging="332"/>
        <w:spacing w:after="0" w:line="260" w:lineRule="auto"/>
        <w:tabs>
          <w:tab w:leader="none" w:pos="43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Under Scenario 1, assumes Stock Consideration of 147,922,735 shares of Class A common stock and cash consideration of $243.8 million, as well as 6,000,000 shares of Class A common stock purchased by existing Sema4 equity holders in connection with the PIPE Investment. Under Scenario 2, assumes Stock Consideration of 172,304,223 shares of Class A common stock and no cash consideration, as well as 6,000,000 shares of Class A common stock purchased by existing Sema4 equity holders in connection with the PIPE Investment.</w:t>
      </w:r>
    </w:p>
    <w:p>
      <w:pPr>
        <w:ind w:left="440" w:right="80" w:hanging="332"/>
        <w:spacing w:after="0" w:line="241" w:lineRule="auto"/>
        <w:tabs>
          <w:tab w:leader="none" w:pos="4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Under Scenario 2, assumes redemptions of 29,474,795 shares of Class A common stock of CMLS for aggregate Redemption payments of $294.7 million using a per-share redemption price of $10.00.</w:t>
      </w:r>
    </w:p>
    <w:p>
      <w:pPr>
        <w:ind w:left="440" w:right="40" w:hanging="332"/>
        <w:spacing w:after="0" w:line="241" w:lineRule="auto"/>
        <w:tabs>
          <w:tab w:leader="none" w:pos="432" w:val="left"/>
        </w:tabs>
        <w:numPr>
          <w:ilvl w:val="0"/>
          <w:numId w:val="132"/>
        </w:numPr>
        <w:rPr>
          <w:rFonts w:ascii="Arial" w:cs="Arial" w:eastAsia="Arial" w:hAnsi="Arial"/>
          <w:sz w:val="14"/>
          <w:szCs w:val="14"/>
          <w:color w:val="auto"/>
        </w:rPr>
      </w:pPr>
      <w:r>
        <w:rPr>
          <w:rFonts w:ascii="Arial" w:cs="Arial" w:eastAsia="Arial" w:hAnsi="Arial"/>
          <w:sz w:val="14"/>
          <w:szCs w:val="14"/>
          <w:color w:val="auto"/>
        </w:rPr>
        <w:t>Under Scenario 2, assumes 2,439,452 Sponsor Class B Shares are forfeited pursuant to the Sponsor Forfeiture Agreement as a result of redemptions by CMLS public stockholders and, thus, are not converted into Class A common stock at Closing.</w:t>
      </w:r>
    </w:p>
    <w:p>
      <w:pPr>
        <w:jc w:val="both"/>
        <w:ind w:left="440" w:right="240" w:hanging="332"/>
        <w:spacing w:after="0" w:line="276" w:lineRule="auto"/>
        <w:tabs>
          <w:tab w:leader="none" w:pos="432" w:val="left"/>
        </w:tabs>
        <w:numPr>
          <w:ilvl w:val="0"/>
          <w:numId w:val="132"/>
        </w:numPr>
        <w:rPr>
          <w:rFonts w:ascii="Arial" w:cs="Arial" w:eastAsia="Arial" w:hAnsi="Arial"/>
          <w:sz w:val="13"/>
          <w:szCs w:val="13"/>
          <w:color w:val="auto"/>
        </w:rPr>
      </w:pPr>
      <w:r>
        <w:rPr>
          <w:rFonts w:ascii="Arial" w:cs="Arial" w:eastAsia="Arial" w:hAnsi="Arial"/>
          <w:sz w:val="13"/>
          <w:szCs w:val="13"/>
          <w:color w:val="auto"/>
        </w:rPr>
        <w:t>Under Scenario 1 and Scenario 2, assumes the PIPE Investment is consummated in accordance with its terms for aggregate proceeds of $350.0 million in connection with the issuance of 35,000,000 shares of Class A common stock, with 29,000,000 shares purchased by new PIPE Investors and 6,000,000 shares purchased by existing Sema4 equity holders as noted in (1) above. The shares purchased by new PIPE Investors includes 9,500,000 shares purchased by funds that are advised by affiliates of the Sponsor.</w:t>
      </w:r>
    </w:p>
    <w:p>
      <w:pPr>
        <w:spacing w:after="0" w:line="134" w:lineRule="exact"/>
        <w:rPr>
          <w:sz w:val="20"/>
          <w:szCs w:val="20"/>
          <w:color w:val="auto"/>
        </w:rPr>
      </w:pPr>
    </w:p>
    <w:p>
      <w:pPr>
        <w:ind w:left="760" w:hanging="652"/>
        <w:spacing w:after="0"/>
        <w:tabs>
          <w:tab w:leader="none" w:pos="7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Balance Sheet as of March 31, 2021</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740" w:hanging="308"/>
        <w:spacing w:after="0"/>
        <w:tabs>
          <w:tab w:leader="none" w:pos="7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CMLS as of March 31, 2021.</w:t>
      </w:r>
    </w:p>
    <w:p>
      <w:pPr>
        <w:spacing w:after="0" w:line="171" w:lineRule="exact"/>
        <w:rPr>
          <w:rFonts w:ascii="Arial" w:cs="Arial" w:eastAsia="Arial" w:hAnsi="Arial"/>
          <w:sz w:val="18"/>
          <w:szCs w:val="18"/>
          <w:color w:val="auto"/>
        </w:rPr>
      </w:pPr>
    </w:p>
    <w:p>
      <w:pPr>
        <w:ind w:left="760" w:hanging="328"/>
        <w:spacing w:after="0"/>
        <w:tabs>
          <w:tab w:leader="none" w:pos="7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Derived from the unaudited condensed balance sheet of Sema4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20" w:top="121" w:right="3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860" w:hanging="420"/>
        <w:spacing w:after="0"/>
        <w:tabs>
          <w:tab w:leader="none" w:pos="8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reflect the net cash proceeds from the Business Combination and the PIPE Investment as follows (in thousands):</w:t>
      </w:r>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 of Trust Account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442,775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5(b)</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350,000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5(h)</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(42,116)</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CMLS deferred underwriting fee payable</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5(e)</w:t>
            </w: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(3,800)</w:t>
            </w:r>
          </w:p>
        </w:tc>
        <w:tc>
          <w:tcPr>
            <w:tcW w:w="600" w:type="dxa"/>
            <w:vAlign w:val="bottom"/>
          </w:tcPr>
          <w:p>
            <w:pPr>
              <w:ind w:left="100"/>
              <w:spacing w:after="0"/>
              <w:rPr>
                <w:sz w:val="20"/>
                <w:szCs w:val="20"/>
                <w:color w:val="auto"/>
              </w:rPr>
            </w:pPr>
            <w:r>
              <w:rPr>
                <w:rFonts w:ascii="Arial" w:cs="Arial" w:eastAsia="Arial" w:hAnsi="Arial"/>
                <w:sz w:val="18"/>
                <w:szCs w:val="18"/>
                <w:color w:val="auto"/>
              </w:rPr>
              <w:t>5(h)</w:t>
            </w: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Sema4 long-term debt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5(c)</w:t>
            </w:r>
          </w:p>
        </w:tc>
      </w:tr>
      <w:tr>
        <w:trPr>
          <w:trHeight w:val="22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5(h)</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474,628</w:t>
            </w:r>
          </w:p>
        </w:tc>
        <w:tc>
          <w:tcPr>
            <w:tcW w:w="600" w:type="dxa"/>
            <w:vAlign w:val="bottom"/>
            <w:tcBorders>
              <w:bottom w:val="single" w:sz="8" w:color="CCEEFF"/>
            </w:tcBorders>
            <w:shd w:val="clear" w:color="auto" w:fill="CCEEFF"/>
          </w:tcPr>
          <w:p>
            <w:pPr>
              <w:spacing w:after="0"/>
              <w:rPr>
                <w:sz w:val="21"/>
                <w:szCs w:val="2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860" w:hanging="420"/>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release of $442.8 million from the Trust Account (see Note 5(a)).</w:t>
      </w:r>
    </w:p>
    <w:p>
      <w:pPr>
        <w:spacing w:after="0" w:line="171"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repayment of $12.6 million of Sema4’s long-term debt, including $1.8 million classified as current and $10.8 million classified as non-current (see Note 5(a)).</w:t>
      </w:r>
    </w:p>
    <w:p>
      <w:pPr>
        <w:spacing w:after="0" w:line="116" w:lineRule="exact"/>
        <w:rPr>
          <w:rFonts w:ascii="Arial" w:cs="Arial" w:eastAsia="Arial" w:hAnsi="Arial"/>
          <w:sz w:val="18"/>
          <w:szCs w:val="18"/>
          <w:color w:val="auto"/>
        </w:rPr>
      </w:pPr>
    </w:p>
    <w:p>
      <w:pPr>
        <w:ind w:left="860" w:hanging="420"/>
        <w:spacing w:after="0" w:line="277" w:lineRule="auto"/>
        <w:tabs>
          <w:tab w:leader="none" w:pos="85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record contingent consideration for the estimated fair value of the Earn-Out Shares to be issued to Sema4 equity holders upon the achievement of the Triggering Events, assuming no Earn-Out Forfeitures by Earn-Out Service Providers (see Note 5(h)).</w:t>
      </w:r>
    </w:p>
    <w:p>
      <w:pPr>
        <w:spacing w:after="0" w:line="116" w:lineRule="exact"/>
        <w:rPr>
          <w:rFonts w:ascii="Arial" w:cs="Arial" w:eastAsia="Arial" w:hAnsi="Arial"/>
          <w:sz w:val="18"/>
          <w:szCs w:val="18"/>
          <w:color w:val="auto"/>
        </w:rPr>
      </w:pPr>
    </w:p>
    <w:p>
      <w:pPr>
        <w:ind w:left="860" w:hanging="420"/>
        <w:spacing w:after="0" w:line="277" w:lineRule="auto"/>
        <w:tabs>
          <w:tab w:leader="none" w:pos="85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settlement of $15.5 million of deferred underwriting fees incurred during CMLS’s IPO that are contractually due upon completion of the Business Combination (see Note 5(a)).</w:t>
      </w:r>
    </w:p>
    <w:p>
      <w:pPr>
        <w:spacing w:after="0" w:line="116" w:lineRule="exact"/>
        <w:rPr>
          <w:rFonts w:ascii="Arial" w:cs="Arial" w:eastAsia="Arial" w:hAnsi="Arial"/>
          <w:sz w:val="18"/>
          <w:szCs w:val="18"/>
          <w:color w:val="auto"/>
        </w:rPr>
      </w:pPr>
    </w:p>
    <w:p>
      <w:pPr>
        <w:ind w:left="860" w:right="20" w:hanging="420"/>
        <w:spacing w:after="0" w:line="277" w:lineRule="auto"/>
        <w:tabs>
          <w:tab w:leader="none" w:pos="8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exchange of $334.4 million of Sema4’s redeemable convertible preferred stock as a result of the Business Combination (see Note 5(h)).</w:t>
      </w:r>
    </w:p>
    <w:p>
      <w:pPr>
        <w:spacing w:after="0" w:line="116" w:lineRule="exact"/>
        <w:rPr>
          <w:rFonts w:ascii="Arial" w:cs="Arial" w:eastAsia="Arial" w:hAnsi="Arial"/>
          <w:sz w:val="18"/>
          <w:szCs w:val="18"/>
          <w:color w:val="auto"/>
        </w:rPr>
      </w:pPr>
    </w:p>
    <w:p>
      <w:pPr>
        <w:ind w:left="860" w:hanging="420"/>
        <w:spacing w:after="0" w:line="308" w:lineRule="auto"/>
        <w:tabs>
          <w:tab w:leader="none" w:pos="85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Scenario 1, which assumes no CMLS Public Shares are redeemed, the CMLS ordinary shares subject to possible redemption of $294.7 million would be reclassified to permanent equity immediately prior to the consummation of the Business Combination (see Note 5(h)).</w:t>
      </w:r>
    </w:p>
    <w:p>
      <w:pPr>
        <w:spacing w:after="0" w:line="92" w:lineRule="exact"/>
        <w:rPr>
          <w:rFonts w:ascii="Arial" w:cs="Arial" w:eastAsia="Arial" w:hAnsi="Arial"/>
          <w:sz w:val="17"/>
          <w:szCs w:val="17"/>
          <w:color w:val="auto"/>
        </w:rPr>
      </w:pPr>
    </w:p>
    <w:p>
      <w:pPr>
        <w:ind w:left="860" w:hanging="424"/>
        <w:spacing w:after="0" w:line="277" w:lineRule="auto"/>
        <w:tabs>
          <w:tab w:leader="none" w:pos="85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all of the outstanding share capital of Sema4 for Class A common stock of CMLS and the following equity transactions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of Sema4 redeemable convertible preferred stock</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5(f)</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Reclassification of CMLS common stock subject to possible redemption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294,748</w:t>
            </w:r>
          </w:p>
        </w:tc>
        <w:tc>
          <w:tcPr>
            <w:tcW w:w="620" w:type="dxa"/>
            <w:vAlign w:val="bottom"/>
          </w:tcPr>
          <w:p>
            <w:pPr>
              <w:ind w:left="100"/>
              <w:spacing w:after="0"/>
              <w:rPr>
                <w:sz w:val="20"/>
                <w:szCs w:val="20"/>
                <w:color w:val="auto"/>
              </w:rPr>
            </w:pPr>
            <w:r>
              <w:rPr>
                <w:rFonts w:ascii="Arial" w:cs="Arial" w:eastAsia="Arial" w:hAnsi="Arial"/>
                <w:sz w:val="18"/>
                <w:szCs w:val="18"/>
                <w:color w:val="auto"/>
              </w:rPr>
              <w:t>5(g)</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PIPE Investment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Payment of cash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(243,815)</w:t>
            </w:r>
          </w:p>
        </w:tc>
        <w:tc>
          <w:tcPr>
            <w:tcW w:w="620" w:type="dxa"/>
            <w:vAlign w:val="bottom"/>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transaction expenses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(42,116)</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(199,962)</w:t>
            </w:r>
          </w:p>
        </w:tc>
        <w:tc>
          <w:tcPr>
            <w:tcW w:w="620" w:type="dxa"/>
            <w:vAlign w:val="bottom"/>
          </w:tcPr>
          <w:p>
            <w:pPr>
              <w:ind w:left="100"/>
              <w:spacing w:after="0"/>
              <w:rPr>
                <w:sz w:val="20"/>
                <w:szCs w:val="20"/>
                <w:color w:val="auto"/>
              </w:rPr>
            </w:pPr>
            <w:r>
              <w:rPr>
                <w:rFonts w:ascii="Arial" w:cs="Arial" w:eastAsia="Arial" w:hAnsi="Arial"/>
                <w:sz w:val="18"/>
                <w:szCs w:val="18"/>
                <w:color w:val="auto"/>
              </w:rPr>
              <w:t>5(d)</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of Sema4 stock appreciation rights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5(a)</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early-payment penalties on Sema4 long-term debt</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6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5(a)</w:t>
            </w:r>
          </w:p>
        </w:tc>
      </w:tr>
      <w:tr>
        <w:trPr>
          <w:trHeight w:val="248"/>
        </w:trPr>
        <w:tc>
          <w:tcPr>
            <w:tcW w:w="7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489,172</w:t>
            </w:r>
          </w:p>
        </w:tc>
        <w:tc>
          <w:tcPr>
            <w:tcW w:w="620" w:type="dxa"/>
            <w:vAlign w:val="bottom"/>
            <w:tcBorders>
              <w:bottom w:val="single" w:sz="8" w:color="CCEEFF"/>
            </w:tcBorders>
            <w:shd w:val="clear" w:color="auto" w:fill="CCEEFF"/>
          </w:tcPr>
          <w:p>
            <w:pPr>
              <w:spacing w:after="0"/>
              <w:rPr>
                <w:sz w:val="21"/>
                <w:szCs w:val="2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left="860" w:hanging="420"/>
        <w:spacing w:after="0" w:line="259" w:lineRule="auto"/>
        <w:tabs>
          <w:tab w:leader="none" w:pos="8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Scenario 2, which assumes the maximum number of shares are redeemed for cash by the CMLS Public Shareholders, $294.7 million would be paid out in cash. The $294.7 million or 29,474,795 shares of CMLS Class A common stock represents the maximum redemption amount after which the closing conditions of the Merger Agreement are still achieved. Additionally, no cash consideration would be paid to Sema4 equity holders, resulting in an offsetting adjustment of $243.8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34" w:name="page135"/>
    <w:bookmarkEnd w:id="134"/>
    <w:p>
      <w:pPr>
        <w:ind w:left="34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8"/>
        <w:spacing w:after="0" w:line="282" w:lineRule="auto"/>
        <w:tabs>
          <w:tab w:leader="none" w:pos="648"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Three Months Ended March 31, 2021 and the Year Ended December 31, 2020</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 forma notes and adjustments, based on preliminary estimates that could change materially as additional information is obtained, are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notes</w:t>
      </w:r>
    </w:p>
    <w:p>
      <w:pPr>
        <w:spacing w:after="0" w:line="171" w:lineRule="exact"/>
        <w:rPr>
          <w:sz w:val="20"/>
          <w:szCs w:val="20"/>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CMLS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unaudited condensed statement of operations of Sema4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CMLS for the period from July 10, 2020 (inception) through December 31, 2020.</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Derived from the audited statement of operations of Sema4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adjustments</w:t>
      </w:r>
    </w:p>
    <w:p>
      <w:pPr>
        <w:spacing w:after="0" w:line="171" w:lineRule="exact"/>
        <w:rPr>
          <w:sz w:val="20"/>
          <w:szCs w:val="20"/>
          <w:color w:val="auto"/>
        </w:rPr>
      </w:pPr>
    </w:p>
    <w:p>
      <w:pPr>
        <w:ind w:left="660" w:hanging="328"/>
        <w:spacing w:after="0" w:line="277" w:lineRule="auto"/>
        <w:tabs>
          <w:tab w:leader="none" w:pos="65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reflect an accrual of $4.4 million for additional transaction costs which do not qualify for capitalization and the recognition of $3.8 million of unrecognized compensation expense related to the settlement of Sema4 stock appreciation rights.</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recognize the payment of early-payment penalties on Sema4’s long-term debt to be repaid upon closing of the Business Combination.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eliminate interest income earned on the Trust Account which will be released upon closing of the Business Combination.</w:t>
      </w:r>
    </w:p>
    <w:p>
      <w:pPr>
        <w:spacing w:after="0" w:line="171" w:lineRule="exact"/>
        <w:rPr>
          <w:rFonts w:ascii="Arial" w:cs="Arial" w:eastAsia="Arial" w:hAnsi="Arial"/>
          <w:sz w:val="18"/>
          <w:szCs w:val="18"/>
          <w:color w:val="auto"/>
        </w:rPr>
      </w:pPr>
    </w:p>
    <w:p>
      <w:pPr>
        <w:jc w:val="both"/>
        <w:ind w:left="660" w:right="20" w:hanging="328"/>
        <w:spacing w:after="0" w:line="301" w:lineRule="auto"/>
        <w:tabs>
          <w:tab w:leader="none" w:pos="65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CMLS shares outstanding at the closing of the Business Combination and PIPE Investment, assuming the Business Combination and PIPE Investment occurred on January 1, 2020. As the unaudited pro forma condensed combined statements of operations are in a loss position, anti-dilutive instruments were not included in the calculation of diluted weighted average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1" w:right="339" w:bottom="1440" w:gutter="0" w:footer="0" w:header="0"/>
        </w:sectPr>
      </w:pPr>
    </w:p>
    <w:bookmarkStart w:id="135" w:name="page136"/>
    <w:bookmarkEnd w:id="13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SHARE INFORMATION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historical comparative per share information of CMLS and Sema4, each on a stand-alone basis, and the unaudited pro forma condensed combined per share information after giving effect to the Business Combination and the PIPE Investment, assuming no redemptions and maximum redemptions, respectively.</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historical information should be read in conjunction with the information in the sections entitled “</w:t>
      </w:r>
      <w:r>
        <w:rPr>
          <w:rFonts w:ascii="Arial" w:cs="Arial" w:eastAsia="Arial" w:hAnsi="Arial"/>
          <w:sz w:val="16"/>
          <w:szCs w:val="16"/>
          <w:i w:val="1"/>
          <w:iCs w:val="1"/>
          <w:color w:val="auto"/>
        </w:rPr>
        <w:t>Selected Historical Financial Information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Company</w:t>
      </w:r>
      <w:r>
        <w:rPr>
          <w:rFonts w:ascii="Arial" w:cs="Arial" w:eastAsia="Arial" w:hAnsi="Arial"/>
          <w:sz w:val="16"/>
          <w:szCs w:val="16"/>
          <w:color w:val="auto"/>
        </w:rPr>
        <w:t>” and “</w:t>
      </w:r>
      <w:r>
        <w:rPr>
          <w:rFonts w:ascii="Arial" w:cs="Arial" w:eastAsia="Arial" w:hAnsi="Arial"/>
          <w:sz w:val="16"/>
          <w:szCs w:val="16"/>
          <w:i w:val="1"/>
          <w:iCs w:val="1"/>
          <w:color w:val="auto"/>
        </w:rPr>
        <w:t>Selected Historical Financial Information of Sema4</w:t>
      </w:r>
      <w:r>
        <w:rPr>
          <w:rFonts w:ascii="Arial" w:cs="Arial" w:eastAsia="Arial" w:hAnsi="Arial"/>
          <w:sz w:val="16"/>
          <w:szCs w:val="16"/>
          <w:color w:val="auto"/>
        </w:rPr>
        <w:t>” and the historical financial statements of CMLS and Sema4 included elsewhere in</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proxy statement. The unaudited pro forma condensed combined per share information is derived from, and should be read in conjunction with, the information contained in the section of this proxy statement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unaudited pro forma combined per share information does not purport to represent what the actual results of operations of the Company would have been had the Business Combination been completed or project CMLS’s and Sema4’s results of operations that may be achieved after the Business Combination.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Historical</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1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March 31, 2021</w:t>
            </w:r>
          </w:p>
        </w:tc>
        <w:tc>
          <w:tcPr>
            <w:tcW w:w="8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CMLS</w:t>
            </w:r>
          </w:p>
        </w:tc>
        <w:tc>
          <w:tcPr>
            <w:tcW w:w="10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Sema4</w:t>
            </w:r>
          </w:p>
        </w:tc>
        <w:tc>
          <w:tcPr>
            <w:tcW w:w="100" w:type="dxa"/>
            <w:vAlign w:val="bottom"/>
            <w:vMerge w:val="restart"/>
          </w:tcPr>
          <w:p>
            <w:pPr>
              <w:spacing w:after="0"/>
              <w:rPr>
                <w:sz w:val="11"/>
                <w:szCs w:val="11"/>
                <w:color w:val="auto"/>
              </w:rPr>
            </w:pPr>
          </w:p>
        </w:tc>
        <w:tc>
          <w:tcPr>
            <w:tcW w:w="16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Scenario 1 Assuming No</w:t>
            </w:r>
          </w:p>
        </w:tc>
        <w:tc>
          <w:tcPr>
            <w:tcW w:w="120" w:type="dxa"/>
            <w:vAlign w:val="bottom"/>
          </w:tcPr>
          <w:p>
            <w:pPr>
              <w:spacing w:after="0"/>
              <w:rPr>
                <w:sz w:val="11"/>
                <w:szCs w:val="11"/>
                <w:color w:val="auto"/>
              </w:rPr>
            </w:pPr>
          </w:p>
        </w:tc>
        <w:tc>
          <w:tcPr>
            <w:tcW w:w="1440" w:type="dxa"/>
            <w:vAlign w:val="bottom"/>
          </w:tcPr>
          <w:p>
            <w:pPr>
              <w:jc w:val="right"/>
              <w:ind w:right="60"/>
              <w:spacing w:after="0" w:line="135" w:lineRule="exact"/>
              <w:rPr>
                <w:sz w:val="20"/>
                <w:szCs w:val="20"/>
                <w:color w:val="auto"/>
              </w:rPr>
            </w:pPr>
            <w:r>
              <w:rPr>
                <w:rFonts w:ascii="Arial" w:cs="Arial" w:eastAsia="Arial" w:hAnsi="Arial"/>
                <w:sz w:val="14"/>
                <w:szCs w:val="14"/>
                <w:b w:val="1"/>
                <w:bCs w:val="1"/>
                <w:color w:val="auto"/>
                <w:w w:val="89"/>
              </w:rPr>
              <w:t>Scenario 2 Assuming</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Maximum Redemptions</w:t>
            </w:r>
          </w:p>
        </w:tc>
        <w:tc>
          <w:tcPr>
            <w:tcW w:w="0" w:type="dxa"/>
            <w:vAlign w:val="bottom"/>
          </w:tcPr>
          <w:p>
            <w:pPr>
              <w:spacing w:after="0"/>
              <w:rPr>
                <w:sz w:val="1"/>
                <w:szCs w:val="1"/>
                <w:color w:val="auto"/>
              </w:rPr>
            </w:pPr>
          </w:p>
        </w:tc>
      </w:tr>
      <w:tr>
        <w:trPr>
          <w:trHeight w:val="21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(58,472)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(249,476)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(249,476)</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11,068,750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(43,000.00)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9"/>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loss available to common stockholders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(39,908)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(5,824)</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(289,759)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(289,759)</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238,266,485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230,733,726</w:t>
            </w:r>
          </w:p>
        </w:tc>
        <w:tc>
          <w:tcPr>
            <w:tcW w:w="0" w:type="dxa"/>
            <w:vAlign w:val="bottom"/>
          </w:tcPr>
          <w:p>
            <w:pPr>
              <w:spacing w:after="0"/>
              <w:rPr>
                <w:sz w:val="1"/>
                <w:szCs w:val="1"/>
                <w:color w:val="auto"/>
              </w:rPr>
            </w:pPr>
          </w:p>
        </w:tc>
      </w:tr>
      <w:tr>
        <w:trPr>
          <w:trHeight w:val="166"/>
        </w:trPr>
        <w:tc>
          <w:tcPr>
            <w:tcW w:w="47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9"/>
              </w:rPr>
              <w:t>Net loss per share attributable to common stockholders, basic and</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4"/>
                <w:szCs w:val="14"/>
                <w:color w:val="auto"/>
              </w:rPr>
            </w:pPr>
          </w:p>
        </w:tc>
        <w:tc>
          <w:tcPr>
            <w:tcW w:w="420" w:type="dxa"/>
            <w:vAlign w:val="bottom"/>
            <w:vMerge w:val="restart"/>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(5,824,000.00)</w:t>
            </w:r>
          </w:p>
        </w:tc>
        <w:tc>
          <w:tcPr>
            <w:tcW w:w="10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MEETING OF COMPANY STOCKHOLDERS</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This proxy statement is being provided to Company stockholders as part of a solicitation of proxies by the Board for use at the Special Meeting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Stockholders to be held on [ ], 2021,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spacing w:after="0" w:line="136"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This proxy statement is being first mailed on or about [ ], 2021 to all stockholders of record of the Company as of June 21, 2021, the record date for the Special Meeting. Stockholders of record who owned Company common stock at the close of business on the record date are entitled to receive notice of, attend and vote at the Special Meeting. On the record date, there were 55,343,750 shares of Company common stock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 of Special Meeting</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Special Meeting will be held on [ ], 2021 at [ ] a.m. Eastern time at [ ],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t>
      </w:r>
      <w:r>
        <w:rPr>
          <w:rFonts w:ascii="Arial" w:cs="Arial" w:eastAsia="Arial" w:hAnsi="Arial"/>
          <w:sz w:val="18"/>
          <w:szCs w:val="18"/>
          <w:i w:val="1"/>
          <w:iCs w:val="1"/>
          <w:color w:val="auto"/>
        </w:rPr>
        <w:t>https://www.cstproxy.com/CMLS/sm2021</w:t>
      </w:r>
      <w:r>
        <w:rPr>
          <w:rFonts w:ascii="Arial" w:cs="Arial" w:eastAsia="Arial" w:hAnsi="Arial"/>
          <w:sz w:val="18"/>
          <w:szCs w:val="18"/>
          <w:color w:val="auto"/>
        </w:rPr>
        <w:t xml:space="preserve"> and entering your 12-digit control number, which is either included on the proxy card you received or obtained through Continental Stock Transfer &amp; Trust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Registering for the Special Meeting</w:t>
      </w:r>
    </w:p>
    <w:p>
      <w:pPr>
        <w:sectPr>
          <w:pgSz w:w="11900" w:h="16838" w:orient="portrait"/>
          <w:cols w:equalWidth="0" w:num="1">
            <w:col w:w="11240"/>
          </w:cols>
          <w:pgMar w:left="320" w:top="1440" w:right="339" w:bottom="1440" w:gutter="0" w:footer="0" w:header="0"/>
        </w:sectPr>
      </w:pP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Any stockholder wishing to attend the virtual meeting should register for the meeting by [ follow these instructions as applicable to the nature of your ownership of our common stock: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2021. To register for the Special Meeting, please</w:t>
      </w:r>
    </w:p>
    <w:p>
      <w:pPr>
        <w:spacing w:after="0" w:line="410" w:lineRule="exact"/>
        <w:rPr>
          <w:sz w:val="20"/>
          <w:szCs w:val="20"/>
          <w:color w:val="auto"/>
        </w:rPr>
      </w:pPr>
    </w:p>
    <w:p>
      <w:pPr>
        <w:sectPr>
          <w:pgSz w:w="11900" w:h="16838" w:orient="portrait"/>
          <w:cols w:equalWidth="0" w:num="2">
            <w:col w:w="6900" w:space="620"/>
            <w:col w:w="3720"/>
          </w:cols>
          <w:pgMar w:left="320" w:top="1440" w:right="339" w:bottom="1440" w:gutter="0" w:footer="0" w:header="0"/>
          <w:type w:val="continuous"/>
        </w:sectPr>
      </w:pPr>
    </w:p>
    <w:p>
      <w:pPr>
        <w:jc w:val="both"/>
        <w:ind w:left="660" w:right="20" w:hanging="328"/>
        <w:spacing w:after="0" w:line="279" w:lineRule="auto"/>
        <w:tabs>
          <w:tab w:leader="none" w:pos="6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If your shares are registered in your name with Continental Stock Transfer &amp; Trust Company and you wish to attend the online-only Special Meeting, go to </w:t>
      </w:r>
      <w:r>
        <w:rPr>
          <w:rFonts w:ascii="Arial" w:cs="Arial" w:eastAsia="Arial" w:hAnsi="Arial"/>
          <w:sz w:val="17"/>
          <w:szCs w:val="17"/>
          <w:i w:val="1"/>
          <w:iCs w:val="1"/>
          <w:color w:val="auto"/>
        </w:rPr>
        <w:t>https://www.cstproxy.com/CMLS/sm2021</w:t>
      </w:r>
      <w:r>
        <w:rPr>
          <w:rFonts w:ascii="Arial" w:cs="Arial" w:eastAsia="Arial" w:hAnsi="Arial"/>
          <w:sz w:val="17"/>
          <w:szCs w:val="17"/>
          <w:color w:val="auto"/>
        </w:rPr>
        <w:t>, enter the 12-digit control number included on your proxy card or notice of the meeting and click on the “Click here to preregister for the online meeting” link at the top of the page. Just prior to the start of the meeting you will need to log back into the meeting site using your control number. Pre-registration is recommended but is not required in order to attend.</w:t>
      </w:r>
    </w:p>
    <w:p>
      <w:pPr>
        <w:spacing w:after="0" w:line="117"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Beneficial stockholders (those holding shares through a stock brokerage account or by a bank or other holder of record)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register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common stock at the close of business on June 21,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55,343,750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type w:val="continuous"/>
        </w:sectPr>
      </w:pPr>
    </w:p>
    <w:bookmarkStart w:id="137" w:name="page138"/>
    <w:bookmarkEnd w:id="13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of which 44,275,000 are public shares and 11,068,750 are Founder Shares held by our Initial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at the Special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Special Meeting, Company stockholders will vote on the following proposals:</w:t>
      </w:r>
    </w:p>
    <w:p>
      <w:pPr>
        <w:spacing w:after="0" w:line="167" w:lineRule="exact"/>
        <w:rPr>
          <w:sz w:val="20"/>
          <w:szCs w:val="20"/>
          <w:color w:val="auto"/>
        </w:rPr>
      </w:pPr>
    </w:p>
    <w:p>
      <w:pPr>
        <w:jc w:val="both"/>
        <w:ind w:left="660" w:hanging="328"/>
        <w:spacing w:after="0" w:line="261"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1 — The Business Combination Proposal </w:t>
      </w:r>
      <w:r>
        <w:rPr>
          <w:rFonts w:ascii="Arial" w:cs="Arial" w:eastAsia="Arial" w:hAnsi="Arial"/>
          <w:sz w:val="18"/>
          <w:szCs w:val="18"/>
          <w:color w:val="auto"/>
        </w:rPr>
        <w:t>— To approve and adopt the Merger Agreement, a copy of which is attached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as Annex A, and approve the transactions contemplated thereby, including the merger of Merger Sub with and into Sema4, with Sema4 surviving the merger as a wholly owned subsidiary of the Company, and the issuance of common stock to holders of Sema4 capital stock as merger consideration;</w:t>
      </w:r>
    </w:p>
    <w:p>
      <w:pPr>
        <w:spacing w:after="0" w:line="125" w:lineRule="exact"/>
        <w:rPr>
          <w:rFonts w:ascii="Arial" w:cs="Arial" w:eastAsia="Arial" w:hAnsi="Arial"/>
          <w:sz w:val="18"/>
          <w:szCs w:val="18"/>
          <w:color w:val="auto"/>
        </w:rPr>
      </w:pPr>
    </w:p>
    <w:p>
      <w:pPr>
        <w:jc w:val="both"/>
        <w:ind w:left="660" w:hanging="328"/>
        <w:spacing w:after="0" w:line="303"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2 — The Nasdaq Stock Issuance Proposal </w:t>
      </w:r>
      <w:r>
        <w:rPr>
          <w:rFonts w:ascii="Arial" w:cs="Arial" w:eastAsia="Arial" w:hAnsi="Arial"/>
          <w:sz w:val="16"/>
          <w:szCs w:val="16"/>
          <w:color w:val="auto"/>
        </w:rPr>
        <w:t>— To approve, for purposes of complying with applicable listing rules of Nasdaq,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more than 20% of the Company’s outstanding common stock in connection with the Business Combination and the Subscription Agreements, including up to 35,000,000 shares of our common stock to the PIPE Investors, which includes affiliates of our Sponsor that subscribed for 9,500,000 shares of common stock, and up to 6,000,000 shares of our common stock to holders of Sema4 capital stock;</w:t>
      </w:r>
    </w:p>
    <w:p>
      <w:pPr>
        <w:spacing w:after="0" w:line="96"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3 — The Charter Approval Proposal </w:t>
      </w:r>
      <w:r>
        <w:rPr>
          <w:rFonts w:ascii="Arial" w:cs="Arial" w:eastAsia="Arial" w:hAnsi="Arial"/>
          <w:sz w:val="18"/>
          <w:szCs w:val="18"/>
          <w:color w:val="auto"/>
        </w:rPr>
        <w:t>— To adopt the proposed Amended and Restated Certificate of Incorporation in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Annex B;</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4 — Governance Proposal </w:t>
      </w:r>
      <w:r>
        <w:rPr>
          <w:rFonts w:ascii="Arial" w:cs="Arial" w:eastAsia="Arial" w:hAnsi="Arial"/>
          <w:sz w:val="18"/>
          <w:szCs w:val="18"/>
          <w:color w:val="auto"/>
        </w:rPr>
        <w:t>— To approve, on a non-binding advisory basis, a separate proposal with respect to certain governance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in the Amended and Restated Certificate of Incorporation in accordance with SEC requirements;</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5 — Incentive Plan Proposal </w:t>
      </w:r>
      <w:r>
        <w:rPr>
          <w:rFonts w:ascii="Arial" w:cs="Arial" w:eastAsia="Arial" w:hAnsi="Arial"/>
          <w:sz w:val="18"/>
          <w:szCs w:val="18"/>
          <w:color w:val="auto"/>
        </w:rPr>
        <w:t>— To approve the Incentive Plan, including the authorization of the initial share reserve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6 — ESPP Proposal </w:t>
      </w:r>
      <w:r>
        <w:rPr>
          <w:rFonts w:ascii="Arial" w:cs="Arial" w:eastAsia="Arial" w:hAnsi="Arial"/>
          <w:sz w:val="18"/>
          <w:szCs w:val="18"/>
          <w:color w:val="auto"/>
        </w:rPr>
        <w:t>— To approve the ESPP, including the authorization of the initial share reserve under the ESPP;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7 — The Director Election Proposal </w:t>
      </w:r>
      <w:r>
        <w:rPr>
          <w:rFonts w:ascii="Arial" w:cs="Arial" w:eastAsia="Arial" w:hAnsi="Arial"/>
          <w:sz w:val="18"/>
          <w:szCs w:val="18"/>
          <w:color w:val="auto"/>
        </w:rPr>
        <w:t>— To consider and vote upon Director Election Proposal; and</w:t>
      </w:r>
    </w:p>
    <w:p>
      <w:pPr>
        <w:spacing w:after="0" w:line="171" w:lineRule="exact"/>
        <w:rPr>
          <w:rFonts w:ascii="Arial" w:cs="Arial" w:eastAsia="Arial" w:hAnsi="Arial"/>
          <w:sz w:val="18"/>
          <w:szCs w:val="18"/>
          <w:color w:val="auto"/>
        </w:rPr>
      </w:pPr>
    </w:p>
    <w:p>
      <w:pPr>
        <w:jc w:val="both"/>
        <w:ind w:left="660" w:hanging="328"/>
        <w:spacing w:after="0" w:line="298" w:lineRule="auto"/>
        <w:tabs>
          <w:tab w:leader="none" w:pos="655" w:val="left"/>
        </w:tabs>
        <w:numPr>
          <w:ilvl w:val="0"/>
          <w:numId w:val="142"/>
        </w:numPr>
        <w:rPr>
          <w:rFonts w:ascii="Arial" w:cs="Arial" w:eastAsia="Arial" w:hAnsi="Arial"/>
          <w:sz w:val="16"/>
          <w:szCs w:val="16"/>
          <w:color w:val="auto"/>
        </w:rPr>
      </w:pPr>
      <w:r>
        <w:rPr>
          <w:rFonts w:ascii="Arial" w:cs="Arial" w:eastAsia="Arial" w:hAnsi="Arial"/>
          <w:sz w:val="16"/>
          <w:szCs w:val="16"/>
          <w:b w:val="1"/>
          <w:bCs w:val="1"/>
          <w:color w:val="auto"/>
        </w:rPr>
        <w:t xml:space="preserve">Proposal No. 8 — Adjournment Proposal </w:t>
      </w:r>
      <w:r>
        <w:rPr>
          <w:rFonts w:ascii="Arial" w:cs="Arial" w:eastAsia="Arial" w:hAnsi="Arial"/>
          <w:sz w:val="16"/>
          <w:szCs w:val="16"/>
          <w:color w:val="auto"/>
        </w:rPr>
        <w:t>— To approve, if necessary, the adjournment of the Special Meeting to a later date or dates to permit</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solicitation and votes of proxies in the event that there are insufficient votes for, or otherwise in connection with, the approval of the Business Combination Proposal, the Nasdaq Stock Issuance Proposal, the Charter Approval Proposal, the Incentive Plan Proposal or the ESPP Proposal. This proposal will only be presented at the Special Meeting if there are not sufficient votes to approve the Business Combination Proposal, the Nasdaq Stock Issuance Proposal, the Charter Approval Proposal, the Incentive Plan Proposal or the ESPP Proposal.</w:t>
      </w:r>
    </w:p>
    <w:p>
      <w:pPr>
        <w:spacing w:after="0" w:line="99" w:lineRule="exact"/>
        <w:rPr>
          <w:rFonts w:ascii="Arial" w:cs="Arial" w:eastAsia="Arial" w:hAnsi="Arial"/>
          <w:sz w:val="16"/>
          <w:szCs w:val="16"/>
          <w:color w:val="auto"/>
        </w:rPr>
      </w:pPr>
    </w:p>
    <w:p>
      <w:pPr>
        <w:ind w:left="660" w:hanging="328"/>
        <w:spacing w:after="0" w:line="282"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 xml:space="preserve">Proposal No. 9 — Adjournment Proposal </w:t>
      </w:r>
      <w:r>
        <w:rPr>
          <w:rFonts w:ascii="Arial" w:cs="Arial" w:eastAsia="Arial" w:hAnsi="Arial"/>
          <w:sz w:val="18"/>
          <w:szCs w:val="18"/>
          <w:color w:val="auto"/>
        </w:rPr>
        <w:t>--- The ratification of Withum as the Company’s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EACH OF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of the Company’s Sponsor, Directors and Officers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Prior to our IPO, we entered into agreements with our Initial Stockholders, other current directors and officers, pursuant to which each agreed to vote any shares of common stock owned by them in favor of an initial business combination. These agreements apply to our Initial Stockholders, including our Sponsor, as it relates to the Founder Shares and the requirement to vote all of the Founder Shares in favor of the Business Combination Proposal and for all other proposals to be presented to our stockholders at the Special Meeting and described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Initial Stockholders, other current directors and officers have waived any redemption rights, including with respect to shares of common stock purchased in our IPO or in the aftermarket, in connection with Business Combination. The Founder Shares held by our Initial Stockholders have no redemption rights upon our liquidation and will be worthless if no business combination is effected by us by the applicable deadline. However, our Initial Stockholders are entitled to redemption rights upon our liquidation with respect to any public shares they may own.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quorum of Company stockholders is necessary to hold a valid meeting. A quorum will be present at the Special Meeting if a majority of the Company’s common stock outstanding on the record date and entitled to vote at the Special Meeting is represented in person or by proxy. Abstentions will count as present for the purposes of establishing a quorum.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Business Combination Proposal, the Nasdaq Stock Issuance Proposal, the Governance Proposal, which is a non-binding advisory vote, the Incentive Plan Proposal, the ESPP Proposal, the Director Election Proposal, the Auditor Ratification Proposal and the Adjournment Proposal requires the affirmative vote of a majority of the votes cast by holders of our common stock represented in person or by proxy and entitled to vote at the Special Meeting. The approval of the Charter Approval Proposal requires the affirmative vote of holders of a majority of our outstanding shares of common stock entitled to vote thereon at the Special Meeting.</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Under these voting standards, a failure to vote or an abstention will have no effect on the Business Combination Proposal, the Governance Proposal, and the Adjournment Proposal. However,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w:t>
      </w:r>
    </w:p>
    <w:p>
      <w:pPr>
        <w:spacing w:after="0" w:line="7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transactions contemplated by the Merger Agreement will be consummated only if the Business Combination Proposal, the Nasdaq Stock Issuance Proposal, the Charter Approval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 and the other condition precedent proposals.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It is important for you to note that in the event that the Business Combination Proposal, the Nasdaq Stock Issuance Proposal, the Charter Approval Proposal, the ESPP Proposal or the Incentive Plan Proposal do not receive the requisite vote for approval, we will not consummate the Business Combination. If we do not consummate the Business Combination and fail to complete an initial business combination by the applicable deadline, we will be required to dissolve and liquidate our Trust Account by returning the then remaining funds in such account to our public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Company Stockholders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Our Board believes that each of the Business Combination Proposal, the Nasdaq Stock Issuance Proposal, the Charter Approval Proposal, the Governance Proposal, the Incentive Plan Proposal, the ESPP Proposal, the Director Election Proposal, the Auditor Ratification Proposal and the Adjournment Proposal to be presented at the Special Meeting is in the best interests of the Company and our stockholders and recommends that its stockholders vote “FOR” each of the proposals.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you consider the recommendation of our Board in favor of approval of the Business Combination Proposal, you should keep in mind that our Sponsor and certain members of our Board and officers have interests in the Business Combination that are different from or in addition to (or which may conflict with) your interests as a stockholder. Stockholders should take these interests into account in deciding whether to approve the proposals presented at the Special Meeting, including the Business Combination Proposal. These interests include, among other things:</w:t>
      </w:r>
    </w:p>
    <w:p>
      <w:pPr>
        <w:spacing w:after="0" w:line="117" w:lineRule="exact"/>
        <w:rPr>
          <w:sz w:val="20"/>
          <w:szCs w:val="20"/>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4" w:lineRule="exact"/>
        <w:rPr>
          <w:sz w:val="20"/>
          <w:szCs w:val="20"/>
          <w:color w:val="auto"/>
        </w:rPr>
      </w:pPr>
    </w:p>
    <w:p>
      <w:pPr>
        <w:ind w:left="660" w:right="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the fact that Joshua Ruch, Michael Pellini and Rachel Sherman may join as board members of the post-combination company (dependent on the approval of the Director Election Proposal), and Nat Turner, Emily Leproust and Eli Casdin will continue as board members of the post-combination company, and each shall be entitled to receive compensation for serving on the board of directors of the post-combination company;</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4"/>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Abstentions are considered present for the purposes of establishing a quorum. Abstentions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Charter Approval Proposal, but will have no effect on the Business Combination Proposal, the Nasdaq Stock Issuance Proposal, the Governance Proposal, the Incentive Plan Proposal, the ESPP Proposal, the Director Election Proposal, the Auditor Ratification Proposal and the Adjournment Proposal.</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Arial" w:cs="Arial" w:eastAsia="Arial" w:hAnsi="Arial"/>
          <w:sz w:val="18"/>
          <w:szCs w:val="18"/>
          <w:b w:val="1"/>
          <w:bCs w:val="1"/>
          <w:color w:val="auto"/>
        </w:rPr>
        <w:t>None of the proposals at the Special Meeting are routine matters. As such, without your voting instructions, your</w:t>
      </w:r>
      <w:r>
        <w:rPr>
          <w:rFonts w:ascii="Arial" w:cs="Arial" w:eastAsia="Arial" w:hAnsi="Arial"/>
          <w:sz w:val="18"/>
          <w:szCs w:val="18"/>
          <w:color w:val="auto"/>
        </w:rPr>
        <w:t xml:space="preserve"> </w:t>
      </w:r>
      <w:r>
        <w:rPr>
          <w:rFonts w:ascii="Arial" w:cs="Arial" w:eastAsia="Arial" w:hAnsi="Arial"/>
          <w:sz w:val="18"/>
          <w:szCs w:val="18"/>
          <w:b w:val="1"/>
          <w:bCs w:val="1"/>
          <w:color w:val="auto"/>
        </w:rPr>
        <w:t>brokerage firm cannot vote your shares on any proposal to be voted on at the Special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Stockholders of Record</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you are a Company stockholder of record, you may vote by mail or at the Special Meeting. Each share of our common stock that you own in your name entitles you to one vote on each of the proposals for the Special Meeting. Your one or more proxy cards show the number of shares of our common stock that you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b w:val="1"/>
          <w:bCs w:val="1"/>
          <w:color w:val="auto"/>
        </w:rPr>
        <w:t xml:space="preserve">Voting by Mail </w:t>
      </w:r>
      <w:r>
        <w:rPr>
          <w:rFonts w:ascii="Arial" w:cs="Arial" w:eastAsia="Arial" w:hAnsi="Arial"/>
          <w:sz w:val="16"/>
          <w:szCs w:val="16"/>
          <w:color w:val="auto"/>
        </w:rPr>
        <w:t>— 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common stock will be voted as recommended by our Board. Our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the Business Combination Proposal, “</w:t>
      </w:r>
      <w:r>
        <w:rPr>
          <w:rFonts w:ascii="Arial" w:cs="Arial" w:eastAsia="Arial" w:hAnsi="Arial"/>
          <w:sz w:val="16"/>
          <w:szCs w:val="16"/>
          <w:b w:val="1"/>
          <w:bCs w:val="1"/>
          <w:color w:val="auto"/>
        </w:rPr>
        <w:t>FOR</w:t>
      </w:r>
      <w:r>
        <w:rPr>
          <w:rFonts w:ascii="Arial" w:cs="Arial" w:eastAsia="Arial" w:hAnsi="Arial"/>
          <w:sz w:val="16"/>
          <w:szCs w:val="16"/>
          <w:color w:val="auto"/>
        </w:rPr>
        <w:t>” the Nasdaq Stock Issuance Proposal, “</w:t>
      </w:r>
      <w:r>
        <w:rPr>
          <w:rFonts w:ascii="Arial" w:cs="Arial" w:eastAsia="Arial" w:hAnsi="Arial"/>
          <w:sz w:val="16"/>
          <w:szCs w:val="16"/>
          <w:b w:val="1"/>
          <w:bCs w:val="1"/>
          <w:color w:val="auto"/>
        </w:rPr>
        <w:t>FOR</w:t>
      </w:r>
      <w:r>
        <w:rPr>
          <w:rFonts w:ascii="Arial" w:cs="Arial" w:eastAsia="Arial" w:hAnsi="Arial"/>
          <w:sz w:val="16"/>
          <w:szCs w:val="16"/>
          <w:color w:val="auto"/>
        </w:rPr>
        <w:t>” the Charter Approval Proposal, “</w:t>
      </w:r>
      <w:r>
        <w:rPr>
          <w:rFonts w:ascii="Arial" w:cs="Arial" w:eastAsia="Arial" w:hAnsi="Arial"/>
          <w:sz w:val="16"/>
          <w:szCs w:val="16"/>
          <w:b w:val="1"/>
          <w:bCs w:val="1"/>
          <w:color w:val="auto"/>
        </w:rPr>
        <w:t>FOR</w:t>
      </w:r>
      <w:r>
        <w:rPr>
          <w:rFonts w:ascii="Arial" w:cs="Arial" w:eastAsia="Arial" w:hAnsi="Arial"/>
          <w:sz w:val="16"/>
          <w:szCs w:val="16"/>
          <w:color w:val="auto"/>
        </w:rPr>
        <w:t>” the Governance Proposal, “</w:t>
      </w:r>
      <w:r>
        <w:rPr>
          <w:rFonts w:ascii="Arial" w:cs="Arial" w:eastAsia="Arial" w:hAnsi="Arial"/>
          <w:sz w:val="16"/>
          <w:szCs w:val="16"/>
          <w:b w:val="1"/>
          <w:bCs w:val="1"/>
          <w:color w:val="auto"/>
        </w:rPr>
        <w:t>FOR</w:t>
      </w:r>
      <w:r>
        <w:rPr>
          <w:rFonts w:ascii="Arial" w:cs="Arial" w:eastAsia="Arial" w:hAnsi="Arial"/>
          <w:sz w:val="16"/>
          <w:szCs w:val="16"/>
          <w:color w:val="auto"/>
        </w:rPr>
        <w:t>” the Incentive Plan Proposal, “</w:t>
      </w:r>
      <w:r>
        <w:rPr>
          <w:rFonts w:ascii="Arial" w:cs="Arial" w:eastAsia="Arial" w:hAnsi="Arial"/>
          <w:sz w:val="16"/>
          <w:szCs w:val="16"/>
          <w:b w:val="1"/>
          <w:bCs w:val="1"/>
          <w:color w:val="auto"/>
        </w:rPr>
        <w:t>FOR</w:t>
      </w:r>
      <w:r>
        <w:rPr>
          <w:rFonts w:ascii="Arial" w:cs="Arial" w:eastAsia="Arial" w:hAnsi="Arial"/>
          <w:sz w:val="16"/>
          <w:szCs w:val="16"/>
          <w:color w:val="auto"/>
        </w:rPr>
        <w:t>” the ESPP Proposal, “</w:t>
      </w:r>
      <w:r>
        <w:rPr>
          <w:rFonts w:ascii="Arial" w:cs="Arial" w:eastAsia="Arial" w:hAnsi="Arial"/>
          <w:sz w:val="16"/>
          <w:szCs w:val="16"/>
          <w:b w:val="1"/>
          <w:bCs w:val="1"/>
          <w:color w:val="auto"/>
        </w:rPr>
        <w:t>FOR</w:t>
      </w:r>
      <w:r>
        <w:rPr>
          <w:rFonts w:ascii="Arial" w:cs="Arial" w:eastAsia="Arial" w:hAnsi="Arial"/>
          <w:sz w:val="16"/>
          <w:szCs w:val="16"/>
          <w:color w:val="auto"/>
        </w:rPr>
        <w:t>” the Director Election Proposal, “</w:t>
      </w:r>
      <w:r>
        <w:rPr>
          <w:rFonts w:ascii="Arial" w:cs="Arial" w:eastAsia="Arial" w:hAnsi="Arial"/>
          <w:sz w:val="16"/>
          <w:szCs w:val="16"/>
          <w:b w:val="1"/>
          <w:bCs w:val="1"/>
          <w:color w:val="auto"/>
        </w:rPr>
        <w:t>FOR</w:t>
      </w:r>
      <w:r>
        <w:rPr>
          <w:rFonts w:ascii="Arial" w:cs="Arial" w:eastAsia="Arial" w:hAnsi="Arial"/>
          <w:sz w:val="16"/>
          <w:szCs w:val="16"/>
          <w:color w:val="auto"/>
        </w:rPr>
        <w:t>” the Adjournment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Auditor Ratification Proposal. Votes submitted by mail must be received by 11:59 pm Eastern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time on [</w:t>
            </w:r>
          </w:p>
        </w:tc>
        <w:tc>
          <w:tcPr>
            <w:tcW w:w="8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29"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Voting at the Meeting </w:t>
      </w:r>
      <w:r>
        <w:rPr>
          <w:rFonts w:ascii="Arial" w:cs="Arial" w:eastAsia="Arial" w:hAnsi="Arial"/>
          <w:sz w:val="16"/>
          <w:szCs w:val="16"/>
          <w:color w:val="auto"/>
        </w:rPr>
        <w:t>— We will be hosting the Special Meeting via live webcast. If you attend the Special Meeting, you may submit your vote at the</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 online at https://www.cstproxy.com/cmls/sm2021, in which case any votes that you previously submitted will be superseded by the vote that you cast at the Special Meeting. See “— Registering for the Special Meeting” above for further details on how to attend the Special Meeting.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register to attend and participate in the Special Meeting. Please see “— Registering for the Special Meeting” above for further details on how to attend the special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the Special Meeting or at the Special Meeting by doing any one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delivering a signed written notice of revocation to our Secretary at CM Life Sciences, Inc., 667 Madison Ave, New York, NY 10065, bearing a date later than the date of the proxy, stating that the proxy is revoked;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signing and delivering a new proxy, relating to the same shares and bearing a later date;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beneficial owner of our common stock as of the close of business on the record date, you must follow the instructions of your broker, bank or other nominee to revoke or change your voting instructions.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Special Meeting has been called only to consider the approval of the Business Combination Proposal, the Nasdaq Stock Issuance Proposal, the Charter Approval Proposal, the Governance Proposal, the Incentive Plan Proposal, the ESPP Proposal, the Director Election Proposal, the Auditor Ratification Proposal and the Adjournment Proposal. Under our bylaws, other than procedural matters incident to the conduct of the Special Meeting,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4"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matters may be considered at the Special Meeting if they are not included in this proxy statement, which serves as the notice of the Special Meeting. </w:t>
      </w:r>
      <w:r>
        <w:rPr>
          <w:rFonts w:ascii="Arial" w:cs="Arial" w:eastAsia="Arial" w:hAnsi="Arial"/>
          <w:sz w:val="18"/>
          <w:szCs w:val="18"/>
          <w:b w:val="1"/>
          <w:bCs w:val="1"/>
          <w:color w:val="auto"/>
        </w:rPr>
        <w:t>Who Can Answer Your Questions About Voting</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contact D.F. King, our proxy solicitor, at: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u w:val="single" w:color="auto"/>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Combination</w:t>
      </w:r>
      <w:r>
        <w:rPr>
          <w:rFonts w:ascii="Arial" w:cs="Arial" w:eastAsia="Arial" w:hAnsi="Arial"/>
          <w:sz w:val="16"/>
          <w:szCs w:val="16"/>
          <w:color w:val="auto"/>
        </w:rPr>
        <w:t>. Any request to redeem public shares, once made, may be withdrawn at any time until the deadline for exercising redemption requests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exercise your redemption rights, you must: (i)(a) hold public shares or (b) hold public shares through units and elect to separate your unites into the underlying public shares and public warrants prior to exercising your redemption rights with respect to the public shares; and (ii) prior to 5:00 p.m.</w:t>
      </w:r>
    </w:p>
    <w:p>
      <w:pPr>
        <w:jc w:val="both"/>
        <w:spacing w:after="0" w:line="302" w:lineRule="auto"/>
        <w:rPr>
          <w:sz w:val="20"/>
          <w:szCs w:val="20"/>
          <w:color w:val="auto"/>
        </w:rPr>
      </w:pPr>
      <w:r>
        <w:rPr>
          <w:rFonts w:ascii="Arial" w:cs="Arial" w:eastAsia="Arial" w:hAnsi="Arial"/>
          <w:sz w:val="16"/>
          <w:szCs w:val="16"/>
          <w:color w:val="auto"/>
        </w:rPr>
        <w:t>Eastern time on [ ], 2021 (two business days before the Special Meeting) (a) submit a written request to the Transfer Agent that the Company redeem your public shares for cash and (b) deliver your public shares to the Transfer Agent, physically or electronically through DTC. Any demand for redemption, once made, may be withdrawn at any time until the deadline for exercising redemption requests and thereafter, with our consent, until the Closing.</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Agent’s address is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Stockholders seeking to exercise their redemption rights, whether they are record holders or hold their shares in “street name” are required to either tender their certificates to our Transfer Agent prior to the date set forth in these proxy materials, or up to two business days prior to the vote on the proposal to approve the Business Combination at the Special Meeting, or to deliver their shares to the Transfer Agent electronically using DTC’s DWAC system, at such stockholder’s option. </w:t>
      </w:r>
      <w:r>
        <w:rPr>
          <w:rFonts w:ascii="Arial" w:cs="Arial" w:eastAsia="Arial" w:hAnsi="Arial"/>
          <w:sz w:val="17"/>
          <w:szCs w:val="17"/>
          <w:b w:val="1"/>
          <w:bCs w:val="1"/>
          <w:i w:val="1"/>
          <w:iCs w:val="1"/>
          <w:color w:val="auto"/>
        </w:rPr>
        <w:t>The requirement for physical or electronic delivery prior to the Special Meeting ensures that a redeeming stockholder’s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election to redeem is irrevocable once the Business Combination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Holders of outstanding units must separate the underlying public shares and public warrants prior to exercising redemption rights with respect to the public shares. Any demand for redemption, once made, may be withdrawn at any time until the deadline for exercising redemption requests and thereafter, with our consent, until the Closing.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hold units registered in your own name, you must deliver the certificate for such units to Continental Stock Transfer &amp; Trust Company,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our Transfer Agent. Such written instructions must include the number of units to be split and the nominee holding such units. Your nominee must also initiate electronically, using DTC’s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 Any demand for redemption, once made, may be withdrawn at any time until the deadline for exercising redemption requests and thereafter, with our consent, until the Closing.</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after the payment of redemptions and satisfaction of Company and Sema4 transaction expenses.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exercising redemption rights, stockholders should verify the market price of our common stock as they may receive higher proceeds from the sale of their common stock in the public market than from exercising their redemption rights if the market price per share is higher than the redemption price. We cannot assure you that you will be able to sell your shares of our common stock in the open market, even if the market price per share is higher than the redemption price stated above, as there may not be sufficient liquidity in our common stock when you wish to sell your shares.</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 exercise your redemption rights, your shares of our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post-combination company, if any. You will be entitled to receive cash for these shares only if you properly and timely demand redemption.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Business Combination is not approved and we do not consummate an initial business combination by the applicable deadline, we will be required to dissolve and liquidate our Trust Account by returning the then remaining funds in such account to the public stockholders and our warrants will expire worthless.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shares of our common stock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soliciting proxies on behalf of its Board. This proxy solicitation is being made by mail,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bear the entire cost of the proxy solicitation, including the preparation, assembly, printing, mailing and distribution of the proxy materials. The Company will pay D.F. King a fee of $25,000,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 — APPROVAL OF THE BUSINESS COMBINATION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asking our stockholders to adopt the Merger Agreement and approve the transactions contemplated thereby, including the Business Combination. Our stockholders should carefully read this proxy statement in its entirety for more detailed information concerning the Merger Agreement, which is attached as Annex A to this proxy statement. Please see the subsection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 below, for additional information and a summary of certain terms of the Merger Agreement. You are urged to carefully read the Merger Agreement in its entirety before voting on this proposal.</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consummate the Business Combination only if it is approved by the affirmative vote of the holders of a majority of the votes cast by holders of our common stock represented in person or by proxy and entitled to vote at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Agreement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or Sema4. Such information can be found elsewhere in this proxy statement.</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decision.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the Merger</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merger, Merger Sub will merge with and into Sema4 with Sema4 surviving the merger as a direct, wholly owned subsidiary of the Company. The certificate of incorporation and bylaws of the surviving company will be amended to read the same as the certificate of incorporation and bylaws of Merger Sub as in effect immediately prior to the Business Combination will be the certificate of incorporation and bylaws (respectively) of the surviving company.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Merger Agreement provides that prior to the Closing, subject to obtaining the stockholder approval of the Company stockholders contemplated by the Business Combination Proposal, the Company will adopt the Amended and Restated Certificate of Incorporation in the form attached to this proxy as Annex A. See “</w:t>
      </w:r>
      <w:r>
        <w:rPr>
          <w:rFonts w:ascii="Arial" w:cs="Arial" w:eastAsia="Arial" w:hAnsi="Arial"/>
          <w:sz w:val="18"/>
          <w:szCs w:val="18"/>
          <w:i w:val="1"/>
          <w:iCs w:val="1"/>
          <w:color w:val="auto"/>
        </w:rPr>
        <w:t>Proposal No. 3 — The Charter Approval Proposal</w:t>
      </w:r>
      <w:r>
        <w:rPr>
          <w:rFonts w:ascii="Arial" w:cs="Arial" w:eastAsia="Arial" w:hAnsi="Arial"/>
          <w:sz w:val="18"/>
          <w:szCs w:val="18"/>
          <w:color w:val="auto"/>
        </w:rPr>
        <w:t>” for description of the Amended and Restated Certificate of Incorporation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(collectively, clauses (i) through (iii), the “</w:t>
      </w:r>
      <w:r>
        <w:rPr>
          <w:rFonts w:ascii="Arial" w:cs="Arial" w:eastAsia="Arial" w:hAnsi="Arial"/>
          <w:sz w:val="16"/>
          <w:szCs w:val="16"/>
          <w:i w:val="1"/>
          <w:iCs w:val="1"/>
          <w:color w:val="auto"/>
        </w:rPr>
        <w:t>merger consideration</w:t>
      </w:r>
      <w:r>
        <w:rPr>
          <w:rFonts w:ascii="Arial" w:cs="Arial" w:eastAsia="Arial" w:hAnsi="Arial"/>
          <w:sz w:val="16"/>
          <w:szCs w:val="16"/>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6"/>
          <w:szCs w:val="16"/>
          <w:i w:val="1"/>
          <w:iCs w:val="1"/>
          <w:color w:val="auto"/>
        </w:rPr>
        <w:t>Earnout</w:t>
      </w:r>
      <w:r>
        <w:rPr>
          <w:rFonts w:ascii="Arial" w:cs="Arial" w:eastAsia="Arial" w:hAnsi="Arial"/>
          <w:sz w:val="16"/>
          <w:szCs w:val="16"/>
          <w:color w:val="auto"/>
        </w:rPr>
        <w:t>”), including the Earnout RSUs, which Earnout RSUs are subject to vesting and will not be legally issued and outstanding shares of Company common stock at the closing of the Business Combination (the “</w:t>
      </w:r>
      <w:r>
        <w:rPr>
          <w:rFonts w:ascii="Arial" w:cs="Arial" w:eastAsia="Arial" w:hAnsi="Arial"/>
          <w:sz w:val="16"/>
          <w:szCs w:val="16"/>
          <w:i w:val="1"/>
          <w:iCs w:val="1"/>
          <w:color w:val="auto"/>
        </w:rPr>
        <w:t>Closing</w:t>
      </w:r>
      <w:r>
        <w:rPr>
          <w:rFonts w:ascii="Arial" w:cs="Arial" w:eastAsia="Arial" w:hAnsi="Arial"/>
          <w:sz w:val="16"/>
          <w:szCs w:val="16"/>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the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numbers of shares of Company common stock that Sema4 Stockholders are entitled to receive as a result of the Merger is based upon the number of shares of Company common stock, and as otherwise contemplated by the Merger Agreement shall be adjusted to appropriately reflect the effect of any stock split, split-up, reverse stock split, stock dividend or distribution (including any dividend or distribution of securities convertible into Company common stock), extraordinary cash dividend, reorganization, recapitalization, reclassification, combination, exchange of shares or other like change with respect to Company common stock occurring on or after the date hereof and prior to the Closing.</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 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 Shares</w:t>
      </w:r>
      <w:r>
        <w:rPr>
          <w:rFonts w:ascii="Arial" w:cs="Arial" w:eastAsia="Arial" w:hAnsi="Arial"/>
          <w:sz w:val="16"/>
          <w:szCs w:val="16"/>
          <w:color w:val="auto"/>
        </w:rPr>
        <w:t>”), upon the terms and subject to the conditions set forth in the Merger Agreement and other related agreements: (i) upon the occurrence of 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in effect as of such date and that would have been issuable to Sema4 Stockholders as a result of the occurrence of a Triggering Event had they not been made subject to an award of Earnout RSUs.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number of Earn-Out Shares equal to more than 11% of the Earn-Out Total Outstanding Shares. Earn-Out Shares will be issued from the Forfeiture Pool only if the applicable Triggering event occurs.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fractional shares of common stock will be issued. In lieu of the issuance of any such fractional shares and pursuant to the Merger Agreement, fractional shares that would otherwise be issued will be rounded down to the nearest whole share of Company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and Effective Time of the Merger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Unless the parties otherwise mutually agree, the Closing will take place on the date which is three (3) business days after the date on which all of the closing conditions have been satisfied or waived (other than those conditions that by their terms are to be satisfied at the Closing) (such date, the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w:t>
      </w:r>
      <w:r>
        <w:rPr>
          <w:rFonts w:ascii="Arial" w:cs="Arial" w:eastAsia="Arial" w:hAnsi="Arial"/>
          <w:sz w:val="16"/>
          <w:szCs w:val="16"/>
          <w:i w:val="1"/>
          <w:iCs w:val="1"/>
          <w:color w:val="auto"/>
        </w:rPr>
        <w:t>date</w:t>
      </w:r>
      <w:r>
        <w:rPr>
          <w:rFonts w:ascii="Arial" w:cs="Arial" w:eastAsia="Arial" w:hAnsi="Arial"/>
          <w:sz w:val="16"/>
          <w:szCs w:val="16"/>
          <w:color w:val="auto"/>
        </w:rPr>
        <w:t>”). See “</w:t>
      </w:r>
      <w:r>
        <w:rPr>
          <w:rFonts w:ascii="Arial" w:cs="Arial" w:eastAsia="Arial" w:hAnsi="Arial"/>
          <w:sz w:val="16"/>
          <w:szCs w:val="16"/>
          <w:i w:val="1"/>
          <w:iCs w:val="1"/>
          <w:color w:val="auto"/>
        </w:rPr>
        <w:t>The Merger Agreement — Conditions to the Merger</w:t>
      </w:r>
      <w:r>
        <w:rPr>
          <w:rFonts w:ascii="Arial" w:cs="Arial" w:eastAsia="Arial" w:hAnsi="Arial"/>
          <w:sz w:val="16"/>
          <w:szCs w:val="16"/>
          <w:color w:val="auto"/>
        </w:rPr>
        <w:t>” for a more complete description of the conditions that must be satisfied prior to closing.</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closing date, the Company and Sema4 will effect the merger by filing a certificate of merger with the Secretary of State of the State of Delaware, and the merger will become effective at the time the certificate of merger has been duly filed. The time at which the merger becomes effective is referred to in this proxy statement as the “</w:t>
      </w:r>
      <w:r>
        <w:rPr>
          <w:rFonts w:ascii="Arial" w:cs="Arial" w:eastAsia="Arial" w:hAnsi="Arial"/>
          <w:sz w:val="18"/>
          <w:szCs w:val="18"/>
          <w:i w:val="1"/>
          <w:iCs w:val="1"/>
          <w:color w:val="auto"/>
        </w:rPr>
        <w:t>effective time</w:t>
      </w:r>
      <w:r>
        <w:rPr>
          <w:rFonts w:ascii="Arial" w:cs="Arial" w:eastAsia="Arial" w:hAnsi="Arial"/>
          <w:sz w:val="18"/>
          <w:szCs w:val="18"/>
          <w:color w:val="auto"/>
        </w:rPr>
        <w: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the date of this proxy statement, the parties expect that the merger will be effective during the third quarter of 2021. However, there can be no assurance as to when or if the merger will occur.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merger is not completed by November 9, 2021 (the “</w:t>
      </w:r>
      <w:r>
        <w:rPr>
          <w:rFonts w:ascii="Arial" w:cs="Arial" w:eastAsia="Arial" w:hAnsi="Arial"/>
          <w:sz w:val="18"/>
          <w:szCs w:val="18"/>
          <w:i w:val="1"/>
          <w:iCs w:val="1"/>
          <w:color w:val="auto"/>
        </w:rPr>
        <w:t>termination date</w:t>
      </w:r>
      <w:r>
        <w:rPr>
          <w:rFonts w:ascii="Arial" w:cs="Arial" w:eastAsia="Arial" w:hAnsi="Arial"/>
          <w:sz w:val="18"/>
          <w:szCs w:val="18"/>
          <w:color w:val="auto"/>
        </w:rPr>
        <w:t>”), the Merger Agreement may be terminated by either the Company or Sema4. A party may not terminate the Merger Agreement pursuant to the provision described in this paragraph if the failure of the Closing to occur by the termination date is due primarily to the failure of the party seeking to terminate the Merger Agreement to fulfill any obligations of such party set forth in the Merger Agreement. See “</w:t>
      </w:r>
      <w:r>
        <w:rPr>
          <w:rFonts w:ascii="Arial" w:cs="Arial" w:eastAsia="Arial" w:hAnsi="Arial"/>
          <w:sz w:val="18"/>
          <w:szCs w:val="18"/>
          <w:i w:val="1"/>
          <w:iCs w:val="1"/>
          <w:color w:val="auto"/>
        </w:rPr>
        <w:t>The Merger Agreement — Termination</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Equity Awards</w:t>
      </w:r>
    </w:p>
    <w:p>
      <w:pPr>
        <w:spacing w:after="0" w:line="171" w:lineRule="exact"/>
        <w:rPr>
          <w:sz w:val="20"/>
          <w:szCs w:val="20"/>
          <w:color w:val="auto"/>
        </w:rPr>
      </w:pPr>
    </w:p>
    <w:p>
      <w:pPr>
        <w:jc w:val="both"/>
        <w:ind w:firstLine="656"/>
        <w:spacing w:after="0" w:line="288" w:lineRule="auto"/>
        <w:tabs>
          <w:tab w:leader="none" w:pos="129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Sema4 Option that is outstanding as of immediately prior to the Effective Time shall be assumed by the Company and converted into an option to purchase shares of Company Class A common stock upon substantially the same terms and conditions as are in effect with respect to such Sema4 Option immediately prior to the Effective Time, including with respect to vesting, exercisability and termination-related provisions (each, a “</w:t>
      </w:r>
      <w:r>
        <w:rPr>
          <w:rFonts w:ascii="Arial" w:cs="Arial" w:eastAsia="Arial" w:hAnsi="Arial"/>
          <w:sz w:val="16"/>
          <w:szCs w:val="16"/>
          <w:i w:val="1"/>
          <w:iCs w:val="1"/>
          <w:color w:val="auto"/>
        </w:rPr>
        <w:t>Company Option</w:t>
      </w:r>
      <w:r>
        <w:rPr>
          <w:rFonts w:ascii="Arial" w:cs="Arial" w:eastAsia="Arial" w:hAnsi="Arial"/>
          <w:sz w:val="16"/>
          <w:szCs w:val="16"/>
          <w:color w:val="auto"/>
        </w:rPr>
        <w:t>”) except that (a) such Company Option shall provide the right to purchase that whole number of shares of Company Class A common stock (rounded down to the nearest whole share) equal to the number of shares of Sema4 Common Stock subject to such Sema4 Option as of immediately prior to the Effective Time, multiplied by the Option Exchange Ratio applicable to such Sema4 Option, and (b) the exercise price per share for each such Company Option shall be equal to the exercise price per share of such Sema4 Option in effect immediately prior to the Effective Time, divided by the Option Exchange Ratio applicable to such Sema4 Option (the exercise price per share, as so determined, being rounded up to the nearest full cent); provided, however, that the conversion of the Sema4 Options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Options for purposes of Section 409A or Section 424 of the Code.</w:t>
      </w:r>
    </w:p>
    <w:p>
      <w:pPr>
        <w:spacing w:after="0" w:line="114" w:lineRule="exact"/>
        <w:rPr>
          <w:rFonts w:ascii="Arial" w:cs="Arial" w:eastAsia="Arial" w:hAnsi="Arial"/>
          <w:sz w:val="16"/>
          <w:szCs w:val="16"/>
          <w:color w:val="auto"/>
        </w:rPr>
      </w:pPr>
    </w:p>
    <w:p>
      <w:pPr>
        <w:jc w:val="both"/>
        <w:ind w:firstLine="656"/>
        <w:spacing w:after="0" w:line="291" w:lineRule="auto"/>
        <w:tabs>
          <w:tab w:leader="none" w:pos="129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Sema4 RSU that is outstanding as of immediately prior to the Effective Time shall be assumed by Company and converted into a restricted stock unit representing the opportunity to be issued shares of Company Class A common stock upon substantially the same terms and conditions as are in effect with respect to such Sema4 RSU immediately prior to the Effective Time, including with respect to vesting and termination-related provisions (each, a “</w:t>
      </w:r>
      <w:r>
        <w:rPr>
          <w:rFonts w:ascii="Arial" w:cs="Arial" w:eastAsia="Arial" w:hAnsi="Arial"/>
          <w:sz w:val="16"/>
          <w:szCs w:val="16"/>
          <w:i w:val="1"/>
          <w:iCs w:val="1"/>
          <w:color w:val="auto"/>
        </w:rPr>
        <w:t>Company RSU</w:t>
      </w:r>
      <w:r>
        <w:rPr>
          <w:rFonts w:ascii="Arial" w:cs="Arial" w:eastAsia="Arial" w:hAnsi="Arial"/>
          <w:sz w:val="16"/>
          <w:szCs w:val="16"/>
          <w:color w:val="auto"/>
        </w:rPr>
        <w:t>”) except that such Company RSU shall provide opportunity to be issued that whole number of shares of Company Class A common stock (rounded to the nearest whole share) equal to the number of Shares of Sema4 Common Stock subject to such Sema4 RSU as of immediately prior to the Effective Time, multiplied by the RSU Exchange Ratio; provided, however, that the conversion of the Sema4 RSUs will be made in a manner consistent with the requirements of Section 409A of the Code and the applicable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4" w:lineRule="exact"/>
        <w:rPr>
          <w:sz w:val="20"/>
          <w:szCs w:val="20"/>
          <w:color w:val="auto"/>
        </w:rPr>
      </w:pPr>
    </w:p>
    <w:p>
      <w:pPr>
        <w:jc w:val="both"/>
        <w:ind w:firstLine="656"/>
        <w:spacing w:after="0" w:line="287" w:lineRule="auto"/>
        <w:tabs>
          <w:tab w:leader="none" w:pos="129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otherwise set forth in the Merger Agreement, each Sema4 SAR that is outstanding as of immediately prior to the Effective Time shall be assumed by the Company and converted into a stock appreciation right with respect to shares of Company Class A common stock upon substantially the same terms and conditions as are in effect with respect to such Sema4 SAR immediately prior to the Effective Time, including with respect to vesting, exercisability, payment terms and termination-related provisions (each, a “</w:t>
      </w:r>
      <w:r>
        <w:rPr>
          <w:rFonts w:ascii="Arial" w:cs="Arial" w:eastAsia="Arial" w:hAnsi="Arial"/>
          <w:sz w:val="16"/>
          <w:szCs w:val="16"/>
          <w:i w:val="1"/>
          <w:iCs w:val="1"/>
          <w:color w:val="auto"/>
        </w:rPr>
        <w:t>Company SAR</w:t>
      </w:r>
      <w:r>
        <w:rPr>
          <w:rFonts w:ascii="Arial" w:cs="Arial" w:eastAsia="Arial" w:hAnsi="Arial"/>
          <w:sz w:val="16"/>
          <w:szCs w:val="16"/>
          <w:color w:val="auto"/>
        </w:rPr>
        <w:t>”) except that (i) such Company SAR shall be based on that whole number of shares of Company Class A common stock (rounded down to the nearest whole share) equal to the number of shares of Sema4 Common Stock subject to such Sema4 SAR as of immediately prior to the Effective Time, multiplied by the SAR Exchange Ratio, and (ii) the base amount per share for each such Company SAR shall be equal to the base amount per share of such Sema4 SAR in effect immediately prior to the Effective Time, divided by the SAR Exchange Ratio (the base amount per share, as so determined, being rounded up to the nearest full cent); provided, however, that the conversion of the Sema4 SARs will be made in a manner consistent with Treasury Regulation Section 1.424-1, such that such conversion will not constitute a “</w:t>
      </w:r>
      <w:r>
        <w:rPr>
          <w:rFonts w:ascii="Arial" w:cs="Arial" w:eastAsia="Arial" w:hAnsi="Arial"/>
          <w:sz w:val="16"/>
          <w:szCs w:val="16"/>
          <w:i w:val="1"/>
          <w:iCs w:val="1"/>
          <w:color w:val="auto"/>
        </w:rPr>
        <w:t>modification</w:t>
      </w:r>
      <w:r>
        <w:rPr>
          <w:rFonts w:ascii="Arial" w:cs="Arial" w:eastAsia="Arial" w:hAnsi="Arial"/>
          <w:sz w:val="16"/>
          <w:szCs w:val="16"/>
          <w:color w:val="auto"/>
        </w:rPr>
        <w:t>” of such Sema4 SARs for purposes of Section 409A or Section 424 of the Code. For the avoidance of doubt, the foregoing shall not apply to any Sema4 SAR that is deemed by Sema4 to be exercised in connection with the Closing.</w:t>
      </w:r>
    </w:p>
    <w:p>
      <w:pPr>
        <w:spacing w:after="0" w:line="117" w:lineRule="exact"/>
        <w:rPr>
          <w:rFonts w:ascii="Arial" w:cs="Arial" w:eastAsia="Arial" w:hAnsi="Arial"/>
          <w:sz w:val="16"/>
          <w:szCs w:val="16"/>
          <w:color w:val="auto"/>
        </w:rPr>
      </w:pPr>
    </w:p>
    <w:p>
      <w:pPr>
        <w:jc w:val="both"/>
        <w:ind w:firstLine="656"/>
        <w:spacing w:after="0" w:line="288" w:lineRule="auto"/>
        <w:tabs>
          <w:tab w:leader="none" w:pos="129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Sema4 shall take all necessary actions to effect the treatment of Sema4 Options, Sema4 RSUs and Sema4 SARs pursuant to the Merger Agreement in accordance with the Sema4 Incentive Plan and the applicable award agreements and to ensure that no Company Option may be exercised prior to the effective date of an applicable Form S-8 (or other applicable form, including Form S-1 or Form S-3) of the Company. The board of directors of Sema4 shall amend the Sema4 Incentive Plan and take all other necessary actions, effective as of immediately prior to the Closing, in order to (i) provide that the unallocated share reserve remaining under the Sema4 Incentive Plan as of the Closing Date (including any shares subsequently returned to such share reserve as a result of the termination of awards issued under the Company Stock Plan) shall be included in the share reserve under the long term incentive plan, in accordance with the terms thereof, and (ii) provide that no new Sema4 Options, Sema4 RSUs or Sema4 SARs will be granted under the Sema4 Incentive Plan following the Closing. Prior to the Effective Time, Sema4 shall deliver to each holder of a Sema4 Option, Sema4 RSU or Sema4 SAR a notice, in a form reasonably acceptable to the Company, setting forth the effect of the Merger on such holder’s Sema4 Options, Sema4 RSUs and Sema4 SARs and describing the treatment of such Sema4 Options, Sema4 RSUs and Sema4 RSUs in accordance with the Merger Agreement.</w:t>
      </w:r>
    </w:p>
    <w:p>
      <w:pPr>
        <w:spacing w:after="0" w:line="114" w:lineRule="exact"/>
        <w:rPr>
          <w:rFonts w:ascii="Arial" w:cs="Arial" w:eastAsia="Arial" w:hAnsi="Arial"/>
          <w:sz w:val="16"/>
          <w:szCs w:val="16"/>
          <w:color w:val="auto"/>
        </w:rPr>
      </w:pPr>
    </w:p>
    <w:p>
      <w:pPr>
        <w:jc w:val="both"/>
        <w:ind w:firstLine="656"/>
        <w:spacing w:after="0" w:line="254" w:lineRule="auto"/>
        <w:tabs>
          <w:tab w:leader="none" w:pos="129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shall take all actions that are necessary for the assumption and conversion of Sema4 Options, Sema4 RSUs and Sema4 SARs pursuant to the Merger Agreement. If registration of the Company Options, Company RSUs or Company SARs is required under the Securities Act, the Company shall file, as promptly as practicable after the date that is sixty (60) days after the Form 8-K announcing the Closing is filed (or any such earlier date permitted by applicable law), a registration statement on Form S-8 with respect to such Company Options, Company RSUs and Company SARs, and shall use its commercially reasonable efforts to maintain the effectiveness of such registration statement for so long as the applicable Company Options, Company RSUs and Company SARs remain outstanding and such registration of the shares of Company Class A common stock issuable thereunder continues to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Businesses Prior to the Completion of the Merger</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Subject to certain exceptions set forth in the Schedules, Sema4 has agreed that, prior to the Closing or earlier valid termination of the Merger Agreement, it will, and cause its subsidiaries to use commercially reasonable efforts to conduct and operate their respective businesses in the ordinary course except (i) to the extent that the Company otherwise consents in writing and such consent will not be unreasonably withheld, conditioned or delayed;</w:t>
      </w:r>
    </w:p>
    <w:p>
      <w:pPr>
        <w:spacing w:after="0" w:line="2" w:lineRule="exact"/>
        <w:rPr>
          <w:sz w:val="20"/>
          <w:szCs w:val="20"/>
          <w:color w:val="auto"/>
        </w:rPr>
      </w:pPr>
    </w:p>
    <w:p>
      <w:pPr>
        <w:jc w:val="both"/>
        <w:ind w:firstLine="8"/>
        <w:spacing w:after="0" w:line="253" w:lineRule="auto"/>
        <w:tabs>
          <w:tab w:leader="none" w:pos="28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expressly contemplated by the Merger Agreement or Sema4 disclosure letter; or (iii) as may be required by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 (“</w:t>
      </w:r>
      <w:r>
        <w:rPr>
          <w:rFonts w:ascii="Arial" w:cs="Arial" w:eastAsia="Arial" w:hAnsi="Arial"/>
          <w:sz w:val="18"/>
          <w:szCs w:val="18"/>
          <w:i w:val="1"/>
          <w:iCs w:val="1"/>
          <w:color w:val="auto"/>
        </w:rPr>
        <w:t>Applicable Legal Requirements</w:t>
      </w:r>
      <w:r>
        <w:rPr>
          <w:rFonts w:ascii="Arial" w:cs="Arial" w:eastAsia="Arial" w:hAnsi="Arial"/>
          <w:sz w:val="18"/>
          <w:szCs w:val="18"/>
          <w:color w:val="auto"/>
        </w:rPr>
        <w:t>”) (including measures required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general covenants above, Sema4 has agreed that prior to the Closing, subject to specified exceptions, it will not, and will cause its subsidiaries not to:</w:t>
      </w:r>
    </w:p>
    <w:p>
      <w:pPr>
        <w:spacing w:after="0" w:line="116" w:lineRule="exact"/>
        <w:rPr>
          <w:sz w:val="20"/>
          <w:szCs w:val="20"/>
          <w:color w:val="auto"/>
        </w:rPr>
      </w:pPr>
    </w:p>
    <w:p>
      <w:pPr>
        <w:jc w:val="both"/>
        <w:ind w:left="660" w:hanging="328"/>
        <w:spacing w:after="0" w:line="268"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except as otherwise required in relation to Sema4 benefit plans, the Merger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Sema4 benefit plan or any employee benefit plan, policy, program, agreement, trust or arrangement that would have constituted an Sema4 benefit plan if it had been in effect on the date of the Merger Agreement (other than annual renewal of welfare plans in the ordinary course of business that does not result in a material increase in cost to Sema4 or its subsidiaries (the “</w:t>
      </w:r>
      <w:r>
        <w:rPr>
          <w:rFonts w:ascii="Arial" w:cs="Arial" w:eastAsia="Arial" w:hAnsi="Arial"/>
          <w:sz w:val="17"/>
          <w:szCs w:val="17"/>
          <w:i w:val="1"/>
          <w:iCs w:val="1"/>
          <w:color w:val="auto"/>
        </w:rPr>
        <w:t>Sema4 Companies</w:t>
      </w:r>
      <w:r>
        <w:rPr>
          <w:rFonts w:ascii="Arial" w:cs="Arial" w:eastAsia="Arial" w:hAnsi="Arial"/>
          <w:sz w:val="17"/>
          <w:szCs w:val="17"/>
          <w:color w:val="auto"/>
        </w:rPr>
        <w:t>”)); (iv) take any action to accelerate the vesting or payment of, or otherwise fund or secure the payment of, any compensation or benefits under any Sema4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Sema4 Companies;</w:t>
      </w:r>
    </w:p>
    <w:p>
      <w:pPr>
        <w:spacing w:after="0" w:line="132"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 transfer, sell, assign, license, sublicense, encumber, impair, abandon, fail to diligently maintain, transfer or otherwise dispose of any right, title or interest of Sema4 in any owned Intellectual Property or licensed Intellectual Property, in each case, that is material to any of the businesses of Sema4 Companies; (ii) extend, amend, waive, cancel or modify any material rights in or to any owned Intellectual Property or licensed Intellectual Property, in each case, that is material to any business of Sema4 Companies; (iii) fail to diligently prosecute the patent applications owned by the Sema4 other than applications the Sema4, in the exercise of its good faith business judgment, has determined to abandon; or (iv) divulge, furnish to or make accessible any trade secrets constituting material owned Intellectual Property or any trade secrets of any person to whom any of the Sema4 Companies has a confidentiality obligation to any third party who is not subject to an enforceable written agreement to maintain the confidentiality of such trade secrets, other than, in each of (i) through (iv), in the ordinary course of business; provided, that in no event shall Sema4 license on an exclusive basis or sell any material owned Intellectual Property;</w:t>
      </w:r>
    </w:p>
    <w:p>
      <w:pPr>
        <w:spacing w:after="0" w:line="126" w:lineRule="exact"/>
        <w:rPr>
          <w:rFonts w:ascii="Arial" w:cs="Arial" w:eastAsia="Arial" w:hAnsi="Arial"/>
          <w:sz w:val="17"/>
          <w:szCs w:val="17"/>
          <w:color w:val="auto"/>
        </w:rPr>
      </w:pPr>
    </w:p>
    <w:p>
      <w:pPr>
        <w:jc w:val="both"/>
        <w:ind w:left="660" w:hanging="328"/>
        <w:spacing w:after="0" w:line="283" w:lineRule="auto"/>
        <w:tabs>
          <w:tab w:leader="none" w:pos="65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for transactions solely among Sema4 and its subsidiaries: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of the Sema4 Companies, other than pursuant to the terms of a Sema4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of the Sema4 Companies, other than the award of restricted stock units in respect of the Earn-Out Shares granted to the Earn-Out Service Providers pursuant to the Earn-Out award agreement (the “</w:t>
      </w:r>
      <w:r>
        <w:rPr>
          <w:rFonts w:ascii="Arial" w:cs="Arial" w:eastAsia="Arial" w:hAnsi="Arial"/>
          <w:sz w:val="16"/>
          <w:szCs w:val="16"/>
          <w:i w:val="1"/>
          <w:iCs w:val="1"/>
          <w:color w:val="auto"/>
        </w:rPr>
        <w:t>Earn-Out RSUs</w:t>
      </w:r>
      <w:r>
        <w:rPr>
          <w:rFonts w:ascii="Arial" w:cs="Arial" w:eastAsia="Arial" w:hAnsi="Arial"/>
          <w:sz w:val="16"/>
          <w:szCs w:val="16"/>
          <w:color w:val="auto"/>
        </w:rPr>
        <w:t>”) issued in accordance with the Merger Agreement; (iv) declare, set aside or pay any dividend or make any other distribution; or</w:t>
      </w:r>
    </w:p>
    <w:p>
      <w:pPr>
        <w:spacing w:after="0" w:line="5" w:lineRule="exact"/>
        <w:rPr>
          <w:rFonts w:ascii="Arial" w:cs="Arial" w:eastAsia="Arial" w:hAnsi="Arial"/>
          <w:sz w:val="16"/>
          <w:szCs w:val="16"/>
          <w:color w:val="auto"/>
        </w:rPr>
      </w:pPr>
    </w:p>
    <w:p>
      <w:pPr>
        <w:jc w:val="both"/>
        <w:ind w:left="660" w:hanging="4"/>
        <w:spacing w:after="0" w:line="252" w:lineRule="auto"/>
        <w:tabs>
          <w:tab w:leader="none" w:pos="93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4" w:lineRule="exact"/>
        <w:rPr>
          <w:sz w:val="20"/>
          <w:szCs w:val="20"/>
          <w:color w:val="auto"/>
        </w:rPr>
      </w:pPr>
    </w:p>
    <w:p>
      <w:pPr>
        <w:ind w:left="328" w:hanging="328"/>
        <w:spacing w:after="0"/>
        <w:tabs>
          <w:tab w:leader="none" w:pos="32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any of the Sema4 Companies;</w:t>
      </w:r>
    </w:p>
    <w:p>
      <w:pPr>
        <w:spacing w:after="0" w:line="194" w:lineRule="exact"/>
        <w:rPr>
          <w:rFonts w:ascii="Arial" w:cs="Arial" w:eastAsia="Arial" w:hAnsi="Arial"/>
          <w:sz w:val="16"/>
          <w:szCs w:val="16"/>
          <w:color w:val="auto"/>
        </w:rPr>
      </w:pPr>
    </w:p>
    <w:p>
      <w:pPr>
        <w:jc w:val="both"/>
        <w:ind w:left="328" w:right="20" w:hanging="328"/>
        <w:spacing w:after="0" w:line="263"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merge, consolidate or combine with any entity;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left="328" w:hanging="328"/>
        <w:spacing w:after="0" w:line="263"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the Sema4 disclosure letter;</w:t>
      </w:r>
    </w:p>
    <w:p>
      <w:pPr>
        <w:spacing w:after="0" w:line="129" w:lineRule="exact"/>
        <w:rPr>
          <w:rFonts w:ascii="Arial" w:cs="Arial" w:eastAsia="Arial" w:hAnsi="Arial"/>
          <w:sz w:val="18"/>
          <w:szCs w:val="18"/>
          <w:color w:val="auto"/>
        </w:rPr>
      </w:pPr>
    </w:p>
    <w:p>
      <w:pPr>
        <w:jc w:val="both"/>
        <w:ind w:left="328" w:hanging="328"/>
        <w:spacing w:after="0" w:line="284" w:lineRule="auto"/>
        <w:tabs>
          <w:tab w:leader="none" w:pos="3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 issue or sell any debt securities or rights to acquire any debt securities of any of the Sema4 Companies or guarantee any debt securities of another person; (ii) make, incur, create or assume any loans, advances or capital contributions to, or investments in, or guarantee any indebtedness of, any person other than any of the Sema4 Companies except for (A) loans, advances or capital contributions pursuant to and in accordance with the terms of agreements or legal obligations existing as of February 9, 2021, in each case set forth on the Sema4 disclosure letter; provided, that any such amounts do not exceed $250,000 in the aggregate and remain with Sema4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Sema4 Companies in connection with any indebtedness thereof (other than permitted liens as defined in the Merger Agreement); (iv) cancel or forgive any indebtedness owed to any of the Sema4 Companies; or</w:t>
      </w:r>
    </w:p>
    <w:p>
      <w:pPr>
        <w:ind w:left="328"/>
        <w:spacing w:after="0"/>
        <w:rPr>
          <w:rFonts w:ascii="Arial" w:cs="Arial" w:eastAsia="Arial" w:hAnsi="Arial"/>
          <w:sz w:val="16"/>
          <w:szCs w:val="16"/>
          <w:color w:val="auto"/>
        </w:rPr>
      </w:pPr>
      <w:r>
        <w:rPr>
          <w:rFonts w:ascii="Arial" w:cs="Arial" w:eastAsia="Arial" w:hAnsi="Arial"/>
          <w:sz w:val="18"/>
          <w:szCs w:val="18"/>
          <w:color w:val="auto"/>
        </w:rPr>
        <w:t>(v) make, incur or commit to make or incur any capital expenditures, other than in the ordinary course of business;</w:t>
      </w:r>
    </w:p>
    <w:p>
      <w:pPr>
        <w:spacing w:after="0" w:line="156" w:lineRule="exact"/>
        <w:rPr>
          <w:rFonts w:ascii="Arial" w:cs="Arial" w:eastAsia="Arial" w:hAnsi="Arial"/>
          <w:sz w:val="16"/>
          <w:szCs w:val="16"/>
          <w:color w:val="auto"/>
        </w:rPr>
      </w:pPr>
    </w:p>
    <w:p>
      <w:pPr>
        <w:ind w:left="328" w:hanging="328"/>
        <w:spacing w:after="0"/>
        <w:tabs>
          <w:tab w:leader="none" w:pos="3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Sema4 Companies, taken as a whole;</w:t>
      </w:r>
    </w:p>
    <w:p>
      <w:pPr>
        <w:spacing w:after="0" w:line="171" w:lineRule="exact"/>
        <w:rPr>
          <w:rFonts w:ascii="Arial" w:cs="Arial" w:eastAsia="Arial" w:hAnsi="Arial"/>
          <w:sz w:val="18"/>
          <w:szCs w:val="18"/>
          <w:color w:val="auto"/>
        </w:rPr>
      </w:pPr>
    </w:p>
    <w:p>
      <w:pPr>
        <w:jc w:val="both"/>
        <w:ind w:left="328" w:hanging="328"/>
        <w:spacing w:after="0" w:line="259"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in the ordinary course of business: (i) enter into any material or governmental contract that would have been a (other than pursuant to offers, bids or proposals made by any Sema4 Companies on or prior to the date hereof that, if accepted, would result in a government contract) had it been entered into prior to February 9, 2021 or (ii) waive, delay the exercise of, release or assign any material rights or claims under any material or governmental contract;</w:t>
      </w:r>
    </w:p>
    <w:p>
      <w:pPr>
        <w:spacing w:after="0" w:line="132" w:lineRule="exact"/>
        <w:rPr>
          <w:rFonts w:ascii="Arial" w:cs="Arial" w:eastAsia="Arial" w:hAnsi="Arial"/>
          <w:sz w:val="18"/>
          <w:szCs w:val="18"/>
          <w:color w:val="auto"/>
        </w:rPr>
      </w:pPr>
    </w:p>
    <w:p>
      <w:pPr>
        <w:jc w:val="both"/>
        <w:ind w:left="328" w:hanging="328"/>
        <w:spacing w:after="0" w:line="311" w:lineRule="auto"/>
        <w:tabs>
          <w:tab w:leader="none" w:pos="32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modify, amend or terminate in a manner that is materially adverse to the applicable Sema4 Companies, taken as a whole, any material contract (other than pursuant to (i) offers, bids or proposals made by any Sema4 Companies on or prior to the date hereof that, if accepted, would result in a government contract or (ii) requirements from any governmental entity to modify the scope of work under any government contract);</w:t>
      </w:r>
    </w:p>
    <w:p>
      <w:pPr>
        <w:spacing w:after="0" w:line="94" w:lineRule="exact"/>
        <w:rPr>
          <w:rFonts w:ascii="Arial" w:cs="Arial" w:eastAsia="Arial" w:hAnsi="Arial"/>
          <w:sz w:val="16"/>
          <w:szCs w:val="16"/>
          <w:color w:val="auto"/>
        </w:rPr>
      </w:pPr>
    </w:p>
    <w:p>
      <w:pPr>
        <w:ind w:left="328" w:hanging="328"/>
        <w:spacing w:after="0"/>
        <w:tabs>
          <w:tab w:leader="none" w:pos="32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incur or enter into a contract requiring the Sema4 to make any capital expenditures in excess of $250,000 in any 12-month period;</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328" w:hanging="328"/>
        <w:spacing w:after="0" w:line="273" w:lineRule="auto"/>
        <w:tabs>
          <w:tab w:leader="none" w:pos="32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08"/>
          </w:cols>
          <w:pgMar w:left="652" w:top="1440" w:right="339" w:bottom="1440" w:gutter="0" w:footer="0" w:header="0"/>
        </w:sectPr>
      </w:pPr>
    </w:p>
    <w:bookmarkStart w:id="150" w:name="page151"/>
    <w:bookmarkEnd w:id="150"/>
    <w:p>
      <w:pPr>
        <w:spacing w:after="0" w:line="14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action that would reasonably be expected to prevent, impair or impede the intended tax treatment; or (xi) authorize, recommend, propose or announce an intention to adopt a plan of complete or partial liquidation, restructuring, recapitalization, dissolution or winding-up of the Sema4 or any subsidiary of Sema4;</w:t>
      </w:r>
    </w:p>
    <w:p>
      <w:pPr>
        <w:spacing w:after="0" w:line="130" w:lineRule="exact"/>
        <w:rPr>
          <w:sz w:val="20"/>
          <w:szCs w:val="20"/>
          <w:color w:val="auto"/>
        </w:rPr>
      </w:pPr>
    </w:p>
    <w:p>
      <w:pPr>
        <w:jc w:val="both"/>
        <w:ind w:left="660" w:hanging="328"/>
        <w:spacing w:after="0" w:line="259"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except for solely among the Sema4 Companies,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the Sema4 disclosure letter as existing on February 9, 2021;</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Notwithstanding anything to the contrary in the Merger Agreement, Sema4 may, in connection with COVID-19, take such actions in good faith as are reasonably necessary (x) to protect the health and safety of its employees and other individuals having business dealings with Sema4 or (y) to respond to third-party supply or service disruptions caused by COVID-19, including, but not limited to Pandemic Measures, and any such actions taken (or not taken) as a result of, in response to, or otherwise related to COVID-19 shall be deemed to be taken in the “</w:t>
      </w:r>
      <w:r>
        <w:rPr>
          <w:rFonts w:ascii="Arial" w:cs="Arial" w:eastAsia="Arial" w:hAnsi="Arial"/>
          <w:sz w:val="17"/>
          <w:szCs w:val="17"/>
          <w:i w:val="1"/>
          <w:iCs w:val="1"/>
          <w:color w:val="auto"/>
        </w:rPr>
        <w:t>ordinary course of business</w:t>
      </w:r>
      <w:r>
        <w:rPr>
          <w:rFonts w:ascii="Arial" w:cs="Arial" w:eastAsia="Arial" w:hAnsi="Arial"/>
          <w:sz w:val="17"/>
          <w:szCs w:val="17"/>
          <w:color w:val="auto"/>
        </w:rPr>
        <w:t>” and not be considered a breach of the covenants of the Merger Agreement; provided that, to the extent that Sema4 took any actions pursuant to the immediately preceding clause that caused deviations from its business being conducted in the ordinary course of business, Sema4 is to resume conducting its business in the ordinary course of business in all material respects as soon as reasonably practicable.</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Nothing contained in the Merger Agreement shall give the Company, directly or indirectly, any right to control or direct the operations of the Sema4 Companies prior to the Closing. Prior to the Closing, each of Sema4 and the Company shall exercise, consistent with the other terms and conditions of the Merger Agreement, complete control and supervision over their respective businesses.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agreed to certain restrictions on the business of CM Life and its subsidiaries prior to the Closing. Specifically, the Company has agreed that prior to the effective time, except as expressly contemplated or permitted by the Merger Agreement, as required to comply with Applicable Legal Requirements (including measures required by the COVID-19 pandemic) or subject to certain specified exceptions, it will not, and it will not permit its subsidiaries, without the written consent of Sema4 (which may not be unreasonably withheld, conditioned or delayed):</w:t>
      </w:r>
    </w:p>
    <w:p>
      <w:pPr>
        <w:spacing w:after="0" w:line="117" w:lineRule="exact"/>
        <w:rPr>
          <w:sz w:val="20"/>
          <w:szCs w:val="20"/>
          <w:color w:val="auto"/>
        </w:rPr>
      </w:pPr>
    </w:p>
    <w:p>
      <w:pPr>
        <w:jc w:val="both"/>
        <w:ind w:left="660" w:hanging="328"/>
        <w:spacing w:after="0" w:line="311" w:lineRule="auto"/>
        <w:tabs>
          <w:tab w:leader="none" w:pos="6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the Company or any of its subsidiaries;</w:t>
      </w:r>
    </w:p>
    <w:p>
      <w:pPr>
        <w:spacing w:after="0" w:line="171"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other than in connection with the Subscription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07" w:lineRule="exact"/>
        <w:rPr>
          <w:rFonts w:ascii="Arial" w:cs="Arial" w:eastAsia="Arial" w:hAnsi="Arial"/>
          <w:sz w:val="16"/>
          <w:szCs w:val="16"/>
          <w:color w:val="auto"/>
        </w:rPr>
      </w:pPr>
    </w:p>
    <w:p>
      <w:pPr>
        <w:ind w:left="660" w:hanging="328"/>
        <w:spacing w:after="0"/>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amend its certificate of incorporation, bylaws or other comparable governing instruments with different names of the Company or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4" w:lineRule="exact"/>
        <w:rPr>
          <w:sz w:val="20"/>
          <w:szCs w:val="20"/>
          <w:color w:val="auto"/>
        </w:rPr>
      </w:pPr>
    </w:p>
    <w:p>
      <w:pPr>
        <w:jc w:val="both"/>
        <w:ind w:left="6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incur any indebtedness or guarantee any such indebtedness of another person or persons, issue or sell any debt securities or options, warrants, calls or other rights to acquire any debt securities of the Company, as applicable, enter into any “</w:t>
      </w:r>
      <w:r>
        <w:rPr>
          <w:rFonts w:ascii="Arial" w:cs="Arial" w:eastAsia="Arial" w:hAnsi="Arial"/>
          <w:sz w:val="18"/>
          <w:szCs w:val="18"/>
          <w:i w:val="1"/>
          <w:iCs w:val="1"/>
          <w:color w:val="auto"/>
        </w:rPr>
        <w:t>keep well</w:t>
      </w:r>
      <w:r>
        <w:rPr>
          <w:rFonts w:ascii="Arial" w:cs="Arial" w:eastAsia="Arial" w:hAnsi="Arial"/>
          <w:sz w:val="18"/>
          <w:szCs w:val="18"/>
          <w:color w:val="auto"/>
        </w:rPr>
        <w:t>” or other agreement to maintain any financial statement condition or enter into any arrangement having the economic effect of any of the foregoing, in each case, except in the ordinary course of business;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left="660" w:hanging="328"/>
        <w:spacing w:after="0" w:line="272" w:lineRule="auto"/>
        <w:tabs>
          <w:tab w:leader="none" w:pos="6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w:t>
      </w:r>
      <w:r>
        <w:rPr>
          <w:rFonts w:ascii="Arial" w:cs="Arial" w:eastAsia="Arial" w:hAnsi="Arial"/>
          <w:sz w:val="17"/>
          <w:szCs w:val="17"/>
          <w:i w:val="1"/>
          <w:iCs w:val="1"/>
          <w:color w:val="auto"/>
        </w:rPr>
        <w:t>closing agreement</w:t>
      </w:r>
      <w:r>
        <w:rPr>
          <w:rFonts w:ascii="Arial" w:cs="Arial" w:eastAsia="Arial" w:hAnsi="Arial"/>
          <w:sz w:val="17"/>
          <w:szCs w:val="17"/>
          <w:color w:val="auto"/>
        </w:rPr>
        <w:t>” as described in Section 7121 of the Code (or any similar legal requirement) with any governmental entity; (viii) create any material liens on any material property or assets of the Company or Merger Sub; (ix) incur any liability for taxes other than in the ordinary course of business; or (x) take any action or fail to take any action that would reasonably be expected to prevent, impair or impede the intended tax treatment;</w:t>
      </w:r>
    </w:p>
    <w:p>
      <w:pPr>
        <w:spacing w:after="0" w:line="123" w:lineRule="exact"/>
        <w:rPr>
          <w:rFonts w:ascii="Arial" w:cs="Arial" w:eastAsia="Arial" w:hAnsi="Arial"/>
          <w:sz w:val="17"/>
          <w:szCs w:val="17"/>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the Company or Merger Sub;</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a long term incentive plan or an employee stock purchase plan, or (ii) hire any employee or any other individual to provide services to the Company or its subsidiaries;</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enter into any material or other contract that will not be terminable for convenience on or before Closing without requiring the payment of any amount or any post-Closing liability or obligation, (ii) modify, amend or terminate any material contract or (iii) waive, delay the exercise of, release or assign any material rights or claims under any material contract;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enter into any agreement or otherwise agree, commit or resolve to do any action prohibited by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Account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has agreed to make appropriate arrangements to cause the funds in the Trust Account to be disbursed in accordance with the Trust Agreement (as defined in the Merger Agreement) for the following: (a) the redemption of any shares of common stock in connection with the redemption offer in relation to the public shares; (b) the payment obligations of the Company with respect to certain expenses, as set forth in the Merger Agreement and</w:t>
      </w:r>
    </w:p>
    <w:p>
      <w:pPr>
        <w:spacing w:after="0" w:line="2" w:lineRule="exact"/>
        <w:rPr>
          <w:sz w:val="20"/>
          <w:szCs w:val="20"/>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balance of the assets in the Trust Account, if any, after payment of the foregoing to be disbursed to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4"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HSR Act and Regulatory Approvals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and the Company have agreed to comply promptly but in no event later than ten business days after the date of the Merger Agreement with the notification and reporting requirements of the HSR Act. Sema4 and the Company have agreed to furnish to each other as promptly as reasonably practicable all information required for any application or other filing to be made by the other pursuant to any applicable law relating to antitrust.</w:t>
      </w:r>
    </w:p>
    <w:p>
      <w:pPr>
        <w:spacing w:after="0" w:line="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and the Company have agreed to promptly furnish to the other copies of all substantive written communications received by, them or any of their respective affiliates and any governmental authority with respect to the transactions contemplated by the Merger Agreement, and Sema4 and the Company have agreed to permit counsel to the other an opportunity to review in advance any proposed substantive written communications by Sema4 and the Company (respectively) and/or its affiliates to any governmental authority concerning the transactions contemplated by the Merger Agreement and incorporate reasonable comments thereto. Sema4 and the Company have agreed to (a) give the other prompt written notice of the commencement of any legal proceeding with respect to the transactions contemplated by the Merger Agreement and (b) to the extent reasonably practicable, consult with the other party in advance of its participation in any substantive meeting or discussion with any governmental entity in respect of any filing, investigation or inquiry concerning the Merger Agreement or the transactions contemplated thereunder and, to the extent permitted by such governmental entity, give the other party the opportunity to also attend such meeting or discussion.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has agreed to promptly and in good faith respond to any information or document requests from the Antitrust Division of the U.S. Department of Justice and the FTC.</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Company and Sema4 have agreed to pay 50% of all filing fees required by governmental entities payable to the Antitrust Division and FTC in connection with the transactions contemplated by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Solicitation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and Sema4 have agreed to, as promptly as practicable, (i) establish the record date for, duly call, give notice of, convene and hold, no later than 45 days after this proxy statement is mailed, the Special Meeting in accordance with the DGCL, (ii) cause this proxy statement to be disseminated to the Company’s stockholders in compliance with applicable law, and (iii) solicit proxies from the holders of common stock to vote in favor of each of the proposals contained in this proxy statement. The Company has agreed, through the Company’s board of directors, to recommend to its stockholders that they approve the proposals contained in this proxy statement (the “</w:t>
      </w:r>
      <w:r>
        <w:rPr>
          <w:rFonts w:ascii="Arial" w:cs="Arial" w:eastAsia="Arial" w:hAnsi="Arial"/>
          <w:sz w:val="16"/>
          <w:szCs w:val="16"/>
          <w:i w:val="1"/>
          <w:iCs w:val="1"/>
          <w:color w:val="auto"/>
        </w:rPr>
        <w:t>Company board recommendation</w:t>
      </w:r>
      <w:r>
        <w:rPr>
          <w:rFonts w:ascii="Arial" w:cs="Arial" w:eastAsia="Arial" w:hAnsi="Arial"/>
          <w:sz w:val="16"/>
          <w:szCs w:val="16"/>
          <w:color w:val="auto"/>
        </w:rPr>
        <w:t>”) and to include the Company board recommendation in this proxy statement, subject to the obligations described in this paragraph. Except as otherwise required by Applicable Legal Requirements, the Company board of directors will not (and no committee or subgroup thereof shall) change, withdraw, withhold, qualify or modify, or publicly propose to change, withdraw, withhold, qualify or modify, the Company board recommendation (a “</w:t>
      </w:r>
      <w:r>
        <w:rPr>
          <w:rFonts w:ascii="Arial" w:cs="Arial" w:eastAsia="Arial" w:hAnsi="Arial"/>
          <w:sz w:val="16"/>
          <w:szCs w:val="16"/>
          <w:i w:val="1"/>
          <w:iCs w:val="1"/>
          <w:color w:val="auto"/>
        </w:rPr>
        <w:t>Company change in recommendation</w:t>
      </w:r>
      <w:r>
        <w:rPr>
          <w:rFonts w:ascii="Arial" w:cs="Arial" w:eastAsia="Arial" w:hAnsi="Arial"/>
          <w:sz w:val="16"/>
          <w:szCs w:val="16"/>
          <w:color w:val="auto"/>
        </w:rPr>
        <w:t xml:space="preserve">”); provided, that the Company’s obligation to establish a record date for, duly call, give notice of, convene and hold the Special Meeting as contemplated by the foregoing shall not be affected by any Change in Recommendation. Notwithstanding the foregoing, if on a date for which the Special Meeting is scheduled, the Company has not received proxies representing a sufficient number of shares of common stock to obtain the stockholder approvals of the proposals contained in this proxy statement, whether or not a quorum is present, the Company shall have the right to make one or more successive postponements or adjournments of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of such postponement or adjournment, the Special Meeting shall be reconvened as promptly as practicable following such time as the reason for such postponement or adjournment has been resolved.</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the date of this proxy statement, Sema4 has solicited the adoption of the Merger Agreement (the “</w:t>
      </w:r>
      <w:r>
        <w:rPr>
          <w:rFonts w:ascii="Arial" w:cs="Arial" w:eastAsia="Arial" w:hAnsi="Arial"/>
          <w:sz w:val="17"/>
          <w:szCs w:val="17"/>
          <w:i w:val="1"/>
          <w:iCs w:val="1"/>
          <w:color w:val="auto"/>
        </w:rPr>
        <w:t>Sema4 approval</w:t>
      </w:r>
      <w:r>
        <w:rPr>
          <w:rFonts w:ascii="Arial" w:cs="Arial" w:eastAsia="Arial" w:hAnsi="Arial"/>
          <w:sz w:val="17"/>
          <w:szCs w:val="17"/>
          <w:color w:val="auto"/>
        </w:rPr>
        <w:t>”) and received such Sema4 approval by unanimous written consent of the stockholders of Sema4capital stock (the “</w:t>
      </w:r>
      <w:r>
        <w:rPr>
          <w:rFonts w:ascii="Arial" w:cs="Arial" w:eastAsia="Arial" w:hAnsi="Arial"/>
          <w:sz w:val="17"/>
          <w:szCs w:val="17"/>
          <w:i w:val="1"/>
          <w:iCs w:val="1"/>
          <w:color w:val="auto"/>
        </w:rPr>
        <w:t>Sema4 stockholders</w:t>
      </w:r>
      <w:r>
        <w:rPr>
          <w:rFonts w:ascii="Arial" w:cs="Arial" w:eastAsia="Arial" w:hAnsi="Arial"/>
          <w:sz w:val="17"/>
          <w:szCs w:val="17"/>
          <w:color w:val="auto"/>
        </w:rPr>
        <w:t>”). Sema4, through the Sema4 board of directors, recommended to the Sema4 stockholders that they adopt the Merger Agreement (the “</w:t>
      </w:r>
      <w:r>
        <w:rPr>
          <w:rFonts w:ascii="Arial" w:cs="Arial" w:eastAsia="Arial" w:hAnsi="Arial"/>
          <w:sz w:val="17"/>
          <w:szCs w:val="17"/>
          <w:i w:val="1"/>
          <w:iCs w:val="1"/>
          <w:color w:val="auto"/>
        </w:rPr>
        <w:t>Sema4 board recommendation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Solicitation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period from the date of the Merger Agreement until the earlier of the termination of the Merger Agreement pursuant to its terms or the Closing , Sema4 has agreed not to, and shall cause its subsidiaries not to and shall use its reasonable best efforts to cause its and their respective representatives not to, directly or indirectly:</w:t>
      </w:r>
    </w:p>
    <w:p>
      <w:pPr>
        <w:spacing w:after="0" w:line="130" w:lineRule="exact"/>
        <w:rPr>
          <w:sz w:val="20"/>
          <w:szCs w:val="20"/>
          <w:color w:val="auto"/>
        </w:rPr>
      </w:pPr>
    </w:p>
    <w:p>
      <w:pPr>
        <w:jc w:val="both"/>
        <w:ind w:left="660" w:hanging="328"/>
        <w:spacing w:after="0" w:line="286" w:lineRule="auto"/>
        <w:tabs>
          <w:tab w:leader="none" w:pos="6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solicit, initiate, enter into or continue discussions, negotiations or transactions with, or encourage or respond to any inquiries or proposals by, or provide any information to, any person (other than the Company and its agents, representatives, advisors) concerning any merger, sale of ownership interests and/or assets of Sema4, recapitalization or similar transaction (each, a “</w:t>
      </w:r>
      <w:r>
        <w:rPr>
          <w:rFonts w:ascii="Arial" w:cs="Arial" w:eastAsia="Arial" w:hAnsi="Arial"/>
          <w:sz w:val="17"/>
          <w:szCs w:val="17"/>
          <w:i w:val="1"/>
          <w:iCs w:val="1"/>
          <w:color w:val="auto"/>
        </w:rPr>
        <w:t>Sema4 Business Combination</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Sema4 Business Combination;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 addition, Sema4 shall, and shall cause its subsidiaries and the Sema4 Stockholders to, and shall cause their respective representatives to, immediately cease any and all existing discussions or negotiations with any person with respect to any Sema4 Business Combination.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the period from the date of the Merger Agreement until the earlier of the termination of the Merger Agreement pursuant to its terms 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the Company and Merger Sub shall not, and shall direct their respective representatives not to, directly or indirectly:</w:t>
      </w:r>
    </w:p>
    <w:p>
      <w:pPr>
        <w:spacing w:after="0" w:line="157" w:lineRule="exact"/>
        <w:rPr>
          <w:sz w:val="20"/>
          <w:szCs w:val="20"/>
          <w:color w:val="auto"/>
        </w:rPr>
      </w:pPr>
    </w:p>
    <w:p>
      <w:pPr>
        <w:jc w:val="both"/>
        <w:ind w:left="660" w:hanging="328"/>
        <w:spacing w:after="0" w:line="259"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solicit, initiate, enter into or continue discussions or transactions with, or encourage or respond to any inquiries or proposals by, or provide any information to, any person (other than Sema4, the Sema4 Stockholders and their respective representatives) concerning any merger, purchase of ownership interests or assets of the Company, recapitalization or similar business combination transaction (each, a “</w:t>
      </w:r>
      <w:r>
        <w:rPr>
          <w:rFonts w:ascii="Arial" w:cs="Arial" w:eastAsia="Arial" w:hAnsi="Arial"/>
          <w:sz w:val="18"/>
          <w:szCs w:val="18"/>
          <w:i w:val="1"/>
          <w:iCs w:val="1"/>
          <w:color w:val="auto"/>
        </w:rPr>
        <w:t>Company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enter into any agreement regarding, continue or otherwise participate in any discussions or negotiations regarding, or cooperate in any way that would otherwise reasonably be expected to lead to a Company Business Combination; or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commence, continue or renew any due diligence investigation regarding a Company Business Combination. The Company and Merger Sub shall, and shall cause their respective representatives to, immediately cease any and all existing discussions or negotiations with any person with respect to any Company Business Combination.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party to the Merger Agreement is to promptly (and in no event later than 24 hours after becoming aware of such inquiry, proposal, offer or submission) notify the other parties (and in the case of the Company’s receipt of a Company Business Combination Proposal, the Company shall also provide notice to Sema4) if it or, to its knowledge, any of its or its representatives receives any inquiry, proposal, offer or submission with respect to a Sema4 Business Combination or Company Business Combination, as applicable (including the identity of the person making such inquiry or submitting such proposal, offer or submission), after the execution and delivery of the Merger Agreement. If either party or its representatives receives an inquiry, proposal, offer or submission with respect to a Sema4 Business Combination or Company Business Combination, as applicable, such party must provide the other parties with a copy of such inquiry, proposal, offer or submission (and in the case of the Company’s receipt, the Company shall also provide copies to Sema4).</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used in the Merger Agreement: “</w:t>
      </w:r>
      <w:r>
        <w:rPr>
          <w:rFonts w:ascii="Arial" w:cs="Arial" w:eastAsia="Arial" w:hAnsi="Arial"/>
          <w:sz w:val="17"/>
          <w:szCs w:val="17"/>
          <w:i w:val="1"/>
          <w:iCs w:val="1"/>
          <w:color w:val="auto"/>
        </w:rPr>
        <w:t>Intellectual Property</w:t>
      </w:r>
      <w:r>
        <w:rPr>
          <w:rFonts w:ascii="Arial" w:cs="Arial" w:eastAsia="Arial" w:hAnsi="Arial"/>
          <w:sz w:val="17"/>
          <w:szCs w:val="17"/>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inventors’ certificates, or the like and any foreign equivalents of the foregoing (including certificates of invention and any applications therefor);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 all registered and unregistered copyrights and applications for registration of copyright;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w:t>
      </w:r>
    </w:p>
    <w:p>
      <w:pPr>
        <w:spacing w:after="0" w:line="2" w:lineRule="exact"/>
        <w:rPr>
          <w:sz w:val="20"/>
          <w:szCs w:val="20"/>
          <w:color w:val="auto"/>
        </w:rPr>
      </w:pPr>
    </w:p>
    <w:p>
      <w:pPr>
        <w:ind w:right="2160"/>
        <w:spacing w:after="0" w:line="429" w:lineRule="auto"/>
        <w:rPr>
          <w:sz w:val="20"/>
          <w:szCs w:val="20"/>
          <w:color w:val="auto"/>
        </w:rPr>
      </w:pPr>
      <w:r>
        <w:rPr>
          <w:rFonts w:ascii="Arial" w:cs="Arial" w:eastAsia="Arial" w:hAnsi="Arial"/>
          <w:sz w:val="18"/>
          <w:szCs w:val="18"/>
          <w:color w:val="auto"/>
        </w:rPr>
        <w:t xml:space="preserve">(f) databases; and (g) all other intellectual property, intellectual property rights, proprietary information and proprietary rights. </w:t>
      </w:r>
      <w:r>
        <w:rPr>
          <w:rFonts w:ascii="Arial" w:cs="Arial" w:eastAsia="Arial" w:hAnsi="Arial"/>
          <w:sz w:val="18"/>
          <w:szCs w:val="18"/>
          <w:i w:val="1"/>
          <w:iCs w:val="1"/>
          <w:color w:val="auto"/>
        </w:rPr>
        <w:t>Nasdaq Listing</w:t>
      </w:r>
    </w:p>
    <w:p>
      <w:pPr>
        <w:spacing w:after="0" w:line="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Through the Closing, the Company has agreed to use reasonable best efforts to ensure it remains listed as a public company on, and for shares of Company common stock to be listed on, the Nasdaq. The Company has agreed to use commercially reasonable efforts to cause the common stock to be issued in connection with the merger (including the common stock to be issued pursuant to payment of the earnout consideration) to be approved for listing on Nasdaq as promptly as practicable following the issuance thereof, subject to official notice of issuance, prior to the Closing Date.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After the Closing, the Company shall use commercially reasonable efforts to: (a) continue the listing for trading of the Company common stock and Company Warrants on Nasdaq; and (b) in the event any Earn-Out Shares become issuable pursuant to the Merger Agreement, cause such Earn-Out Shares to be approved for listing on Nasdaq.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and Directors’ and Officers’ Insurance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and after the Closing, the Company has agreed that all rights to exculpation, indemnification and advancement of expenses now existing in favor of each present and former director and officer of the Sema4 Companies as provided in their respective certificates of incorporation (if applicable), bylaws and other organizational documents or in any indemnification agreement with respect to Sema4 Companies. Without limiting the foregoing, the Company has agreed to use reasonable best efforts to cause the Sema4 Companies to, (i) maintain for a period of not less than six years from the Closing the provisions in its certificate of incorporation (if applicable), bylaws and other organizational documents concerning the indemnification and exoneration (including provisions relating to expense advancement) of officers and directors and (ii) not amend, repeal or otherwise modify such provisions in any respect that would adversely affect the rights of those persons thereunder, in each case, except as required by law. The Company has agreed to assume, and be liable for, and shall use reasonable best efforts to cause the Sema4 Companies to honor, each of the covenants described in this paragraph.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Prior to the Closing, Sema4 has agreed to use reasonable best efforts to, purchase a “</w:t>
      </w:r>
      <w:r>
        <w:rPr>
          <w:rFonts w:ascii="Arial" w:cs="Arial" w:eastAsia="Arial" w:hAnsi="Arial"/>
          <w:sz w:val="18"/>
          <w:szCs w:val="18"/>
          <w:i w:val="1"/>
          <w:iCs w:val="1"/>
          <w:color w:val="auto"/>
        </w:rPr>
        <w:t>tail</w:t>
      </w:r>
      <w:r>
        <w:rPr>
          <w:rFonts w:ascii="Arial" w:cs="Arial" w:eastAsia="Arial" w:hAnsi="Arial"/>
          <w:sz w:val="18"/>
          <w:szCs w:val="18"/>
          <w:color w:val="auto"/>
        </w:rPr>
        <w:t>” or “</w:t>
      </w:r>
      <w:r>
        <w:rPr>
          <w:rFonts w:ascii="Arial" w:cs="Arial" w:eastAsia="Arial" w:hAnsi="Arial"/>
          <w:sz w:val="18"/>
          <w:szCs w:val="18"/>
          <w:i w:val="1"/>
          <w:iCs w:val="1"/>
          <w:color w:val="auto"/>
        </w:rPr>
        <w:t>runoff</w:t>
      </w:r>
      <w:r>
        <w:rPr>
          <w:rFonts w:ascii="Arial" w:cs="Arial" w:eastAsia="Arial" w:hAnsi="Arial"/>
          <w:sz w:val="18"/>
          <w:szCs w:val="18"/>
          <w:color w:val="auto"/>
        </w:rPr>
        <w:t>” directors’ and officers’ liability insurance policy (the “</w:t>
      </w:r>
      <w:r>
        <w:rPr>
          <w:rFonts w:ascii="Arial" w:cs="Arial" w:eastAsia="Arial" w:hAnsi="Arial"/>
          <w:sz w:val="18"/>
          <w:szCs w:val="18"/>
          <w:i w:val="1"/>
          <w:iCs w:val="1"/>
          <w:color w:val="auto"/>
        </w:rPr>
        <w:t>D&amp;O Tail</w:t>
      </w:r>
      <w:r>
        <w:rPr>
          <w:rFonts w:ascii="Arial" w:cs="Arial" w:eastAsia="Arial" w:hAnsi="Arial"/>
          <w:sz w:val="18"/>
          <w:szCs w:val="18"/>
          <w:color w:val="auto"/>
        </w:rPr>
        <w:t>”) in respect of acts or omissions occurring prior to the Closing covering each such person that is a director or officer of the Company or any of its subsidiaries currently covered by directors’ and officers’ liability insurance policy of the Company or any of its subsidiaries on terms with respect to coverage, deductibles and amounts on less favorable than those of such policy in effect on the date of the Merger Agreement for the six year period following the Closing. The Company shall use reasonable best efforts to cause the Sema4 Companies to, maintain the D&amp;O Tail in full force and effect for its full term and cause all obligations thereunder to be honored by the Sema4 Companies, as applicable, and no other party shall have any further obligation to purchase or pay for such insurance.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agreed not to permit any amendment or modification to be made to, or any waiver of any provision or remedy under, or any replacement of, any of the Subscription Agreement, in each case, without the prior written consent of Sema4 (such consent not to be unreasonably withheld, conditioned or delayed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amendment, modification, waiver or replacement that is not and would not reasonably be expected to be materially adverse to Sema4 or the Sema4 Stockholders).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further agreed to use reasonable best efforts to take, or cause to be taken, all actions, and to do, or cause to be done, all things necessary proper and advisable to consummate the purchases contemplated by the subscription agreements on the terms and conditions described or contemplated therein.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(on behalf of itself and Merger Sub) and Sema4 (on behalf of its stockholders) may (i) extend the time for performance of any of the obligations or other acts of the other party, (ii) waive any inaccuracies in the representations and warranties made to the other party contained in the Merger Agreement, and (iii) waive compliance with any of the agreements or conditions for the benefit of such 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Closing, the Company and certain of the Sema4 Stockholders have agreed to enter into and comply with the terms of an amended and restated registration rights agreement in favor of any holder of Company common stock, treating shares of common stock held by such holder as registrable securities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 and Agreements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other covenants and agreements, including covenants related to:</w:t>
      </w:r>
    </w:p>
    <w:p>
      <w:pPr>
        <w:spacing w:after="0" w:line="171"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the Company cooperating on the preparation and efforts to make effective this proxy statement;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the Company providing access, subject to certain specified restrictions and conditions, to the other party and its respective representatives reasonable access to Sema4's and the Company’s (as applicable) and its subsidiary’s properties, records, systems, contracts and commitments;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and its controlled affiliates, officers, directors and employees agreeing not to engage in transactions involving securities of the Company without the Company’s prior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Sema4 waiving claims to the Trust Account in the event that the merger does not consummate;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agreeing to take all actions necessary or appropriate to cause certain appointments to the board of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keeping current and timely filing all reports required to be filed or furnished with the SEC and otherwise complying in all material respects with its reporting obligations under applicable securities laws;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Company taking steps to exempt the acquisition of common stock from Section 16(a) of the Exchange Act pursuant to Rule 16b-3 thereunder;</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cooperation and reasonable best efforts between Sema4 and the Company in obtaining any necessary third-party consents required to consummate the merger;</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agreement to promptly provide the other party with written notice of any event or development that would cause any closing conditions to not be satisfied or would require a supplement or amendment to the proxy statement;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agreeing to adopt a long-term incentive plan and employee stock purchase plan substantially in the form provided in the exhibits to the Merger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agreement relating to the intended tax treatment of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4"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confidentiality and publicity relating to the Merger Agreement and the transactions contemplated thereby; and</w:t>
      </w:r>
    </w:p>
    <w:p>
      <w:pPr>
        <w:spacing w:after="0" w:line="171"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Company, on its own behalf and on behalf of its affiliates and representatives, has agreed to a release of certain claims against Sema4, each Sema4 Stockholders, its affiliates and its and their respective related parties, and the Sema4 Stockholders (solely in their capacity as a stockholder of Sema4), on its own behalf and on behalf of each of its affiliates and representatives, have agreed to a release of certain claims against the Company and the Sema4 Companies, in each case subject to certain exceptions as set forth in the Merger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and Warranties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Merger Agreement contains representations and warranties made by Sema4 to the Company relating to a number of matters, including but not limited to, the following:</w:t>
      </w:r>
    </w:p>
    <w:p>
      <w:pPr>
        <w:spacing w:after="0" w:line="116"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due authorization;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conflict; governmental consents and filings;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legal 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governmental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undisclosed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real property; tangible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brokers; third party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privacy &amp; cybersecurity; HIPAA Compliance;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agreements, contracts and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affiliate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provided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144"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absence of certain business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government grants and incentives;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Office of Inspector General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suppliers and customers;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Certain of these representations and warranties are qualified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For purposes of the Merger Agreement, a “</w:t>
      </w:r>
      <w:r>
        <w:rPr>
          <w:rFonts w:ascii="Arial" w:cs="Arial" w:eastAsia="Arial" w:hAnsi="Arial"/>
          <w:sz w:val="16"/>
          <w:szCs w:val="16"/>
          <w:i w:val="1"/>
          <w:iCs w:val="1"/>
          <w:color w:val="auto"/>
        </w:rPr>
        <w:t>material adverse effect</w:t>
      </w:r>
      <w:r>
        <w:rPr>
          <w:rFonts w:ascii="Arial" w:cs="Arial" w:eastAsia="Arial" w:hAnsi="Arial"/>
          <w:sz w:val="16"/>
          <w:szCs w:val="16"/>
          <w:color w:val="auto"/>
        </w:rPr>
        <w:t>” with respect to Sema4 means any change, event, or occurrence, that, individually or when aggregated with other changes, events, or occurrences has had a materially adverse effect on the business, assets, financial condition or results of operations of the Sema4 Companies, taken as a whole; provided, however, that no change, event, occurrence or effect arising out of or related to any of the following, alone or in combination, shall be taken into account in determining whether a material adverse effect has occurred: (i) acts of war, sabotage, civil unrest or terrorism, or any escalation or worsening of any such acts of war, sabotage, civil unrest or terrorism, or changes in global, national, regional, state or local political or social conditions;</w:t>
      </w:r>
    </w:p>
    <w:p>
      <w:pPr>
        <w:spacing w:after="0" w:line="4" w:lineRule="exact"/>
        <w:rPr>
          <w:sz w:val="20"/>
          <w:szCs w:val="20"/>
          <w:color w:val="auto"/>
        </w:rPr>
      </w:pPr>
    </w:p>
    <w:p>
      <w:pPr>
        <w:jc w:val="both"/>
        <w:ind w:firstLine="8"/>
        <w:spacing w:after="0" w:line="267" w:lineRule="auto"/>
        <w:tabs>
          <w:tab w:leader="none" w:pos="2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contemplated by the Merger Agreement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the Merger Agreement (including measures relating to the COVID-19 pandemic); (v) changes or proposed changes in GAAP (or any interpretation thereof) after the date of the Merger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Sema4 operates; (viii) any failure to meet any projections, forecasts, guidance, estimates, milestones, budgets or financial or operating predictions of revenue, earnings, cash flow or cash position, provided that this clause (viii) shall not prevent a determination that any change, event, or occurrence underlying such failure has resulted in a material adverse effect; or (ix) any actions required to be taken, or required not to be taken, pursuant to the terms of the Merger Agreement; provided, however, that if a change or effect related to clauses (iv) through (vii) disproportionately adversely affects the Sema4 Companies, taken as a whole, compared to other persons operating in the same industry as the Sema4 Companies, then such disproportionate impact may be taken into account in determining whether a material adverse effect has occurred.</w:t>
      </w:r>
    </w:p>
    <w:p>
      <w:pPr>
        <w:spacing w:after="0" w:line="12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Merger Agreement also contains representations and warranties made by the Company to Sema4 relating to a number of matters, including the following:</w:t>
      </w:r>
    </w:p>
    <w:p>
      <w:pPr>
        <w:spacing w:after="0" w:line="116"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corporate organization and qualification;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authority;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conflict; required filings and consents;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compliance; approvals;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Company SEC reports and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44"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business activities;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Company material contracts;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Company listing;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equity financing amount;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information supplied;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employees; benefit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board approval; stockholder vote;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brokers;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disclaimer of other 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representations and warranties in the Merger Agreement do not survive the effective time and, as described below under “</w:t>
      </w:r>
      <w:r>
        <w:rPr>
          <w:rFonts w:ascii="Arial" w:cs="Arial" w:eastAsia="Arial" w:hAnsi="Arial"/>
          <w:sz w:val="18"/>
          <w:szCs w:val="18"/>
          <w:i w:val="1"/>
          <w:iCs w:val="1"/>
          <w:color w:val="auto"/>
        </w:rPr>
        <w:t>— Termination</w:t>
      </w:r>
      <w:r>
        <w:rPr>
          <w:rFonts w:ascii="Arial" w:cs="Arial" w:eastAsia="Arial" w:hAnsi="Arial"/>
          <w:sz w:val="18"/>
          <w:szCs w:val="18"/>
          <w:color w:val="auto"/>
        </w:rPr>
        <w:t>”, if the Merger Agreement is validly terminated, there will be no liability under the representations and warranties of the parties, or otherwise under the Merger Agreement, unless a party willfully breached the Merger Agreement or committed intentional fraud in the making of the representations and warranties in the Merger Agreement.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Sema4,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Sema4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Merger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Each Party’s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respective obligations of each of Sema4 and the Company to complete the merger are subject to the satisfaction of the following conditions:</w:t>
      </w:r>
    </w:p>
    <w:p>
      <w:pPr>
        <w:spacing w:after="0" w:line="183" w:lineRule="exact"/>
        <w:rPr>
          <w:sz w:val="20"/>
          <w:szCs w:val="20"/>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approval of the Merger Agreement and the transactions contemplated by the Merger Agreement by the requisite vote of the Sema4 stockholders;</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must have $5,000,001 of net tangible assets (as determined in accordance with Rule 3a51-1(g)(i) of the Exchange Act) following the exercise by the holders of Company common stock issued in the Company’s IPO of securities and outstanding immediately before Closing of their right to convert their Company common stock into a pro rata share of the Trust Account in accordance with the Company’s organizational documents;</w:t>
      </w:r>
    </w:p>
    <w:p>
      <w:pPr>
        <w:spacing w:after="0" w:line="13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applicable waiting period(s) under the HSR Act and, if required, any other applicable antitrust law in respect of the transactions contemplated by the Merger Agreement must have expired or been terminated;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there must be no provision of any Applicable Legal Requirement prohibiting, enjoining or making illegal the consummation of the transactions contemplated by the Merger Agreement must be in effect and no temporary, preliminary or permanent restraining order prohibiting, enjoining or making illegal the consummation of such transactions may be in effect.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obligation of the Company to complete the merger is also subject to the satisfaction, or waiver by the Company, of the following conditions:</w:t>
      </w:r>
    </w:p>
    <w:p>
      <w:pPr>
        <w:spacing w:after="0" w:line="183" w:lineRule="exact"/>
        <w:rPr>
          <w:sz w:val="20"/>
          <w:szCs w:val="20"/>
          <w:color w:val="auto"/>
        </w:rPr>
      </w:pPr>
    </w:p>
    <w:p>
      <w:pPr>
        <w:jc w:val="both"/>
        <w:ind w:left="660" w:hanging="328"/>
        <w:spacing w:after="0" w:line="268" w:lineRule="auto"/>
        <w:tabs>
          <w:tab w:leader="none" w:pos="65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representations and warranties of Sema4 related to organization, qualification, due authorization, brokers and third party expenses, must be true and correct in all material respects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the representations and warranties of Sema4 set forth in the capitalization representation must be true and correct in all respects on and as of the date of the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Sema4 set forth in the Merger Agreement must be true and correct (without giving effect to any limitation as to “</w:t>
      </w:r>
      <w:r>
        <w:rPr>
          <w:rFonts w:ascii="Arial" w:cs="Arial" w:eastAsia="Arial" w:hAnsi="Arial"/>
          <w:sz w:val="17"/>
          <w:szCs w:val="17"/>
          <w:i w:val="1"/>
          <w:iCs w:val="1"/>
          <w:color w:val="auto"/>
        </w:rPr>
        <w:t>materiality</w:t>
      </w:r>
      <w:r>
        <w:rPr>
          <w:rFonts w:ascii="Arial" w:cs="Arial" w:eastAsia="Arial" w:hAnsi="Arial"/>
          <w:sz w:val="17"/>
          <w:szCs w:val="17"/>
          <w:color w:val="auto"/>
        </w:rPr>
        <w:t>” or “</w:t>
      </w:r>
      <w:r>
        <w:rPr>
          <w:rFonts w:ascii="Arial" w:cs="Arial" w:eastAsia="Arial" w:hAnsi="Arial"/>
          <w:sz w:val="17"/>
          <w:szCs w:val="17"/>
          <w:i w:val="1"/>
          <w:iCs w:val="1"/>
          <w:color w:val="auto"/>
        </w:rPr>
        <w:t>material adverse effect</w:t>
      </w:r>
      <w:r>
        <w:rPr>
          <w:rFonts w:ascii="Arial" w:cs="Arial" w:eastAsia="Arial" w:hAnsi="Arial"/>
          <w:sz w:val="17"/>
          <w:szCs w:val="17"/>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30"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Sema4 must have performed or complied with all agreements and covenants required by the Merger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Sema4 must have delivered to the Company a certificate signed by an officer of Sema4 certifying that the two preceding conditions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44"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approval of the transactions contemplated by the Merger Agreement must have been received from the Sema4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 material adverse effect may have occurred since the date of the Merger Agreement that is continuing;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Sema4 must have delivered, or caused to have been delivered, or must stand ready to deliver all of the certificates, instruments, contracts and other documents specified to be delivered by it hereunder, including copies of the documents to be delivered by the company pursuant to the Merger Agreement, duly executed by the applicable signatory or signatories specified therein, if 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to Obligations of Sema4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 of Sema4 to complete the merger is also subject to the satisfaction or waiver by Sema4 of the following conditions:</w:t>
      </w:r>
    </w:p>
    <w:p>
      <w:pPr>
        <w:spacing w:after="0" w:line="171" w:lineRule="exact"/>
        <w:rPr>
          <w:sz w:val="20"/>
          <w:szCs w:val="20"/>
          <w:color w:val="auto"/>
        </w:rPr>
      </w:pPr>
    </w:p>
    <w:p>
      <w:pPr>
        <w:jc w:val="both"/>
        <w:ind w:left="660" w:hanging="328"/>
        <w:spacing w:after="0" w:line="286" w:lineRule="auto"/>
        <w:tabs>
          <w:tab w:leader="none" w:pos="6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related to organization, subsidiaries, authority in relation to the Merger Agreement and business activities must be true and correct in all material respects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w:t>
      </w:r>
      <w:r>
        <w:rPr>
          <w:rFonts w:ascii="Arial" w:cs="Arial" w:eastAsia="Arial" w:hAnsi="Arial"/>
          <w:sz w:val="16"/>
          <w:szCs w:val="16"/>
          <w:color w:val="auto"/>
        </w:rPr>
        <w:t xml:space="preserve"> </w:t>
      </w:r>
      <w:r>
        <w:rPr>
          <w:rFonts w:ascii="Arial" w:cs="Arial" w:eastAsia="Arial" w:hAnsi="Arial"/>
          <w:sz w:val="16"/>
          <w:szCs w:val="16"/>
          <w:i w:val="1"/>
          <w:iCs w:val="1"/>
          <w:color w:val="auto"/>
        </w:rPr>
        <w:t>effect</w:t>
      </w:r>
      <w:r>
        <w:rPr>
          <w:rFonts w:ascii="Arial" w:cs="Arial" w:eastAsia="Arial" w:hAnsi="Arial"/>
          <w:sz w:val="16"/>
          <w:szCs w:val="16"/>
          <w:color w:val="auto"/>
        </w:rPr>
        <w:t>” or any similar limitation contain herein) on and as of the date of the Merger Agreement and on and as of the Closing Date as though made</w:t>
      </w:r>
      <w:r>
        <w:rPr>
          <w:rFonts w:ascii="Arial" w:cs="Arial" w:eastAsia="Arial" w:hAnsi="Arial"/>
          <w:sz w:val="16"/>
          <w:szCs w:val="16"/>
          <w:i w:val="1"/>
          <w:iCs w:val="1"/>
          <w:color w:val="auto"/>
        </w:rPr>
        <w:t xml:space="preserve"> </w:t>
      </w:r>
      <w:r>
        <w:rPr>
          <w:rFonts w:ascii="Arial" w:cs="Arial" w:eastAsia="Arial" w:hAnsi="Arial"/>
          <w:sz w:val="16"/>
          <w:szCs w:val="16"/>
          <w:color w:val="auto"/>
        </w:rPr>
        <w:t>on and as of the Closing Date (except to the extent that any such representation and warranty expressly speaks as of an earlier date, in which case such representation and warranty must be true and correct as of such earlier date); the representations and warranties of the Company set forth in the capitalization representation must be true and correct in all respects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for any de minimis inaccuracies; and all other representations and warranties of the Company set forth in the Merger Agreement must be true and correct (without giving effect to any limitation as to “</w:t>
      </w:r>
      <w:r>
        <w:rPr>
          <w:rFonts w:ascii="Arial" w:cs="Arial" w:eastAsia="Arial" w:hAnsi="Arial"/>
          <w:sz w:val="16"/>
          <w:szCs w:val="16"/>
          <w:i w:val="1"/>
          <w:iCs w:val="1"/>
          <w:color w:val="auto"/>
        </w:rPr>
        <w:t>materiality</w:t>
      </w:r>
      <w:r>
        <w:rPr>
          <w:rFonts w:ascii="Arial" w:cs="Arial" w:eastAsia="Arial" w:hAnsi="Arial"/>
          <w:sz w:val="16"/>
          <w:szCs w:val="16"/>
          <w:color w:val="auto"/>
        </w:rPr>
        <w:t>” or “</w:t>
      </w:r>
      <w:r>
        <w:rPr>
          <w:rFonts w:ascii="Arial" w:cs="Arial" w:eastAsia="Arial" w:hAnsi="Arial"/>
          <w:sz w:val="16"/>
          <w:szCs w:val="16"/>
          <w:i w:val="1"/>
          <w:iCs w:val="1"/>
          <w:color w:val="auto"/>
        </w:rPr>
        <w:t>material adverse effect</w:t>
      </w:r>
      <w:r>
        <w:rPr>
          <w:rFonts w:ascii="Arial" w:cs="Arial" w:eastAsia="Arial" w:hAnsi="Arial"/>
          <w:sz w:val="16"/>
          <w:szCs w:val="16"/>
          <w:color w:val="auto"/>
        </w:rPr>
        <w:t>” or any similar limitation contained herein) on and as of the date of the Merger Agreement and on as of the Closing Date as though made on and as of the Closing Date (except to the extent that any such representation and warranty expressly speaks as of an earlier date, in which case such representation and warranty must be true and correct as of such earlier date), except where the failure of such representations and warranties of the Company to be so true and correct, individually or in the aggregate, has not had and is not reasonably likely to have a material adverse effect;</w:t>
      </w:r>
    </w:p>
    <w:p>
      <w:pPr>
        <w:spacing w:after="0" w:line="116"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and Merger Sub must have performed or complied with all agreements and covenants required by the Merger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delivered to Sema4 a certificate, signed by an executive officer of the Company and dated as of the Closing Date, certifying that the two preceding conditions have been satisfied;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 as applicable;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certificate of incorporation must be amended and restated in the form attached to the Merger Agreement and the Company bylaws must be amended and restated in the form attached to the Merger Agreement;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Company must have made appropriate arrangements to have the Trust Account, less amounts paid and to be paid pursuant the Merger Agreement, available to the Company for payment of the cash payment amount to be paid at Closing, and the Company and Sema4 transaction costs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4" w:lineRule="exact"/>
        <w:rPr>
          <w:sz w:val="20"/>
          <w:szCs w:val="20"/>
          <w:color w:val="auto"/>
        </w:rPr>
      </w:pPr>
    </w:p>
    <w:p>
      <w:pPr>
        <w:jc w:val="both"/>
        <w:ind w:left="660" w:hanging="328"/>
        <w:spacing w:after="0" w:line="286" w:lineRule="auto"/>
        <w:tabs>
          <w:tab w:leader="none" w:pos="65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Subscription Agreements to be received substantially concurrently with the Closing, must equal or exceed $300,000,000, following (i) payment of the aggregate amount of cash proceeds that will be required to satisfy any exercise of the redemptions by the Company stockholders, and (ii) payment of all Company and Sema4 transaction costs;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shares of Company common stock to be issued in connection with the Merger must have been approved for listing on the Nasdaq.</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material adverse effect must have occurred since the date of the Merger Agreement and be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abandoned:</w:t>
      </w:r>
    </w:p>
    <w:p>
      <w:pPr>
        <w:spacing w:after="0" w:line="171" w:lineRule="exact"/>
        <w:rPr>
          <w:sz w:val="20"/>
          <w:szCs w:val="20"/>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mutual written consent of the Company and Sema4;</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either the Company or Sema4 if the transactions contemplated by the Merger Agreement have not been consummated by November 9, 2021 (the “</w:t>
      </w:r>
      <w:r>
        <w:rPr>
          <w:rFonts w:ascii="Arial" w:cs="Arial" w:eastAsia="Arial" w:hAnsi="Arial"/>
          <w:sz w:val="18"/>
          <w:szCs w:val="18"/>
          <w:i w:val="1"/>
          <w:iCs w:val="1"/>
          <w:color w:val="auto"/>
        </w:rPr>
        <w:t>Outside Date</w:t>
      </w:r>
      <w:r>
        <w:rPr>
          <w:rFonts w:ascii="Arial" w:cs="Arial" w:eastAsia="Arial" w:hAnsi="Arial"/>
          <w:sz w:val="18"/>
          <w:szCs w:val="18"/>
          <w:color w:val="auto"/>
        </w:rPr>
        <w:t>”); provided, however, that the right to terminate is not available to any party whose action or failure to act has been a principal cause of or resulted in the failure of the transactions to occur on or before such date and such action or failure to act constitutes a breach of the Merger Agreement;</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by either the Company or Sema4 if a governmental entity has issued an order or taken any other action, in any case having the effect of permanently restraining, enjoining or otherwise prohibiting the transactions contemplated by the Merger Agreement, including the Merger, which order or other action is final and nonappealable; or</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by either the Company or Sema4, if, at the Special Meeting (including any adjournments thereof), the required approvals are not duly adopted by the stockholders of the Company by the requisite vote under the DGCL and the organizational documents of the Company.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89" w:lineRule="auto"/>
        <w:tabs>
          <w:tab w:leader="none" w:pos="6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by Sema4, upon a breach of any representation, warranty, covenant or agreement set forth in the Merger Agreement on the part of the Company or Merger Sub, or if any representation or warranty of the Company or Merger Sub must have become untrue, in either case such that the conditions set forth in the Merger Agreement would not be satisfied as of the time of such breach or as of the time such representation or warranty must have become untrue; provided, that if such breach by the Company or Merger Sub is curable by the Company or Merger Sub prior to the Closing, then the Company must first provide written notice of such breach and may not terminate the Merger Agreement until the earlier of: (i) 30 days after delivery of written notice from Sema4 to the Company of such breach; and (ii) the Outside Date; provided, further, that each of the Company and Merger Sub continues to exercise commercially reasonable efforts to cure such breach (it being understood that Sema4 may not terminate the Merger Agreement if: (A) it must have materially breached the Merger Agreement and such breach has not been cured; or (B) if such breach by the Company or Merger Sub is cured during such 30-day period); or</w:t>
      </w:r>
    </w:p>
    <w:p>
      <w:pPr>
        <w:spacing w:after="0" w:line="112"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 Sema4, if the redemptions by the Company stockholders results in the trust account funds being insufficient to cover required payments at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termination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may be terminated and the transactions contemplated thereby abandoned:</w:t>
      </w:r>
    </w:p>
    <w:p>
      <w:pPr>
        <w:spacing w:after="0" w:line="171" w:lineRule="exact"/>
        <w:rPr>
          <w:sz w:val="20"/>
          <w:szCs w:val="20"/>
          <w:color w:val="auto"/>
        </w:rPr>
      </w:pPr>
    </w:p>
    <w:p>
      <w:pPr>
        <w:jc w:val="both"/>
        <w:ind w:left="660" w:hanging="328"/>
        <w:spacing w:after="0" w:line="271" w:lineRule="auto"/>
        <w:tabs>
          <w:tab w:leader="none" w:pos="6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by the Company, upon a breach of any representation, warranty, covenant or agreement set forth in the Merger Agreement on the part of Sema4 or if any representation or warranty of Sema4 must have become untrue, in either case such that the conditions set forth in the Merger Agreement would not be satisfied as of the time of such breach or as of the time such representation or warranty must have become untrue; provided, that if such breach is curable by Sema4 prior to the Closing, then the Company must first provide written notice of such breach and may not terminate the Merger Agreement until the earlier of: (i) 30 days after delivery of written notice from the Company to Sema4 of such breach; and (ii) the Outside Date; provided, further, that Sema4 continues to exercise commercially reasonable efforts to cure such breach (it being understood that the Company may not terminate the Merger Agreement if: (A) it must have materially breached the Merger Agreement and such breach has not been cured; or (B) if such breach by Sema4 is cured during such 30-day period);</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by the Company within twenty-four hours of February 11, 2021 if the Sema4 approval is not obtained by such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Termination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the event of termination of the Merger Agreement, such termination will be effective immediately upon the delivery of written notice of the terminating party to the other parties. If the Merger Agreement is validly terminated, the agreement will become void without any liability on the part of any of the parties, unless a party willfully breached the Merger Agreement or committed intentional fraud in the making of the representations and warranties in the Merger Agreement. However, the provisions concerning Sema4’s waiver of any claims against the Trust Account, confidentiality, termination and certain other technical provisions will continue in effect notwithstanding termination of the Merger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w:t>
      </w:r>
    </w:p>
    <w:p>
      <w:pPr>
        <w:spacing w:after="0" w:line="17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Merger Agreement may be amended by the parties at any time by execution of an instrument in writing signed on behalf of each of the parties; provided that, following the receipt of approval of the transactions contemplated by the Merger Agreement by the Sema4 stockholders, there shall be no amendment to the Merger Agreement (or any of the provisions hereof) which under the DGCL or other Applicable Legal Requirements would require further approval by the stockholders of Sema4 in accordance with the organizational documents of Sema4 without such approval.</w:t>
      </w:r>
    </w:p>
    <w:p>
      <w:pPr>
        <w:spacing w:after="0" w:line="117" w:lineRule="exact"/>
        <w:rPr>
          <w:sz w:val="20"/>
          <w:szCs w:val="20"/>
          <w:color w:val="auto"/>
        </w:rPr>
      </w:pPr>
    </w:p>
    <w:p>
      <w:pPr>
        <w:jc w:val="both"/>
        <w:ind w:left="660" w:hanging="328"/>
        <w:spacing w:after="0" w:line="290" w:lineRule="auto"/>
        <w:tabs>
          <w:tab w:leader="none" w:pos="6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First Amendment: Immediately prior to entering into the Merger Agreement, Sema4 allocated “earnout” restricted stock units (“Earnout RSUs”) to certain employees, to be granted following the closing of the merger, with such Earnout RSUs representing the opportunity to participate in the earnout (to the extent achieved and subject to the cap on earnout shares to be issued). In the event any such Earnout RSUs are forfeited following the closing of the merger (e.g., an employee is no longer employed by Sema4), the Merger Agreement provides for a forfeiture pool in respect of the earnout shares that were originally allocated to such forfeited Earnout RSUs, with such earnout shares to instead become available for issuance to other Sema4 stockholders and remaining holders of Earnout RSUs in the event the earnout is achieved. Sema4’s accountants interpreted two sentences in the Merger Agreement to provide for issuance of shares out of the forfeiture pool regardless of whether the earnout is achieved. The amendment clarifies that any earnout deemed to be included in the forfeiture pool will only be issued if the earnout is actually achieved.</w:t>
      </w:r>
    </w:p>
    <w:p>
      <w:pPr>
        <w:spacing w:after="0" w:line="111"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Second Amendment: In order to avoid any possibility for confusion about the number of shares of CM Life Sciences shares to be issued at closing, counsel for Sema4 has requested a modification to the definition of “Closing Number of Securities” contained in the Merger Agreement. Specifically, the pro forma number of shares authorized to be issued at closing needs to include “in-the-money” options per calculations on a treasury stock basis, which can be immediately exercised for shares. While the “Per Share Amount” and other defined terms take this into account, the “Closing Number of Securities” definition does not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do so. The amendment will address this point to avoid any possible confusion or inconsistencies. It is simply a clarification of the way options were intended to be treated consistent with the other provisions of the Merger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Performance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parties to the Merger Agreement agree that it may be difficult to prove damages with reasonable certainty or to procure suitable substitute performance, and that injunctive relief and/or specific performance will not cause an undue hardship to the parties. Each of the parties to the Merger Agreement therefore agree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Market Listing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Application will be made by the Company to have the shares of Company common stock to be issued in the merger approved for listing on Nasdaq, which is the principal trading market for existing shares of Company common stock. It is a condition to Sema4’s obligation to complete the merger that such approval is obtained, subject to official notice of issuance.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with respect to all filing and other fees in connection with any filing under the HSR Act, 50% of which will be borne by the Company and 50% of which will be borne by Sema4, and certain other specified fees and expenses, all costs and expenses incurred in connection with the Merger Agreement will be paid by the party incurring such cost or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Business Combination are the result of negotiations among the representatives of CMLS and Sema4. The following is a brief description of the background of these negotiations and the resulting Business Combination.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CMLS is a blank check company incorporated in Delaware on July 10, 2020 and formed for the purpose of effecting a merger, capital stock exchange, asset acquisition, stock purchase, reorganization or similar business combination with one or more businesses. Our intention was to capitalize on the substantial deal sourcing, investing and operating expertise of our management team to identify and combine with one or more businesses in the life sciences industry, where there is an opportunity to create significant shareholder value by assisting companies in accessing the public markets to provide capital to facilitate the growth of their business.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4, 2020, we consummated our initial public offering (“IPO”) of 44,275,000 units, with each unit consisting of one share of Class A common stock and one warrant, generating total gross proceeds of $442,750,000. Prior to the consummation of our IPO, our Sponsor purchased 10,062,500 founder shares for an aggregate purchase price of $25,000, or approximately $0.002 per share. Simultaneously with the consummation of our IPO, we consummated the private sale of 7,236,667 warrants to our Sponsor and certain of our directors, each of which entitles the holder to purchase one share of CMLS Class A common stock at an exercise price of $11.50 per share, at a price of $1.50 per warrant, generating gross proceeds of approximately $10,855,000.</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consummation of our IPO, neither CMLS, nor anyone on its behalf, engaged in any substantive discussions, directly or indirectly, with any business combination target with respect to an initial business combination with CMLS.</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After our IPO, our officers and directors began evaluating prospective businesses or assets to acquire in our initial business combination. Mr. Casdin was familiar with a number of companies that might be of interest to CLMS based upon his experience in the life sciences industry and representatives of CMLS were contacted by, and representatives of CMLS contacted, numerous individuals, financial advisors and other entities regarding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combination opportunities. Our officers and directors and their affiliates also provided advice regarding target business candidates.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this search process, CMLS and its board of directors considered and discussed approximately 20 potential business combination opportunities that were relevant in terms of sector and size. This group was narrowed down to a smaller group of high potential opportunities based on internal assessment of the companies’ operations, management teams and financial performance and prospects. Representatives of CMLS also discussed potential business combination opportunities with investment bankers and private equity sponsors who offered further insights on specific companies and the search process in general.</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CMLS sent draft letters of intent (each, an “LOI”) to four companies between September 19, 2021 and October 12, 2021, which included Sema4. LOI drafts were sent only to companies that CMLS felt were real prospects to partner with and who were also looking to transition to the public markets. In considering potential targets, CMLS focused on companies that had potential scientific or other business advantages in the markets in which they operate, had strong and experienced management teams or key personnel and were expected to offer attractive risk-adjusted equity returns for CMLS stockholders. CMLS also considered the potential targets’ overall knowledge of the sector within which they operate, any existing relationships that the CMLS board of directors had with management, the backgrounds and experience of the key personnel of the potential targets, the size and maturity of the potential targets, including if any were ready for the public markets, and the growth profile of the potential targets. CMLS continued to evaluate and have discussions with potential targets until execution of an LOI with Sema4 on January 22, 2021 as described below, which contained a binding exclusivity provision.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regards to the four companies to whom CMLS sent draft LOIs:</w:t>
      </w:r>
    </w:p>
    <w:p>
      <w:pPr>
        <w:spacing w:after="0" w:line="171" w:lineRule="exact"/>
        <w:rPr>
          <w:sz w:val="20"/>
          <w:szCs w:val="20"/>
          <w:color w:val="auto"/>
        </w:rPr>
      </w:pPr>
    </w:p>
    <w:p>
      <w:pPr>
        <w:jc w:val="both"/>
        <w:ind w:left="660" w:hanging="328"/>
        <w:spacing w:after="0" w:line="255"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A was presented as a competitive bidding process by an investment bank engaged by Company A. Representatives of the investment bank informed CMLS of the valuation Company A was seeking in the transaction. CMLS’ management was familiar with the company and the founding CEO and submitted an LOI with the goal of completing a deeper due diligence review. CMLS was granted access to the data room and deeper due diligence meetings were conducted to discuss Company A, CMLS’ vision for the company, and the potential approach to working together. Company A ultimately decided to proceed with another SPAC business combination based on a significant strategic partnership opportunity.</w:t>
      </w:r>
    </w:p>
    <w:p>
      <w:pPr>
        <w:spacing w:after="0" w:line="138"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B was a company in which Casdin Capital had previously invested and an LOI was extended to complete deeper due diligence with a view to finalizing potential valuation terms. Potential terms were discussed with Company B and they moved ahead with an alternative transaction after multiple conversations about the future path for the company.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Company C was a company Casdin Capital had previously invested in. CMLS management concluded that the complexity of the transaction would be significant and there were significant timing risks that CMLS was not comfortable bearing.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parallel to the foregoing, CMLS was engaging with management of Sema4 as set forth below.</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6, 2020, Eli D. Casdin, CEO of CMLS, and Shaun Rodriguez, Chief Strategy Officer of CMLS, contacted Eric Schadt, CEO of Sema4, in an introductory call to inquire about the status of Sema4, growth opportunities in the diagnostic sector and as to whether Sema4 might be interested in exploring access to the public markets in a business combination with CMLS.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5, 2020, Messrs. Casdin and Rodriguez hosted a dinner with Dr. Schadt to discuss Sema4, its current size, growth opportunities and Sema4’s interest in pursuing a transaction with CMLS. During this dinner, the parties discussed growth opportunities, competitive dynamics, strategic partnership ideas, considerations for valuation and information regarding CMLS.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Shortly thereafter, CMLS commenced working with Jefferies LLC (“Jefferies”) to provide market and financial advice on the potential transaction and the industry generally. Jefferies was familiar with CMLS as the underwriter for CMLS’s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11, 2020, CMLS’s board of directors held a meeting and the board was briefed on a number of possible targets from the life science tools and diagnostic sectors, including Sema4 and Companies A, B and C referred to above. The board’s discussion focused on the perceived “readiness” of the potential targets to formally pursue a SPAC merger and a public transition.</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18, 2020, Keith Meister, Chairman of CMLS, Mr. Casdin and Mr. Rodriguez had a conversation with Dr. Schadt regarding Sema4’s business and the opportunities presented by a potential combination with CMLS.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25, 2020, a video and audio conference was held between representatives of CMLS, including Mr. Meister, Mr. Casdin, Mr. Rodriguez and other members of CMLS’s senior management team, and representatives of Sema4, including Dr. Schadt, James Coffin, Sema4’s President and Chief Operating Officer, Joel Sendek, Sema4’s Chief Financial Officer at the time, and other members of Sema4’s senior management team. During this conference, Sema4’s representatives went through a detailed overview of Sema4’s business.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29, 2020 and December 1, 2020, additional meetings took place between the CMLS team and the Sema4 leadership team to continue to respond to due diligence questions.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8, 2020, CMLS leadership was introduced to a subset of the Sema4 board to discuss CMLS’s vision and why the team believed this was the right transaction for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12, 2020, CMLS provided information and background materials to Sema4 on its management and Board, including materials regarding their experience in the life sciences industry, its capital and corporate structure in addition to a draft LOI in connection with seeking to further explore the potential for a business combination. The LOI outlined certain proposed terms for a possible business combination, including ascribing a pre-money equity value of $1.75 billion to Sema4; that sources of funds would be expected to include up to $443 million of cash available from the trust account and $300 million from existing Forward Purchase Agreements and from certain institutional investors under private placement agreements (the “PIPE transactions”). The merger consideration would be paid in a combination of up to $343 million cash consideration to sellers of Sema4, cash to the balance sheet and in shares of the Company’s common stock, at $10.00 per share.</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the end of 2020, representatives of CMLS and Sema4 engaged in a number of discussions about the possibility of a combination between the two companies, and the possible terms of the LOI. CMLS engaged in additional due diligence at this time and, as a result of the discussions, concluded on an initial basis that a combination between CMLS and Sema4 presented strong prospects for CMLS’s shareholders. This initial conclusion was based on Sema4’s knowledge of the sector, the backgrounds and experience of Sema4’s key personnel, the size and maturity of the company, including its public market readiness, and the growth profile of the company.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30, 2020, following the above-referenced conversations between the parties, CMLS delivered an updated draft of the LOI to Sema4 and its representatives, including Goldman Sachs &amp; Co. LLC (“Goldman Sachs”). This draft of the LOI increased the pre-money equity value ascribed to Sema4 to $2 billion.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5 and January 6, 2021, Fenwick comments to the LOI noted that the valuation and associated cash figures remained subject to further business discussion. Fenwick’s comments also, among other changes, (a) limited the Sema4 seller lock-up to directors, executives and 1% holders; (b) proposed that sponsor shares and warrants be subject to certain forfeiture terms; (c) proposed a price-based earn-out in favor of Sema4 sellers; and (d) proposed more detail around certain terms of a proposed LTIP and ESPP.</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8, 2021, CMLS returned a revised draft LOI with changes, among others, proposing different terms for the Sema4 seller earn-out shares, including number of trading days (30 consecutive trading days), measurement period (365 days) and price triggers, in each case, as more expressly set forth therein.</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14, 2021, the CMLS team and the Sema4 management team met virtually to discuss investor receptivity to their story at the JPMorgan Healthcare Conference. The meeting included Dr. Schadt, Dr. Coffin and Michelle Zimmerman, SVP &amp; GM of Oncology Solutions, from Sema4. The Sema4 investment banking team were represented and led by Bartosz Ostenda and included Hank Y. Yeh, Isaac Scott-Young, Lizzie H. Carr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Alexandria Brown. The Sema4 team reviewed the presentation they had been sharing with potential investors at the JPMorgan Healthcare Conference and talked about investor engagement and feedback from the previous few days.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21, 2021, based on the dialogue over the prior weeks, CMLS received additional comments to the LOI from Goldman Sachs and Fenwick, reflecting ongoing conversations between the parties. Comments included that the transaction be detailed in a proxy statement and shares registered in a private placement, versus a registration statement on Form S-4; that up to 33% of the Sponsor’s shares and warrants be subject to forfeiture based on a sliding scale detailed in the LOI, tied to redemptions from the Trust Account; and a 24 month period for the price-based earn-out, with Company share price tied to 20 out of 30 trading days during such period.</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22, 2021, CMLS and Sema4 entered into the non-binding LOI with respect to the Business Combination, generally consistent with the terms that had been negotiated during the prior 24 days, but reserving or bracketing certain items to be further negotiated during the negotiation of definitive documentation, including (a) PIPE timing and (b) certain terms of the LTIP and ESPP. The LOI contained a binding mutual exclusivity provision for a period of up to 45 days from signing. In addition, on January 22, 2021, Dr. Schadt, the CMLS leadership team including Mr. Casdin and Mr. Meister and the some of the Sema4 board members including Andrew ElBardissi, David Windreich and Joshua Ruch met to discuss transaction strategy, merger and acquisition potential and the PIPE investor process.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24, 2021, CMLS’s board of directors held a board meeting and the board was advised by Mr. Meister, Mr. Casdin and Mr. Rodriguez that the LOI had been executed. At the meeting, the board discussed the valuation and other terms of the LOI, Sema4’s position in its industry sector, the backgrounds and experience of Sema4’s key personnel, the size and maturity of Sema4 and its operations, including its public market readiness, and the growth profile of Sema4.</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Following execution of the LOI, the parties and their respective legal counsels began to draft and negotiate the definitive agreements governing the transaction and on January 23, 2021 CMLS and its advisors commenced detailed due diligence on Sema4, including on documents provided by Sema4 as part of the diligence process. The parties also prepared an investor presentation for meetings with certain targeted PIPE investors.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25, 2021, CMLS’s and Sema4’s management, including Mr. Meister, Mr. Casdin and Dr. Schadt, began the PIPE investor information sessions, which continued over the next several days.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January 28, 2021 and over the next several weeks, representatives of CMLS’s team including, Mr. Casdin, Mr. Meister, Mr. Rodriguez and representatives of Sema4 including, Dr. Schadt, Kareem Saad, Sema4’s Chief Business Officer and Daniel Clark, Sema4’s General Counsel, held telephonic conferences and virtual meetings to discuss commercial, financial and legal elements of Sema4’s business. Representatives of CMLS and Sema4 also discussed product development initiatives and associated timelines and budget considerations, competitive dynamics, operational matters, and potential opportunities for strategic partnerships or acquisitions to accelerate growth strategy.</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February 7, 2021, CMLS’s board of directors held a board meeting via video conference to discuss the business combination, commitments and support from existing and prospective stockholders and the terms of the definitive agreements.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9, 2021, CMLS’s board of directors met via video conference and unanimously voted in favor of proceeding with the business combination with Sema4. The board of directors executed a unanimous written consent approving the definitive agreement, the Subscription Agreements, the Amendment of the CMLS Certificate of Incorporation and the transactions contemplated in the Business Combination.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February 9, 2021, the parties entered into the business combination agreement and CMLS entered into the Subscription Agreements for the Private Placement. On February 10, 2021, CMLS and Sema4 issued a press release announcing the Business Combination and filed a Form 8-K announcing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CMLS Board of Directors’ Reasons for the Approval of the Business Combination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9, 2021, in reaching unanimous resolution (i) that the terms and conditions of the Merger Agreement and the business combination are advisable, fair to and in the best interests of the Company and its stockholders and (ii) to recommend that the stockholders adopt the Merger Agreement and approve the business combination, the Board considered and evaluated a number of factors, including, but not limited to, the factors discussed below. In light of the number and wide variety of factors considered in connection with its evaluation of the business combination,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business combination and all other information presented in this section is forward-looking in nature and, therefore, should be read in light of the factors discussed under the section entitled “Cautionary Statement Regarding Forward-Looking Statements.”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reaching its decision on February 9, 2021, the Board of Directors considered the views of CMLS Management regarding the opportunity represented by the proposed transaction and the report from Management and the company’s legal counsel on the results of their due diligence of Sema4. The diligence investigation included:</w:t>
      </w:r>
    </w:p>
    <w:p>
      <w:pPr>
        <w:spacing w:after="0" w:line="130"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Public research on the life sciences industry and its prospects and review of Sema4’s historical financial performance and forecasts;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Conference call meetings with Sema4’s management and representatives regarding operations, company services, intellectual property, major suppliers, partners and customers, and growth prospects, both organic and through possible acquisitions, among other customary due diligence matters;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Review of Sema4’s material business contracts and certain other legal and intellectual property due diligence;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Financial and accounting due diligence.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prospectus for our IPO, we identified general criteria and guidelines that we believed would be considered in evaluating prospective target businesses, although we indicated we may enter into a business combination with a target business that does not meet these criteria and guidelines. The Board was of the view that Sema4 appeared to meet such criteria of having:</w:t>
      </w:r>
    </w:p>
    <w:p>
      <w:pPr>
        <w:spacing w:after="0" w:line="130"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Potential scientific or other business advantages or opportunities in the markets in which it operates;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strong and experienced management teams or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potential to offer attractive risk-adjusted equity returns for our shareholders.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Board considered a number of factors pertaining to the business combination as generally supporting its decision to enter into the Merger Agreement and the business combination, including but not limited to, the above and following material factors: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Opportunities Arising from Sema4’s Business and Growth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considered Sema4's focus on the opportunities arising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patient-centric model, open architecture for partnerships, and a collaborative focus on key industry partners, including health systems and pharmaceutical companies that should drive growth, and that the additional cash available to Sema4 from the transaction should permit Sema4 to accelerate its business plan beyond the stand alone plan provided by Sema4.</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7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Committed and Capable Management Team</w:t>
      </w:r>
      <w:r>
        <w:rPr>
          <w:rFonts w:ascii="Arial" w:cs="Arial" w:eastAsia="Arial" w:hAnsi="Arial"/>
          <w:sz w:val="17"/>
          <w:szCs w:val="17"/>
          <w:color w:val="auto"/>
        </w:rPr>
        <w:t>. The Board considered that Sema4 has an experienced and professional management team. Founder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Executive Officer Eric Schadt has built groups and companies throughout the industry to elucidate the complexity of human diseases, and he has published more than 450 peer-reviewed papers in leading scientific journals and contributed to discoveries relating to the genetic basis of common human diseases such as diabetes, obesity, and Alzheimer’s disease.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CFO Isaac Ro has over 20 years of financial leadership and experience, with a strong focus on the medical technology and life sciences space.</w:t>
      </w:r>
    </w:p>
    <w:p>
      <w:pPr>
        <w:spacing w:after="0" w:line="194" w:lineRule="exact"/>
        <w:rPr>
          <w:sz w:val="20"/>
          <w:szCs w:val="20"/>
          <w:color w:val="auto"/>
        </w:rPr>
      </w:pPr>
    </w:p>
    <w:p>
      <w:pPr>
        <w:ind w:left="66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for Key Industry Partnerships</w:t>
      </w:r>
      <w:r>
        <w:rPr>
          <w:rFonts w:ascii="Arial" w:cs="Arial" w:eastAsia="Arial" w:hAnsi="Arial"/>
          <w:sz w:val="18"/>
          <w:szCs w:val="18"/>
          <w:color w:val="auto"/>
        </w:rPr>
        <w:t>. The Sema4 board and management team includes individuals with relationships across the industry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allow Sema4 to strategically align itself for synergistic partnerships with other companies in the industry.</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Potential to Grow through both organic and inorganic opportunities</w:t>
      </w:r>
      <w:r>
        <w:rPr>
          <w:rFonts w:ascii="Arial" w:cs="Arial" w:eastAsia="Arial" w:hAnsi="Arial"/>
          <w:sz w:val="18"/>
          <w:szCs w:val="18"/>
          <w:color w:val="auto"/>
        </w:rPr>
        <w:t>. The Board considered that Sema4 has the potential to grow organically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its team of data scientists and engineers focused on category-defining healthcare intelligence. In addition, Sema4 is in an industry with opportunities and rationale for inorganic growth through acquisitions of complementary businesses in addition to organic growth. The ability to take advantage of these opportunities is expected to be facilitated by the additional cash being made available to Sema4 as a result of the business combination.</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 of adding members of CM Life’s Board to the board of Sema4</w:t>
      </w:r>
      <w:r>
        <w:rPr>
          <w:rFonts w:ascii="Arial" w:cs="Arial" w:eastAsia="Arial" w:hAnsi="Arial"/>
          <w:sz w:val="18"/>
          <w:szCs w:val="18"/>
          <w:color w:val="auto"/>
        </w:rPr>
        <w:t>. The Board considered that the addition of members of the CM Life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Sema4 board as part of the business combination will provide Sema4 with additional Board members experienced in the life sciences industry and with experience as member of the board of a public company.</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Familiarity of Management with Sema4</w:t>
      </w:r>
      <w:r>
        <w:rPr>
          <w:rFonts w:ascii="Arial" w:cs="Arial" w:eastAsia="Arial" w:hAnsi="Arial"/>
          <w:sz w:val="17"/>
          <w:szCs w:val="17"/>
          <w:color w:val="auto"/>
        </w:rPr>
        <w:t>. The fact that certain members of management of CMLS associated with Casdin Capital had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familiarity with Sema4 and the information about Sema4’s business and growth opportunities that was presented to the Board.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Alternatives</w:t>
      </w:r>
      <w:r>
        <w:rPr>
          <w:rFonts w:ascii="Arial" w:cs="Arial" w:eastAsia="Arial" w:hAnsi="Arial"/>
          <w:sz w:val="18"/>
          <w:szCs w:val="18"/>
          <w:color w:val="auto"/>
        </w:rPr>
        <w:t>. The Board believed that the proposed Business Combination represents an excellent opportunity for CM Life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based upon its view of the growth prospects and risks associated with Sema4 and its business, and at the time it approved the transaction had not identified another target that it determined would represent a preferred transaction opportunity.</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Terms of the Merger Agreement</w:t>
      </w:r>
      <w:r>
        <w:rPr>
          <w:rFonts w:ascii="Arial" w:cs="Arial" w:eastAsia="Arial" w:hAnsi="Arial"/>
          <w:sz w:val="18"/>
          <w:szCs w:val="18"/>
          <w:color w:val="auto"/>
        </w:rPr>
        <w:t>. The Board considered the terms and conditions of the Merger Agreement and the transactions contemplated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thereby, including the Business Combination. In particular the Board noted the limited number of conditions to closing of the business combination.</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PIPE Equity Commitment</w:t>
      </w:r>
      <w:r>
        <w:rPr>
          <w:rFonts w:ascii="Arial" w:cs="Arial" w:eastAsia="Arial" w:hAnsi="Arial"/>
          <w:sz w:val="18"/>
          <w:szCs w:val="18"/>
          <w:color w:val="auto"/>
        </w:rPr>
        <w:t>. A group of institutional investors and our Sponsor have committed approximately $350 million in PIPE subscriptions,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$255 million of which are from investors not associated with our Sponsor. This was viewed as support from institutional investors for the opportunities represented by the transaction, and provides for additional capital for the execution by Sema4 of its business plan after the transaction is completed.</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Sellers Retained Interest</w:t>
      </w:r>
      <w:r>
        <w:rPr>
          <w:rFonts w:ascii="Arial" w:cs="Arial" w:eastAsia="Arial" w:hAnsi="Arial"/>
          <w:sz w:val="18"/>
          <w:szCs w:val="18"/>
          <w:color w:val="auto"/>
        </w:rPr>
        <w:t>. Sema4’s shareholders’ retention of a large stake in the business combination shows ongoing commitment and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post-business combination company.</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6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Dependence on Key Personnel</w:t>
      </w:r>
      <w:r>
        <w:rPr>
          <w:rFonts w:ascii="Arial" w:cs="Arial" w:eastAsia="Arial" w:hAnsi="Arial"/>
          <w:sz w:val="18"/>
          <w:szCs w:val="18"/>
          <w:color w:val="auto"/>
        </w:rPr>
        <w:t>. The fact that the business and growth of Sema4 is significantly dependent on its senior executives, including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its Chief Executive Officer.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Liquidation of the Company</w:t>
      </w:r>
      <w:r>
        <w:rPr>
          <w:rFonts w:ascii="Arial" w:cs="Arial" w:eastAsia="Arial" w:hAnsi="Arial"/>
          <w:sz w:val="18"/>
          <w:szCs w:val="18"/>
          <w:color w:val="auto"/>
        </w:rPr>
        <w:t>. The risks and costs to the Company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the Company being unable to effect a business combination, forcing the Company to liquidate.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Stockholder Vote</w:t>
      </w:r>
      <w:r>
        <w:rPr>
          <w:rFonts w:ascii="Arial" w:cs="Arial" w:eastAsia="Arial" w:hAnsi="Arial"/>
          <w:sz w:val="17"/>
          <w:szCs w:val="17"/>
          <w:color w:val="auto"/>
        </w:rPr>
        <w:t>. The risk that the Company’s stockholders may fail to provide the votes necessary to effect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44" w:lineRule="exact"/>
        <w:rPr>
          <w:sz w:val="20"/>
          <w:szCs w:val="20"/>
          <w:color w:val="auto"/>
        </w:rPr>
      </w:pPr>
    </w:p>
    <w:p>
      <w:pPr>
        <w:ind w:left="66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the Company’s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Other Risks</w:t>
      </w:r>
      <w:r>
        <w:rPr>
          <w:rFonts w:ascii="Arial" w:cs="Arial" w:eastAsia="Arial" w:hAnsi="Arial"/>
          <w:sz w:val="18"/>
          <w:szCs w:val="18"/>
          <w:color w:val="auto"/>
        </w:rPr>
        <w:t>. Various other risks associated with the business combination, the business of the Company and the business of Sema4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“Risk Factors.”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Board also considered that certain of the officers and directors of the Company may have interests in the Business Combination as individuals that are in addition to, and that may be different from, the interests of the Company’s shareholders (see “The Business Combination — Interests of Certain Persons in the Business Combination”). The Company’s independent directors reviewed and considered these interests during the negotiation of the Business Combination and in evaluating and approving, as members of the Company Board, the Business Combination Agreement and the transactions contemplated therein, including the Business Combination.</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concluded that the potential benefits that it expected the Company and its stockholders to achieve as a result of the business combination outweighed the potentially negative factors associated with the business combination. Accordingly, the Board unanimously determined that the Merger Agreement and the business combination were advisable, fair to, and in the best interests of, the Company and its stockholders. For more information about our decision-making process, please see the section entitled “</w:t>
      </w:r>
      <w:r>
        <w:rPr>
          <w:rFonts w:ascii="Arial" w:cs="Arial" w:eastAsia="Arial" w:hAnsi="Arial"/>
          <w:sz w:val="18"/>
          <w:szCs w:val="18"/>
          <w:i w:val="1"/>
          <w:iCs w:val="1"/>
          <w:color w:val="auto"/>
        </w:rPr>
        <w:t>Proposal No. 1 — Approval of the Business Combination — The Board of Directors’ Reasons</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Approval of the 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Company Analysis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CMLS management’s review of the Business Combination included a comparable company analysis to assess the value that the public markets would likely ascribe to CMLS following a business combination with Sema4 and this analysis was shown to the CMLS Board. The comparable company analysis was prepared by CMLS management in consultation with Sema4’s management. The valuation analysis was based on public companies with diagnostic testing solutions in the areas of (1) women’s health and (2) oncology. The comparable companies were selected by CMLS as publicly traded companies having common characteristics with Sema4, which primarily derived its revenues as of the preparation of the analysis from testing in the areas of women’s health and oncology. The comparable companies in this analysis consisted of Progenity, Inc., Myriad Genetics, Inc., Natera, Inc., Invitae Corporation, Guardant Health, Inc., and NeoGenomics Laboratories, Inc. While these companies may share certain characteristics that are similar to those of Sema4, the CMLS Board did not consider any of these companies to be identical in nature to Sema4.</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Using the most recent publicly available information, CMLS management derived each comparable company’s one-year forward enterprise value to revenue multiple for 2021 and then developed an average multiple for each therapeutic area (women’s health and oncology). The average multiple for each therapeutic area is provided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Company</w:t>
            </w:r>
          </w:p>
        </w:tc>
        <w:tc>
          <w:tcPr>
            <w:tcW w:w="1800" w:type="dxa"/>
            <w:vAlign w:val="bottom"/>
          </w:tcPr>
          <w:p>
            <w:pPr>
              <w:jc w:val="right"/>
              <w:ind w:right="216"/>
              <w:spacing w:after="0"/>
              <w:rPr>
                <w:sz w:val="20"/>
                <w:szCs w:val="20"/>
                <w:color w:val="auto"/>
              </w:rPr>
            </w:pPr>
            <w:r>
              <w:rPr>
                <w:rFonts w:ascii="Arial" w:cs="Arial" w:eastAsia="Arial" w:hAnsi="Arial"/>
                <w:sz w:val="14"/>
                <w:szCs w:val="14"/>
                <w:b w:val="1"/>
                <w:bCs w:val="1"/>
                <w:color w:val="auto"/>
              </w:rPr>
              <w:t>EV / CY21 Revenue</w:t>
            </w:r>
          </w:p>
        </w:tc>
      </w:tr>
      <w:tr>
        <w:trPr>
          <w:trHeight w:val="229"/>
        </w:trPr>
        <w:tc>
          <w:tcPr>
            <w:tcW w:w="9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Women’s Health Comparable Companies (Progenity, Myriad Genetics, Natera)</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7.9x</w:t>
            </w:r>
          </w:p>
        </w:tc>
      </w:tr>
      <w:tr>
        <w:trPr>
          <w:trHeight w:val="230"/>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Oncology Comparable Companies (Invitae, Guardant Health, NeoGenomics)</w:t>
            </w:r>
          </w:p>
        </w:tc>
        <w:tc>
          <w:tcPr>
            <w:tcW w:w="1800" w:type="dxa"/>
            <w:vAlign w:val="bottom"/>
          </w:tcPr>
          <w:p>
            <w:pPr>
              <w:jc w:val="right"/>
              <w:spacing w:after="0"/>
              <w:rPr>
                <w:sz w:val="20"/>
                <w:szCs w:val="20"/>
                <w:color w:val="auto"/>
              </w:rPr>
            </w:pPr>
            <w:r>
              <w:rPr>
                <w:rFonts w:ascii="Arial" w:cs="Arial" w:eastAsia="Arial" w:hAnsi="Arial"/>
                <w:sz w:val="18"/>
                <w:szCs w:val="18"/>
                <w:color w:val="auto"/>
              </w:rPr>
              <w:t>20.3x</w:t>
            </w:r>
          </w:p>
        </w:tc>
      </w:tr>
    </w:tbl>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CMLS management considered the projections provided by Sema4 and, in particular, Sema4’s projected revenues for 2021. Given the size and perceived growth potential of Sema4’s oncology business, CMLS management considered it appropriate to rely on the near term projected revenues for its valuation model. The average multiple for each therapeutic area was then applied to Sema4’s 2021 projected revenues within each respective solution to derive Sema4’s implied enterprise value. CMLS did include other revenue from Sema4’s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Biopharma solutions but did not include Sema4’s 2021 projected COVID-19 testing revenues based on its assessment that these revenues were not a core component of Sema4’s longer-term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Once Sema4’s implied enterprise value was derived, CMLS management applied a discount to reflect (1) recent and planned product launches in Sema4’s oncology business, and (2) the fact that the valuation of Natera, one of the comparable companies in the women’s health segment, is favorably impacted by its emerging oncology business while it was being used to value Sema4’s women’s health solution.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Sema4’s implied enterprise value is summarized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Solutions</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Enterprise Value</w:t>
            </w:r>
          </w:p>
        </w:tc>
      </w:tr>
      <w:tr>
        <w:trPr>
          <w:trHeight w:val="229"/>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Total Expected Enterprise Value (including Women’s Health, Oncology and Biopharma Solutions)</w:t>
            </w:r>
          </w:p>
        </w:tc>
        <w:tc>
          <w:tcPr>
            <w:tcW w:w="180" w:type="dxa"/>
            <w:vAlign w:val="bottom"/>
            <w:shd w:val="clear" w:color="auto" w:fill="BFE4FF"/>
          </w:tcPr>
          <w:p>
            <w:pPr>
              <w:spacing w:after="0"/>
              <w:rPr>
                <w:sz w:val="19"/>
                <w:szCs w:val="19"/>
                <w:color w:val="auto"/>
              </w:rPr>
            </w:pP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2353</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 Discount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30"/>
        </w:trPr>
        <w:tc>
          <w:tcPr>
            <w:tcW w:w="968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Total Adjusted</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2,000</w:t>
            </w:r>
          </w:p>
        </w:tc>
      </w:tr>
    </w:tbl>
    <w:p>
      <w:pPr>
        <w:spacing w:after="0" w:line="2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results of this analysis (as described above) supported the CMLS Board’s determination, based on a number of factors, that the Business Combination was fair to and in the best interests of CMLS and its stockholders. Due to the forward-looking nature of this projected information, specific quantifications of the amounts that would be required to reconcile such projected information to GAAP measures are not available and CMLS’s management believes that it is not feasible to provide accurate forecasted non-GAAP reconciliations. Non-GAAP financial measures should not be considered in isolation from, or as a substitute for, financial information presented in compliance with GAAP, and non-GAAP financial measures may not be comparable to similarly titled amounts used by other companies.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Ernst &amp; Young LLP, Sema4’s independent auditors, has not audited, reviewed, examined, compiled nor applied agreed-upon procedures with respect to the accompanying projected financial information and, accordingly, Ernst &amp; Young LLP does not express an opinion or any other form of assurance with respect thereto. The Ernst &amp; Young LLP report included in this proxy statement/prospectus relates to Sema4’s previously issued financial statements. It does not extend to the projected financial information and should not be read to do 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Sema4 Projected Financial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does not as a matter of course make public projections as to future results. Sema4 provided its internally-derived forecasts, prepared in the first quarter of 2021, for each of the years in the four-year period ending December 31, 2023 to CMLS for use as a component of its overall evaluation of Sema4. Such projected financial information is included in this proxy statement because it was provided to the board of directors of CMLS for its evaluation of the Business Combination. Sema4’s projected financial information was not prepared with a view towards public disclosure or compliance with the published guidelines of the SEC or the guidelines established by the American Institute of Certified Public Accountants for preparation and presentation of prospective financial information. These projections were prepared solely for internal use, and were not intended for third-party use, including by investors or stockholders. You are cautioned not to rely on the projections in making a decision regarding the transaction, as the projections may differ materially from actual results.</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projections reflect numerous assumptions, including general business, economic, market, regulatory and financial conditions, competitive uncertainties, and operational assumptions, all of which are difficult to predict and many of which are beyond Sema4’s control, such as the risks and uncertainties contained in the sections titled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Sema4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The projections also assume the timely consummation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The financial projections for revenue and adjusted gross margin (%) provided to CMLS’s board of directors are forward-looking statements that are based on growth assumptions, which are inherently subject to significant uncertainties and contingencies, many of which are beyond Sema4’s control. There will be differences between actual and projected results, and actual results may be materially greater or materially less than those contained in the projections. While all projections are necessarily speculative, notably, statements regarding Sema4’s four-year business plan and yearly forecasts, and summary financial projections are, without limitation, subject to material assumptions regarding Sema4’s ability to increase the number of billable tests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achieve reimbursement for its tests from third-party payers, Sema4’s ability to successfully execute its technology and business development plans and growth strategy, Sema4’s ability to compete in rapidly developing markets, Sema4’s ability to demonstrate the clinical utility of and continue to commercialize its platforms including Centrellis and Traversa, and the continuation of favorable regulations affecting the markets in which the Sema4 operates. Sema4 cautions that its assumptions may not materialize and that market developments and economic conditions may render such assumptions, although believed reasonable at the time they were made, subject to greater uncertainty.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inclusion of the projections in this proxy statement should not be regarded as an indication that Sema4 or its representatives currently consider the projections to be a reliable prediction of actual future events, and reliance should not be placed on the projections to make a decision regarding the transaction.</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EXCEPT AS SET FORTH BELOW AND EXCEPT AS OTHERWISE REQUIRED BY APPLICABLE SECURITIES LAWS, SEMA4 DOES NOT INTEND TO MAKE PUBLICLY AVAILABLE ANY UPDATE OR OTHER REVISION TO THE PROJECTED FINANCIAL INFORMATION. THE PROJECTED FINANCIAL INFORMATION DOES NOT TAKE INTO ACCOUNT ANY CIRCUMSTANCES OR EVENTS OCCURRING AFTER THE DATE THAT INFORMATION WAS PREPARED. READERS OF THIS PROXY STATEMENT ARE CAUTIONED NOT TO RELY ON THE UNAUDITED PROJECTED FINANCIAL INFORMATION SET FORTH BELOW. NONE OF SEMA4, CMLS NOR ANY OF THEIR RESPECTIVE AFFILIATES, OFFICERS, DIRECTORS, ADVISORS OR OTHER REPRESENTATIVES HAS MADE OR MAKES ANY REPRESENTATION TO ANY SEMA4 STOCKHOLDER, CMLS STOCKHOLDER OR ANY OTHER PERSON REGARDING ULTIMATE PERFORMANCE COMPARED TO THE INFORMATION CONTAINED IN THE PROJECTED FINANCIAL INFORMATION OR THAT FINANCIAL AND OPERATING RESULTS WILL BE ACHIEVED.</w:t>
      </w:r>
    </w:p>
    <w:p>
      <w:pPr>
        <w:spacing w:after="0" w:line="1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has not made any representations or warranties regarding the accuracy, reliability, appropriateness or completeness of the projections to anyone, including CMLS. None of Sema4’s board of directors, officers, management or any other representative of Sema4 has made or makes any representation to any person regarding Sema4’s ultimate performance compared to the information contained in the projections, and, except as set forth below, none of them intends to or undertakes any obligation to update or otherwise revise the projections to reflect circumstances existing after the date when made or to reflect the occurrence of future events if any or all of the assumptions underlying the projections are shown to be in error. Accordingly, the projections should not be looked upon as “guidance” of any sort. Sema4 does not intend to refer back to these projections in its future periodic reports filed under the Exchange Act.</w:t>
      </w:r>
    </w:p>
    <w:p>
      <w:pPr>
        <w:spacing w:after="0" w:line="14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projections were prepared by, and are the responsibility of, Sema4’s management. Ernst &amp; Young LLP, Sema4’s independent auditors, have not examined, compiled or otherwise applied procedures with respect to the accompanying projected financial information presented herein and, accordingly, expresses no opinion or any other form of assurance on it. The report of Ernst &amp; Young LLP included in this proxy statement relates to historical financial information of Sema4. It does not extend to the projections and should not be read as if it does. You are encouraged to review the financial statements of Sema4 included in this proxy statement, as well as the financial information provided in the section titled “</w:t>
      </w:r>
      <w:r>
        <w:rPr>
          <w:rFonts w:ascii="Arial" w:cs="Arial" w:eastAsia="Arial" w:hAnsi="Arial"/>
          <w:sz w:val="17"/>
          <w:szCs w:val="17"/>
          <w:i w:val="1"/>
          <w:iCs w:val="1"/>
          <w:color w:val="auto"/>
        </w:rPr>
        <w:t>Selected Historical Consolidated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of Sema4</w:t>
      </w:r>
      <w:r>
        <w:rPr>
          <w:rFonts w:ascii="Arial" w:cs="Arial" w:eastAsia="Arial" w:hAnsi="Arial"/>
          <w:sz w:val="17"/>
          <w:szCs w:val="17"/>
          <w:color w:val="auto"/>
        </w:rPr>
        <w:t>” in this proxy statement and to not rely on any single financial measure.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elements of the projections provided to CMLS are summarized below (in millions of dollars,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tcPr>
          <w:p>
            <w:pPr>
              <w:spacing w:after="0"/>
              <w:rPr>
                <w:sz w:val="18"/>
                <w:szCs w:val="18"/>
                <w:color w:val="auto"/>
              </w:rPr>
            </w:pPr>
          </w:p>
        </w:tc>
        <w:tc>
          <w:tcPr>
            <w:tcW w:w="12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2020E</w:t>
            </w:r>
            <w:r>
              <w:rPr>
                <w:rFonts w:ascii="Arial" w:cs="Arial" w:eastAsia="Arial" w:hAnsi="Arial"/>
                <w:sz w:val="18"/>
                <w:szCs w:val="18"/>
                <w:b w:val="1"/>
                <w:bCs w:val="1"/>
                <w:color w:val="auto"/>
                <w:vertAlign w:val="superscript"/>
              </w:rPr>
              <w:t>(1)</w:t>
            </w:r>
          </w:p>
        </w:tc>
        <w:tc>
          <w:tcPr>
            <w:tcW w:w="420" w:type="dxa"/>
            <w:vAlign w:val="bottom"/>
          </w:tcPr>
          <w:p>
            <w:pPr>
              <w:spacing w:after="0"/>
              <w:rPr>
                <w:sz w:val="18"/>
                <w:szCs w:val="18"/>
                <w:color w:val="auto"/>
              </w:rPr>
            </w:pPr>
          </w:p>
        </w:tc>
        <w:tc>
          <w:tcPr>
            <w:tcW w:w="124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2021E</w:t>
            </w:r>
          </w:p>
        </w:tc>
        <w:tc>
          <w:tcPr>
            <w:tcW w:w="520" w:type="dxa"/>
            <w:vAlign w:val="bottom"/>
          </w:tcPr>
          <w:p>
            <w:pPr>
              <w:spacing w:after="0"/>
              <w:rPr>
                <w:sz w:val="18"/>
                <w:szCs w:val="18"/>
                <w:color w:val="auto"/>
              </w:rPr>
            </w:pPr>
          </w:p>
        </w:tc>
        <w:tc>
          <w:tcPr>
            <w:tcW w:w="11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2022E</w:t>
            </w:r>
          </w:p>
        </w:tc>
        <w:tc>
          <w:tcPr>
            <w:tcW w:w="420" w:type="dxa"/>
            <w:vAlign w:val="bottom"/>
          </w:tcPr>
          <w:p>
            <w:pPr>
              <w:spacing w:after="0"/>
              <w:rPr>
                <w:sz w:val="18"/>
                <w:szCs w:val="18"/>
                <w:color w:val="auto"/>
              </w:rPr>
            </w:pPr>
          </w:p>
        </w:tc>
        <w:tc>
          <w:tcPr>
            <w:tcW w:w="1220" w:type="dxa"/>
            <w:vAlign w:val="bottom"/>
          </w:tcPr>
          <w:p>
            <w:pPr>
              <w:jc w:val="right"/>
              <w:ind w:right="516"/>
              <w:spacing w:after="0"/>
              <w:rPr>
                <w:sz w:val="20"/>
                <w:szCs w:val="20"/>
                <w:color w:val="auto"/>
              </w:rPr>
            </w:pPr>
            <w:r>
              <w:rPr>
                <w:rFonts w:ascii="Arial" w:cs="Arial" w:eastAsia="Arial" w:hAnsi="Arial"/>
                <w:sz w:val="14"/>
                <w:szCs w:val="14"/>
                <w:b w:val="1"/>
                <w:bCs w:val="1"/>
                <w:color w:val="auto"/>
              </w:rPr>
              <w:t>2023E</w:t>
            </w:r>
          </w:p>
        </w:tc>
      </w:tr>
      <w:tr>
        <w:trPr>
          <w:trHeight w:val="184"/>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5"/>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Adjusted gross margin (%)</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174"/>
        </w:trPr>
        <w:tc>
          <w:tcPr>
            <w:tcW w:w="46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ind w:left="340" w:right="360" w:hanging="332"/>
        <w:spacing w:after="0" w:line="255" w:lineRule="auto"/>
        <w:tabs>
          <w:tab w:leader="none" w:pos="332"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In connection with the preparation and completion of Sema4’s 2020 year-end financial statements included elsewhere in this proxy statement, Sema4’s revenue for 2020 was revised to $179.3 million due to a change in estimates as a result of finalizing our accounting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preparation and completion of Sema4’s 2020 year-end financial statements included elsewhere in this proxy statement, management of CMLS and management of Sema4 discussed the previously provided projected financial information for the 2021 to 2023 period, and Sema4 reaffirmed to CMLS all such prior projections as of May 6, 2021 (the date the 2020 year-end financial statements were finalized).</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Sema4’s forecasted financial information, which implied a 38% compound annual growth rate, or CAGR, in estimated revenue between 2021 and 2023, was prepared using a number of assumptions, including the following assumptions that Sema4’s management believed to be material:</w:t>
      </w:r>
    </w:p>
    <w:p>
      <w:pPr>
        <w:spacing w:after="0" w:line="92"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Sema4’s projected diagnostic test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97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Women’s Health revenue continuing to support Sema4’s financial base and growing at a double-digit CAGR between 2021 and 2023, based on the continued strength of Sema4’s genomic testing solutions;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Oncology revenue increasing at greater than 100% CAGR from 2021 to 2023, to approximately 27% of estimated revenue in 2023.</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Sema4’s projected other revenue reflects:</w:t>
      </w:r>
    </w:p>
    <w:p>
      <w:pPr>
        <w:spacing w:after="0" w:line="171" w:lineRule="exact"/>
        <w:rPr>
          <w:rFonts w:ascii="Arial" w:cs="Arial" w:eastAsia="Arial" w:hAnsi="Arial"/>
          <w:sz w:val="18"/>
          <w:szCs w:val="18"/>
          <w:color w:val="auto"/>
        </w:rPr>
      </w:pPr>
    </w:p>
    <w:p>
      <w:pPr>
        <w:ind w:left="980" w:hanging="324"/>
        <w:spacing w:after="0" w:line="277" w:lineRule="auto"/>
        <w:tabs>
          <w:tab w:leader="none" w:pos="100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Increasing pharmaceutical and biotech partnership revenue driven by large strategic partnerships, with revenue from these partnerships increasing to approximately 18% of estimated revenue in 2023;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Emerging secondary insights revenue starting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Nasdaq rules require that the Company’s initial business combination must occur with one or more operating businesses or assets with a fair market value equal to at least 80% of the net assets held in the Trust Account (net of amounts disbursed to management for working capital purposes and excluding the amount of any deferred underwriting discount held in the Trust Account) at the time of the Company’s signing a definitive agreement in connection with its initial business combination. As of February 9, 2021, the date of the execution of the Merger Agreement, the value of the net assets held in the Trust Account was approximately $442,750,000 million and 80% thereof represents approximately $354,200,000 million. In reaching its conclusion that the merger meets the 80% asset test, the Company’s board of directors used as a fair market value the enterprise value of approximately $2 billion, which was implied based on the terms of the transactions agreed to by the parties in negotiating the Merger Agreement. In determining whether the enterprise value described above represents the fair market value of Sema4, the Company’s board of directors considered all of the factors described in this section and the section of this proxy statement entitled “</w:t>
      </w:r>
      <w:r>
        <w:rPr>
          <w:rFonts w:ascii="Arial" w:cs="Arial" w:eastAsia="Arial" w:hAnsi="Arial"/>
          <w:sz w:val="16"/>
          <w:szCs w:val="16"/>
          <w:i w:val="1"/>
          <w:iCs w:val="1"/>
          <w:color w:val="auto"/>
        </w:rPr>
        <w:t>Proposal No. 1 — Approval of the Business Combination — The Merger Agreement</w:t>
      </w:r>
      <w:r>
        <w:rPr>
          <w:rFonts w:ascii="Arial" w:cs="Arial" w:eastAsia="Arial" w:hAnsi="Arial"/>
          <w:sz w:val="16"/>
          <w:szCs w:val="16"/>
          <w:color w:val="auto"/>
        </w:rPr>
        <w:t>” and the fact that the purchase price for Sema4 was the result of an arm’s length negotiation. As a result, the Company’s board of directors concluded that the fair market value of the business acquired was significantly in excess of 80% of the net assets held in the Trust Account.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considering the recommendation of our Board to vote in favor of the Business Combination, stockholders should be aware that aside from their interests as stockholders, our Sponsor and certain members of our Board and officers have interests in the Business Combination that are different from, or in addition to, those of other stockholders generally. Our Board was aware of and considered these interests, among other matters, in evaluating and negotiating the Business Combination, and in recommending to stockholders that they approve the Business Combination. Stockholders should take these interests into account in deciding whether to approve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w:t>
      </w:r>
    </w:p>
    <w:p>
      <w:pPr>
        <w:spacing w:after="0" w:line="171" w:lineRule="exact"/>
        <w:rPr>
          <w:sz w:val="20"/>
          <w:szCs w:val="20"/>
          <w:color w:val="auto"/>
        </w:rPr>
      </w:pPr>
    </w:p>
    <w:p>
      <w:pPr>
        <w:ind w:left="660" w:right="20" w:hanging="328"/>
        <w:spacing w:after="0" w:line="277" w:lineRule="auto"/>
        <w:tabs>
          <w:tab w:leader="none" w:pos="65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not to redeem any of the Founder Shares in connection with a stockholder vote to approve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44"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Initial Stockholders will retain 11,068,750 Founder Shares upon the Closing;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in connection with the Closing of our initial public offering, our Sponsor and certain of the Company’s directors (the “Private Placement Purchasers”) purchased an aggregate of 7,236,667 private placement warrants at a price of $1.50 per private placement warrant, and that if we do not consummate a business combination transaction by the applicable deadline, then the proceeds from the sale of the private placement warrants will be part of the liquidating distribution to the public stockholders and the warrants held by the Private Placement Purchasers will be worthless;</w:t>
      </w:r>
    </w:p>
    <w:p>
      <w:pPr>
        <w:spacing w:after="0" w:line="13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Initial Stockholders have agreed to waive their rights to liquidating distributions from the Trust Account with respect to their Founder Shares if we fail to complete an initial business combination by the applicable deadline;</w:t>
      </w:r>
    </w:p>
    <w:p>
      <w:pPr>
        <w:spacing w:after="0" w:line="116" w:lineRule="exact"/>
        <w:rPr>
          <w:rFonts w:ascii="Arial" w:cs="Arial" w:eastAsia="Arial" w:hAnsi="Arial"/>
          <w:sz w:val="18"/>
          <w:szCs w:val="18"/>
          <w:color w:val="auto"/>
        </w:rPr>
      </w:pPr>
    </w:p>
    <w:p>
      <w:pPr>
        <w:jc w:val="both"/>
        <w:ind w:left="660" w:hanging="328"/>
        <w:spacing w:after="0" w:line="296"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per public share amount as is in the Trust Account on the liquidation date, by the claims of prospective target businesses with which we have entered into an acquisition agreement or claims of any third party (other than our independent public accountants) for services rendered or products sold to us, but only if such a vendor or target business has not executed a waiver of any and all rights to seek access to the Trust Account;</w:t>
      </w:r>
    </w:p>
    <w:p>
      <w:pPr>
        <w:spacing w:after="0" w:line="1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continued indemnification of our existing directors and officers and the continuation of our directors’ and officers’ liability insurance after the Business Combination;</w:t>
      </w:r>
    </w:p>
    <w:p>
      <w:pPr>
        <w:spacing w:after="0" w:line="11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fact that Joshua Ruch, Michael Pellini and Rachel Sherman may join as board members of the post-combination company (dependent on the approval of the Director Election Proposal) and Nat Turner, Emily Leproust and Eli D. Casdin will continue as board members of the post-combination company, and each shall be entitled to receive compensation for serving on the board of directors of the post-combination company;</w:t>
      </w:r>
    </w:p>
    <w:p>
      <w:pPr>
        <w:spacing w:after="0" w:line="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and will not be reimbursed for any out-of-pocket expenses if an initial business combination is not consummated by the applicable deadline;</w:t>
      </w:r>
    </w:p>
    <w:p>
      <w:pPr>
        <w:spacing w:after="0" w:line="116"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that Corvex Master Fund LP, Corvex Select Equity Master Fund LP, Corvex Dynamic Equity Select Master Fund LP, and JS Capital LP, funds that are advised by an affiliate of the Sponsor, have entered into Subscription Agreements with the Company, pursuant to which such affiliates have committed to purchase 240,000; 3,696,000; 64,000; and 500,000 shares of common stock in the PIPE Investment, respectively, for an aggregate commitment of approximately $2,400,000; $36,960,000; $640,000; $5,000,000, respectively; and</w:t>
      </w:r>
    </w:p>
    <w:p>
      <w:pPr>
        <w:spacing w:after="0" w:line="117" w:lineRule="exact"/>
        <w:rPr>
          <w:rFonts w:ascii="Arial" w:cs="Arial" w:eastAsia="Arial" w:hAnsi="Arial"/>
          <w:sz w:val="17"/>
          <w:szCs w:val="17"/>
          <w:b w:val="1"/>
          <w:bCs w:val="1"/>
          <w:color w:val="auto"/>
        </w:rPr>
      </w:pPr>
    </w:p>
    <w:p>
      <w:pPr>
        <w:jc w:val="both"/>
        <w:ind w:left="660" w:hanging="328"/>
        <w:spacing w:after="0" w:line="263"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that Casdin Partners Master Fund, L.P., a fund that is advised by an affiliate of the Sponsor, has entered into a Subscription Agreement with the Company, pursuant to which the affiliate has committed to purchase 5,000,000 shares of common stock in the PIPE Investment for an aggregate commitment of approximately $50,000,000.</w:t>
      </w:r>
    </w:p>
    <w:p>
      <w:pPr>
        <w:spacing w:after="0" w:line="130" w:lineRule="exact"/>
        <w:rPr>
          <w:sz w:val="20"/>
          <w:szCs w:val="20"/>
          <w:color w:val="auto"/>
        </w:rPr>
      </w:pPr>
    </w:p>
    <w:p>
      <w:pPr>
        <w:ind w:right="500" w:firstLine="324"/>
        <w:spacing w:after="0" w:line="438" w:lineRule="auto"/>
        <w:rPr>
          <w:sz w:val="20"/>
          <w:szCs w:val="20"/>
          <w:color w:val="auto"/>
        </w:rPr>
      </w:pPr>
      <w:r>
        <w:rPr>
          <w:rFonts w:ascii="Arial" w:cs="Arial" w:eastAsia="Arial" w:hAnsi="Arial"/>
          <w:sz w:val="18"/>
          <w:szCs w:val="18"/>
          <w:color w:val="auto"/>
        </w:rPr>
        <w:t xml:space="preserve">These interests may influence our directors in making their recommendation that you vote in favor of the approval of the Business Combination. </w:t>
      </w:r>
      <w:r>
        <w:rPr>
          <w:rFonts w:ascii="Arial" w:cs="Arial" w:eastAsia="Arial" w:hAnsi="Arial"/>
          <w:sz w:val="18"/>
          <w:szCs w:val="18"/>
          <w:b w:val="1"/>
          <w:bCs w:val="1"/>
          <w:color w:val="auto"/>
        </w:rPr>
        <w:t>Potential Purchases of Public Shares</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Sponsor or the Company’s or Sema4’s directors, officers or advisors, or any of their respective affiliates, may purchase public shares in privately negotiated transactions or in the open market prior to the special meeting, although they are under no obligation to do so. Any such purchases that are completed after the record date for the special meeting may include an agreement with a selling stockholder that such stockholder, for so long as it remains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record holder of the shares in question, will vote in favor of the proposals presented at the special meeting and/or will not exercise its redemption rights with respect to the shares so purchased. The purpose of such share purchases and other transactions would be to increase the likelihood of that the proposals to be voted upon at the special meeting are approved by the requisite number of votes. In the event that such purchases do occur, the purchasers may seek to purchase shares from stockholders who would otherwise have voted against the Business Combination Proposal and elected to redeem their shares for a portion of the Trust Account. Any such privately negotiated purchases may be effected at purchase prices that are below or in excess of the per-share pro rata portion of the Trust Account. Any public shares held by or subsequently purchased by our affiliates may be voted in favor of the Business Combination Proposal and the other proposals presented at the special meeting. None of the Company’s Sponsor, directors, officers, advisors or their affiliates may make any such purchases when they are in possession of any material non-public information not disclosed to the seller or during a restricted period under Regulation M under the Exchange 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It is anticipated that, upon completion of the Business Combination, assuming no redemptions: (i) the Company’s public stockholders will retain an ownership interest of approximately 18.6% in the post-combination company (not including shares beneficially owned by our Sponsor); (ii) the PIPE Investors will own approximately 12.2% of the post-combination company (such that public stockholders, including PIPE Investors, will own approximately 30.8% (adding the foregoing 2 subsets) of the post-combination company); (iii) our Initial Stockholders (including our Sponsor) will own approximately 4.6% (excluding warrants) of the post-combination company; and (iv) the former Sema4 equity holders are expected to hold, in the aggregate, approximately 64.6% of the issued and outstanding shares of the post-combination company. The foregoing percentages do not assume the issuance of 29,120,955 shares of Company common stock that will at Closing be subject to stock options and RSUs,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The ownership percentage with respect to the post-combination company following the Business Combination does not take into account (a) warrants to purchase common stock that will remain outstanding immediately following the Business Combination, (b) the issuance of Earn-Out Shares to the Sema4 equity holders should the earn-out conditions in the Merger Agreement be satisfied or (c) the issuance of any shares upon completion of the Business Combination under the Incentive Plan or the ESPP, copies of which are attached to this proxy statement as Annex D and Annex E, respectively Depending on the number of public shares redeemed, our current stockholders could own a majority of the voting rights in the post-combination company, but would not have effective control over the post-combination company. For more information, please see the sections entitled “</w:t>
      </w:r>
      <w:r>
        <w:rPr>
          <w:rFonts w:ascii="Arial" w:cs="Arial" w:eastAsia="Arial" w:hAnsi="Arial"/>
          <w:sz w:val="17"/>
          <w:szCs w:val="17"/>
          <w:i w:val="1"/>
          <w:iCs w:val="1"/>
          <w:color w:val="auto"/>
        </w:rPr>
        <w:t>Summary of the Proxy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Impact of the Business Combination on the Company’s Public Float</w:t>
      </w:r>
      <w:r>
        <w:rPr>
          <w:rFonts w:ascii="Arial" w:cs="Arial" w:eastAsia="Arial" w:hAnsi="Arial"/>
          <w:sz w:val="17"/>
          <w:szCs w:val="17"/>
          <w:color w:val="auto"/>
        </w:rPr>
        <w:t>,” “</w:t>
      </w:r>
      <w:r>
        <w:rPr>
          <w:rFonts w:ascii="Arial" w:cs="Arial" w:eastAsia="Arial" w:hAnsi="Arial"/>
          <w:sz w:val="17"/>
          <w:szCs w:val="17"/>
          <w:i w:val="1"/>
          <w:iCs w:val="1"/>
          <w:color w:val="auto"/>
        </w:rPr>
        <w:t>Unaudited Pro Forma Condensed Combined Financial Information</w:t>
      </w:r>
      <w:r>
        <w:rPr>
          <w:rFonts w:ascii="Arial" w:cs="Arial" w:eastAsia="Arial" w:hAnsi="Arial"/>
          <w:sz w:val="17"/>
          <w:szCs w:val="17"/>
          <w:color w:val="auto"/>
        </w:rPr>
        <w:t>,” and “</w:t>
      </w:r>
      <w:r>
        <w:rPr>
          <w:rFonts w:ascii="Arial" w:cs="Arial" w:eastAsia="Arial" w:hAnsi="Arial"/>
          <w:sz w:val="17"/>
          <w:szCs w:val="17"/>
          <w:i w:val="1"/>
          <w:iCs w:val="1"/>
          <w:color w:val="auto"/>
        </w:rPr>
        <w:t>Proposal No. 5 — Approval of the Incentive Plan</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estimated sources and uses for funding the Business Combination (all numbers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Sources</w:t>
            </w:r>
            <w:r>
              <w:rPr>
                <w:rFonts w:ascii="Arial" w:cs="Arial" w:eastAsia="Arial" w:hAnsi="Arial"/>
                <w:sz w:val="18"/>
                <w:szCs w:val="18"/>
                <w:b w:val="1"/>
                <w:bCs w:val="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4"/>
                <w:szCs w:val="14"/>
                <w:b w:val="1"/>
                <w:bCs w:val="1"/>
                <w:color w:val="auto"/>
                <w:w w:val="78"/>
              </w:rPr>
              <w:t>Uses</w:t>
            </w:r>
            <w:r>
              <w:rPr>
                <w:rFonts w:ascii="Arial" w:cs="Arial" w:eastAsia="Arial" w:hAnsi="Arial"/>
                <w:sz w:val="18"/>
                <w:szCs w:val="18"/>
                <w:b w:val="1"/>
                <w:bCs w:val="1"/>
                <w:color w:val="auto"/>
                <w:w w:val="78"/>
                <w:vertAlign w:val="superscript"/>
              </w:rPr>
              <w:t>(1)</w:t>
            </w:r>
          </w:p>
        </w:tc>
        <w:tc>
          <w:tcPr>
            <w:tcW w:w="200" w:type="dxa"/>
            <w:vAlign w:val="bottom"/>
            <w:tcBorders>
              <w:bottom w:val="single" w:sz="8" w:color="auto"/>
            </w:tcBorders>
          </w:tcPr>
          <w:p>
            <w:pPr>
              <w:spacing w:after="0"/>
              <w:rPr>
                <w:sz w:val="18"/>
                <w:szCs w:val="18"/>
                <w:color w:val="auto"/>
              </w:rPr>
            </w:pPr>
          </w:p>
        </w:tc>
      </w:tr>
      <w:tr>
        <w:trPr>
          <w:trHeight w:val="181"/>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right"/>
              <w:ind w:right="6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552"/>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r>
      <w:tr>
        <w:trPr>
          <w:trHeight w:val="22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Seller Rollover</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Additional PIPE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 Cash in Trust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Cash on Balance Sheet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533.9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Repayment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Seller Equity</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Secondary Proceeds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Estimated Transaction Costs &amp; Expenses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57.6</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Amounts reflected in the table are estimates based on certain assumptions of CMLS’s and Sema4’s respective management teams as of March 31,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Company Following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individuals will serve on the post-combination company’s board of directors following the Closing:</w:t>
      </w:r>
    </w:p>
    <w:p>
      <w:pPr>
        <w:spacing w:after="0" w:line="171"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Nat Turner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Emily Leproust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Eli D. Casdin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Eric Schadt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Michael Pellini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Jason Ryan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Joshua Ruch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Rachel Sherman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Dennis Charney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the Merger Agreement, upon the Closing, our current certificate of incorporation will be amended promptly to:</w:t>
      </w:r>
    </w:p>
    <w:p>
      <w:pPr>
        <w:spacing w:after="0" w:line="171"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change the post-combination company’s name to Sema4 Holdings Corp;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delete provisions relating to our status as a blank check company;</w:t>
      </w:r>
    </w:p>
    <w:p>
      <w:pPr>
        <w:spacing w:after="0" w:line="15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charter provides for 380,000,000 class A common stock authorized and 1,000,000 of preferred stock authorized. We would not expect this needs to be increased based on the pro forma cap table;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change the stockholder vote required to 66 2/3% in voting power of the stock of the post-combination company in order for stockholders to amend certain provisions of our Amended and Restated Certificate of Incorporation.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Headquarters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 of the post-combination company after the Business Combination will be Sema4 Holdings Corp and our headquarters will be located at 333 Ludlow Street, Stamford, Connecticut 06902.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Pursuant to our current certificate of incorporation, holders of public shares may elect to have their shares redeemed for cash at the applicable redemption price per share calculated in accordance with our current certificate of incorporation. As of December 31, 2020, the estimated per share redemption price would have been approximately $10.00. If a holder exercises its redemption rights, then such holder will be exchanging its shares of our common stock for cash and will no longer own shares of the post-combination company. Such a holder will be entitled to receive cash for its public shares only if it properly demands redemption and delivers its shares (either physically or electronically) to our Transfer Agent in accordance with the procedures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redemption of shares of common stock by our public stockholders will reduce the amount in the Trust Account. The Merger Agreement provides that our obligation to consummate the Business Combination is conditioned on the funds in the Trust Account, together with the funding of any amounts payable under the Subscription Agreements, being no less than an aggregate amount of $300,000,000 million following payment of redemptions and CMLS and Sema4 transaction costs. This condition to closing in the Merger Agreement is for the sole benefit of the parties thereto and may be waived by Sema4. If, as a result of redemptions of common stock by our public stockholders, this condition is not met (or waived), then we or Sema4 (as applicable) may elect not to consummate the Business Combination. In addition, in no event will we redeem shares of our common stock in an amount that would result in the Company’s failure to have net tangible assets equaling or exceeding $5,000,001 (so that we are not subject to the SEC’s “penny stock” rules). Holders of our outstanding public warrants do not have redemption rights in connection with the Business Combination. Please see the section entitled “</w:t>
      </w:r>
      <w:r>
        <w:rPr>
          <w:rFonts w:ascii="Arial" w:cs="Arial" w:eastAsia="Arial" w:hAnsi="Arial"/>
          <w:sz w:val="16"/>
          <w:szCs w:val="16"/>
          <w:i w:val="1"/>
          <w:iCs w:val="1"/>
          <w:color w:val="auto"/>
        </w:rPr>
        <w:t>Special Meeting of Company Stockholders — Redemption Rights</w:t>
      </w:r>
      <w:r>
        <w:rPr>
          <w:rFonts w:ascii="Arial" w:cs="Arial" w:eastAsia="Arial" w:hAnsi="Arial"/>
          <w:sz w:val="16"/>
          <w:szCs w:val="16"/>
          <w:color w:val="auto"/>
        </w:rPr>
        <w:t>” for the procedures to be followed if you wish to redeem your shares for cash.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our stockholders in connection with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will be accounted for as a reverse recapitalization in accordance with GAAP. Under this method of accounting, the Company will be treated as the “acquired” company for financial reporting purposes. Accordingly, for accounting purposes, the Business Combination will be treated as the equivalent of Sema4 issuing stock for the net assets of the Company, accompanied by a recapitalization whereby no goodwill or other intangible assets are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 for Public Stockholders Exercising Redemption Rights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is a discussion of certain material U.S. federal income tax considerations for our public stockholders that elect to have their common stock that are public shares redeemed for cash if the Business Combination is completed. This discussion applies only to public shares that are held as a “capital asset” for U.S. federal income tax purposes (generally, property held for investment). This discussion does not describe all of the U.S. federal income tax consequences that may be relevant to any particular holder based on such holder’s particular circumstances, including the alternative minimum tax and the Medicare tax on net investment income, and the different consequences that may apply to holders that are subject to special rules under U.S. federal income tax law, such as:</w:t>
      </w:r>
    </w:p>
    <w:p>
      <w:pPr>
        <w:spacing w:after="0" w:line="138"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banks, 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persons that directly, indirectly or constructively own 5% or more (by vote or value) of our shares;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4"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persons holding common stock as part of a “straddle,” constructive sale, hedge, conversion or other integrated transaction or similar transaction;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“specified foreign corporations” (including “controlled foreign corporations”), “passive foreign investment companies” and corporations that accumulate earnings to avoid U.S. federal income tax;</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 or other pass-through entities;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a partnership (or an entity or arrangement treated as a partnership or other pass-through entity for U.S. federal income tax purposes) holds shares of common stock that are public shares, the U.S. federal income tax treatment of the partners (or other beneficial owners) in the partnership or other pass-through entity generally will depend on the status and activities of the partners (or other beneficial owners) and the activities of the partnership or other pass-through entity. If you are a partner (or other beneficial owner) in such a partnership or other pass-through entity holding shares of common stock, you are urged to consult your tax advisor regarding the tax consequences of a redemption of shares of common stock that are public shares.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proxy statement may affect the tax consequences described herein. This discussion does not address any aspect of state, local or non-U.S. taxation, or any U.S. federal taxes other than income taxes (such as gift and estate taxes).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sought, and do not intend to seek, a ruling from the U.S. Internal Revenue Service (the “IRS”) as to any U.S. federal income tax consequences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are urged to consult your tax advisor with respect to the application of U.S. federal tax laws to your particular situation, as well as any tax consequences arising under the laws of any state, local or non-U.S. jurisdiction.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REDEMPTION OF SHARES OF COMMON STOCK BY PUBLIC STOCKHOLDERS. EACH INVESTOR IN SHARES OF COMMON STOCK IS URGED TO CONSULT ITS OWN TAX ADVISOR WITH RESPECT TO THE PARTICULAR TAX CONSEQUENCES TO SUCH INVESTOR OF THE REDEMPTION OF SHARES OF COMMON STOCK, INCLUDING THE APPLICABILITY AND EFFECT OF ANY U.S. FEDERAL NON-INCOME, STATE, LOCAL, AND NON-U.S. TAX LAWS.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that a public stockholder’s shares of common stock are redeemed pursuant to the redemption provisions described in this proxy statement under the section entitled “</w:t>
      </w:r>
      <w:r>
        <w:rPr>
          <w:rFonts w:ascii="Arial" w:cs="Arial" w:eastAsia="Arial" w:hAnsi="Arial"/>
          <w:sz w:val="18"/>
          <w:szCs w:val="18"/>
          <w:i w:val="1"/>
          <w:iCs w:val="1"/>
          <w:color w:val="auto"/>
        </w:rPr>
        <w:t>Special Meeting of Company Stockholders — Redemption Rights</w:t>
      </w:r>
      <w:r>
        <w:rPr>
          <w:rFonts w:ascii="Arial" w:cs="Arial" w:eastAsia="Arial" w:hAnsi="Arial"/>
          <w:sz w:val="18"/>
          <w:szCs w:val="18"/>
          <w:color w:val="auto"/>
        </w:rPr>
        <w:t>,” the treatment of the redemption for U.S. federal income tax purposes will depend on whether the redemption qualifies as a sale of shares of common stock under Section 302 of the Code. If the redemption qualifies as a sale of shares of common stock, a U.S. holder (as defined below) will be treated as described below under the section entitled “</w:t>
      </w:r>
      <w:r>
        <w:rPr>
          <w:rFonts w:ascii="Arial" w:cs="Arial" w:eastAsia="Arial" w:hAnsi="Arial"/>
          <w:sz w:val="18"/>
          <w:szCs w:val="18"/>
          <w:i w:val="1"/>
          <w:iCs w:val="1"/>
          <w:color w:val="auto"/>
        </w:rPr>
        <w:t>U.S. Holders —</w:t>
      </w:r>
      <w:r>
        <w:rPr>
          <w:rFonts w:ascii="Arial" w:cs="Arial" w:eastAsia="Arial" w:hAnsi="Arial"/>
          <w:sz w:val="18"/>
          <w:szCs w:val="18"/>
          <w:color w:val="auto"/>
        </w:rPr>
        <w:t xml:space="preserve"> </w:t>
      </w:r>
      <w:r>
        <w:rPr>
          <w:rFonts w:ascii="Arial" w:cs="Arial" w:eastAsia="Arial" w:hAnsi="Arial"/>
          <w:sz w:val="18"/>
          <w:szCs w:val="18"/>
          <w:i w:val="1"/>
          <w:iCs w:val="1"/>
          <w:color w:val="auto"/>
        </w:rPr>
        <w:t>Taxation of Redemption Treated as a Sale of Common Stock</w:t>
      </w:r>
      <w:r>
        <w:rPr>
          <w:rFonts w:ascii="Arial" w:cs="Arial" w:eastAsia="Arial" w:hAnsi="Arial"/>
          <w:sz w:val="18"/>
          <w:szCs w:val="18"/>
          <w:color w:val="auto"/>
        </w:rPr>
        <w:t>,” and a Non-U.S. holder (as defined below) will be treated as described under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Non-U.S. Holders —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of Redemption Treated as a Sale of Common Stock</w:t>
      </w:r>
      <w:r>
        <w:rPr>
          <w:rFonts w:ascii="Arial" w:cs="Arial" w:eastAsia="Arial" w:hAnsi="Arial"/>
          <w:sz w:val="18"/>
          <w:szCs w:val="18"/>
          <w:color w:val="auto"/>
        </w:rPr>
        <w:t>.” If the redemption does not qualify as a sale of shares of common stock, a holder will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a corporate distribution, with the tax consequences to a U.S. holder described below under the section entitled “</w:t>
      </w:r>
      <w:r>
        <w:rPr>
          <w:rFonts w:ascii="Arial" w:cs="Arial" w:eastAsia="Arial" w:hAnsi="Arial"/>
          <w:sz w:val="18"/>
          <w:szCs w:val="18"/>
          <w:i w:val="1"/>
          <w:iCs w:val="1"/>
          <w:color w:val="auto"/>
        </w:rPr>
        <w:t>U.S. Holders — Taxation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Treated as a Distribution</w:t>
      </w:r>
      <w:r>
        <w:rPr>
          <w:rFonts w:ascii="Arial" w:cs="Arial" w:eastAsia="Arial" w:hAnsi="Arial"/>
          <w:sz w:val="18"/>
          <w:szCs w:val="18"/>
          <w:color w:val="auto"/>
        </w:rPr>
        <w:t>,” and the tax consequences to a Non-U.S. holder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Whether a redemption of shares of common stock qualifies for sale treatment will depend largely on the total number of shares of our stock treated as held by the redeemed holder before and after the redemption (including any stock constructively owned by the holder as a result of owning warrants and any of our stock that a holder would directly or indirectly acquire pursuant to the Business Combination or the PIPE Investment) relative to all of our shares outstanding both before and after the redemption. The redemption of common stock generally will be treated as a sale of common stock (rather than as a corporate distribution) if the redemption: (i) is “substantially disproportionate” with respect to the holder; (ii) results in a “complete termination” of the holder’s interest in us; or (iii) is “not essentially equivalent to a dividend” with respect to the holder. These tests are explained more fully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determining whether any of the foregoing tests result in a redemption qualifying for sale treatment, a holder takes into account not only shares of our stock actually owned by the holder, but also shares of our stock that are constructively owned by it under certain attribution rules set forth in the Code. A holder may constructively own, in addition to stock owned directly, stock owned by certain related individuals and entities in which the holder has an interest or that have an interest in such holder, as well as any stock that the holder has a right to acquire by exercise of an option, which would generally include common stock which could be acquired pursuant to the exercise of the warrants. Moreover, any of our stock that a holder directly or constructively acquires pursuant to the Business Combination or the PIPE Investment should be included in determining the U.S. federal income tax treatment of the redemption.</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holder immediately following the redemption of shares of common stock must, among other requirements, be less than 80% of the percentage of our outstanding voting stock actually and constructively owned by the holder immediately before the redemption (taking into account both redemptions by other holders of common stock and the common stock to be issued pursuant to the Business Combination). There will be a complete termination of a holder’s interest if either (i) all of the shares of our stock actually and constructively owned by the holder are redeemed or (ii) all of the shares of our stock actually owned by the holder are redeemed and the holder is eligible to waive, and effectively waives in accordance with specific rules, the attribution of stock owned by certain family members and the holder does not constructively own any other shares of our stock (including any stock constructively owned by the holder as a result of owning warrants). The redemption of common stock will not be essentially equivalent to a dividend if the redemption results in a “meaningful reduction” of the holder’s proportionate interest in us. Whether the redemption will result in a meaningful reduction in a holder’s proportionate interest in us will depend on the particular facts and circumstances.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none of the foregoing tests is satisfied, then the redemption of shares of common stock will be treated as a corporate distribution to the redeemed holder and the tax effects to such U.S. holder will be as described below under the section entitled “</w:t>
      </w:r>
      <w:r>
        <w:rPr>
          <w:rFonts w:ascii="Arial" w:cs="Arial" w:eastAsia="Arial" w:hAnsi="Arial"/>
          <w:sz w:val="18"/>
          <w:szCs w:val="18"/>
          <w:i w:val="1"/>
          <w:iCs w:val="1"/>
          <w:color w:val="auto"/>
        </w:rPr>
        <w:t>U.S. Holders — Taxation of Redemption Treated as a</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and the tax effects to such Non-U.S. holder will be as described below under the section entitled “</w:t>
      </w:r>
      <w:r>
        <w:rPr>
          <w:rFonts w:ascii="Arial" w:cs="Arial" w:eastAsia="Arial" w:hAnsi="Arial"/>
          <w:sz w:val="18"/>
          <w:szCs w:val="18"/>
          <w:i w:val="1"/>
          <w:iCs w:val="1"/>
          <w:color w:val="auto"/>
        </w:rPr>
        <w:t>Non-U.S. Holders — Taxation of Redemption Treated as a Distribution</w:t>
      </w:r>
      <w:r>
        <w:rPr>
          <w:rFonts w:ascii="Arial" w:cs="Arial" w:eastAsia="Arial" w:hAnsi="Arial"/>
          <w:sz w:val="18"/>
          <w:szCs w:val="18"/>
          <w:color w:val="auto"/>
        </w:rPr>
        <w:t>.” After the application of those rules, any remaining tax basis of the holder in the redeemed common stock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added to the holder’s adjusted tax basis in its remaining stock, or, if it has none, to the holder’s adjusted tax basis in its warrants or possibly in other stock constructively owned by it.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holder should consult with its own tax advisors as to the tax consequences of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U.S. holder</w:t>
      </w:r>
      <w:r>
        <w:rPr>
          <w:rFonts w:ascii="Arial" w:cs="Arial" w:eastAsia="Arial" w:hAnsi="Arial"/>
          <w:sz w:val="18"/>
          <w:szCs w:val="18"/>
          <w:color w:val="auto"/>
        </w:rPr>
        <w:t>.” A U.S. holder is a public stockholder that is a beneficial owner of our shares of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the Code) have the authority to control all substantial decisions of the trust or (ii) the trust validly elected to be treated as a United States person.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our redemption of a U.S. holder’s shares of common stock is treated as a distribution,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the amount of cash received in the redemption generally will constitute a dividend for U.S. federal income tax purposes to the extent paid</w:t>
      </w:r>
      <w:r>
        <w:rPr>
          <w:rFonts w:ascii="Arial" w:cs="Arial" w:eastAsia="Arial" w:hAnsi="Arial"/>
          <w:sz w:val="16"/>
          <w:szCs w:val="16"/>
          <w:i w:val="1"/>
          <w:iCs w:val="1"/>
          <w:color w:val="auto"/>
        </w:rPr>
        <w:t xml:space="preserve"> </w:t>
      </w:r>
      <w:r>
        <w:rPr>
          <w:rFonts w:ascii="Arial" w:cs="Arial" w:eastAsia="Arial" w:hAnsi="Arial"/>
          <w:sz w:val="16"/>
          <w:szCs w:val="16"/>
          <w:color w:val="auto"/>
        </w:rPr>
        <w:t>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of the common stock and will be treated as described below under the section entitled “</w:t>
      </w:r>
      <w:r>
        <w:rPr>
          <w:rFonts w:ascii="Arial" w:cs="Arial" w:eastAsia="Arial" w:hAnsi="Arial"/>
          <w:sz w:val="16"/>
          <w:szCs w:val="16"/>
          <w:i w:val="1"/>
          <w:iCs w:val="1"/>
          <w:color w:val="auto"/>
        </w:rPr>
        <w:t>U.S. Holders — Taxation of Redemption Treated as a Sale of Common Stock</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generally will constitute “qualified dividend income” that will be subject to tax at reduced tax rates accorded to long-term capital gains. It is unclear whether the redemption rights with respect to the common stock described in this proxy statement may prevent a U.S. holder from satisfying the applicable holding period requirements with respect to the dividends received deduction or the reduced tax rates on qualified dividend income, as the case may be. If the holding period requirements are not satisfied, then U.S. corporate holders may not be able to qualify for the dividends received deduction and would have taxable income equal to the entire dividend amount, and non-corporate U.S. holders may be subject to tax on such dividend at regular ordinary income tax rates instead of the reduced tax rates that apply to qualified dividend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redemption of a U.S. holder’s shares of common stock is treated as a sale, as discussed above under the section entitled “</w:t>
      </w:r>
      <w:r>
        <w:rPr>
          <w:rFonts w:ascii="Arial" w:cs="Arial" w:eastAsia="Arial" w:hAnsi="Arial"/>
          <w:sz w:val="17"/>
          <w:szCs w:val="17"/>
          <w:i w:val="1"/>
          <w:iCs w:val="1"/>
          <w:color w:val="auto"/>
        </w:rPr>
        <w:t>Redemption of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w:t>
      </w:r>
      <w:r>
        <w:rPr>
          <w:rFonts w:ascii="Arial" w:cs="Arial" w:eastAsia="Arial" w:hAnsi="Arial"/>
          <w:sz w:val="17"/>
          <w:szCs w:val="17"/>
          <w:color w:val="auto"/>
        </w:rPr>
        <w:t>,” a U.S. holder generally will recognize capital gain or loss in an amount equal to the difference between the amount realized and the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tax basis in the shares of common stock redeemed.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 may suspend the running of the applicable holding period for this purpose. Long-term capital gains recognized by non-corporate U.S. holders may be eligible to be taxed at reduced rates. If the running of the holding period for the shares of common stock is suspended, then non-corporate U.S. holders may not be able to satisfy the one-year holding period requirement for long-term capital gain treatment, in which case any gain on the sale of the shares of common stock would be subject to short-term capital gain treatment and would be taxed at regular ordinary income tax rates. The deductibility of capital losses is subject to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sale and (ii) the U.S. holder’s adjusted tax basis in its common stock so disposed of. A U.S. holder’s adjusted tax basis in its common stock generally will equal the U.S. holder’s acquisition cost less any prior distributions paid to the U.S. holder with respect to its shares of common stock that were treated as a return of capital.</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of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Backup withholding is not an additional tax. Any amounts withheld under the backup withholding rules will be allowed as a credit against a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applies to you if you are a “</w:t>
      </w:r>
      <w:r>
        <w:rPr>
          <w:rFonts w:ascii="Arial" w:cs="Arial" w:eastAsia="Arial" w:hAnsi="Arial"/>
          <w:sz w:val="18"/>
          <w:szCs w:val="18"/>
          <w:i w:val="1"/>
          <w:iCs w:val="1"/>
          <w:color w:val="auto"/>
        </w:rPr>
        <w:t>Non-U.S. holder.</w:t>
      </w:r>
      <w:r>
        <w:rPr>
          <w:rFonts w:ascii="Arial" w:cs="Arial" w:eastAsia="Arial" w:hAnsi="Arial"/>
          <w:sz w:val="18"/>
          <w:szCs w:val="18"/>
          <w:color w:val="auto"/>
        </w:rPr>
        <w:t>” A Non-U.S. holder is a public stockholder that is a beneficial owner of our common stock who or that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redemption. If you are such an individual, you should consult your tax advisor regarding the U.S. federal income tax consequences of a redemption of the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Distribution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our redemption of a Non-U.S. holder’s shares of common stock is treated as a distribution, as discussed above under the section entitled “</w:t>
      </w:r>
      <w:r>
        <w:rPr>
          <w:rFonts w:ascii="Arial" w:cs="Arial" w:eastAsia="Arial" w:hAnsi="Arial"/>
          <w:sz w:val="17"/>
          <w:szCs w:val="17"/>
          <w:i w:val="1"/>
          <w:iCs w:val="1"/>
          <w:color w:val="auto"/>
        </w:rPr>
        <w:t>Redemption of Common Stock</w:t>
      </w:r>
      <w:r>
        <w:rPr>
          <w:rFonts w:ascii="Arial" w:cs="Arial" w:eastAsia="Arial" w:hAnsi="Arial"/>
          <w:sz w:val="17"/>
          <w:szCs w:val="17"/>
          <w:color w:val="auto"/>
        </w:rPr>
        <w:t>,” such the amount of cash received in the redemption generally will constitute a dividend for U.S. federal income tax purposes to the extent paid out of our current or accumulated earnings and profits (as determined under U.S. federal income tax principles) and, provided such dividend is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 Distributions in excess of our current and accumulated earnings and profits will constitute a return of capital that will be applied against and reduce (but not below zero) the Non-U.S. holder’s adjusted tax basis in its shares of common stock. Any remaining excess will be treated as gain realized on the sale of the common stock and will be treated as described below under the section entitled “</w:t>
      </w:r>
      <w:r>
        <w:rPr>
          <w:rFonts w:ascii="Arial" w:cs="Arial" w:eastAsia="Arial" w:hAnsi="Arial"/>
          <w:sz w:val="17"/>
          <w:szCs w:val="17"/>
          <w:i w:val="1"/>
          <w:iCs w:val="1"/>
          <w:color w:val="auto"/>
        </w:rPr>
        <w:t>Non-U.S. Holders — Taxation of Redemption Treated as a Sale of</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w:t>
      </w:r>
      <w:r>
        <w:rPr>
          <w:rFonts w:ascii="Arial" w:cs="Arial" w:eastAsia="Arial" w:hAnsi="Arial"/>
          <w:sz w:val="17"/>
          <w:szCs w:val="17"/>
          <w:color w:val="auto"/>
        </w:rPr>
        <w:t>.”</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agent may not be able to determine whether (or to what extent) a Non-U.S. holder is treated as receiving a dividend for U.S. federal income tax purposes. Therefore, we or the applicable withholding agent may withhold tax at a rate of 30% (or such lower applicable tax rate as may be specified by an applicable income tax treaty) on the gross amount of any consideration paid to a Non-U.S. holder in redemption of such Non-U.S. holder’s common stock, unless (i) we or the applicable withholding agent have established special procedures allowing Non-U.S. holders to certify that they are exempt from such withholding tax and (ii) such Non-U.S. holders are able to certify that they meet the requirements of such exemption (e.g., because such Non-U.S. holders are not treated as receiving a dividend under the Section 302 tests described above under the section entitled “</w:t>
      </w:r>
      <w:r>
        <w:rPr>
          <w:rFonts w:ascii="Arial" w:cs="Arial" w:eastAsia="Arial" w:hAnsi="Arial"/>
          <w:sz w:val="18"/>
          <w:szCs w:val="18"/>
          <w:i w:val="1"/>
          <w:iCs w:val="1"/>
          <w:color w:val="auto"/>
        </w:rPr>
        <w:t>Redemption of Common Stock</w:t>
      </w:r>
      <w:r>
        <w:rPr>
          <w:rFonts w:ascii="Arial" w:cs="Arial" w:eastAsia="Arial" w:hAnsi="Arial"/>
          <w:sz w:val="18"/>
          <w:szCs w:val="18"/>
          <w:color w:val="auto"/>
        </w:rPr>
        <w:t>”). However, there can be no assurance that we or any applicable withholding agent will establish such special certification procedures. If we or an applicable withholding agent withhold excess amounts from the amount payable to a Non-U.S. holder, such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withholding tax described above generally does not apply to dividends paid to a Non-U.S. holder who provides an IRS Form W-8ECI, certifying that the dividends are effectively connected with the Non-U.S. holder’s conduct of a trade or business within the United States. Instead, any such effectively connected dividends will be subject to regular U.S. federal income tax as if the Non-U.S. holder were a U.S. resident, subject to an applicable income tax treaty providing otherwise. A Non-U.S. holder that is treated as a corporation for U.S. federal income tax purposes and is receiving effectively connected dividends may also be subject to an additional “branch profits tax” imposed at a rate of 30% (or a lower applicable treaty 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Redemption Treated as a Sale of Common Stock</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our redemption of a Non-U.S. holder’s shares of common stock is treated as a sale, as discussed above under the section entitled “</w:t>
      </w:r>
      <w:r>
        <w:rPr>
          <w:rFonts w:ascii="Arial" w:cs="Arial" w:eastAsia="Arial" w:hAnsi="Arial"/>
          <w:sz w:val="16"/>
          <w:szCs w:val="16"/>
          <w:i w:val="1"/>
          <w:iCs w:val="1"/>
          <w:color w:val="auto"/>
        </w:rPr>
        <w:t>Redemption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subject to the discussions of FATCA (as defined below) and backup withholding below, a Non-U.S. holder generally will not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or withholding tax in respect of gain recognized in connection with such redemption of common stock, unless:</w:t>
      </w:r>
    </w:p>
    <w:p>
      <w:pPr>
        <w:spacing w:after="0" w:line="95" w:lineRule="exact"/>
        <w:rPr>
          <w:sz w:val="20"/>
          <w:szCs w:val="20"/>
          <w:color w:val="auto"/>
        </w:rPr>
      </w:pPr>
    </w:p>
    <w:p>
      <w:pPr>
        <w:ind w:left="660" w:right="20" w:hanging="328"/>
        <w:spacing w:after="0" w:line="308"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92" w:lineRule="exact"/>
        <w:rPr>
          <w:rFonts w:ascii="Arial" w:cs="Arial" w:eastAsia="Arial" w:hAnsi="Arial"/>
          <w:sz w:val="17"/>
          <w:szCs w:val="17"/>
          <w:color w:val="auto"/>
        </w:rPr>
      </w:pPr>
    </w:p>
    <w:p>
      <w:pPr>
        <w:jc w:val="both"/>
        <w:ind w:left="660" w:hanging="328"/>
        <w:spacing w:after="0" w:line="271" w:lineRule="auto"/>
        <w:tabs>
          <w:tab w:leader="none" w:pos="65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the redemption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redemption or such Non-U.S. holder’s holding period for the shares of our common stock. It is unclear how the rules for determining the 5% threshold for this purpose would be applied with respect to our Class A common stock, including how a Non-U.S. holder’s ownership of warrants impacts the 5% threshold determination with respect to its Class A common stock. In addition, there can be no assurance that our Class A common stock is or has been treated as regularly traded on an established securities market for this purpose.</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In the event the Non-U.S. holder is treated as a corporation for U.S. federal income tax purposes, such gain may also be subject to an additional “branch profits tax” imposed at a 30% rate (or a lower applicable treaty rate).If the second bullet point above applies to a Non-U.S. holder, gain recognized by such holder in connection with a redemption treated as a sale will be subject to tax at generally applicable U.S. federal income tax rates. In addition, we may be required to withhold U.S. federal income tax at a rate of 15% of the amount realized upon such redemption. We believe that we are not and have not been at any time since our formation a United States real property holding corporation and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4" w:lineRule="exact"/>
        <w:rPr>
          <w:sz w:val="20"/>
          <w:szCs w:val="20"/>
          <w:color w:val="auto"/>
        </w:rPr>
      </w:pPr>
    </w:p>
    <w:p>
      <w:pPr>
        <w:ind w:right="2040"/>
        <w:spacing w:after="0" w:line="438" w:lineRule="auto"/>
        <w:rPr>
          <w:sz w:val="20"/>
          <w:szCs w:val="20"/>
          <w:color w:val="auto"/>
        </w:rPr>
      </w:pPr>
      <w:r>
        <w:rPr>
          <w:rFonts w:ascii="Arial" w:cs="Arial" w:eastAsia="Arial" w:hAnsi="Arial"/>
          <w:sz w:val="18"/>
          <w:szCs w:val="18"/>
          <w:color w:val="auto"/>
        </w:rPr>
        <w:t xml:space="preserve">do not expect to be a United States real property holding corporation immediately after the Business Combination is completed. </w:t>
      </w:r>
      <w:r>
        <w:rPr>
          <w:rFonts w:ascii="Arial" w:cs="Arial" w:eastAsia="Arial" w:hAnsi="Arial"/>
          <w:sz w:val="18"/>
          <w:szCs w:val="18"/>
          <w:i w:val="1"/>
          <w:iCs w:val="1"/>
          <w:color w:val="auto"/>
        </w:rPr>
        <w:t>Information Reporting and Backup Withholding</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generally must report annually to the IRS and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Non-U.S. Holder generally will be subject to backup withholding for dividends paid to such holder unless such holder certifies under penalties of perjury that it is a Non-U.S. holder (and the payor does not have actual knowledge or reason to know that such holder is a United States person as defined under the Code), or such holder otherwise establishes an exemption.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Information reporting and, depending on the circumstances, backup withholding generally will apply to the proceeds of a sale of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United States person as defined under the Code), or such beneficial owner otherwise establishes an exemption.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a Non-U.S.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holder’s U.S. federal income tax liability and may entitle such holder to a refund, provided that the required information is timely furnished to the IRS.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FATCA Withholding Taxes.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Sections 1471 to 1474 of the Code (such Sections commonly referred to as the Foreign Account Tax Compliance Act, or “</w:t>
      </w:r>
      <w:r>
        <w:rPr>
          <w:rFonts w:ascii="Arial" w:cs="Arial" w:eastAsia="Arial" w:hAnsi="Arial"/>
          <w:sz w:val="17"/>
          <w:szCs w:val="17"/>
          <w:i w:val="1"/>
          <w:iCs w:val="1"/>
          <w:color w:val="auto"/>
        </w:rPr>
        <w:t>FATCA</w:t>
      </w:r>
      <w:r>
        <w:rPr>
          <w:rFonts w:ascii="Arial" w:cs="Arial" w:eastAsia="Arial" w:hAnsi="Arial"/>
          <w:sz w:val="17"/>
          <w:szCs w:val="17"/>
          <w:color w:val="auto"/>
        </w:rPr>
        <w:t>”) impose a 30% withholding tax on payments of dividends (including constructive dividends received pursuant to a redemption of stock)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to the payee (typically certified as to by the delivery of a properly completed IRS Form W-8BEN-E). If FATCA withholding is imposed, a beneficial owner that is not a foreign financial institution generally will be able to obtain a refund of any amounts withheld by filing a U.S. federal income tax return (which may entail significant administrative burden). Foreign financial institutions located in jurisdictions that have an intergovernmental agreement with the United States governing FATCA may be subject to different rules. Thirty percent withholding under FATCA was scheduled to apply to payments of gross proceeds from the sale or other disposition of property that produces U.S.-source interest or dividends (such as our common stock) beginning on January 1, 2019, but on December 13, 2018, the IRS released proposed regulations that, if finalized in their proposed form, would eliminate the obligation to withhold on gross proceeds. Such proposed Treasury regulations also delayed withholding on certain other payments received from other foreign financial institutions that are allocable, as provided for under final Treasury regulations, to payments of U.S.-source dividends, and other fixed, determinable, annual or periodic income. Although these proposed Treasury regulations are not final, taxpayers generally may rely on them until final Treasury regulations are issued. Non-U.S. holders should consult their tax advisors regarding the possible implications of FATCA on a redemption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Business Combination is subject to these requirements and may not be completed until the expiration of a 30-day waiting period following the filing of the required Notification and Report Forms with the Antitrust Division and the FTC or until early termination is granted. If the FTC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Antitrust Division makes a Second Request, the waiting period with respect to the Business Combination will be extended for an additional period of 30 calendar days, which will begin on the date on which the Company and Sema4 each certify compliance with the Second Request. Complying with a Second Request can take a significant period of time. On February 24, 2021, the Company and Sema4 filed the required forms under the HSR Act with the Antitrust Division and the FTC. The waiting period under the HSR Act with respect to the Business Combination expired on March 26, 2021.</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any time before or after consummation of the Business Combination, notwithstanding termination of the waiting period under the HSR Act, the applicable competition authorities could take such action under applicable antitrust laws as each deems necessary or desirable in the public interest, including seeking to enjoin the consummation of the Business Combination. Private parties may also seek to take legal action under the antitrust laws under certain circumstances. We cannot assure you that the Antitrust Division, the FTC, any state attorney general, or any other government authority will not attempt to challenge the Business Combination on antitrust grounds, and, if such a challenge is made, we cannot assure you as to its result. Neither the Company nor Sema4 is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Business Combination is conditioned on the approval of the Business Combination Proposal, the Nasdaq Stock Issuance Proposal, the Charter Approval Proposal, the ESPP Proposal and the Incentive Plan Proposal are approved at the Special Meeting. The proposals in this proxy statement (other than the Governance Proposal, the Auditor Ratification Proposal and the Adjournment Proposal) are conditioned on the approval of the Business Combination Proposal.</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Business Combination Proposal (and consequently, the Merger Agreement and the transactions contemplated thereby, including the Business Combination) will be adopted and approved only if at least a majority of the votes cast at the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 stockholder’s failure to vote, as well as an abstention and broker non-vote, will have no effect on the Business Combination Proposal. Abstentions will be counted in connection with the determination of whether a valid quorum is established but will have no effect on the Business Combination Proposal.</w:t>
      </w:r>
    </w:p>
    <w:p>
      <w:pPr>
        <w:spacing w:after="0" w:line="13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Our Initial Stockholders have agreed to vote their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As of the record date, our Sponsor, directors and officers own approximately 20% of our issued and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RECOMMENDS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OUR STOCKHOLDERS VOTE “FOR”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BUSINESS COMBINATION 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 — THE NASDAQ STOCK ISSUANCE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Assuming the Business Combination Proposal is approved, we are asking our stockholders to approve, for purposes of complying with applicable listing rules of Nasdaq, the issuance of more than 20% of the Company’s outstanding common stock in connection with the Business Combination, including the issuances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Sema4 equity holders under Merger Agreement</w:t>
      </w:r>
    </w:p>
    <w:p>
      <w:pPr>
        <w:spacing w:after="0" w:line="17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Subject to the terms and conditions of the Merger Agreement, each share of Sema4 Class B common stock issued and outstanding immediately prior to the effective time will be converted into 1/100th of a share of Sema4 Class A common stock as set forth in the Merger Agreement. Immediately thereafter, each share of Sema4 Common Stock and Sema4 Preferred Stock (other than Excluded Shares and Dissenting Shares) issued and outstanding immediately prior to the effective time will be cancelled and automatically deemed for all purposes to represent the right to receive a portion of the merger consideration, with each Sema4 Stockholder being entitled to receive (collectively, clauses (i) through (iii),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(i) its pro rata share of the Closing Available Cash if such Sema4 Stockholder has made an election to receive cash, and, if further elected, such Sema4 Stockholder’s pro rata share excess amount of any closing available excess cash, provided that in no event will a Sema4 Stockholder’s cash payment exceed an amount equal to the product of such Sema4 Stockholder’s total outstanding shares multiplied by the Per Share Amount; (ii) a number of shares of Company Class A common stock equal to the quotient of: (A)(1) the product of (x) such Sema4 Stockholder’s total outstanding shares multiplied by the Per Share Amount minus (2) such Sema4 Stockholder’s stockholder cash payment amount divided by (B) $10.00; and (iii) its earn out pro rata share of any earn out shares to which such Sema4 Stockholder is entitled pursuant to the terms of the Merger Agreement (the “</w:t>
      </w:r>
      <w:r>
        <w:rPr>
          <w:rFonts w:ascii="Arial" w:cs="Arial" w:eastAsia="Arial" w:hAnsi="Arial"/>
          <w:sz w:val="17"/>
          <w:szCs w:val="17"/>
          <w:i w:val="1"/>
          <w:iCs w:val="1"/>
          <w:color w:val="auto"/>
        </w:rPr>
        <w:t>Earnout</w:t>
      </w:r>
      <w:r>
        <w:rPr>
          <w:rFonts w:ascii="Arial" w:cs="Arial" w:eastAsia="Arial" w:hAnsi="Arial"/>
          <w:sz w:val="17"/>
          <w:szCs w:val="17"/>
          <w:color w:val="auto"/>
        </w:rPr>
        <w:t>”), including the Earnout RSUs (as described below), which Earnout RSUs are subject to vesting and will not be legally issued and outstanding shares of Company common stock at the closing of the Business Combination (the “</w:t>
      </w:r>
      <w:r>
        <w:rPr>
          <w:rFonts w:ascii="Arial" w:cs="Arial" w:eastAsia="Arial" w:hAnsi="Arial"/>
          <w:sz w:val="17"/>
          <w:szCs w:val="17"/>
          <w:i w:val="1"/>
          <w:iCs w:val="1"/>
          <w:color w:val="auto"/>
        </w:rPr>
        <w:t>Closing</w:t>
      </w:r>
      <w:r>
        <w:rPr>
          <w:rFonts w:ascii="Arial" w:cs="Arial" w:eastAsia="Arial" w:hAnsi="Arial"/>
          <w:sz w:val="17"/>
          <w:szCs w:val="17"/>
          <w:color w:val="auto"/>
        </w:rPr>
        <w:t>”), in each case of clauses (i), (ii) and (iii), without interest, upon surrender of stock certificates representing all of such Sema4 Stockholder’s Sema4 Common Stock and Sema4 Preferred Stock and delivery of the other documents required pursuant to the Merger Agreement. As of the effective time, each Sema4 Stockholder shall cease to have any other rights in and to Sema4 and each certificate relating to ownership of shares of Sema4 Common Stock and Sema4 Preferred Stock (other than Excluded Shares) will only represent the right to receive the applicable portion of the merger consideration.</w:t>
      </w:r>
    </w:p>
    <w:p>
      <w:pPr>
        <w:spacing w:after="0" w:line="1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entity surviving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share of Sema4 Common Stock and Sema4 Preferred Stock held in Sema4’s treasury or owned by the Company, Merger Sub or Sema4 immediately prior to the effective time (each an “</w:t>
      </w:r>
      <w:r>
        <w:rPr>
          <w:rFonts w:ascii="Arial" w:cs="Arial" w:eastAsia="Arial" w:hAnsi="Arial"/>
          <w:sz w:val="16"/>
          <w:szCs w:val="16"/>
          <w:i w:val="1"/>
          <w:iCs w:val="1"/>
          <w:color w:val="auto"/>
        </w:rPr>
        <w:t>Excluded Share</w:t>
      </w:r>
      <w:r>
        <w:rPr>
          <w:rFonts w:ascii="Arial" w:cs="Arial" w:eastAsia="Arial" w:hAnsi="Arial"/>
          <w:sz w:val="16"/>
          <w:szCs w:val="16"/>
          <w:color w:val="auto"/>
        </w:rPr>
        <w:t>”), shall be cancelled and no consideration shall be paid or payable with respect thereto.</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numbers of shares of Company Class A common stock that Sema4 Stockholders are entitled to receive as a result of the Merger is based upon the number of shares of Company Class A common stock, and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 recapitalization, reclassification, combination, exchange of shares or other like change with respect to Company Class A common stock occurring on or after the date hereof and prior to the Closing.</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the Closing, within five Business Days after the occurrence of a Triggering Event, the Company shall issue or cause to be issued to the Sema4 Stockholders (other than holders of Dissenting Shares) and the Earn-Out Service Providers, the following shares of Company Class A common stock (which shall be equitably adjusted for stock splits, reverse stock splits, stock dividends, reorganizations, recapitalizations, reclassifications,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exchange of shares or other like change or transaction with respect to Company Class A common stock occurring on or after the Closing, the “</w:t>
      </w:r>
      <w:r>
        <w:rPr>
          <w:rFonts w:ascii="Arial" w:cs="Arial" w:eastAsia="Arial" w:hAnsi="Arial"/>
          <w:sz w:val="16"/>
          <w:szCs w:val="16"/>
          <w:i w:val="1"/>
          <w:iCs w:val="1"/>
          <w:color w:val="auto"/>
        </w:rPr>
        <w:t>Earn-Out</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upon the terms and subject to the conditions set forth in the Merger Agreement and other related agreements: (i) upon the occurrence of</w:t>
      </w:r>
      <w:r>
        <w:rPr>
          <w:rFonts w:ascii="Arial" w:cs="Arial" w:eastAsia="Arial" w:hAnsi="Arial"/>
          <w:sz w:val="16"/>
          <w:szCs w:val="16"/>
          <w:i w:val="1"/>
          <w:iCs w:val="1"/>
          <w:color w:val="auto"/>
        </w:rPr>
        <w:t xml:space="preserve"> </w:t>
      </w:r>
      <w:r>
        <w:rPr>
          <w:rFonts w:ascii="Arial" w:cs="Arial" w:eastAsia="Arial" w:hAnsi="Arial"/>
          <w:sz w:val="16"/>
          <w:szCs w:val="16"/>
          <w:color w:val="auto"/>
        </w:rPr>
        <w:t>Triggering Event I, a one-time issuance of a number of Earn-Out Shares equal to 3.66% of the Earn-Out Total Outstanding Shares; (ii) upon the occurrence of Triggering Event II, a one-time issuance of a number of Earn-Out Shares equal to 3.67% of the Earn-Out Total Outstanding Shares; and (iii) upon the occurrence of Triggering Event III, a one-time issuance of a number of Earn-Out Shares equal to 3.67% of the Earn-Out Total Outstanding Shares. Upon the last day of any calendar year, the Company shall issue or cause to be issued to the Sema4 Stockholders (other than holders of Dissenting Shares) and the Earn-Out Service Providers the Earn-Out Shares that are in the Forfeiture Pool (as described below) as in effect as of such date and that would have been issuable to Sema4 Stockholders as a result of the occurrence of a Triggering Event had they not been made subject to an award of Earnout RSUs.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Sema4 Stockholders and the Earn-Out Service Providers shall be entitled to receive Earn-Out Shares upon each Triggering Event, provided, however that each Triggering Event may only occur once, if at all, and in no event shall the Sema4 Stockholders and Earn-Out Service Providers, in the aggregate, be entitled to receive more than an aggregate number of Earn-Out Shares equal to more than 11% of the Earn-Out Total Outstanding Shares. Earn-Out Shares will be issued from the Forfeiture Pool only if the applicable Triggering event occurs.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Earnout RSUs will be subject to additional service-based vesting requirements, including but not limited to a requirement that the applicable Earn-Out Service Provider remain employed through the occurrence of the applicable Triggering Event. In the event that an Earn-Out Service Provider does not satisfy such vesting requirements, the Earn-Out Service Provider’s Earnout RSUs will be forfeited and the Earn-Out Shares subject to such Earnout RSUs will accumulate in the “Forfeiture Pool” until such time as they become issuable pursuant to the Merger Agreement as a result of the occurrence of a Triggering Event. Each grant of Earnout RSUs will encompass the applicable Earn-Out Service Provider’s opportunity to be issued Earn-Out Shares from the Forfeiture Pool, subject to the Earn-Out Service Provider remaining employed through the last day of the calendar year on which such Earn-Out Shares are issued. It is anticipated that the Earnout RSUs will be granted after the Closing, following the Company’s filing of a registration statement on Form S-8.</w:t>
      </w:r>
    </w:p>
    <w:p>
      <w:pPr>
        <w:spacing w:after="0" w:line="11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Upon the Closing, the former Sema4 equity holders are expected to hold, in the aggregate, approximately 64.6% of the issued and outstanding shares of Company common stock. The foregoing percentage excludes 29,120,955 options for the purchase of 29,120,955 shares of Company common stock, which are authorized and subject to stock options but will not yet be issued at closing, as further described in the pro forma capitalization table in the section entitled “</w:t>
      </w:r>
      <w:r>
        <w:rPr>
          <w:rFonts w:ascii="Arial" w:cs="Arial" w:eastAsia="Arial" w:hAnsi="Arial"/>
          <w:sz w:val="17"/>
          <w:szCs w:val="17"/>
          <w:i w:val="1"/>
          <w:iCs w:val="1"/>
          <w:color w:val="auto"/>
        </w:rPr>
        <w:t>Unaudited Pro Forma Condensed Combined Financial Information — Description of the Transaction.</w:t>
      </w:r>
      <w:r>
        <w:rPr>
          <w:rFonts w:ascii="Arial" w:cs="Arial" w:eastAsia="Arial" w:hAnsi="Arial"/>
          <w:sz w:val="17"/>
          <w:szCs w:val="17"/>
          <w:color w:val="auto"/>
        </w:rPr>
        <w:t>” Any cash not used to repurchase shares from Sema4 equity holders will remain on the balance sheet of the combined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PIPE Investors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in private placements to close immediately prior to the Closing, an aggregate of 35,000,000 shares of common stock at $10.00 per share to the PIPE Investors, for an aggregate purchase price of $350,000,000.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the Company Needs Stockholder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Nasdaq Listing Rule 5635(a), stockholder approval is required prior to the issuance of common stock or other securities convertible into or exercisable for common stock, in connection with the acquisition of the stock or assets of another company, if such securities are not issued in a public offering and (i) the common stock has, or will have upon issuance, voting power equal to or in excess of 20% of the voting power outstanding before the issuance of such securities, or (ii) the number of shares of common stock to be issued is or will be equal to or in excess of 20% of the number of shares of common stock outstanding before the issuance of such securities.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pursuant to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(i) the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immediately preceding the signing of the binding agreement or (ii) the average closing price of the common stock for the given trading days immediately preceding the signing of the binding agreement, if the number of shares of common stock (or securities convertible into or exercisable for common stock) to be issued equals to 20% or more of the common stock, or 20% or more of the voting power, outstanding before the issuance.</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described above, upon the consummation of the Business Combination, we expect to issue (1) up to 147,922,735 shares of our common stock to the Sema4 equity holders in accordance with the terms and subject to the conditions of the Merger Agreement, and (2) 35,000,000 shares of our common stock in the PIPE Investment, in accordance with the terms and subject to the conditions of the Subscription Agreements. Accordingly, the aggregate number of shares of our common stock that we will issue in connection with the Business Combination will exceed 20% of both the voting power and the number of shares of common stock outstanding before such issuance, and for this reason, we are seeking the approval of our stockholders for the issuance of shares of our common stock pursuant to the Merger Agreement and the PIPE Investment.</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event that this proposal is not approved by Company stockholders, the Business Combination cannot be consummated. In the event that this proposal is approved by Company stockholders, but the Merger Agreement is terminated (without the Business Combination being consummated) prior to the issuance of shares of our common stock pursuant to the Merger Agreement or the PIPE Investment, such shares of common stock will not be issued.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approval of the Nasdaq Stock Issuance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Nasdaq Stock Issuance Proposal. Abstentions will be counted in connection with the determination of whether a valid quorum is established.</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Sponsor and each of our officer and directors have agreed to, among other things, vote in favor of this Nasdaq Stock Issuance Proposal. As of the date of this proxy statement, the Initial Stockholders own approximately 20% of the outstanding shares of our common stock.</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2 is conditioned upon the approval of the Business Combination Proposal. If the Business Combination Proposal is not approved, this Proposal No. 2 will have no effect, even if approved by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OUR BOARD OF DIRECTORS RECOMMENDS THAT OUR STOCKHOLDERS VOTE “FOR” THE NASDAQ STOCK ISSUANCE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8"/>
          <w:szCs w:val="18"/>
          <w:i w:val="1"/>
          <w:iCs w:val="1"/>
          <w:color w:val="auto"/>
        </w:rPr>
        <w:t>Interests</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Persons in the Transactions</w:t>
      </w:r>
      <w:r>
        <w:rPr>
          <w:rFonts w:ascii="Arial" w:cs="Arial" w:eastAsia="Arial" w:hAnsi="Arial"/>
          <w:sz w:val="18"/>
          <w:szCs w:val="18"/>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CHARTER APPROVAL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stockholders are also being asked to adopt the Amended and Restated Certificate of Incorporation in the form attached hereto as Annex B, which, in the judgment of our Board, is necessary and advisable to consummate the Business Combination.</w:t>
      </w:r>
    </w:p>
    <w:p>
      <w:pPr>
        <w:spacing w:after="0" w:line="11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is a summary of the key changes effected by the Amended and Restated Certificate of Incorporation, but this summary is qualified in its entirety by reference to the full text of the Amended and Restated Certificate of Incorporation, a copy of which is included as Annex B:</w:t>
      </w:r>
    </w:p>
    <w:p>
      <w:pPr>
        <w:spacing w:after="0" w:line="92" w:lineRule="exact"/>
        <w:rPr>
          <w:sz w:val="20"/>
          <w:szCs w:val="20"/>
          <w:color w:val="auto"/>
        </w:rPr>
      </w:pPr>
    </w:p>
    <w:p>
      <w:pPr>
        <w:jc w:val="both"/>
        <w:ind w:left="660" w:hanging="328"/>
        <w:spacing w:after="0" w:line="311" w:lineRule="auto"/>
        <w:tabs>
          <w:tab w:leader="none" w:pos="655" w:val="left"/>
        </w:tabs>
        <w:numPr>
          <w:ilvl w:val="0"/>
          <w:numId w:val="192"/>
        </w:numPr>
        <w:rPr>
          <w:rFonts w:ascii="Arial" w:cs="Arial" w:eastAsia="Arial" w:hAnsi="Arial"/>
          <w:sz w:val="16"/>
          <w:szCs w:val="16"/>
          <w:color w:val="auto"/>
        </w:rPr>
      </w:pPr>
      <w:r>
        <w:rPr>
          <w:rFonts w:ascii="Arial" w:cs="Arial" w:eastAsia="Arial" w:hAnsi="Arial"/>
          <w:sz w:val="16"/>
          <w:szCs w:val="16"/>
          <w:b w:val="1"/>
          <w:bCs w:val="1"/>
          <w:i w:val="1"/>
          <w:iCs w:val="1"/>
          <w:color w:val="auto"/>
        </w:rPr>
        <w:t>Change the post-combination company’s name to Sema4 Holdings Corp</w:t>
      </w:r>
      <w:r>
        <w:rPr>
          <w:rFonts w:ascii="Arial" w:cs="Arial" w:eastAsia="Arial" w:hAnsi="Arial"/>
          <w:sz w:val="16"/>
          <w:szCs w:val="16"/>
          <w:color w:val="auto"/>
        </w:rPr>
        <w:t>. Currently, the Company’s name is CM Life Sciences, Inc. If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 No. 3 is approved, the Company’s name will be Sema4 Holdings Corp. The Board believes the name of the post-combination company should more closely align with the name of the post-Business Combination operating business and therefore has proposed this name change.</w:t>
      </w:r>
    </w:p>
    <w:p>
      <w:pPr>
        <w:spacing w:after="0" w:line="94"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Delete provisions relating to blank check company</w:t>
      </w:r>
      <w:r>
        <w:rPr>
          <w:rFonts w:ascii="Arial" w:cs="Arial" w:eastAsia="Arial" w:hAnsi="Arial"/>
          <w:sz w:val="18"/>
          <w:szCs w:val="18"/>
          <w:color w:val="auto"/>
        </w:rPr>
        <w:t>. Our board of directors has determined it is in the best interest of the Company to eliminate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provisions of our certificate of incorporation that are specific to our status as a blank check company. This deletion is desirable because these provisions will serve no purpose following consummation of the Business Combination. For example, these proposed amendments remove the requirement to dissolve CMLS and instead allow us to continue as a corporate entity with perpetual existence following consummation of the Business Combination.</w:t>
      </w:r>
    </w:p>
    <w:p>
      <w:pPr>
        <w:spacing w:after="0" w:line="133"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Change stockholder vote required to 66 2/3% in voting power of the Company in order for stockholders to (1) amend the Bylaws (Article V),</w:t>
      </w:r>
    </w:p>
    <w:p>
      <w:pPr>
        <w:spacing w:after="0" w:line="46" w:lineRule="exact"/>
        <w:rPr>
          <w:rFonts w:ascii="Arial" w:cs="Arial" w:eastAsia="Arial" w:hAnsi="Arial"/>
          <w:sz w:val="16"/>
          <w:szCs w:val="16"/>
          <w:b w:val="1"/>
          <w:bCs w:val="1"/>
          <w:i w:val="1"/>
          <w:iCs w:val="1"/>
          <w:color w:val="auto"/>
        </w:rPr>
      </w:pPr>
    </w:p>
    <w:p>
      <w:pPr>
        <w:jc w:val="both"/>
        <w:ind w:left="660"/>
        <w:spacing w:after="0" w:line="253" w:lineRule="auto"/>
        <w:rPr>
          <w:rFonts w:ascii="Arial" w:cs="Arial" w:eastAsia="Arial" w:hAnsi="Arial"/>
          <w:sz w:val="16"/>
          <w:szCs w:val="16"/>
          <w:b w:val="1"/>
          <w:bCs w:val="1"/>
          <w:i w:val="1"/>
          <w:iCs w:val="1"/>
          <w:color w:val="auto"/>
        </w:rPr>
      </w:pPr>
      <w:r>
        <w:rPr>
          <w:rFonts w:ascii="Arial" w:cs="Arial" w:eastAsia="Arial" w:hAnsi="Arial"/>
          <w:sz w:val="18"/>
          <w:szCs w:val="18"/>
          <w:b w:val="1"/>
          <w:bCs w:val="1"/>
          <w:i w:val="1"/>
          <w:iCs w:val="1"/>
          <w:color w:val="auto"/>
        </w:rPr>
        <w:t xml:space="preserve">(2) change our classified board or its size, remove a director or fill vacancies (Article VI), (3) change the limitations on personal liability of directors (Articles VII) and (4) make amendments to our bylaws or to certain provisions of the Amended and Restated Certificate of Incorporation (Articles V and X). </w:t>
      </w:r>
      <w:r>
        <w:rPr>
          <w:rFonts w:ascii="Arial" w:cs="Arial" w:eastAsia="Arial" w:hAnsi="Arial"/>
          <w:sz w:val="18"/>
          <w:szCs w:val="18"/>
          <w:color w:val="auto"/>
        </w:rPr>
        <w:t>These provisions in the Amended and Restated Certificate of Incorporation, which will require a supermajority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to amend, address:</w:t>
      </w:r>
    </w:p>
    <w:p>
      <w:pPr>
        <w:spacing w:after="0" w:line="139" w:lineRule="exact"/>
        <w:rPr>
          <w:sz w:val="20"/>
          <w:szCs w:val="20"/>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chairman, lead independent director or the chief executive officer and requirements with respect to advance notice of shareholder proposals, requirements relating to the amendment of our Bylaws (Article I).</w:t>
      </w:r>
    </w:p>
    <w:p>
      <w:pPr>
        <w:spacing w:after="0" w:line="111"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Our board of directors believes that this change protects such provisions from arbitrary amendment and prevents a simple majority of stockholders from taking actions that may be harmful to the majority of our stockholders.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Charter Approval Proposal requires the affirmative vote of holders of a majority of our outstanding shares of common stock entitled to vote at the Special Meeting. Accordingly, a Company stockholder’s failure to vote, as well as an abstention from voting and a broker non-vote,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Charter Approval Proposal.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Proposal No. 3 is conditioned upon the approval of the Business Combination Proposal. If the Business Combination Proposal is not approved, this Proposal No. 3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3.</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NO. 4 — APPROVAL OF CERTAIN GOVERNANCE PROVISIONS IN THE AMENDED AND RESTATED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stockholders are also being asked to vote on a separate proposal with respect to certain governance provisions in the Amended and Restated Certificate of Incorporation, which are separately being presented in accordance with SEC guidance to give stockholders the opportunity to present their separate views on important corporate governance provisions and which will be voted upon on a non-binding advisory basis. This separate vote is not otherwise required by Delaware law separate and apart from the Charter Approval Proposal, but pursuant to SEC guidance, the Company is required to submit these provisions to its stockholders separately for approval. However, the stockholder vote regarding this proposal is advisory in nature, and is not binding on the Company or our board of directors (separate and apart from the approval of the Charter Approval Proposal). Furthermore, the Business Combination is not conditioned on the separate approval of the advisory charter proposals (separate and apart from approval of the Charter Approval Proposal). Accordingly, regardless of the outcome of the non-binding advisory vote on this proposal, the Company intends that the Amended and Restated Certificate of Incorporation will take effect at the Closing (assuming approval of the Charter Approval Proposal).</w:t>
      </w:r>
    </w:p>
    <w:p>
      <w:pPr>
        <w:spacing w:after="0" w:line="108" w:lineRule="exact"/>
        <w:rPr>
          <w:sz w:val="20"/>
          <w:szCs w:val="20"/>
          <w:color w:val="auto"/>
        </w:rPr>
      </w:pPr>
    </w:p>
    <w:p>
      <w:pPr>
        <w:ind w:right="3600"/>
        <w:spacing w:after="0" w:line="440" w:lineRule="auto"/>
        <w:rPr>
          <w:sz w:val="20"/>
          <w:szCs w:val="20"/>
          <w:color w:val="auto"/>
        </w:rPr>
      </w:pPr>
      <w:r>
        <w:rPr>
          <w:rFonts w:ascii="Arial" w:cs="Arial" w:eastAsia="Arial" w:hAnsi="Arial"/>
          <w:sz w:val="18"/>
          <w:szCs w:val="18"/>
          <w:b w:val="1"/>
          <w:bCs w:val="1"/>
          <w:color w:val="auto"/>
        </w:rPr>
        <w:t xml:space="preserve">Proposal No. 4A: Change the Stockholder Vote Required to Amend the Certificate of Incorporation </w:t>
      </w:r>
      <w:r>
        <w:rPr>
          <w:rFonts w:ascii="Arial" w:cs="Arial" w:eastAsia="Arial" w:hAnsi="Arial"/>
          <w:sz w:val="18"/>
          <w:szCs w:val="18"/>
          <w:b w:val="1"/>
          <w:bCs w:val="1"/>
          <w:i w:val="1"/>
          <w:iCs w:val="1"/>
          <w:color w:val="auto"/>
        </w:rPr>
        <w:t>Description of Amendment</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 would require the approval by affirmative vote of the holders of at least two-thirds of the common stock of the post-combination company to make any amendment to certain provisions of the post-combination company certificate of incorporation unless 2/3rds of the whole board of directors of the post-combination company approves such an amendment in which case such stockholder vote will require only a majority in voting power of the then outstanding stock of the post-combination company. These provisions in the Amended and Restated Certificate of Incorporation, which will require a supermajority vote to amend, address:</w:t>
      </w:r>
    </w:p>
    <w:p>
      <w:pPr>
        <w:spacing w:after="0" w:line="134" w:lineRule="exact"/>
        <w:rPr>
          <w:sz w:val="20"/>
          <w:szCs w:val="20"/>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amendments of the Bylaws (Articles V)</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size of our board, our classified board structure, the term of directors and their removal, and filling of vacancies (Article VI),</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limitation on personal liability for a director’s breach of fiduciary duty (Article VII),</w:t>
      </w:r>
    </w:p>
    <w:p>
      <w:pPr>
        <w:spacing w:after="0" w:line="171"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requirement that stockholders take action at a meeting rather than by written consent, the requirement that special meetings be called only by a majority of the entire board, board chairperson, lead independent director, the president or the chief executive officer and requirements with respect to advance notice of shareholder proposals, requirements relating to the amendment of our Bylaws (Article VIII).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Reasons for the Amendment</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board of directors believes that this change protects such provisions from arbitrary amendment and prevents a simple majority of stockholders from taking actions that may be harmful to the majority of our stockholders or making changes to provisions that are intended to protect all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Proposal No. 4 is conditioned upon the approval of the Business Combination Proposal. If the Business Combination Proposal is not approved, this Proposal No. 4 will have no effect, even if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proxy statement, our Initial Stockholders have agreed to vote any shares of common stock owned by them in favor of this proposal.</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 — APPROVAL OF THE INCENTIVE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Incentive Plan as proposed to be adopted by the Company in connection with the Business Combination. This summary is not a complete statement of the Incentive Plan and is qualified in its entirety by reference to the complete text of the Incentive Plan, a copy of which is attached hereto as Annex D. The Company’s stockholder should refer to the Incentive Plan for more complete and detailed information regarding the terms and conditions of the Incentive Plan. </w:t>
      </w:r>
      <w:r>
        <w:rPr>
          <w:rFonts w:ascii="Arial" w:cs="Arial" w:eastAsia="Arial" w:hAnsi="Arial"/>
          <w:sz w:val="18"/>
          <w:szCs w:val="18"/>
          <w:i w:val="1"/>
          <w:iCs w:val="1"/>
          <w:color w:val="auto"/>
        </w:rPr>
        <w:t>Unless the context otherwise requires, references in this summary to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and “our” generally refer to CMLS in the present tense or the post-combination company from and after the Business </w:t>
      </w:r>
      <w:r>
        <w:rPr>
          <w:rFonts w:ascii="Arial" w:cs="Arial" w:eastAsia="Arial" w:hAnsi="Arial"/>
          <w:sz w:val="18"/>
          <w:szCs w:val="18"/>
          <w:color w:val="auto"/>
        </w:rPr>
        <w:t>Combination.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become effective as of the Closing Date, if it is approved by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Equity Incentive Plan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purpose of the Incentive Plan is to enhance our ability to attract, retain and motivate persons who make (or are expected to make) important contributions by providing these individuals with equity ownership opportunities and/or equity-linked compensatory opportunities. Equity awards and equity-linked compensatory opportunities are intended to motivate high levels of performance and align the interests of directors, employees and consultants with those of stockholders by giving directors, employees and consultants the perspective of an owner with an equity or equity-linked stake in our company and providing a means of recognizing their contributions to our success. Our board of directors believes that equity awards are necessary to remain competitive in its industry and are essential to recruiting and retaining the highly qualified persons who help us meet our goals.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Incentive Plan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summarizes the material terms of the Incentive Plan. This summary is qualified in its entirety to the full text of the Incentive Plan.</w:t>
      </w:r>
    </w:p>
    <w:p>
      <w:pPr>
        <w:spacing w:after="0" w:line="1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Shares reserved</w:t>
      </w:r>
      <w:r>
        <w:rPr>
          <w:rFonts w:ascii="Arial" w:cs="Arial" w:eastAsia="Arial" w:hAnsi="Arial"/>
          <w:sz w:val="18"/>
          <w:szCs w:val="18"/>
          <w:color w:val="auto"/>
        </w:rPr>
        <w:t>. We have initially reserved a number of shares of our common stock equal to 12% of the total number of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and outstanding as of immediately following the Closing (which we anticipate will equal approximately 28,591,978 shares, based on information available as of March 31, 2021 and assuming no redemptions), plus any reserved shares not issued or subject to outstanding grants under the Sema4 Incentive Plan on the effective date of the Incentive Plan, for issuance pursuant to awards granted under our Incentive Plan. The number of shares reserved for issuance under our Incentive Plan will increase automatically on January 1 of each of 2022 through 2031 by the number of shares equal to 5% of the aggregate number of outstanding shares of all classes of our common stock as of the immediately preceding December 31, or a lesser number as may be determined by our board of directors.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Incentive Plan:</w:t>
      </w:r>
    </w:p>
    <w:p>
      <w:pPr>
        <w:spacing w:after="0" w:line="171" w:lineRule="exact"/>
        <w:rPr>
          <w:sz w:val="20"/>
          <w:szCs w:val="20"/>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Incentive Plan that cease to be subject to the option or SAR for any reason other than exercise of the option or SAR;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shares subject to awards granted under our Incentive Plan that are subsequently forfeited or repurchased by us at the original issue price;</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otherwise terminate without such shares being issued;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subject to awards granted under our Incentive Plan that are surrendered, cancelled, or exchanged for cash or a different award (or combination thereof);</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Sema4 Incentive Plan that cease to be subject to such options or other awards, by forfeiture or otherwise, after the effective date of the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4" w:lineRule="exact"/>
        <w:rPr>
          <w:sz w:val="20"/>
          <w:szCs w:val="20"/>
          <w:color w:val="auto"/>
        </w:rPr>
      </w:pPr>
    </w:p>
    <w:p>
      <w:pPr>
        <w:ind w:left="6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shares subject to awards granted under the Sema4 Incentive Plan that are forfeited or repurchased by us at the original price after the effective date of the Incentive Plan;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shares subject to awards under the Sema4 Incentive Plan or our Incentive Plan that are used to pay the exercise price of an option or withheld to satisfy the tax withholding obligations related to any award.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Incentive Plan will be administered by our compensation committee, or by our board of directors acting in place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Subject to the terms and conditions of the Incentive Plan, the administrator will have the authority, among other things, to select the persons to whom awards may be granted, construe and interpret our Incentive Plan as well as to determine the terms of such awards and prescribe, amend and rescind the rules and regulations relating to the plan or any award granted thereunder. The Incentive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Incentive Plan provides for the grant of both incentive stock options intended to qualify under Section 422 of the Code, and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purchase shares of our common stock at a stated exercise price. Incentive stock options may only be granted to employees, including officers and directors who are also employees. The exercise price of stock options granted under the Incentive Plan must be at least equal to the fair market value of our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Incentive Plan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An RSA is an offer by us to grant or sell shares of our common stock subject to restrictions, which may lapse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SAR provides for a payment, in cash or shares of our common stock (up to a specified maximum number of shares, if</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administrator), to the participant based upon 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RSUs represent the right to receive the value of shares of our common stock at a specified date in the future and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based on service or achievement of performance conditions. RSUs may be settled in cash, shares of our common stock or a combination of both as soon as practicable following vesting or on a later date subject to the terms of the Incentive Plan. No RSU may have a term that is longer than ten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granted pursuant to the Incentive Plan may be in the form of a cash bonus, or an award of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performance units denominated in shares of our common stock that may be settled in cash, property or by issuance of those shares, subject to the satisfaction or achievement of specified performance conditions.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Stock bonus awards</w:t>
      </w:r>
      <w:r>
        <w:rPr>
          <w:rFonts w:ascii="Arial" w:cs="Arial" w:eastAsia="Arial" w:hAnsi="Arial"/>
          <w:sz w:val="16"/>
          <w:szCs w:val="16"/>
          <w:color w:val="auto"/>
        </w:rPr>
        <w:t>. A stock bonus award provides for payment in the form of cash, shares of our common stock or a combination thereof,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Dividend equivalents rights</w:t>
      </w:r>
      <w:r>
        <w:rPr>
          <w:rFonts w:ascii="Arial" w:cs="Arial" w:eastAsia="Arial" w:hAnsi="Arial"/>
          <w:sz w:val="18"/>
          <w:szCs w:val="18"/>
          <w:color w:val="auto"/>
        </w:rPr>
        <w:t>. Our board of directors or the compensation committee thereof may permit participants holding RSUs to receive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payments if and when dividends are paid to stockholders. In the discretion of our board or the compensation committee thereof, such dividend equivalent payments may be paid in cash or shares of our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Change of control</w:t>
      </w:r>
      <w:r>
        <w:rPr>
          <w:rFonts w:ascii="Arial" w:cs="Arial" w:eastAsia="Arial" w:hAnsi="Arial"/>
          <w:sz w:val="16"/>
          <w:szCs w:val="16"/>
          <w:color w:val="auto"/>
        </w:rPr>
        <w:t>. Our Incentive Plan provides that, in the event of a corporate transaction that constitutes a change of control of our company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Incentive Plan,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Adjustment</w:t>
      </w:r>
      <w:r>
        <w:rPr>
          <w:rFonts w:ascii="Arial" w:cs="Arial" w:eastAsia="Arial" w:hAnsi="Arial"/>
          <w:sz w:val="17"/>
          <w:szCs w:val="17"/>
          <w:color w:val="auto"/>
        </w:rPr>
        <w:t>. In the event of a change in the number of outstanding shares of our common stock without consideration by reason of a stock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Incentive Plan;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Exchange, repricing and buyout of awards</w:t>
      </w:r>
      <w:r>
        <w:rPr>
          <w:rFonts w:ascii="Arial" w:cs="Arial" w:eastAsia="Arial" w:hAnsi="Arial"/>
          <w:sz w:val="17"/>
          <w:szCs w:val="17"/>
          <w:color w:val="auto"/>
        </w:rPr>
        <w:t>. The administrator may, without prior stockholder approval, (i) reduce the exercise price of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without the consent of any participant and (ii) pay cash or issue new awards in exchange for the surrender and cancellation of any, or all, outstanding awards, subject to the consent of any affected participant to the extent required by the terms of the Incentive Plan.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Incentive Plan with a grant date value that when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with cash compensation received for his or her service as a director, exceed $750,000 in a calendar year, increased to $1,000,000 in the calendar year of his or her initial services as a non-employee director.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by our board of directors or the compensation committee thereof or required by law during the term of service of the participant, to the extent set forth in such policy or applicable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in limited circumstances, awards granted under our Incentive Plan may generally not be transferred in any manner other than by will or by the laws of descent and distribution.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Sub-plans</w:t>
      </w:r>
      <w:r>
        <w:rPr>
          <w:rFonts w:ascii="Arial" w:cs="Arial" w:eastAsia="Arial" w:hAnsi="Arial"/>
          <w:sz w:val="17"/>
          <w:szCs w:val="17"/>
          <w:color w:val="auto"/>
        </w:rPr>
        <w:t>. Subject to the terms of the Incentive Plan, the plan administrator may establish a sub-plan under the Incentive Plan and/or modify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awards granted to participants outside of the United States to comply with any laws or regulations applicable to any such jurisdiction.</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or compensation committee may amend our Incentive Plan at any time, subject to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as may be required. Our Incentive Plan will terminate ten years from the date our board of directors adopts the plan, unless it is terminated earlier by our board of directors. No termination or amendment of the Incentive Plan may materially adversely affect any then-outstanding award without the consent of the affected participant, except as is necessary to comply with applicable laws or as otherwise provided by the terms of the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Incentive Plan. This summary deals with the general federal income tax principles that apply and is provided only for general information. Other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If an optionee is granted an NSO under the Incentive Plan, the optionee should not have taxable income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Generally, the optionee should recognize ordinary income at the time of exercise in an amount equal to the fair market value of the shares acquired on the date of exercise, less the exercise price paid for the shares. The optionee’s basis in our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spacing w:after="0" w:line="11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receiving ISOs should not recognize taxable income upon grant. Additionally, if applicable holding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are met, the participant should not recognize taxable income at the time of exercise. However, the excess of the fair market value of the shares of our common stock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we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We or our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Other Awards</w:t>
      </w:r>
      <w:r>
        <w:rPr>
          <w:rFonts w:ascii="Arial" w:cs="Arial" w:eastAsia="Arial" w:hAnsi="Arial"/>
          <w:sz w:val="17"/>
          <w:szCs w:val="17"/>
          <w:color w:val="auto"/>
        </w:rPr>
        <w:t>. The current federal income tax consequences of other awards authorized under the Incentive Plan generally follow certain basic</w:t>
      </w:r>
      <w:r>
        <w:rPr>
          <w:rFonts w:ascii="Arial" w:cs="Arial" w:eastAsia="Arial" w:hAnsi="Arial"/>
          <w:sz w:val="17"/>
          <w:szCs w:val="17"/>
          <w:i w:val="1"/>
          <w:iCs w:val="1"/>
          <w:color w:val="auto"/>
        </w:rPr>
        <w:t xml:space="preserve"> </w:t>
      </w:r>
      <w:r>
        <w:rPr>
          <w:rFonts w:ascii="Arial" w:cs="Arial" w:eastAsia="Arial" w:hAnsi="Arial"/>
          <w:sz w:val="17"/>
          <w:szCs w:val="17"/>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Code Section 83(b) election); RSUs, dividend equivalents and other stock or cash-based awards are generally subject to tax at the time of payment. We or our subsidiaries or affiliates generally should be entitled to a federal income tax deduction at the time and for the same amount as the optionee recognizes ordinary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general, Section 162(m) of the Code limits the Company’s compensation deduction to $1,000,000 paid in any tax year to any “covered employee” as defined under Section 162(m). Section 162(m) may result in all or a portion of the awards granted under the Incentive Plan to “covered employees” failing to be deductible to the Company for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409A of the Code</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types of awards under the Incentive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Incentive Plan and awards granted under the Incentive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Incentive Plan and applicable award agreements may be amended to further comply with Section 409A of the Code or to exempt the applicable awards from Section 409A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Please see the section entitled “Executive Compensation of Sema4 — Employment Agreements with Sema4’s Named Executive Officers” for information regarding the stock options that we intend to grant to our named executive officers under the Incentive Plan following the closing of the Business Combination. The benefits to be received by other participants in the normal course under the Incentive Plan cannot be determined at this time because awards under the Incentive Plan are granted at the discretion of the compensation committee and the Board.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The approval of the Incentive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Incentive Plan Proposal will have no effect on the Adjournment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 THE EQUITY INCENTIVE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 — APPROVAL OF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is a summary description of the ESPP as proposed to be adopted by the Company in connection with the Business Combination. This summary is not a complete statement of the ESPP and is qualified in its entirety by reference to the complete text of the ESPP, a copy of which is attached hereto as Annex E. The Company’s stockholders should refer to the ESPP for more complete and detailed information regarding the terms and conditions of the ESPP. </w:t>
      </w:r>
      <w:r>
        <w:rPr>
          <w:rFonts w:ascii="Arial" w:cs="Arial" w:eastAsia="Arial" w:hAnsi="Arial"/>
          <w:sz w:val="18"/>
          <w:szCs w:val="18"/>
          <w:i w:val="1"/>
          <w:iCs w:val="1"/>
          <w:color w:val="auto"/>
        </w:rPr>
        <w:t>Unless the context otherwise requires, references in this summary to “we”, “us”, and “our” generally refer to CMLS in the present tense or</w:t>
      </w:r>
      <w:r>
        <w:rPr>
          <w:rFonts w:ascii="Arial" w:cs="Arial" w:eastAsia="Arial" w:hAnsi="Arial"/>
          <w:sz w:val="18"/>
          <w:szCs w:val="18"/>
          <w:color w:val="auto"/>
        </w:rPr>
        <w:t xml:space="preserve"> </w:t>
      </w:r>
      <w:r>
        <w:rPr>
          <w:rFonts w:ascii="Arial" w:cs="Arial" w:eastAsia="Arial" w:hAnsi="Arial"/>
          <w:sz w:val="18"/>
          <w:szCs w:val="18"/>
          <w:i w:val="1"/>
          <w:iCs w:val="1"/>
          <w:color w:val="auto"/>
        </w:rPr>
        <w:t>the post-combination company from and after the Business Combination</w:t>
      </w:r>
      <w:r>
        <w:rPr>
          <w:rFonts w:ascii="Arial" w:cs="Arial" w:eastAsia="Arial" w:hAnsi="Arial"/>
          <w:sz w:val="18"/>
          <w:szCs w:val="18"/>
          <w:color w:val="auto"/>
        </w:rPr>
        <w:t>. The ESPP will become effective as of the Closing Date, if it is approved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purpose of the ESPP is to provide our employees with the opportunity to purchase our common stock through accumulated payroll deductions. We believe that the ESPP is a key factor in retaining existing employees, recruiting and retaining new employees and aligning the interests of our employees with those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ESPP</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a number of shares of our common stock equal to 2% of the total number of shares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and outstanding as of immediately following the Closing (the “Initial ESPP Share Reserve”) for issuance and sale under the ESPP. We anticipate that the Initial ESPP Share Reserve will equal approximately 4,765,330 shares of our common stock, based on information available as of March 31, 2021 and assuming no redemptions. The number of shares reserved for issuance and sale under our ESPP will increase automatically on January 1 of each of 2022 through 2031 by the number of shares equal to 1% of the aggregate number of outstanding shares of all classes of our common stock as of the immediately preceding December 31, or a lesser number as may be determined by our compensation committee, or by our board of directors acting in place of our compensation committee. Subject to stock splits, recapitalizations, or similar events, no more than the number of shares of our common stock equal to ten times the Initial ESPP Share Reserve may be issued over the term of the ESPP.</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ESPP will be administered by our compensation committee, or by our board of directors acting in place of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eligible to participate in any offering pursuant to the ESPP generally include any employee that is employed by us or certain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Offering Periods; Enrollment</w:t>
      </w:r>
      <w:r>
        <w:rPr>
          <w:rFonts w:ascii="Arial" w:cs="Arial" w:eastAsia="Arial" w:hAnsi="Arial"/>
          <w:sz w:val="18"/>
          <w:szCs w:val="18"/>
          <w:color w:val="auto"/>
        </w:rPr>
        <w:t>. Under our ESPP, eligible employees will be offered the option to purchase shares of our common stock at a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Participation in the ESPP ends automatically upon a participant’s termination of employment. A participant may withdraw his or her participation from the ESPP at any time by submitting written notice to the company.</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Offerings; Contributions; Limitations</w:t>
      </w:r>
      <w:r>
        <w:rPr>
          <w:rFonts w:ascii="Arial" w:cs="Arial" w:eastAsia="Arial" w:hAnsi="Arial"/>
          <w:sz w:val="17"/>
          <w:szCs w:val="17"/>
          <w:color w:val="auto"/>
        </w:rPr>
        <w:t>. The purchase price for shares purchased under the ESPP during any given purchase period will be 85%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lesser of the fair market value of our common stock on (i) the first trading day of the applicable offering period or (ii) the last trading day of the purchase period. The ESPP permits participants to purchase shares of our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Adjustments upon recapitalization</w:t>
      </w:r>
      <w:r>
        <w:rPr>
          <w:rFonts w:ascii="Arial" w:cs="Arial" w:eastAsia="Arial" w:hAnsi="Arial"/>
          <w:sz w:val="17"/>
          <w:szCs w:val="17"/>
          <w:color w:val="auto"/>
        </w:rPr>
        <w:t>. If the number of outstanding shares of our common stock is changed by stock dividend,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Corporate Transaction</w:t>
      </w:r>
      <w:r>
        <w:rPr>
          <w:rFonts w:ascii="Arial" w:cs="Arial" w:eastAsia="Arial" w:hAnsi="Arial"/>
          <w:sz w:val="17"/>
          <w:szCs w:val="17"/>
          <w:color w:val="auto"/>
        </w:rPr>
        <w:t>. 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board or compensation committee may amend, suspend or terminate the ESPP at any time without stockholder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participation in the ESPP.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federal income tax purposes, a participant in the ESPP generally will not recognize taxable income on the grant of an option under the ESPP, nor will the Company be entitled to any deduction at that time. Additionally, if applicable holding period requirements are met, the participant should not recognize taxable income at the time of exercise.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stock acquired upon exercise of an option acquired under the ESPP is held for a minimum of two years from the date of grant and one year from the date of exercise, the participant (or the participant’s estate) will recognize ordinary income measured as the lesser of (1) the excess of the fair market value of the shares at the time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or disposition (or death) over the purchase price or (2) the excess of the fair market value of the shares on the date the option was granted over the purchase price. Any additional gain will be treated as long-term capital gain.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the holding period requirements are not met, the participant will recognize ordinary income at the time of the disposition equal to the excess of the fair market value of the shares on the date the option is exercised over the purchase price, with any remaining gain or loss being treated as capital gain or capital loss. 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3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or our subsidiaries or affiliates generally are not entitled to a federal income tax deduction upon either the exercise of an option or upon disposition of the shares acquired pursuant to such exercise, except to the extent that the participant recognizes ordinary income on disposition of the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the number of shares that may be purchased under the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approval of the Employee Stock Purchase Plan Proposal requires the affirmative vote of a majority of the votes cast by holders of outstanding shares of our common stock represented in person or by proxy and entitled to vote thereon at the Special Meeting. Accordingly, a Company stockholder’s failure to vote by proxy or to vote in person at the Special Meeting, as well as an abstention from voting and a broker non-vote with regard to the Employee Stock Purchase Plan Proposal will have no effect on the Employee Stock Purchase Proposal. Abstentions will be counted in connection with the determination of whether a valid quorum is established.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OUR BOARD OF DIRECTORS RECOMMENDS THAT OUR STOCKHOLDERS VOTE “FOR” PROPOSAL NO. 6.</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7 — THE DIRECTOR ELECTION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board of directors is currently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Class I directors, consisting of Dr. George and Dr. Leproust, will expire at the Special Meeting, at which time Dr. Leproust will stand for re-election. Dr. George is not seeking re-election and will resign as a director and as a member of the nominating and corporate governance committee immediately prior to the conclusion of the special meeting (unless the condition precedent proposals are not approved, as set forth below).</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condition precedent proposals are not approved, Dr. George and Dr. Leproust, will stand for re-election to a three-year term in Class I and their the term of office of each of the Company’s two Class I directors would begin upon the conclusion of the Special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stockholders are being asked to consider and vote upon a proposal to elect 9 directors to serve on the Board, effective at the Closing, for a three-year term.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until the election and qualification of his or her successor, or his or her earlier death, resignation or removal. Our Board has nominated the following 9 nominees for election as a director to serve on the post-combination company’s board of directors in the classes set forth below:</w:t>
      </w:r>
    </w:p>
    <w:p>
      <w:pPr>
        <w:spacing w:after="0" w:line="148" w:lineRule="exact"/>
        <w:rPr>
          <w:sz w:val="20"/>
          <w:szCs w:val="20"/>
          <w:color w:val="auto"/>
        </w:rPr>
      </w:pPr>
    </w:p>
    <w:tbl>
      <w:tblPr>
        <w:tblLayout w:type="fixed"/>
        <w:tblInd w:w="360" w:type="dxa"/>
        <w:tblCellMar>
          <w:top w:w="0" w:type="dxa"/>
          <w:left w:w="0" w:type="dxa"/>
          <w:bottom w:w="0" w:type="dxa"/>
          <w:right w:w="0" w:type="dxa"/>
        </w:tblCellMar>
      </w:tblP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Eli Casdin</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Michael Pellini</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Joshua Ruch</w:t>
            </w:r>
          </w:p>
        </w:tc>
        <w:tc>
          <w:tcPr>
            <w:tcW w:w="1320" w:type="dxa"/>
            <w:vAlign w:val="bottom"/>
          </w:tcPr>
          <w:p>
            <w:pPr>
              <w:ind w:left="780"/>
              <w:spacing w:after="0"/>
              <w:rPr>
                <w:sz w:val="20"/>
                <w:szCs w:val="20"/>
                <w:color w:val="auto"/>
              </w:rPr>
            </w:pPr>
            <w:r>
              <w:rPr>
                <w:rFonts w:ascii="Arial" w:cs="Arial" w:eastAsia="Arial" w:hAnsi="Arial"/>
                <w:sz w:val="18"/>
                <w:szCs w:val="18"/>
                <w:color w:val="auto"/>
                <w:w w:val="94"/>
              </w:rPr>
              <w:t>Class 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Dennis Charney</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Eric Schadt</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Rachel Sherman</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20"/>
              <w:spacing w:after="0"/>
              <w:rPr>
                <w:sz w:val="20"/>
                <w:szCs w:val="20"/>
                <w:color w:val="auto"/>
              </w:rPr>
            </w:pPr>
            <w:r>
              <w:rPr>
                <w:rFonts w:ascii="Arial" w:cs="Arial" w:eastAsia="Arial" w:hAnsi="Arial"/>
                <w:sz w:val="18"/>
                <w:szCs w:val="18"/>
                <w:color w:val="auto"/>
              </w:rPr>
              <w:t>Nat Turner</w:t>
            </w:r>
          </w:p>
        </w:tc>
        <w:tc>
          <w:tcPr>
            <w:tcW w:w="1320" w:type="dxa"/>
            <w:vAlign w:val="bottom"/>
          </w:tcPr>
          <w:p>
            <w:pPr>
              <w:ind w:left="780"/>
              <w:spacing w:after="0"/>
              <w:rPr>
                <w:sz w:val="20"/>
                <w:szCs w:val="20"/>
                <w:color w:val="auto"/>
              </w:rPr>
            </w:pPr>
            <w:r>
              <w:rPr>
                <w:rFonts w:ascii="Arial" w:cs="Arial" w:eastAsia="Arial" w:hAnsi="Arial"/>
                <w:sz w:val="18"/>
                <w:szCs w:val="18"/>
                <w:color w:val="auto"/>
                <w:w w:val="86"/>
              </w:rPr>
              <w:t>Class 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Emily Leproust</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29"/>
        </w:trPr>
        <w:tc>
          <w:tcPr>
            <w:tcW w:w="18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1740" w:type="dxa"/>
            <w:vAlign w:val="bottom"/>
            <w:vMerge w:val="restart"/>
          </w:tcPr>
          <w:p>
            <w:pPr>
              <w:ind w:left="120"/>
              <w:spacing w:after="0"/>
              <w:rPr>
                <w:sz w:val="20"/>
                <w:szCs w:val="20"/>
                <w:color w:val="auto"/>
              </w:rPr>
            </w:pPr>
            <w:r>
              <w:rPr>
                <w:rFonts w:ascii="Arial" w:cs="Arial" w:eastAsia="Arial" w:hAnsi="Arial"/>
                <w:sz w:val="18"/>
                <w:szCs w:val="18"/>
                <w:color w:val="auto"/>
              </w:rPr>
              <w:t>Jason Ryan</w:t>
            </w:r>
          </w:p>
        </w:tc>
        <w:tc>
          <w:tcPr>
            <w:tcW w:w="1320" w:type="dxa"/>
            <w:vAlign w:val="bottom"/>
          </w:tcPr>
          <w:p>
            <w:pPr>
              <w:ind w:left="780"/>
              <w:spacing w:after="0" w:line="176" w:lineRule="exact"/>
              <w:rPr>
                <w:sz w:val="20"/>
                <w:szCs w:val="20"/>
                <w:color w:val="auto"/>
              </w:rPr>
            </w:pPr>
            <w:r>
              <w:rPr>
                <w:rFonts w:ascii="Arial" w:cs="Arial" w:eastAsia="Arial" w:hAnsi="Arial"/>
                <w:sz w:val="18"/>
                <w:szCs w:val="18"/>
                <w:color w:val="auto"/>
              </w:rPr>
              <w:t>Class</w:t>
            </w:r>
          </w:p>
        </w:tc>
        <w:tc>
          <w:tcPr>
            <w:tcW w:w="0" w:type="dxa"/>
            <w:vAlign w:val="bottom"/>
          </w:tcPr>
          <w:p>
            <w:pPr>
              <w:spacing w:after="0"/>
              <w:rPr>
                <w:sz w:val="1"/>
                <w:szCs w:val="1"/>
                <w:color w:val="auto"/>
              </w:rPr>
            </w:pPr>
          </w:p>
        </w:tc>
      </w:tr>
      <w:tr>
        <w:trPr>
          <w:trHeight w:val="230"/>
        </w:trPr>
        <w:tc>
          <w:tcPr>
            <w:tcW w:w="18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1320" w:type="dxa"/>
            <w:vAlign w:val="bottom"/>
          </w:tcPr>
          <w:p>
            <w:pPr>
              <w:ind w:left="44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9 nominees will be elected, subject to obtaining necessary regulatory approval of the applicable authorities, if the condition precedent proposals are approved by the stockholders at the special meeting.</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directors currently serving in Class II and Class III have terms that extend beyond the special meeting, these directors have tendered their contingent resignations from their current terms, conditioned upon the approval of the condition precedent proposals, including the Charter Approval Proposal. These resignations will take effect immediately prior to the Closing.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Alternatively, if the condition precedent proposals are not approved, Dr. George and Dr. Leproust, will stand for re-election as Class I directors for a term of three years expiring at the 2024 annual meeting of stockholders or until their respective successor have been duly elected and qualified, or until their earlier death, resignation, retirement or removal.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more information on the experience of Dennis Charney, Eli Casdin, Emily Leproust, Eric Schadt, Jason Ryan, Joshua Ruch, Michael Pellini, Nat Turner and Rachel Sherman, see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election of directors is decided by a plurality of the votes cast by the stockholders present in person (which would include presence at the virtual special meeting) or represented by proxy at the Special Meeting and entitled to vote on the election of directors. This means that each of the director nominees will be elected if they receive more affirmative votes than any other nominee for the same position. Stockholders may not cumulate their votes with respect to the election of directors.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Failure to vote by proxy or to vote in person (which would include voting at the virtual special meeting), an abstention from voting, or a broker non-vote will have no effect on the election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election of nine director nominees in the Director Election Proposal is conditioned on the approval of the condition precedent proposals, including the Charter Approval Proposal. If the condition precedent proposals, including the Charter Approval Proposal, are not approved, two directors will be elected to a three-year term in Class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BOARD OF DIRECTORS RECOMMENDS THAT OUR STOCKHOLDERS VOTE “FOR” THE ELECTION OF EACH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NOMINEES TO THE BOARD OF DIRECTORS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8 — THE ADJOURNMENT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Business Combination Proposal, the Nasdaq Stock Issuance Proposal, the Charter Approval Proposal, the Incentive Plan Proposal or the ESPP Proposal, but no other proposal if the Business Combination Proposal, the Nasdaq Stock Issuance Proposal, the Charter Approval Proposal, the Incentive Plan Proposal and the ESPP Proposal are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Adjournment Proposal is not approved by our stockholders, our Board may not be able to adjourn the Special Meeting to a later date in the event that there are insufficient votes for, or otherwise in connection with, the approval of the Business Combination Proposal, the Nasdaq Stock Issuance Proposal, the Charter Approval Proposal, the Incentive Plan Proposal, the ESPP Proposal, the Governance Proposal or any other proposal.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will be counted in connection with the determination of whether a valid quorum is established but will have no effect on the Adjournment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BOARD OF DIRECTORS RECOMMENDS THAT OUR STOCKHOLDERS VOTE “FOR” THE ADJOURNMENT PROPOSAL.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9 — THE AUDITOR RATIFICATION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audit committee has appointed Withum to continue in its capacity as our independent registered public accounting firm for the fiscal year ending December 31, 2020, and the Board has directed that management submit the appointment of the independent registered public accounting firm for ratification by the Company’s stockholders at the special meeting. Withum has audited our financial statements for the year ended December 31, 2020.</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appointment of Withum, as our independent registered public accounting firm. However, the Board is submitting the appointment of Withum,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Representatives of Withum are expected to be present at the special meeting via telephone. They will have an opportunity to make a statement if they so desire and will be available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approval of the Auditor Ratification Proposal requires the affirmative vote of holders of a majority of the votes cast by our stockholders present in person (which would include presence at the virtual special meeting) or represented by proxy at the special meeting and entitled to vote thereon at the special meeting. Failure to vote by proxy or to vote in person (which would include voting at the virtual special meeting) or an abstention from voting will have no effect on the outcome of the Auditor Ratification Proposal. The transaction is not conditioned on the approval of the Auditor Ratification Proposal and the Auditor Ratification Proposal is not conditioned on the approval of any other proposal.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BOARD UNANIMOUSLY RECOMMENDS THAT OUR STOCKHOLDERS VOTE “FOR” THE AUDITOR RATIFICATION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1 — Approval of the Business Combination — Interests of Certain Persons in the Transactions</w:t>
      </w:r>
      <w:r>
        <w:rPr>
          <w:rFonts w:ascii="Arial" w:cs="Arial" w:eastAsia="Arial" w:hAnsi="Arial"/>
          <w:sz w:val="17"/>
          <w:szCs w:val="17"/>
          <w:color w:val="auto"/>
        </w:rPr>
        <w:t>” for a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on July 10, 2020 as a Delaware corporation for the purpose of effecting a merger, capital stock exchange, asset acquisition, stock purchase, reorganization or similar business combination with one or more businesses. We have neither engaged in any operations nor generated any revenue to date. Based on our business activities, we are a “shell company” as defined under the Exchange Act because we have no operations and nominal assets consisting almost entirely of cash.</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2020, we had not commenced any operations. All activity for the period from July 10, 2020 (inception) through December 31, 2020 relates to our formation, the initial public offering, and, subsequent to the initial pubic offering,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initial public offering.</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4, 2020, we consummated our initial public offering of 44,275,000 units (the “</w:t>
      </w:r>
      <w:r>
        <w:rPr>
          <w:rFonts w:ascii="Arial" w:cs="Arial" w:eastAsia="Arial" w:hAnsi="Arial"/>
          <w:sz w:val="17"/>
          <w:szCs w:val="17"/>
          <w:i w:val="1"/>
          <w:iCs w:val="1"/>
          <w:color w:val="auto"/>
        </w:rPr>
        <w:t>units</w:t>
      </w:r>
      <w:r>
        <w:rPr>
          <w:rFonts w:ascii="Arial" w:cs="Arial" w:eastAsia="Arial" w:hAnsi="Arial"/>
          <w:sz w:val="17"/>
          <w:szCs w:val="17"/>
          <w:color w:val="auto"/>
        </w:rPr>
        <w:t>”) which includes the full exercise by the underwriter of its over-allotment option in the amount of 5,775,000 units, at a purchase price of $10.00 per unit. Each unit consists of one share of common stock, $0.0001 par value per share and one warrant. Each warrant entitles the holder thereof to purchase one-third of one share of common stock for $11.50 per share, provided that if we have not consummated our initial business combination within 15 months from the closing of the initial public offering, each warrant will entitle the holder thereof to purchase one-third of one share of common stock at a price of $11.50 per whole share, subject to adjustment in either case. The units were sold at an offering price of $10.00 per unit, generating gross proceeds of $442,750,000.</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Simultaneously with the consummation of the initial public offering, we completed the private placement of an aggregate of 7,236,667 warrants to the Sponsor and certain of the independent directors at a price of $1.50 per warrant, generating gross proceeds of $10,855,000.</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$442,750,000 million ($10.00 per unit) of the net proceeds from the sale of units in the initial public offering and the private placements was placed in the Trust Account maintained by Continental Stock Transfer &amp; Trust Company, acting as trustee. The proceeds held in the Trust Account were invested in U.S. government securities, within the meaning set forth in Section 2(a)(16) of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Nasdaq rules require that we must consummate an initial business combination with one or more operating businesses or assets with a fair market value equal to at least 80% of the net assets held in the Trust Account (net of amounts disbursed to management for working capital purposes, if permitted, and excluding the amount of any deferred underwriting commissions) at the time of our signing a definitive agreement in connection with an initial business combination. Our Board has determined that the Business Combination meets the 80% test.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Pursuant to our current certificate of incorporation, we are providing our public stockholders with the opportunity to redeem, upon the Closing, shares of common stock for cash equal to the pro rata share of the aggregate amount on deposit (as of two business days prior to the Closing) in the Trust Account that holds the proceeds of our IPO (including interest not previously released to the Company to pay franchise and income taxes), subject to certain limitations. For illustrative purposes, based on the balance of the Trust Account of approximately $442 million as of January 29, 2021, the estimated per share redemption price would have been approximately $10.00. </w:t>
      </w:r>
      <w:r>
        <w:rPr>
          <w:rFonts w:ascii="Arial" w:cs="Arial" w:eastAsia="Arial" w:hAnsi="Arial"/>
          <w:sz w:val="16"/>
          <w:szCs w:val="16"/>
          <w:b w:val="1"/>
          <w:bCs w:val="1"/>
          <w:color w:val="auto"/>
        </w:rPr>
        <w:t>Public stockholders may elect to redeem their shares even if they vote for the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Combination</w:t>
      </w:r>
      <w:r>
        <w:rPr>
          <w:rFonts w:ascii="Arial" w:cs="Arial" w:eastAsia="Arial" w:hAnsi="Arial"/>
          <w:sz w:val="16"/>
          <w:szCs w:val="16"/>
          <w:color w:val="auto"/>
        </w:rPr>
        <w:t>. Any request to redeem public shares, once made, may be withdrawn at any time until the deadline for exercising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$300,000,000.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Our Initial Business Combination to a Stockholder Vote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Special Meeting of our stockholders to which this proxy statement relates is to solicit your approval of the Business Combination. Unlike many other blank check companies, our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 Our Initial Stockholders, including our Sponsor, have agreed to vote any shares of common stock owned by them in favor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currently have three executive officers. Members of our management team are not obligated to devote any specific number of hours to our matters, but they intend to devote as much of their time as they deem necessary to our affairs until we have completed an initial business combination. We presently expect our officers to devote such amount of time as they reasonably believe is necessary to our business, and the amount of time that Eli Casdin or any other members of our management will devote in any time period will vary based on the current stage of the business combination process.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Executive Officer and 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directors and executive officer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29"/>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Borders>
              <w:top w:val="single" w:sz="8" w:color="CCEEFF"/>
            </w:tcBorders>
            <w:shd w:val="clear" w:color="auto" w:fill="CCEEFF"/>
          </w:tcPr>
          <w:p>
            <w:pPr>
              <w:spacing w:after="0"/>
              <w:rPr>
                <w:sz w:val="19"/>
                <w:szCs w:val="19"/>
                <w:color w:val="auto"/>
              </w:rPr>
            </w:pPr>
          </w:p>
        </w:tc>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Keith A. Meister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Chairman</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Secretary</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Shaun Rodriguez</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Chief Strategy Officer</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Munib Islam</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Nat Turner</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0"/>
                <w:szCs w:val="20"/>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Eli Casdin </w:t>
      </w:r>
      <w:r>
        <w:rPr>
          <w:rFonts w:ascii="Arial" w:cs="Arial" w:eastAsia="Arial" w:hAnsi="Arial"/>
          <w:sz w:val="16"/>
          <w:szCs w:val="16"/>
          <w:color w:val="auto"/>
        </w:rPr>
        <w:t>has been our Chief Executive Officer since July 2020. He founded Casdin Capital, LLC, an investment firm focused on the life sciences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healthcare industry, in November 2011 and currently serves as its Chief Investment Officer. Since December 2020 and January 2021, Mr. Casdin has also served as Chief Executive Officer and a director of CM Life Sciences II Inc. (Nasdaq: CMII) and CM Life Sciences III Inc., respectively, both blank check companies. Mr. Casdin previously served on the board of directors of Exact Sciences Corp. (Nasdaq: EXAS).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 Management LP, a New York based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in December 2010 and since its inception has served as its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Partner and Chief Investment Officer. From 2003 to 2010, Mr. Meister served as Chief Executive Officer and then Principal Executive Officer and Vice Chairman of the Board of Icahn Enterprises L.P. (Nasdaq: IEP), the primary investment vehicle for Carl Icahn. Mr. Meister currently serves as Chairman of CM Life Sciences II Inc. (Nasdaq: CMII) and CM Life Sciences III Inc., since December 2020 and January 2021, respectively.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Brian Emes </w:t>
      </w:r>
      <w:r>
        <w:rPr>
          <w:rFonts w:ascii="Arial" w:cs="Arial" w:eastAsia="Arial" w:hAnsi="Arial"/>
          <w:sz w:val="17"/>
          <w:szCs w:val="17"/>
          <w:color w:val="auto"/>
        </w:rPr>
        <w:t>has been our Chief Financial Officer and Secretary since July 2020. Mr. Emes is also the Chief Financial Officer of Corvex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 New York based investment manager, which he joined in January 2013. Since December 2020 and January 2021, Mr. Emes currently serves as Chief Financial Officer of CM Life Sciences II Inc. (Nasdaq: CMII) and CM Life Sciences III Inc., respectively. Mr. Emes holds a B.S. degree in finance and marketing from Elon University’s Martha &amp; Spencer Love School of Business, and is a licensed certified public accountant.</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 Capital, LLC, an investment firm focused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Since December 2020 and January 2021, Mr. Rodriguez currently serves as Chief Financial Officer of CM Life Sciences II Inc. (Nasdaq: CMII) and CM Life Sciences III Inc., respectively.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Sean George </w:t>
      </w:r>
      <w:r>
        <w:rPr>
          <w:rFonts w:ascii="Arial" w:cs="Arial" w:eastAsia="Arial" w:hAnsi="Arial"/>
          <w:sz w:val="18"/>
          <w:szCs w:val="18"/>
          <w:color w:val="auto"/>
        </w:rPr>
        <w:t>has served as a director since completion of the Initial Public Offering in September 2020. Dr. George has been Co-Founder,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Executive Officer of Invitae Corporation (NYSE: NVTA) since January 2017 and a director since 2010. He also served as Invitae’s President and Chief Operating Officer from August 2012 to January 2017 and as Chief Executive from January 2010 to August 2012. Prior to Invitae, he served as COO at Navigenics, Inc. an early pioneer in personalized genetics from 2007 to November 2009. Before joining Navigenics, Dr. George served in a variety of product, operating and commercial roles at Affymetrix, Inc., Invitrogen Corporation and Molecular Probes, Inc. Dr. George holds a B.S. in Molecular Genetics from UCLA, an M.S. in Molecular Biology from UC Santa Barbara, and a Ph.D. in Molecular Genetics from UC Santa Cruz. His qualifications to serve on our board of directors include his extensive experience in the life sciences sector and his leadership experience guiding an early stage company from startup to market leader.</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has served as a director since completion of the Initial Public Offering in September 2020. Mr. Islam served as Co-Chief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 and he currently sits on the Boards of the Stanford Business School Trust and the Brearley School in New York City. Mr. Islam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Emily Leproust</w:t>
      </w:r>
      <w:r>
        <w:rPr>
          <w:rFonts w:ascii="Arial" w:cs="Arial" w:eastAsia="Arial" w:hAnsi="Arial"/>
          <w:sz w:val="18"/>
          <w:szCs w:val="18"/>
          <w:color w:val="auto"/>
        </w:rPr>
        <w:t>, has served as a director since completion of the Initial Public Offering in September 2020. Dr. Leproust has been President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Twist Bioscience Corp. (Nasdaq: TWST) since co-founding Twist in 2013. Since October 2018, she has also served as Chair of the board of directors for Twist. Prior to Twist, Dr. Leproust served in various positions at Agilent Technologies, Inc. (NYSE: A), most recently as its Director, Applications and Chemistry R&amp;D from February 2009 to April 2013. Dr. Leproust holds a M.Sc. in Industrial Chemistry from the Lyon School of Industrial Chemistry and a Ph.D. in Organic Chemistry from the University of Houston. Her qualifications to serve on our board of directors include her extensive professional and educational experience in the life sciences industry.</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Nat Turner </w:t>
      </w:r>
      <w:r>
        <w:rPr>
          <w:rFonts w:ascii="Arial" w:cs="Arial" w:eastAsia="Arial" w:hAnsi="Arial"/>
          <w:sz w:val="18"/>
          <w:szCs w:val="18"/>
          <w:color w:val="auto"/>
        </w:rPr>
        <w:t>has served as a director since completion of the Initial Public Offering in September 2020. Mr. Turner has been the Co-Founder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Flatiron Health, Inc., a healthcare technology company focusing on accelerating oncology research and improving patient care acquired by Roche Holding AG, since June 2012. Previously, Mr. Turner co-founded and served as Chief Executive Officer of Invite Media, Inc., an advertising technology company, from March 2007 until it was acquired by Google Inc. (Nasdaq: GOOGL) in June 2010, after which he remained at Google until June 2012. Mr. Turner received a B.S., cum laude, in Economics with concentrations in entrepreneurship and marketing from The Wharton School of the University of Pennsylvania. His qualifications to serve on our board of directors include his significant experience in the life sciences industry, both as an executive and as an angel investor.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Board’s oversight of risk is administered directly through the Board, as a whole, or through its audit committee. Various reports and presentations regarding risk management are presented to the Board to identify and manage risk. The audit committee addresses risks that fall within the committee’s area of responsibility. For example, the audit committee is responsible for overseeing the quality and objectivity of the Company’s financial statements and the independent audit thereof. Management furnishes information regarding risk to the Board as requested.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Terms of Office of Officers and Directors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board of directors consists of six members. Our board is divided into three classes, with only one class of directors being elected in each year, and with each class (except for those directors appointed prior to our first annual meeting of stockholders) serving a three-year term. The term of office of the first class of directors, consisting of Sean George and Emily Leproust, will expire at the Special Meeting. The term of office of the second class of directors, consisting of Munib Islam and Nat Turner, will expire at our second annual meeting of stockholders. The term of office of the third class of directors, consisting of Eli Casdin and Kieth Meister, will expire at our third annual meeting of stockholders. Subject to any other special rights applicable to the stockholders, any vacancies on our board of directors may be filled by the affirmative vote of a majority of the directors present and voting at the meeting of our board that includes any directors representing our Sponsor then on our board, or by a majority of the holders of our common stock.</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listing standards of Nasdaq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Sean George, Emily Leproust, Munib Islam and Nat Turner are “independent directors” as defined in Rule 10A-3 of the Exchange Act and the rules of Nasdaq, and Kieth Miester is an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4" w:lineRule="exact"/>
        <w:rPr>
          <w:sz w:val="20"/>
          <w:szCs w:val="20"/>
          <w:color w:val="auto"/>
        </w:rPr>
      </w:pPr>
    </w:p>
    <w:p>
      <w:pPr>
        <w:ind w:right="500"/>
        <w:spacing w:after="0" w:line="438" w:lineRule="auto"/>
        <w:rPr>
          <w:sz w:val="20"/>
          <w:szCs w:val="20"/>
          <w:color w:val="auto"/>
        </w:rPr>
      </w:pPr>
      <w:r>
        <w:rPr>
          <w:rFonts w:ascii="Arial" w:cs="Arial" w:eastAsia="Arial" w:hAnsi="Arial"/>
          <w:sz w:val="18"/>
          <w:szCs w:val="18"/>
          <w:color w:val="auto"/>
        </w:rPr>
        <w:t xml:space="preserve">as defined in Nasdaq listing standards. Our independent directors have regularly scheduled meetings at which only independent directors are present. </w:t>
      </w:r>
      <w:r>
        <w:rPr>
          <w:rFonts w:ascii="Arial" w:cs="Arial" w:eastAsia="Arial" w:hAnsi="Arial"/>
          <w:sz w:val="18"/>
          <w:szCs w:val="18"/>
          <w:b w:val="1"/>
          <w:bCs w:val="1"/>
          <w:i w:val="1"/>
          <w:iCs w:val="1"/>
          <w:color w:val="auto"/>
        </w:rPr>
        <w:t>Committees of the Board of Directors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All of the members of these three committees are comprised solely of independent directors in accordance with the rules of Nasdaq and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members of our audit committee are Sean George, Munib Islam and Emily Leproust. Mr. Islam serves as chairman of the audit committee. Each of Sean George, Munib Islam and Emily Leproust meet the independent director standard under Nasdaq listing rules and under Rule 10A-3(b)(1) of the Exchange Act.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Islam qualifies as an “audit committee financial expert” as defined in applicable SEC rules and has accounting or related financial management expertise.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auditor’s qualifications and independence, and (4) the performance of our internal audit function and independent auditors; the appointment, compensation, retention, replacement, and oversight of the work of the independent auditors and any other independent registered public accounting firm engaged by us;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auditors all relationships the auditors have with us in order to evaluate their continued independence;</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auditors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3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w:t>
      </w:r>
      <w:r>
        <w:rPr>
          <w:rFonts w:ascii="Arial" w:cs="Arial" w:eastAsia="Arial" w:hAnsi="Arial"/>
          <w:sz w:val="18"/>
          <w:szCs w:val="18"/>
          <w:i w:val="1"/>
          <w:iCs w:val="1"/>
          <w:color w:val="auto"/>
        </w:rPr>
        <w:t>The Company’s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reviewing and approving any related party transaction required to be disclosed pursuant to Item 404 of Regulation S-K</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by the SEC prior to us entering into such transaction; 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reviewing with management, the independent auditors,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members of our compensation committee are Munib Islam, Emily Leproust and Nat Turner. Dr. Leproust serves as chairman of the compensation committee, each of whom is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incentive-compensation and equity-based plans that are subject to board approval of all of our other officers;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members of our nominating and corporate governance are Sean George, Munib Islam and Kieth Miester. Dr. George serves as chair of the nominating and corporate governance committee, each of whom is independent.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adopted a nominating and corporate governance committee charter, which details the purpose and responsibilities of the nominating and corporate governance committee, including:</w:t>
      </w:r>
    </w:p>
    <w:p>
      <w:pPr>
        <w:spacing w:after="0" w:line="116" w:lineRule="exact"/>
        <w:rPr>
          <w:sz w:val="20"/>
          <w:szCs w:val="20"/>
          <w:color w:val="auto"/>
        </w:rPr>
      </w:pPr>
    </w:p>
    <w:p>
      <w:pPr>
        <w:ind w:left="660" w:hanging="328"/>
        <w:spacing w:after="0" w:line="342" w:lineRule="auto"/>
        <w:tabs>
          <w:tab w:leader="none" w:pos="66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4" w:lineRule="exact"/>
        <w:rPr>
          <w:sz w:val="20"/>
          <w:szCs w:val="20"/>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Committee Membership, Meetings and Attendance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 audit committee, compensation committee and nominating and corporate governance committee of our Board is comprised entirely of independent directors.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2020:</w:t>
      </w:r>
    </w:p>
    <w:p>
      <w:pPr>
        <w:spacing w:after="0" w:line="171"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Board held two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audit committee held one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compensation committee held no meetings;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held no meetings.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our incumbent directors attended or participated in at least half of the meetings of the respective committees of which he is a member held during the period such incumbent director was a director during the year ended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all of our directors to attend our annual meetings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adopted a Code of Business Conduct and Ethics applicable to our directors, officers and employees. We filed a copy of our Code of Business Conduct and Ethics as an exhibit to the registration statement in connection with our initial public offering. You are able to review this document by accessing our public filings at the SEC’s web site at www.sec.gov. In addition, a copy of the Code of Business Conduct and Ethics and the charters of the committees of our board of directors can be provided without charge upon request from us in writing at 667 Madison Ave, New York, NY 10065, or by telephone at (212) 474-6745.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proxy statement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officers have agreed to present to us all target business opportunities that have a fair market value of at least 80% of the assets held in the Trust Account (net of amounts disbursed to management for working capital purposes, if permitted, and excluding the amount of any deferred underwriting commissions) prior to presenting them to any other entity, subject to any fiduciary or contractual obligations they may have. The members of our management team are not otherwise obligated to present us with any opportunity for a potential business combination of which they become aware, unless presented to such member solely in his or her capacity as a director or officer of the company.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the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the IPO and purchased private placement warrants in a transaction simultaneous to the IPO.</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Our Initial Stockholders have agreed to waive their redemption rights with respect to any Founder Shares and any public shares held by them in connection with the consummation of our initial business combination. Additionally, our Initial Stockholders have agreed to waive their redemption rights with respect to any Founder Shares held by them if we fail to consummate our initial business combination within 18 months after the closing of our initial public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With certain limited exceptions, the private placement warrants and the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our officers and directors may have a conflict of interest in determining whether a particular target business is an appropriate business with which to effectuate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4" w:lineRule="exact"/>
        <w:rPr>
          <w:sz w:val="20"/>
          <w:szCs w:val="20"/>
          <w:color w:val="auto"/>
        </w:rPr>
      </w:pPr>
    </w:p>
    <w:p>
      <w:pPr>
        <w:jc w:val="both"/>
        <w:ind w:left="660" w:hanging="328"/>
        <w:spacing w:after="0" w:line="263"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working capital loans may be convertible into additional warrants at a price of $1.50 per warrant at the option of the lender. Such warrants would be identical to the private placement warrants, including as to exercisability and exercise price.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conflicts described above may not be resolved in our favor.</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Our officers and directors currently have certain relevant fiduciary duties or contractual obligations to such other entities (as well as to us). Our officers have also agreed not to participate in the formation of, or become an officer or director of, any other SPAC with a class of securities intended to be registered under the Exchange Act which has publicly filed a registration statement with the SEC until we have entered into a definitive agreement regarding our initial business combination or we have failed to complete our initial business combination within the required time period.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contractual obligations: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INDIVIDUAL</w:t>
            </w:r>
          </w:p>
        </w:tc>
        <w:tc>
          <w:tcPr>
            <w:tcW w:w="330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ENTITY</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AFFILIATION</w:t>
            </w:r>
          </w:p>
        </w:tc>
      </w:tr>
      <w:tr>
        <w:trPr>
          <w:trHeight w:val="243"/>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Eli Casdin</w:t>
            </w:r>
          </w:p>
        </w:tc>
        <w:tc>
          <w:tcPr>
            <w:tcW w:w="33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Investment Officer</w:t>
            </w:r>
          </w:p>
        </w:tc>
      </w:tr>
      <w:tr>
        <w:trPr>
          <w:trHeight w:val="234"/>
        </w:trPr>
        <w:tc>
          <w:tcPr>
            <w:tcW w:w="1980" w:type="dxa"/>
            <w:vAlign w:val="bottom"/>
            <w:shd w:val="clear" w:color="auto" w:fill="CCEEFF"/>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Exact Sciences Corp.</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2"/>
        </w:trPr>
        <w:tc>
          <w:tcPr>
            <w:tcW w:w="1980" w:type="dxa"/>
            <w:vAlign w:val="bottom"/>
            <w:shd w:val="clear" w:color="auto" w:fill="CCEEFF"/>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C2i Genomics</w:t>
            </w:r>
          </w:p>
        </w:tc>
        <w:tc>
          <w:tcPr>
            <w:tcW w:w="100" w:type="dxa"/>
            <w:vAlign w:val="bottom"/>
            <w:shd w:val="clear" w:color="auto" w:fill="CCEEFF"/>
          </w:tcPr>
          <w:p>
            <w:pPr>
              <w:spacing w:after="0"/>
              <w:rPr>
                <w:sz w:val="21"/>
                <w:szCs w:val="21"/>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1"/>
                <w:szCs w:val="21"/>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DNA Script</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EQRx,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Genomatica,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New York Genome Center</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Sexton Biotechnologies</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Tenaya Therapeutics, Inc.</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7"/>
        </w:trPr>
        <w:tc>
          <w:tcPr>
            <w:tcW w:w="1980" w:type="dxa"/>
            <w:vAlign w:val="bottom"/>
            <w:shd w:val="clear" w:color="auto" w:fill="CCEEFF"/>
          </w:tcPr>
          <w:p>
            <w:pPr>
              <w:spacing w:after="0"/>
              <w:rPr>
                <w:sz w:val="22"/>
                <w:szCs w:val="22"/>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Thrive Earlier Detection Corp.</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2"/>
                <w:szCs w:val="22"/>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Keith Meister</w:t>
            </w:r>
          </w:p>
        </w:tc>
        <w:tc>
          <w:tcPr>
            <w:tcW w:w="33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Corvex Management LP</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Managing Partner and Chief</w:t>
            </w:r>
          </w:p>
        </w:tc>
      </w:tr>
      <w:tr>
        <w:trPr>
          <w:trHeight w:val="234"/>
        </w:trPr>
        <w:tc>
          <w:tcPr>
            <w:tcW w:w="19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Investment Officer Director</w:t>
            </w:r>
          </w:p>
        </w:tc>
      </w:tr>
      <w:tr>
        <w:trPr>
          <w:trHeight w:val="414"/>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MGM Resorts International</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Hospitality and entertainment</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418"/>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Roar Digital,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w w:val="93"/>
              </w:rPr>
              <w:t>Sports betting and online gaming</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89"/>
        </w:trPr>
        <w:tc>
          <w:tcPr>
            <w:tcW w:w="1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Brian Emes</w:t>
            </w:r>
          </w:p>
        </w:tc>
        <w:tc>
          <w:tcPr>
            <w:tcW w:w="33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Corvex Management LP</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306"/>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rPr>
              <w:t>Shaun Rodriguez</w:t>
            </w: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Casdin Capital, LLC</w:t>
            </w:r>
            <w:r>
              <w:rPr>
                <w:rFonts w:ascii="Arial" w:cs="Arial" w:eastAsia="Arial" w:hAnsi="Arial"/>
                <w:sz w:val="23"/>
                <w:szCs w:val="23"/>
                <w:b w:val="1"/>
                <w:bCs w:val="1"/>
                <w:color w:val="auto"/>
                <w:vertAlign w:val="superscript"/>
              </w:rPr>
              <w:t>(1)</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Investment manager</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 of Life Science Research</w:t>
            </w:r>
          </w:p>
        </w:tc>
      </w:tr>
      <w:tr>
        <w:trPr>
          <w:trHeight w:val="342"/>
        </w:trPr>
        <w:tc>
          <w:tcPr>
            <w:tcW w:w="1980" w:type="dxa"/>
            <w:vAlign w:val="bottom"/>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GeneMatters, LLC</w:t>
            </w:r>
          </w:p>
        </w:tc>
        <w:tc>
          <w:tcPr>
            <w:tcW w:w="100" w:type="dxa"/>
            <w:vAlign w:val="bottom"/>
          </w:tcPr>
          <w:p>
            <w:pPr>
              <w:spacing w:after="0"/>
              <w:rPr>
                <w:sz w:val="24"/>
                <w:szCs w:val="24"/>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4"/>
                <w:szCs w:val="24"/>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56"/>
        </w:trPr>
        <w:tc>
          <w:tcPr>
            <w:tcW w:w="198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Prominex Inc.</w:t>
            </w:r>
          </w:p>
        </w:tc>
        <w:tc>
          <w:tcPr>
            <w:tcW w:w="100" w:type="dxa"/>
            <w:vAlign w:val="bottom"/>
          </w:tcPr>
          <w:p>
            <w:pPr>
              <w:spacing w:after="0"/>
              <w:rPr>
                <w:sz w:val="22"/>
                <w:szCs w:val="22"/>
                <w:color w:val="auto"/>
              </w:rPr>
            </w:pPr>
          </w:p>
        </w:tc>
        <w:tc>
          <w:tcPr>
            <w:tcW w:w="2720" w:type="dxa"/>
            <w:vAlign w:val="bottom"/>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22"/>
                <w:szCs w:val="22"/>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7"/>
        </w:trPr>
        <w:tc>
          <w:tcPr>
            <w:tcW w:w="19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Sean George</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Invitae Corporation</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175"/>
        </w:trPr>
        <w:tc>
          <w:tcPr>
            <w:tcW w:w="19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Emily Leproust</w:t>
            </w:r>
          </w:p>
        </w:tc>
        <w:tc>
          <w:tcPr>
            <w:tcW w:w="33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Twist Bioscience Corp.</w:t>
            </w:r>
          </w:p>
        </w:tc>
        <w:tc>
          <w:tcPr>
            <w:tcW w:w="100" w:type="dxa"/>
            <w:vAlign w:val="bottom"/>
          </w:tcPr>
          <w:p>
            <w:pPr>
              <w:spacing w:after="0"/>
              <w:rPr>
                <w:sz w:val="15"/>
                <w:szCs w:val="15"/>
                <w:color w:val="auto"/>
              </w:rPr>
            </w:pPr>
          </w:p>
        </w:tc>
        <w:tc>
          <w:tcPr>
            <w:tcW w:w="27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Biotechnology</w:t>
            </w:r>
          </w:p>
        </w:tc>
        <w:tc>
          <w:tcPr>
            <w:tcW w:w="100" w:type="dxa"/>
            <w:vAlign w:val="bottom"/>
          </w:tcPr>
          <w:p>
            <w:pPr>
              <w:spacing w:after="0"/>
              <w:rPr>
                <w:sz w:val="15"/>
                <w:szCs w:val="15"/>
                <w:color w:val="auto"/>
              </w:rPr>
            </w:pPr>
          </w:p>
        </w:tc>
        <w:tc>
          <w:tcPr>
            <w:tcW w:w="3040" w:type="dxa"/>
            <w:vAlign w:val="bottom"/>
          </w:tcPr>
          <w:p>
            <w:pPr>
              <w:ind w:left="20"/>
              <w:spacing w:after="0" w:line="176" w:lineRule="exact"/>
              <w:rPr>
                <w:sz w:val="20"/>
                <w:szCs w:val="20"/>
                <w:color w:val="auto"/>
              </w:rPr>
            </w:pPr>
            <w:r>
              <w:rPr>
                <w:rFonts w:ascii="Arial" w:cs="Arial" w:eastAsia="Arial" w:hAnsi="Arial"/>
                <w:sz w:val="18"/>
                <w:szCs w:val="18"/>
                <w:b w:val="1"/>
                <w:bCs w:val="1"/>
                <w:color w:val="auto"/>
                <w:w w:val="91"/>
              </w:rPr>
              <w:t>President, Chief Executive Officer and</w:t>
            </w:r>
          </w:p>
        </w:tc>
      </w:tr>
      <w:tr>
        <w:trPr>
          <w:trHeight w:val="230"/>
        </w:trPr>
        <w:tc>
          <w:tcPr>
            <w:tcW w:w="19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Chair of the Board</w:t>
            </w:r>
          </w:p>
        </w:tc>
      </w:tr>
      <w:tr>
        <w:trPr>
          <w:trHeight w:val="23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 Turner</w:t>
            </w: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Flatiron Health, Inc.</w:t>
            </w:r>
          </w:p>
        </w:tc>
        <w:tc>
          <w:tcPr>
            <w:tcW w:w="10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0"/>
                <w:szCs w:val="20"/>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Chief Executive Officer and Director</w:t>
            </w:r>
          </w:p>
        </w:tc>
      </w:tr>
      <w:tr>
        <w:trPr>
          <w:trHeight w:val="414"/>
        </w:trPr>
        <w:tc>
          <w:tcPr>
            <w:tcW w:w="1980" w:type="dxa"/>
            <w:vAlign w:val="bottom"/>
            <w:shd w:val="clear" w:color="auto" w:fill="CCEEFF"/>
          </w:tcPr>
          <w:p>
            <w:pPr>
              <w:spacing w:after="0"/>
              <w:rPr>
                <w:sz w:val="24"/>
                <w:szCs w:val="24"/>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Clover Health, Inc.</w:t>
            </w:r>
          </w:p>
        </w:tc>
        <w:tc>
          <w:tcPr>
            <w:tcW w:w="100" w:type="dxa"/>
            <w:vAlign w:val="bottom"/>
            <w:shd w:val="clear" w:color="auto" w:fill="CCEEFF"/>
          </w:tcPr>
          <w:p>
            <w:pPr>
              <w:spacing w:after="0"/>
              <w:rPr>
                <w:sz w:val="24"/>
                <w:szCs w:val="24"/>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shd w:val="clear" w:color="auto" w:fill="CCEEFF"/>
          </w:tcPr>
          <w:p>
            <w:pPr>
              <w:spacing w:after="0"/>
              <w:rPr>
                <w:sz w:val="24"/>
                <w:szCs w:val="24"/>
                <w:color w:val="auto"/>
              </w:rPr>
            </w:pPr>
          </w:p>
        </w:tc>
        <w:tc>
          <w:tcPr>
            <w:tcW w:w="3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263"/>
        </w:trPr>
        <w:tc>
          <w:tcPr>
            <w:tcW w:w="198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Zenreach, Inc.</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Biotechnology</w:t>
            </w:r>
          </w:p>
        </w:tc>
        <w:tc>
          <w:tcPr>
            <w:tcW w:w="10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w:t>
            </w:r>
          </w:p>
        </w:tc>
      </w:tr>
      <w:tr>
        <w:trPr>
          <w:trHeight w:val="155"/>
        </w:trPr>
        <w:tc>
          <w:tcPr>
            <w:tcW w:w="198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r>
    </w:tbl>
    <w:p>
      <w:pPr>
        <w:ind w:left="320" w:hanging="312"/>
        <w:spacing w:after="0"/>
        <w:tabs>
          <w:tab w:leader="none" w:pos="32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Including with respect to one or more investment funds, clients and accounts for which such entity acts as investment advisor.</w:t>
      </w:r>
    </w:p>
    <w:p>
      <w:pPr>
        <w:spacing w:after="0" w:line="15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Accordingly, if any of the above executive officers or directors becomes aware of a business combination opportunity which is suitable for any of the above entities to which he or she has current fiduciary or contractual obligations, he or she will honor his or her fiduciary or contractual obligations to present such business combination opportunity to such entity, and only present it to us if such entity rejects the opportunity. We do not believe, however, that any of the foregoing fiduciary duties or contractual obligations will materially affect our ability to complete our initial business combination. Our current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2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such a company, we, or a committee of independent directors, would obtain an opinion from an independent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banking firm, or from an independent valuation or appraisal firm that regularly prepares fairness opinions, that such an initial business combination is fair to our company from a financial point of view.</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Sponsor, officers and directors have agreed to vote any Founder Shares held by them and any public shares purchased during or after the offering (including in open market and privately negotiated transactions) in favor of our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current certificate of incorporation provides that our officers and directors will be indemnified by us to the fullest extent authorized by Delaware law, as it now exists or may in the future be amended. In addition, our current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current certificate of incorporation. Our bylaws permit us to secure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August 2020, our Sponsor transferred 25,000 Founder Shares to each of Mr. Islam, Dr. Leproust and Mr. Turner. 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available to us at March 31, 2021 with respect to our common stock held by:</w:t>
      </w:r>
    </w:p>
    <w:p>
      <w:pPr>
        <w:spacing w:after="0" w:line="171" w:lineRule="exact"/>
        <w:rPr>
          <w:sz w:val="20"/>
          <w:szCs w:val="20"/>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is based on 44,275,000 shares of Class A common stock and 11,068,750 shares of Class B common stock outstanding as of March 31, 2021. Unless otherwise indicated, we believe that all persons named in the table have sole voting and investment power with respect to all shares of common stock beneficially owned by them. The following table does not reflect record or beneficial ownership of the Private Placement Warrants as these are not exercisable within 60 days of March 31, 2021.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8"/>
                <w:szCs w:val="18"/>
                <w:b w:val="1"/>
                <w:bCs w:val="1"/>
                <w:color w:val="auto"/>
                <w:vertAlign w:val="superscript"/>
              </w:rPr>
              <w:t>(1)</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Shares Beneficially</w:t>
            </w:r>
          </w:p>
        </w:tc>
        <w:tc>
          <w:tcPr>
            <w:tcW w:w="25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Percentage of Outstanding Common</w:t>
            </w:r>
          </w:p>
        </w:tc>
        <w:tc>
          <w:tcPr>
            <w:tcW w:w="0" w:type="dxa"/>
            <w:vAlign w:val="bottom"/>
          </w:tcPr>
          <w:p>
            <w:pPr>
              <w:spacing w:after="0"/>
              <w:rPr>
                <w:sz w:val="1"/>
                <w:szCs w:val="1"/>
                <w:color w:val="auto"/>
              </w:rPr>
            </w:pPr>
          </w:p>
        </w:tc>
      </w:tr>
      <w:tr>
        <w:trPr>
          <w:trHeight w:val="189"/>
        </w:trPr>
        <w:tc>
          <w:tcPr>
            <w:tcW w:w="6240" w:type="dxa"/>
            <w:vAlign w:val="bottom"/>
            <w:vMerge w:val="continue"/>
          </w:tcPr>
          <w:p>
            <w:pPr>
              <w:spacing w:after="0"/>
              <w:rPr>
                <w:sz w:val="16"/>
                <w:szCs w:val="16"/>
                <w:color w:val="auto"/>
              </w:rPr>
            </w:pPr>
          </w:p>
        </w:tc>
        <w:tc>
          <w:tcPr>
            <w:tcW w:w="248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88"/>
              </w:rPr>
              <w:t xml:space="preserve">Owned </w:t>
            </w:r>
            <w:r>
              <w:rPr>
                <w:rFonts w:ascii="Arial" w:cs="Arial" w:eastAsia="Arial" w:hAnsi="Arial"/>
                <w:sz w:val="18"/>
                <w:szCs w:val="18"/>
                <w:b w:val="1"/>
                <w:bCs w:val="1"/>
                <w:color w:val="auto"/>
                <w:w w:val="88"/>
                <w:vertAlign w:val="superscript"/>
              </w:rPr>
              <w:t>(2)</w:t>
            </w:r>
          </w:p>
        </w:tc>
        <w:tc>
          <w:tcPr>
            <w:tcW w:w="2520" w:type="dxa"/>
            <w:vAlign w:val="bottom"/>
          </w:tcPr>
          <w:p>
            <w:pPr>
              <w:jc w:val="right"/>
              <w:ind w:right="1012"/>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CMLS Holdings, LLC (our Sponsor) </w:t>
            </w:r>
            <w:r>
              <w:rPr>
                <w:rFonts w:ascii="Arial" w:cs="Arial" w:eastAsia="Arial" w:hAnsi="Arial"/>
                <w:sz w:val="23"/>
                <w:szCs w:val="23"/>
                <w:color w:val="auto"/>
                <w:vertAlign w:val="superscript"/>
              </w:rPr>
              <w:t>(3)</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 Casdin </w:t>
            </w:r>
            <w:r>
              <w:rPr>
                <w:rFonts w:ascii="Arial" w:cs="Arial" w:eastAsia="Arial" w:hAnsi="Arial"/>
                <w:sz w:val="23"/>
                <w:szCs w:val="23"/>
                <w:color w:val="auto"/>
                <w:vertAlign w:val="superscript"/>
              </w:rPr>
              <w:t>(3)</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Keith Meister </w:t>
            </w:r>
            <w:r>
              <w:rPr>
                <w:rFonts w:ascii="Arial" w:cs="Arial" w:eastAsia="Arial" w:hAnsi="Arial"/>
                <w:sz w:val="23"/>
                <w:szCs w:val="23"/>
                <w:color w:val="auto"/>
                <w:vertAlign w:val="superscript"/>
              </w:rPr>
              <w:t>(3)</w:t>
            </w:r>
          </w:p>
        </w:tc>
        <w:tc>
          <w:tcPr>
            <w:tcW w:w="2380" w:type="dxa"/>
            <w:vAlign w:val="bottom"/>
          </w:tcPr>
          <w:p>
            <w:pPr>
              <w:jc w:val="right"/>
              <w:spacing w:after="0"/>
              <w:rPr>
                <w:sz w:val="20"/>
                <w:szCs w:val="20"/>
                <w:color w:val="auto"/>
              </w:rPr>
            </w:pPr>
            <w:r>
              <w:rPr>
                <w:rFonts w:ascii="Arial" w:cs="Arial" w:eastAsia="Arial" w:hAnsi="Arial"/>
                <w:sz w:val="18"/>
                <w:szCs w:val="18"/>
                <w:color w:val="auto"/>
              </w:rPr>
              <w:t>10,993,750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Emes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Shaun Rodriguez</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Sean George</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Munib Islam</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Emily Leproust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Nat Turner</w:t>
            </w:r>
          </w:p>
        </w:tc>
        <w:tc>
          <w:tcPr>
            <w:tcW w:w="238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Sachem Head Capital Management LP </w:t>
            </w:r>
            <w:r>
              <w:rPr>
                <w:rFonts w:ascii="Arial" w:cs="Arial" w:eastAsia="Arial" w:hAnsi="Arial"/>
                <w:sz w:val="23"/>
                <w:szCs w:val="23"/>
                <w:color w:val="auto"/>
                <w:vertAlign w:val="superscript"/>
              </w:rPr>
              <w:t>(4)</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Magnetar Financial LLC </w:t>
            </w:r>
            <w:r>
              <w:rPr>
                <w:rFonts w:ascii="Arial" w:cs="Arial" w:eastAsia="Arial" w:hAnsi="Arial"/>
                <w:sz w:val="23"/>
                <w:szCs w:val="23"/>
                <w:color w:val="auto"/>
                <w:vertAlign w:val="superscript"/>
              </w:rPr>
              <w:t>(5)</w:t>
            </w:r>
          </w:p>
        </w:tc>
        <w:tc>
          <w:tcPr>
            <w:tcW w:w="2380" w:type="dxa"/>
            <w:vAlign w:val="bottom"/>
          </w:tcPr>
          <w:p>
            <w:pPr>
              <w:jc w:val="right"/>
              <w:spacing w:after="0"/>
              <w:rPr>
                <w:sz w:val="20"/>
                <w:szCs w:val="20"/>
                <w:color w:val="auto"/>
              </w:rPr>
            </w:pPr>
            <w:r>
              <w:rPr>
                <w:rFonts w:ascii="Arial" w:cs="Arial" w:eastAsia="Arial" w:hAnsi="Arial"/>
                <w:sz w:val="18"/>
                <w:szCs w:val="18"/>
                <w:color w:val="auto"/>
              </w:rPr>
              <w:t>2,898,231</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BlueCrest Capital Management Limited </w:t>
            </w:r>
            <w:r>
              <w:rPr>
                <w:rFonts w:ascii="Arial" w:cs="Arial" w:eastAsia="Arial" w:hAnsi="Arial"/>
                <w:sz w:val="23"/>
                <w:szCs w:val="23"/>
                <w:color w:val="auto"/>
                <w:vertAlign w:val="superscript"/>
              </w:rPr>
              <w:t>(6)</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Millennium Management LLC </w:t>
            </w:r>
            <w:r>
              <w:rPr>
                <w:rFonts w:ascii="Arial" w:cs="Arial" w:eastAsia="Arial" w:hAnsi="Arial"/>
                <w:sz w:val="23"/>
                <w:szCs w:val="23"/>
                <w:color w:val="auto"/>
                <w:vertAlign w:val="superscript"/>
              </w:rPr>
              <w:t>(7)</w:t>
            </w:r>
          </w:p>
        </w:tc>
        <w:tc>
          <w:tcPr>
            <w:tcW w:w="2380" w:type="dxa"/>
            <w:vAlign w:val="bottom"/>
          </w:tcPr>
          <w:p>
            <w:pPr>
              <w:jc w:val="right"/>
              <w:spacing w:after="0"/>
              <w:rPr>
                <w:sz w:val="20"/>
                <w:szCs w:val="20"/>
                <w:color w:val="auto"/>
              </w:rPr>
            </w:pPr>
            <w:r>
              <w:rPr>
                <w:rFonts w:ascii="Arial" w:cs="Arial" w:eastAsia="Arial" w:hAnsi="Arial"/>
                <w:sz w:val="18"/>
                <w:szCs w:val="18"/>
                <w:color w:val="auto"/>
              </w:rPr>
              <w:t>2,467,288</w:t>
            </w:r>
          </w:p>
        </w:tc>
        <w:tc>
          <w:tcPr>
            <w:tcW w:w="10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officers and director nominees as a group (8 individuals)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43"/>
        </w:trPr>
        <w:tc>
          <w:tcPr>
            <w:tcW w:w="624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20"/>
                <w:szCs w:val="20"/>
                <w:color w:val="auto"/>
              </w:rPr>
            </w:pPr>
            <w:r>
              <w:rPr>
                <w:rFonts w:ascii="Arial" w:cs="Arial" w:eastAsia="Arial" w:hAnsi="Arial"/>
                <w:sz w:val="14"/>
                <w:szCs w:val="14"/>
                <w:color w:val="auto"/>
              </w:rPr>
              <w:t>*    Less than one percent.</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c/o Corvex Management LP, 667 Madison Avenue, New York, New York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9" w:lineRule="exact"/>
        <w:rPr>
          <w:sz w:val="20"/>
          <w:szCs w:val="20"/>
          <w:color w:val="auto"/>
        </w:rPr>
      </w:pPr>
    </w:p>
    <w:p>
      <w:pPr>
        <w:ind w:left="340" w:right="460" w:hanging="332"/>
        <w:spacing w:after="0" w:line="165" w:lineRule="exact"/>
        <w:tabs>
          <w:tab w:leader="none" w:pos="33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Interests shown consist of shares of Class A common stock and shares of Class B common stock. The Class B common stock will automatically convert into Class A common stock concurrently with or immediately following the consummation of our initial Business Combination on a one-for-one basis, subject to adjustment, as described in the section entitled “Description of Securities” in our prospectus filed with the SEC pursuant to Rule 424(b)(4) (File No. 333</w:t>
      </w:r>
      <w:r>
        <w:rPr>
          <w:rFonts w:ascii="MS PGothic" w:cs="MS PGothic" w:eastAsia="MS PGothic" w:hAnsi="MS PGothic"/>
          <w:sz w:val="13"/>
          <w:szCs w:val="13"/>
          <w:color w:val="auto"/>
        </w:rPr>
        <w:t>‑</w:t>
      </w:r>
      <w:r>
        <w:rPr>
          <w:rFonts w:ascii="Arial" w:cs="Arial" w:eastAsia="Arial" w:hAnsi="Arial"/>
          <w:sz w:val="13"/>
          <w:szCs w:val="13"/>
          <w:color w:val="auto"/>
        </w:rPr>
        <w:t>246251). Excludes Class A common stock issuable pursuant to the forward purchase agreements, as such shares will only be issued concurrently with the closing of our initial Business Combination.</w:t>
      </w:r>
    </w:p>
    <w:p>
      <w:pPr>
        <w:spacing w:after="0" w:line="2" w:lineRule="exact"/>
        <w:rPr>
          <w:rFonts w:ascii="Arial" w:cs="Arial" w:eastAsia="Arial" w:hAnsi="Arial"/>
          <w:sz w:val="13"/>
          <w:szCs w:val="13"/>
          <w:color w:val="auto"/>
        </w:rPr>
      </w:pPr>
    </w:p>
    <w:p>
      <w:pPr>
        <w:ind w:left="340" w:right="40" w:hanging="332"/>
        <w:spacing w:after="0" w:line="260" w:lineRule="auto"/>
        <w:tabs>
          <w:tab w:leader="none" w:pos="33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B common stock held directly by CMLS Holdings LLC. Each of C-LSH LLC, M-LSH LLC and Messrs. Casdin and Meister disclaims beneficial ownership of these shares except to the extent of its or his respective pecuniary interest therein.</w:t>
      </w:r>
    </w:p>
    <w:p>
      <w:pPr>
        <w:ind w:left="340" w:right="10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Sachem Head Capital Management LP, Uncas GP LLC, Sachem Head GP LLC and Scott D. Ferguson has shared voting and dispositive power with regard to 3,465,000 shares of Class A common stock of the Company. The business address for each is 250 West 55th Street, 34th Floor, New York, New York 10019.</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February 12, 2021, each of Magnetar Financial LLC, Magnetar Capital Partners LP, Supernova Management LLC and Alec N. Litowitz shares voting and dispositive power with regard to 2,898,231 shares of Class A common stock of the Company. The business address for each is 1603 Orrington Avenue, 13th Floor, Evanston, IL 60201.</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 Schedule 13G filed with the SEC on September 11, 2020, each of BlueCrest Management Limited and Michael Platt share voting and dispositive power with regard to 2,500,000 shares of Class A common stock of the Company. The business address for each is Ground Floor, Harbour Reach, La Rue de Carteret, St. Helier, Jersey, Channel Islands, JE2 4HR.</w:t>
      </w:r>
    </w:p>
    <w:p>
      <w:pPr>
        <w:spacing w:after="0" w:line="1" w:lineRule="exact"/>
        <w:rPr>
          <w:rFonts w:ascii="Arial" w:cs="Arial" w:eastAsia="Arial" w:hAnsi="Arial"/>
          <w:sz w:val="14"/>
          <w:szCs w:val="14"/>
          <w:color w:val="auto"/>
        </w:rPr>
      </w:pPr>
    </w:p>
    <w:p>
      <w:pPr>
        <w:ind w:left="340" w:right="300" w:hanging="332"/>
        <w:spacing w:after="0" w:line="248" w:lineRule="auto"/>
        <w:tabs>
          <w:tab w:leader="none" w:pos="332" w:val="left"/>
        </w:tabs>
        <w:numPr>
          <w:ilvl w:val="0"/>
          <w:numId w:val="208"/>
        </w:numPr>
        <w:rPr>
          <w:rFonts w:ascii="Arial" w:cs="Arial" w:eastAsia="Arial" w:hAnsi="Arial"/>
          <w:sz w:val="14"/>
          <w:szCs w:val="14"/>
          <w:color w:val="auto"/>
        </w:rPr>
      </w:pPr>
      <w:r>
        <w:rPr>
          <w:rFonts w:ascii="Arial" w:cs="Arial" w:eastAsia="Arial" w:hAnsi="Arial"/>
          <w:sz w:val="14"/>
          <w:szCs w:val="14"/>
          <w:color w:val="auto"/>
        </w:rPr>
        <w:t>According to Amendment No. 1 to Schedule 13G filed with the SEC on January 19, 2021, each of Millennium Management LLC, Millennium Group Management LLC and Israel A. Englander share voting and dispositive power with regard to 2,632,318 shares of Class A common stock of the Company. The business address for each is 666 Fifth Avenue, New York, New York 10103.</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Initial Stockholders beneficially own approximately 20% of the issued and outstanding common stock. Because of this ownership block, our Initial Stockholders may be able to effectively influence the outcome of all other matters requiring approval by our stockholders, including amendments to our second amended and restated certificate of incorporation and approval of significant corporate transactions including our initial Business Combination.</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compensation plans under which equity securities are authorized for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MANAGEMENT’S DISCUSSION AND ANALYSIS OF FINANCIAL CONDITION AND RESULTS OF OPERATIONS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proxy.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blank check company incorporated in Delaware on July 10, 2020 and formed for the purpose of effecting a merger, share exchange, asset acquisition, share purchase, reorganization or similar business combination with one or more businesses. We are not limited to a particular industry or sector for purposes of consummating a business combination. We have focused our search for an initial business combination in the life sciences sector. Our Sponsor is CMLS Holdings LLC, a Delaware limited liability company (the “</w:t>
      </w:r>
      <w:r>
        <w:rPr>
          <w:rFonts w:ascii="Arial" w:cs="Arial" w:eastAsia="Arial" w:hAnsi="Arial"/>
          <w:sz w:val="18"/>
          <w:szCs w:val="18"/>
          <w:i w:val="1"/>
          <w:iCs w:val="1"/>
          <w:color w:val="auto"/>
        </w:rPr>
        <w:t>Sponsor</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registration statement on Form S-1 for the initial public offering (the “</w:t>
      </w:r>
      <w:r>
        <w:rPr>
          <w:rFonts w:ascii="Arial" w:cs="Arial" w:eastAsia="Arial" w:hAnsi="Arial"/>
          <w:sz w:val="18"/>
          <w:szCs w:val="18"/>
          <w:i w:val="1"/>
          <w:iCs w:val="1"/>
          <w:color w:val="auto"/>
        </w:rPr>
        <w:t>Initial Public Offering</w:t>
      </w:r>
      <w:r>
        <w:rPr>
          <w:rFonts w:ascii="Arial" w:cs="Arial" w:eastAsia="Arial" w:hAnsi="Arial"/>
          <w:sz w:val="18"/>
          <w:szCs w:val="18"/>
          <w:color w:val="auto"/>
        </w:rPr>
        <w:t>”) was declared effective on September 1, 2020. On September 4, 2020 we consummated the Initial Public Offering of 44,275,000 units (the “</w:t>
      </w:r>
      <w:r>
        <w:rPr>
          <w:rFonts w:ascii="Arial" w:cs="Arial" w:eastAsia="Arial" w:hAnsi="Arial"/>
          <w:sz w:val="18"/>
          <w:szCs w:val="18"/>
          <w:i w:val="1"/>
          <w:iCs w:val="1"/>
          <w:color w:val="auto"/>
        </w:rPr>
        <w:t>Units</w:t>
      </w:r>
      <w:r>
        <w:rPr>
          <w:rFonts w:ascii="Arial" w:cs="Arial" w:eastAsia="Arial" w:hAnsi="Arial"/>
          <w:sz w:val="18"/>
          <w:szCs w:val="18"/>
          <w:color w:val="auto"/>
        </w:rPr>
        <w:t>”), which includes the full exercise by the underwriter of its over-allotment option in the amount of 5,775,000 Units and, with respect to the shares of common stock included in the Units offered, the “</w:t>
      </w:r>
      <w:r>
        <w:rPr>
          <w:rFonts w:ascii="Arial" w:cs="Arial" w:eastAsia="Arial" w:hAnsi="Arial"/>
          <w:sz w:val="18"/>
          <w:szCs w:val="18"/>
          <w:i w:val="1"/>
          <w:iCs w:val="1"/>
          <w:color w:val="auto"/>
        </w:rPr>
        <w:t>Public Shares</w:t>
      </w:r>
      <w:r>
        <w:rPr>
          <w:rFonts w:ascii="Arial" w:cs="Arial" w:eastAsia="Arial" w:hAnsi="Arial"/>
          <w:sz w:val="18"/>
          <w:szCs w:val="18"/>
          <w:color w:val="auto"/>
        </w:rPr>
        <w:t>”), generating gross proceeds of $442 million and incurring underwriting commissions of $8.8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unit consists of one share of common stock and one-third of a redeemable warrant (a “</w:t>
      </w:r>
      <w:r>
        <w:rPr>
          <w:rFonts w:ascii="Arial" w:cs="Arial" w:eastAsia="Arial" w:hAnsi="Arial"/>
          <w:sz w:val="18"/>
          <w:szCs w:val="18"/>
          <w:i w:val="1"/>
          <w:iCs w:val="1"/>
          <w:color w:val="auto"/>
        </w:rPr>
        <w:t>Public Warrant</w:t>
      </w:r>
      <w:r>
        <w:rPr>
          <w:rFonts w:ascii="Arial" w:cs="Arial" w:eastAsia="Arial" w:hAnsi="Arial"/>
          <w:sz w:val="18"/>
          <w:szCs w:val="18"/>
          <w:color w:val="auto"/>
        </w:rPr>
        <w:t>”). A whole Public Warrant initially entitled the holder to purchase one share of common stock at a price of $11.50 per share, subject to adjustment in either case.</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Simultaneously with the closing of the Initial Public Offering and the Over-Allotment, we consummated the private placement (“</w:t>
      </w:r>
      <w:r>
        <w:rPr>
          <w:rFonts w:ascii="Arial" w:cs="Arial" w:eastAsia="Arial" w:hAnsi="Arial"/>
          <w:sz w:val="16"/>
          <w:szCs w:val="16"/>
          <w:i w:val="1"/>
          <w:iCs w:val="1"/>
          <w:color w:val="auto"/>
        </w:rPr>
        <w:t>Private Placement</w:t>
      </w:r>
      <w:r>
        <w:rPr>
          <w:rFonts w:ascii="Arial" w:cs="Arial" w:eastAsia="Arial" w:hAnsi="Arial"/>
          <w:sz w:val="16"/>
          <w:szCs w:val="16"/>
          <w:color w:val="auto"/>
        </w:rPr>
        <w:t>”) of 7,236,667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at a price of $1.50 per private placement warrant, with our Sponsor and Mr. Islam and Dr. Leproust, generating gross proceeds of approximately $ 10 million. Each private placement warrant has the same terms as the Public Warrants.</w:t>
      </w:r>
    </w:p>
    <w:p>
      <w:pPr>
        <w:spacing w:after="0" w:line="9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Upon the closing of the Initial Public Offering, the Over-Allotment and the Private Placement, approximately $ $442 million ($10.00 per Unit) of the net proceeds of the sale of the Units in the Initial Public Offering and the Private Placement Warrants in the Private Placement was placed in a U.S.-based trust account at J.P. Morgan Chase Bank, N.A. maintained by Continental Stock Transfer &amp; Trust Company, acting as trustee (the “</w:t>
      </w:r>
      <w:r>
        <w:rPr>
          <w:rFonts w:ascii="Arial" w:cs="Arial" w:eastAsia="Arial" w:hAnsi="Arial"/>
          <w:sz w:val="16"/>
          <w:szCs w:val="16"/>
          <w:i w:val="1"/>
          <w:iCs w:val="1"/>
          <w:color w:val="auto"/>
        </w:rPr>
        <w:t>Trust Account</w:t>
      </w:r>
      <w:r>
        <w:rPr>
          <w:rFonts w:ascii="Arial" w:cs="Arial" w:eastAsia="Arial" w:hAnsi="Arial"/>
          <w:sz w:val="16"/>
          <w:szCs w:val="16"/>
          <w:color w:val="auto"/>
        </w:rPr>
        <w:t>”). The proceeds held in the Trust Account were invested in U.S. government securities, within the meaning set forth in Section 2(a)(16) of the Investment Company Act 1940, as amended (the “</w:t>
      </w:r>
      <w:r>
        <w:rPr>
          <w:rFonts w:ascii="Arial" w:cs="Arial" w:eastAsia="Arial" w:hAnsi="Arial"/>
          <w:sz w:val="16"/>
          <w:szCs w:val="16"/>
          <w:i w:val="1"/>
          <w:iCs w:val="1"/>
          <w:color w:val="auto"/>
        </w:rPr>
        <w:t>Investment Company Act</w:t>
      </w:r>
      <w:r>
        <w:rPr>
          <w:rFonts w:ascii="Arial" w:cs="Arial" w:eastAsia="Arial" w:hAnsi="Arial"/>
          <w:sz w:val="16"/>
          <w:szCs w:val="16"/>
          <w:color w:val="auto"/>
        </w:rPr>
        <w:t>”), with a maturity of 180 days or less or in any open ended investment company that holds itself out as a money market fund selected by us meeting the conditions of paragraphs (d)(2), (d)(3) and (d)(4) of Rule 2a-7 of the Investment Company Act, as determined by us, until the earlier of: (i) the completion of a business combination, (ii) the redemption of any public shares properly submitted in connection with a stockholder vote to amend our sixth amended and restated certificate of incorporation to modify the substance or timing of our obligation to redeem 100% of our public shares if we do not complete a business combination within the combination period (as described below), and (iii) the redemption of our public shares if we are unable to complete a business combination within the combination period, subject to applicable law.</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protect the amounts held in the Trust Account, our Sponsor has agreed to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or (ii) the actual amount per public share held in the Trust Account as of the date of the liquidation of the Trust Account, if less than $10.00 per share due to reductions in the value of the trust assets, less taxes payable,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including liabilities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However, we have not asked the Sponsor to reserve for such indemnification obligations, nor have we independently verified whether the Sponsor has sufficient funds to satisfy its indemnity obligations and we believe that the Sponsor’s only assets are securities of ours. Therefore, we cannot assure that the Sponsor would be able to satisfy those obligations. None of our officers or directors will indemnify us for claims by third parties including, without limitation, claims by vendors and prospective target businesses. Moreover, in the event that an executed waiver is deemed to be unenforceable against a third party, the Sponsor will not be responsible to the extent of any liability for such third party claims. We will seek to reduce the possibility that the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w:t>
      </w:r>
    </w:p>
    <w:p>
      <w:pPr>
        <w:spacing w:after="0" w:line="11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management has broad discretion with respect to the specific application of the net proceeds of the Initial Public Offering, the Over-Allotment, and the Private Placement, although substantially all of the net proceeds are intended to be applied toward consummating a business combination.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Business Combination Announcement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“Sema4 Business Combination”). Specifically, the Company entered into the Merger Agreement with Sema4 and S-IV Sub, Inc., a Delaware corporation and a direct, wholly-owned subsidiary of the Company (“Merger Sub”). Pursuant to the terms of the Merger Agreement, CMLS will acquire Sema4 through the merger of Merger Sub with and into Sema4, with Sema4 surviving as a wholly-owned subsidiary of CMLS (the “Merger”)</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Sema4 Business Combination is expected to close in the second quarter of 2021, following the receipt of the required approval by CMLS’s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CMLS (the “Common Stock”) equal to the quotient of: (i) (A) the product of</w:t>
      </w:r>
    </w:p>
    <w:p>
      <w:pPr>
        <w:spacing w:after="0" w:line="46" w:lineRule="exact"/>
        <w:rPr>
          <w:rFonts w:ascii="Arial" w:cs="Arial" w:eastAsia="Arial" w:hAnsi="Arial"/>
          <w:sz w:val="16"/>
          <w:szCs w:val="16"/>
          <w:color w:val="auto"/>
        </w:rPr>
      </w:pPr>
    </w:p>
    <w:p>
      <w:pPr>
        <w:ind w:left="660" w:right="20" w:hanging="4"/>
        <w:spacing w:after="0" w:line="260" w:lineRule="auto"/>
        <w:tabs>
          <w:tab w:leader="none" w:pos="9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September 30, 2020, cash used in operating activities was $365,808. Net loss of $56,923 was affected by interest earned on marketable securities held in the Trust Account of $2,790 and changes in operating assets and liabilities, which used $306,095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2020, we had cash and marketable securities held in the Trust Account of $442,763,951.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December 31, 2020,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we had $1,094,681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our results of operations, financial position and cash flows may be materially adversely affected.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2020 were organizational activities, the consummation of the Initial Public Offering, described below, and identifying a target company for our initial Business Combination. We do not expect to generate any operating revenues until after the completion of our initial Business Combination. We generate non-operating income in the form of interest income on marketable securities held in the Trust Account. We will incur expenses as a result of being a public company (for legal, financial reporting, accounting and auditing compliance), as well as for due diligence expenses in connection with completing our initial Business Combination.</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restatement described in Note 2 of the notes to the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period from July 10, 2020 (inception) through December 31, 2020, we had a net loss of $39,907,599, which consists of operating costs of $206,195, a change in the fair value of the warrant liability of $38,510,584, transaction costs of $1,204,771 offset by interest income on marketable securities held in the Trust Account of $13,951.</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the three months ended March 31, 2021, we had a net loss of $58,471,923, which consists of operating costs of $1,845,458, offset by interest income on marketable securities held in the Trust Account of $10,919, and a change in the value of the warrant liability of 56,637,684.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4, 2020, we consummated the Initial Public Offering of 44,275,000 Units, which included the full exercise by the underwriters of the over-allotment option to purchase an additional 5,775,000 Units, at $10.00 per Unit, generating gross proceeds of $442,750,000. Simultaneously with the closing of the Initial Public Offering, we consummated the sale of 7,236,667 Private Placement Warrants to our Sponsor at a price of $1.50 per warrant, generating gross proceeds of $10,855,000.</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$442,750,000 was placed in the Trust Account. We incurred $24,895,463 in transaction costs, including $8,855,000 of underwriting fees, $15,496,250 of deferred underwriting fees and $544,213 of other offering costs.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period from July 10, 2020 (inception) through December 31, 2020, cash used in operating activities was $386,106. Net loss of $39,907,599 was affected by interest earned on marketable securities held in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 of $13,951, a non-cash charge for the change in the fair value of warrant liabilities of $38,510,584, transaction costs of $1,204,771 and changes in operating assets and liabilities, which used $179,911 of cash from operating activities.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cash used in operating activities was $467,266. Net loss of $58,471,923 was affected by interest earned on marketable securities held in the Trust Account of $10,919, change in warrant liabilities of $56,637,684, and changes in operating assets and liabilities, which used $1,377,892 of cash from operating activities.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we had cash and marketable securities held in the Trust Account of $442,774,870. We intend to use substantially all of the funds held in the Trust Account, including any amounts representing interest earned on the Trust Account (less taxes payable and deferred underwriting commissions) to complete our initial Business Combination.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 During the period ended March 31, 2021, we did not withdraw any interest income from the Trust Account.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had $627,415 of cash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$1.50 per warrant at the option of the lender.</w:t>
      </w:r>
    </w:p>
    <w:p>
      <w:pPr>
        <w:spacing w:after="0" w:line="1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Munib Islam, Emily Leproust and Nat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Additionally, on October of 2020, the Sponsor also sold 166,667 private placement warrants to an entity associated with Mr. Turner for $1.50 per private placement warrant. Each Private Placement Warrant is exercisable to purchase one share of Class A common stock at a price of $11.50 per share, subject to adjustment.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as described in the section entitled “</w:t>
      </w:r>
      <w:r>
        <w:rPr>
          <w:rFonts w:ascii="Arial" w:cs="Arial" w:eastAsia="Arial" w:hAnsi="Arial"/>
          <w:sz w:val="18"/>
          <w:szCs w:val="18"/>
          <w:i w:val="1"/>
          <w:iCs w:val="1"/>
          <w:color w:val="auto"/>
        </w:rPr>
        <w:t>The Business Combination Proposal — Related Agreements — Forfeiture Agreemen</w:t>
      </w:r>
      <w:r>
        <w:rPr>
          <w:rFonts w:ascii="Arial" w:cs="Arial" w:eastAsia="Arial" w:hAnsi="Arial"/>
          <w:sz w:val="18"/>
          <w:szCs w:val="18"/>
          <w:color w:val="auto"/>
        </w:rPr>
        <w:t>t”, pursuant to the terms of the Forfeiture Agreement, up to a maximum of 33% of private placement warrants held by the Sponsor may be automatically cancelled immediately prior to the closing of the Business Combination with Sema4.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Pursuant to a registration rights agreement entered into on September 1, 2020, as amended on February 9, 2021,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w:t>
      </w:r>
      <w:r>
        <w:rPr>
          <w:rFonts w:ascii="Arial" w:cs="Arial" w:eastAsia="Arial" w:hAnsi="Arial"/>
          <w:sz w:val="17"/>
          <w:szCs w:val="17"/>
          <w:i w:val="1"/>
          <w:iCs w:val="1"/>
          <w:color w:val="auto"/>
        </w:rPr>
        <w:t>Casdin</w:t>
      </w:r>
      <w:r>
        <w:rPr>
          <w:rFonts w:ascii="Arial" w:cs="Arial" w:eastAsia="Arial" w:hAnsi="Arial"/>
          <w:sz w:val="17"/>
          <w:szCs w:val="17"/>
          <w:color w:val="auto"/>
        </w:rPr>
        <w:t>”) and Corvex Management LP (“</w:t>
      </w:r>
      <w:r>
        <w:rPr>
          <w:rFonts w:ascii="Arial" w:cs="Arial" w:eastAsia="Arial" w:hAnsi="Arial"/>
          <w:sz w:val="17"/>
          <w:szCs w:val="17"/>
          <w:i w:val="1"/>
          <w:iCs w:val="1"/>
          <w:color w:val="auto"/>
        </w:rPr>
        <w:t>Corvex</w:t>
      </w:r>
      <w:r>
        <w:rPr>
          <w:rFonts w:ascii="Arial" w:cs="Arial" w:eastAsia="Arial" w:hAnsi="Arial"/>
          <w:sz w:val="17"/>
          <w:szCs w:val="17"/>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had identified the following as its critical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815-40-15-7D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issued in the IPO has been estimated using a Monte Carlo simulation methodology as of the date of the IPO and such Warrants’ quoted market price as of December 31, 2020. The Private Placement Warrants were valued using a Modified Black Scholes Option 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account for our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Class A common stock subject to possible redemption is presented as temporary equity, outside of the stockholders’ equity section of our balance sheet.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franchise and income taxes, by the weighted average number of Class A redeemable common stock outstanding for the period. Net loss per common share, basic and diluted for Class B non-redeemable common stock is calculated by dividing the net income, less income attributable to Class A redeemable common stock, by the weighted average number of Class B non-redeemable common stock outstanding for the period presented.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our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SEMA4’S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otherwise indicated or the context otherwise requires, “Sema4,” “we,” “us” and “our” in this section generally refer to (i) Mount Sinai Genomics, Inc., a Delaware corporation, and its subsidiaries prior to the consummation of the Business Combination, which will be the business of the post-combination company and its subsidiaries following the consummation of the Business Combination, and (ii) the post-combination company and its subsidiaries following the consummation of the Business Combination.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 Company 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30 petabytes of data per month, growing by almost 1 petabyte per month, and maintains a database that includes more than 11.5 million de-identified clinical records, many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2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 In collaboration with pharmaceutical and biotech, or Biopharma, companies, Sema4 receives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Sema4 expects to focus on expanding the revenue from our health system and Biopharma partners, while also working to continue to grow the volumes and revenues from our diagnostics test solutions.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Sema4 combined with its revenue-generating diagnostics testing business and origins as a company conceived and nurtured within a world-class health system. These characteristics have enabled Sema4 to build a significant and highly differentiated technological and informational asset positioned to drive precision medicine solutions into the standard of care in an unparalleled 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128, and contributed to discoveries relating to the genetic basis of common human diseases such as cancer, diabetes, obesity, and Alzheimer’s disease. As of March 31, 2021, Sema4 has almost 1000 employees, including over 160 Ph.D.-level data scientists whose collective work has been recognized in areas such as data science, network modeling, multiscale biotechnology and genomics.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was established out of the Mount Sinai Health System (which we refer to together with its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Sema4 has since established and deployed its comprehensive and integrated genomics and information platforms, and intends to continue to expand its scale and reach through organic and inorganic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Sema4 expects that our core information platform, Centrellis®, supported and fueled by our genomic analysis platform, Traversa™, will be well-positioned to drive improved clinical outcomes competitively in the healthcare market.</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Sema4’s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Sema4’s existing focus of our diagnostics solutions for Women’s Health, and Oncology, where we believe there is an immediate need for precision medicine solutions such as in autoimmune disorders, which are expected to represent an approximately $149.4 billion global market by 2025, rare diseases, which are expected to represent an approximately $317 billion global market in 2026, and cardiovascular disease, which are expected to represent an approximately $106.1 billion global market in 2023.</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Sema4 to provide actionable, accurate, and cutting-edge insights from complex and comprehensive data assets. We also expect this platform to enable Sema4 to scale its operations and to improve its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 engages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surpassing 11.5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those data, as well as additional data that patients share and create through their use of our expanding suite of digital experience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currently operates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Sema4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partner. Learning from our long-standing relationship with Mount Sinai, we have refined a health system engagement model that is both operational and economic and designed to maximize both Sema4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Current Opportunity for a Comprehensive Health Information and Precision Medicine Solution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“Big data” and analytics have been increasingly viewed as critical components of healthcare delivery in order to achieve the best patient outcomes at increasing efficiencies, including participation in clinical trials and research to deliver more accurate insights that augment clinical decision making. There has been an exponential increase in the availability of health-related data in recent years, driven by increasing digitization of medical records and the adoption of fast-moving technologies such as imaging and next generation sequencing capable of generating massive amounts of data on individual patients. However, we believe today’s practice of medicine persists in classifying patients in more binary terms—healthy or sick, high risk or low risk— based on clinical assessments that are informative but ultimately overly simplistic, based on low-dimensional biomarkers, with many diagnoses still applying thresholds that are predefined using standardized epidemiological tables.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is here to change that. Sema4’s goal is to enable the transformation of traditional practices in medicine, and we recognize that a different approach is required in order to fully harness the potential of big data. Accordingly, we seek to achieve this through a single, health intelligence solution that systematizes, harmonizes and curates data; standardizes genomic data across diseases and conditions; and integrates and applies probabilistic, causal reasoning to the healthcare data available today to improve patient clinical outcomes, to enable better physician diagnostics and decision making, and to optimize the life cycle of next generation therapeutics.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1"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Sema4’s Next Generation Tools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0"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dedicated to giving patients control of their own health data, and in support of this goal, we have designed patient access to Centrellis through our patient portal. Patients have demonstrated their trust by engaging with Sema4 and providing consent for us to collect and store their EMR data. After creating an account, patients are able to manage and track the clinical analysis that Sema4 is performing for them, including by being able to track, receive, and understand the initial insights into their clinical tests and data (including expanded carrier screening, or ECS, tests, and hereditary cancer tests), and to access Sema4’s supporting clinical services, such as genetic counseling. Our patient portal also provides patients with the opportunity to partner with Sema4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create an accessible and usable database that can support interpretation consistently across patient populations represented within the broad healthcare ecosystem, we designed Centrellis to aggregate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those data and then structure and implement extensive quality assurance processes for the resulting annotations. Our multiscale, integrative strategy allows us to connect the processed EMR data with complex biological data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Sema4 not only collects data from external sources, but also generates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Traversa is our comprehensive genomics platform that has been designed to serve as the backbone of our genomic analysis products, and Sema4 is in the process of transitioning all of our genomic analyses to this platform. For products on the Traversa platform, Sema4 generates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allow us to respond to requests for additional analysis quickly by generating “in silico” interpretations on genomic data already existing on a patient and to surface signals that might be medically relevant across a patient’s life course.</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health information database that Sema4 has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2021 is expected to provide us with access to multiple cancer centers and data from all of their active cancer patients, with the number of newly diagnosed active cancer patients growing substantially each year. Additionally, Sema4 supports health systems and other clinical service providers by applying our Centrellis tools to their clinical workflows and medical record databases, and Sema4 receives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NorthShore University Healthsystem, as discussed below. For more information regarding our data arrangements with Mount Sinai,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Sema4’s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Sema4’s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Women’s Health Solutions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its focus into a multi-generational and pan-ethnic view of the health of individual women and their families. We continue our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Sema4’s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Sema4’s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Sema4’s Non-invasive Prenatal Select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Noninvasive Prenatal Select is a comprehensive noninvasive prenatal test, or NIPT,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Expansive development in prenatal screening allows Sema4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2021, which we believe will help improve the positive predictive value for CNV calling through fetal fraction enrichment and CNV normalization through nucleosome positioning and fragment characteristics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Sema4’s Natalis test is an extension of the Sema4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Sema4 Signal Precision Oncology Solutions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Centrellis platform, combined with our comprehensive whole exome and whole transcriptome tumor profiling and hereditary cancer genomic testing solutions, will make a meaningful difference in transforming cancer care. Sema4 has developed the “Sema4 Signal®” portfolio of solutions to be leveraged individually or as part of a holistic solution for precision oncology care. The Sema4 Signal portfolio features the integration of our germline, somatic, and informatics tools, along with customized services to meet patient needs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help drive better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or research discoveries.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offer one of the most comprehensive set of panels on the U.S. market, and deliver this solution supported by the Traversa platform to enable us to adapt our panels as new discoveries on clinically actionable variants are made, enabling our genomic testing solutions to adapt at the rate of learning. Our solution includes tools to enable testing at the point of care or outside the office, including digital ordering via an EMR portal, video-based education, saliva procurement in the patient’s home, proactive billing investigation, pre- and post-test genetic counselling and family outreach to enable cascade testing.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and Women's Health solutions. For affected cancer patients, integrating hereditary cancer with our Sema4 Signal Whole Exome and Transcriptome and our informatics offerings creates a holistic approach that can help inform better personalized clinical care decisions. For unaffected patients, our Sema4 Signal Hereditary Cancer solution is incorporated into both our Women’s Health and Population Health products and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Sema4 delivers the WES/WTS solution using a number of proprietary tools housed in Centrellis, including our oncology knowledge-base, which contains comprehensive structured data and learnings on clinically relevant variants, including curated maps that link relevant clinical trials to variants that serve as eligibility biomarkers for the trials, as annotated by Ph.D. oncology experts. Sema4’s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Strategy and Managed Care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and are advancing our strategy to drive increased reimbursement and higher average selling prices, or ASPs, for our Sema4 Signal Oncology solutions. As part of this strategy, we are expanding our presence in select markets covered by the Molecular Diagnostic Services Program, or MolDx Program, by Palmetto GBA. We plan to submit our WES/WTS and other tumor profiling solutions and take advantage of the established coverage and reimbursement for Comprehensive Genomic Profiling.</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intend to move all Oncology solutions onto the Traversa platform, which we expect will substantially reduce our production costs and streamline our analysis operations, and we are preparing to submit our WES/WTS for approval by the FDA by engaging in the studies needed to demonstrate clinical utility, which will, if approved, enable us to enhance our coverage and reimbursement with our commercial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improved system-wide quality of care and increased financial and research activity.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response to the worldwide COVID-19 pandemic, in the first quarter of 2020, Sema4 rapidly leveraged its existing technologies and infrastructure capabilities, supplemented by a requisite set of technologies and services, to offer a comprehensive COVID-19 diagnostic testing service for our customers.</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Within a highly concentrated and coordinated research, development and commercialization planning effort over a ten-week period, we developed a testing solution designed to assist the State of Connecticut and commercial customers looking to safely return their employees to the workplace. In particular, we developed a set of technologies and services that led to Sema4 implementing viral genomic sequencing and testing capabilities in our Branford lab, including securing a reliable supply chain for chemical reagents and testing kits. To complement the COVID-19 testing services, Sema4 built out an integrated, end-to-end software environment by adapting our Centrellis platform to the needs of COVID-19 patients, then expanded our existing customer services and support framework to accommodate the unique turn-around time and workflow needs of COVID-19 testing. Since April 2020, Sema4 has completed hundreds of thousands of COVID-19 tests across a wide range of patients in both public and commercial settings.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has refined a health system engagement model designed to maximize both Sema4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95" w:lineRule="exact"/>
        <w:rPr>
          <w:sz w:val="20"/>
          <w:szCs w:val="20"/>
          <w:color w:val="auto"/>
        </w:rPr>
      </w:pPr>
    </w:p>
    <w:p>
      <w:pPr>
        <w:jc w:val="both"/>
        <w:ind w:left="660" w:hanging="328"/>
        <w:spacing w:after="0" w:line="263"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Sema4’s full-service model including patient and provider education, patient engagement, genetic counseling and integration with the health systems’ clinical workflow and EMR,</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Sema4’s data curation capabilities for both structured and unstructured data to identify clinical utility that can be used by health system providers, researchers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4" w:lineRule="exact"/>
        <w:rPr>
          <w:sz w:val="20"/>
          <w:szCs w:val="20"/>
          <w:color w:val="auto"/>
        </w:rPr>
      </w:pPr>
    </w:p>
    <w:p>
      <w:pPr>
        <w:jc w:val="both"/>
        <w:ind w:left="660" w:hanging="328"/>
        <w:spacing w:after="0" w:line="263" w:lineRule="auto"/>
        <w:tabs>
          <w:tab w:leader="none" w:pos="65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Sema4 and its health system partners.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seeks to develop its products and services by focusing on partnering more intimately with a select number of health system partners with whom we can deeply integrate and deploy holistic solutions that drive improvements in both economics and outcomes for patient populations. We then intend to take our learnings and developments to deploy more widely, fundamentally re-imagining the care model with similarly committed partners.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Sema4 and its Health System Partners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pursues strategic relationships with health systems that evaluate financial returns on a holistic basis. We evaluate success on a long-term basis and recognize that the primary aim of every health system is to provide superior patient care with improved health economics. As such, Sema4 intends to use the proceeds from the Business Combination, the PIPE Investment and related transactions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Sema4 intends to cross-validate and scale our technologies across health systems, as we seek to enable patients by leveraging data and tools across systems and patient populations in a network model so each partner can benefit from what is being learned across the healthcare ecosystem. One such health system where Sema4 has established a strategic relationship is NorthShore University Healthsystem, where we are integrating our data-driven precision medicine solutions, built on the Centrellis and Traversa platforms, into the standard of care to deliver personalized insights and improve clinical outcomes to eligible participants included in the 1.2 million patients served by NorthShore. Sema4 has also established a strategic relationship with AdventHealth, where we will focus on accelerating research through data structuring and curation of combined genomic and clinical data in AdventHealth’s Orlando-area network, which includes more than 20 hospitals and emergency departments, and accounts for more than 2 million patient visits annually.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as a Broker and Catalyst for Commercial Engagement Between Health System and Biopharma Companies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While health systems and Biopharma companies have an established ability to collaborate effectively and will continue to partner directly, we believe that Sema4’s network in both segments of the healthcare ecosystem and ability to add value to these relationships through data engineering makes it well-positioned as a valued collaborator for both types of organizations. Biopharma collaborations are often not the focus for health systems, as they have high start-up costs to develop relationships that extend to patient care. Sema4 can support its health system partners by working more collaboratively with the health systems to understand their capabilities and how those capabilities are complemented by Sema4’s enhancement of a health systems’ data assets and clinical-genomic data generation capabilities, and by facilitating solutions that can be provided jointly to Biopharma companies. For example, Sema4 has built tools that comply with applicable security requirements and regulations and that leverage Centrellis datasets to help Biopharma companies understand clinical trial eligible patient population characteristics and help launch trial sites or design trial protocols more precisely. In turn, health systems can enroll more of their patients into clinical trials and research, bringing their patient population innovative treatments.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Sema4’s Biopharma Solutions Engage and Enable Our Partners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health system relationships and information-driven diagnostics solutions, combined with our powerful analytics capabilities and software solutions.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Sema4 as a key partner for Biopharma companies to build a competitive advantage by unlocking the power of big data and enabling next generation precision medicine.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Sema4’s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Sema4’s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1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can deliver novel insights that help to de-risk the development of next generation therapeutics, provide for pharmacologic proof of concept via the integration of genomic and clinical data support, reduce development costs, enhance the patient experience, and increase speed to market. We believe the integration of our solutions forms a holistic and highly differentiated value proposition to Biopharma customers and makes Sema4 a key partner to support our customers across the Biopharma value chain.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Sema4’s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environmental, and sensor data from mobile devices to enable sophisticated analyses and to include advanced causal network modeling.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2" w:lineRule="exact"/>
        <w:rPr>
          <w:rFonts w:ascii="Arial" w:cs="Arial" w:eastAsia="Arial" w:hAnsi="Arial"/>
          <w:sz w:val="17"/>
          <w:szCs w:val="17"/>
          <w:color w:val="auto"/>
        </w:rPr>
      </w:pPr>
    </w:p>
    <w:p>
      <w:pPr>
        <w:jc w:val="both"/>
        <w:ind w:left="660" w:hanging="328"/>
        <w:spacing w:after="0" w:line="289"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particularly in the area of probabilistic causal reasoning from multi-layered data. Additionally, we support our customer’s real-world evidence needs by using our platform to characterize patient and diagnostic journeys. We work with collaborators, researchers, and key opinion leaders to build new models of disease and develop analytics solutions that enhance our understanding of disease and deliver insights to Biopharma partners that can further optimize their operations.</w:t>
      </w:r>
    </w:p>
    <w:p>
      <w:pPr>
        <w:spacing w:after="0" w:line="112"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Biopharma partners seeking to use high-quality genomic analysis to assess patient eligibility for clinical trials. For example, we announced a collaboration with Janssen Pharmaceutical Company of Johnson &amp; Johnson, or Janssen, in the area of genomic testing and advanced data analytics to more efficiently and accurately identify patients who could be candidates for oncology clinical trials in September of 2020. In December 2020, we also announced a strategic agreement with Merus N.V. to utilize our advanced genomic testing to identify patients with tumors harboring specific, rare mutations. We believe our clinical testing services and data solutions make us a key partner for supporting efficient clinical trials.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Strategies for our Biopharma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successfully collaborated with Biopharma partners in engagements that utilize our data access and our data curation, analytics, and sequencing capabilities across research, clinical development, and commercial applications, including but not limited to the aforementioned Sanofi, Janssen and Merus relationships. Although revenues from our Sanofi, Janssen and Merus relationships did not have a material impact on our consolidated results of operations during the years ended December 31, 2019 and 2020 or the three months ended March 31, 2021, these relationships demonstrate our ability to develop these strategic relationships with Biopharma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strategy for increasing our share in the Biopharma market is closely aligned and coordinated with our corporate strategic objectives. The core features of our Biopharma growth strategy are:</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Grow the multi-dimensional datasets that feed the Centrellis Platform</w:t>
      </w:r>
      <w:r>
        <w:rPr>
          <w:rFonts w:ascii="Arial" w:cs="Arial" w:eastAsia="Arial" w:hAnsi="Arial"/>
          <w:sz w:val="17"/>
          <w:szCs w:val="17"/>
          <w:color w:val="auto"/>
        </w:rPr>
        <w:t>: As we increase the amount of patient data flowing into Centrellis, we can offer</w:t>
      </w:r>
      <w:r>
        <w:rPr>
          <w:rFonts w:ascii="Arial" w:cs="Arial" w:eastAsia="Arial" w:hAnsi="Arial"/>
          <w:sz w:val="17"/>
          <w:szCs w:val="17"/>
          <w:i w:val="1"/>
          <w:iCs w:val="1"/>
          <w:color w:val="auto"/>
        </w:rPr>
        <w:t xml:space="preserve"> </w:t>
      </w:r>
      <w:r>
        <w:rPr>
          <w:rFonts w:ascii="Arial" w:cs="Arial" w:eastAsia="Arial" w:hAnsi="Arial"/>
          <w:sz w:val="17"/>
          <w:szCs w:val="17"/>
          <w:color w:val="auto"/>
        </w:rPr>
        <w:t>more and deeper insights to our Biopharma partners to assist them in next-generation drug discovery, development, and commercialization.</w:t>
      </w:r>
    </w:p>
    <w:p>
      <w:pPr>
        <w:spacing w:after="0" w:line="9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 xml:space="preserve">Continue to engage diverse patients and providers to increase patient access to clinical trials and improve trial recruitment: </w:t>
      </w:r>
      <w:r>
        <w:rPr>
          <w:rFonts w:ascii="Arial" w:cs="Arial" w:eastAsia="Arial" w:hAnsi="Arial"/>
          <w:sz w:val="18"/>
          <w:szCs w:val="18"/>
          <w:color w:val="auto"/>
        </w:rPr>
        <w:t>Our patient-centric</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includes finding relevant clinical trials for certain patients, and because we have growing relationships with established health systems, we have access to highly diverse patient populations. We act as a technology-enabled broker between health systems and Biopharma companies by working more collaboratively with the health systems to understand their capabilities, and how those capabilities are complemented by Sema4’s capabilities and Sema4’s enhancement of a health systems’ data assets and clinical-genomic data generation capabilities. We then facilitate the matching of the solutions that can be provided jointly to Biopharma companies, including to improve the speed and precision by which patients are identified and recruited into trials that may benefit them. As we grow the number of points of contact we have with health systems and patients, we intend to continue to scale this solution, ensuring that a broad and diverse patient population can access trials, and concomitantly that Biopharma clinical trials can recruit patients more quickly.</w:t>
      </w:r>
    </w:p>
    <w:p>
      <w:pPr>
        <w:spacing w:after="0" w:line="14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Focus on continual product development and improvement across our testing offerings and data solutions: </w:t>
      </w:r>
      <w:r>
        <w:rPr>
          <w:rFonts w:ascii="Arial" w:cs="Arial" w:eastAsia="Arial" w:hAnsi="Arial"/>
          <w:sz w:val="18"/>
          <w:szCs w:val="18"/>
          <w:color w:val="auto"/>
        </w:rPr>
        <w:t>Given the competitive markets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we must be responsive to scientific and technological advancements as well as customer needs in order to grow and maintain market share. We intend to continue to build upon our competitive advantages in data, analytics and patient and provider engagement to develop market leading products.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Form deep, integrated relationships with Biopharma partners that leverage the full breadth of our offerings: </w:t>
      </w:r>
      <w:r>
        <w:rPr>
          <w:rFonts w:ascii="Arial" w:cs="Arial" w:eastAsia="Arial" w:hAnsi="Arial"/>
          <w:sz w:val="17"/>
          <w:szCs w:val="17"/>
          <w:color w:val="auto"/>
        </w:rPr>
        <w:t>We believe that one of our strongest value</w:t>
      </w:r>
      <w:r>
        <w:rPr>
          <w:rFonts w:ascii="Arial" w:cs="Arial" w:eastAsia="Arial" w:hAnsi="Arial"/>
          <w:sz w:val="17"/>
          <w:szCs w:val="17"/>
          <w:i w:val="1"/>
          <w:iCs w:val="1"/>
          <w:color w:val="auto"/>
        </w:rPr>
        <w:t xml:space="preserve"> </w:t>
      </w:r>
      <w:r>
        <w:rPr>
          <w:rFonts w:ascii="Arial" w:cs="Arial" w:eastAsia="Arial" w:hAnsi="Arial"/>
          <w:sz w:val="17"/>
          <w:szCs w:val="17"/>
          <w:color w:val="auto"/>
        </w:rPr>
        <w:t>propositions to Biopharma partners is our ability to effectively integrate our multiple solutions into a coherent and holistic solution that we believe few of our competitors can offer. Biopharma companies are increasingly working in a more coordinated fashion across their research, development, and commercial departments, and we believe that we are in a strong position to build computational models that can inform decision-making in a more coordinated manner across these previously segregated parts of Biopharma companies. We intend to continue to pursue broad, collaborative, multi-faceted engagements with Biopharma partners that allow us to deliver the maximum value possible. We believe these engagements have the potential to provide recurring revenue streams via multi-year contracts.</w:t>
      </w:r>
    </w:p>
    <w:p>
      <w:pPr>
        <w:spacing w:after="0" w:line="12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i w:val="1"/>
          <w:iCs w:val="1"/>
          <w:color w:val="auto"/>
        </w:rPr>
        <w:t xml:space="preserve">Pursue novel business models that allow us to diversify our revenue streams: </w:t>
      </w:r>
      <w:r>
        <w:rPr>
          <w:rFonts w:ascii="Arial" w:cs="Arial" w:eastAsia="Arial" w:hAnsi="Arial"/>
          <w:sz w:val="16"/>
          <w:szCs w:val="16"/>
          <w:color w:val="auto"/>
        </w:rPr>
        <w:t>Given the unique insights we can deliver to Biopharma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there is a significant opportunity for us to grow our revenue through new strategic relationships with Biopharma partners. We are currently assessing multiple business models in this area, including those that involve revenue from drug development milestones and royalties. These potential business models include drug discovery-focused joint ventures with Biopharma customers as well as other relevant Biopharma industry participants.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 has invested a substantial amount of time and expense into research and development for its technology and test offerings, which requires the continuous improvement of software capabilities to analyze data and process customer orders. Sema4’s research and development efforts focus on several key areas, including multiscale biotechnology, assay development across sequencing technologies, data science and engineering, and the development of network-based models. Sema4 expects its research and development activities to increase as it innovates and expands the application of its current and future platforms including Traversa and Centrellis.</w:t>
      </w:r>
    </w:p>
    <w:p>
      <w:pPr>
        <w:spacing w:after="0" w:line="134"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Sema4’s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128, and has contributed to discoveries relating to the genetic basis of common human diseases such as cancer, diabetes, obesity, and Alzheimer’s disease. Under the leadership of its CEO, Sema4’s research team comprises more than 160 Ph.D.-level scientists, complemented by additional physician scientists and certified technicians as of March 31, 2021. Ongoing collaborations with scientists and clinicians in the Mount Sinai and other healthcare systems allows Sema4’s research to remain patient-centered and clinically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has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fields of genomic and health information analysis present limited opportunities for patent protection, based on well-known legal precedents. As result, Sema4’s patent protection strategy is to protect its non-gene specific technology and its specific biomarkers. In this regard, as of March 31, 2021, we have three pending utility patent applications. The pending utility patent applications include a U.S. patent application related to a genome annotation software platform for annotating genomic intervals that are clinically relevant for analysis, a U.S. patent application related to a genetic carrier screening process, and an international Patent Cooperation Treaty application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own various trademarks, applications and unregistered trademarks in the United States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1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United States, private health insurers and other third-party payors often provide reimbursement for products and services based in part on the coverage and payment rates set by the Medicare or Medicaid programs.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programs in the United States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above trends, Sema4 may need to conduct expensive studies in order to demonstrate the medical necessity and cost effectiveness of our products and services, in addition to the costs required to obtain FDA approvals. Sema4’s products and services may not be considered medically necessary or cost effective, or the discount percentages required to secure coverage may not yield an adequate margin over cost.</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Moreover, a payor’s decision to provide coverage for a diagnostic product does not imply that an adequate reimbursement rate will be approved. Adequate third-party reimbursement may not be available to enable Sema4 to maintain price levels sufficient to realize an appropriate return on our investment in device development. Legislative proposals to reform healthcare or reduce costs under government insurance programs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reimbursement for our products and services or exclusion of our products and services from coverage. The cost containment measures that healthcare payor and providers are instituting and any healthcare reform could significantly reduce Sema4’s revenue from the sale of any approved products and services. Sema4’s cannot provide any assurances that we will be able to obtain and maintain third-party coverage or adequate reimbursement for our products and services in whole or in part.</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Sema4’s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Sema4 maintains protocols intended to identify any overpayments. From time to time Sema4 may identify overpayments and be required to refund those amounts to governmental payors.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Sema4’s clinical reference laboratories in Connecticut are required to hold certain federal certificates to conduct its business. Under the Clinical Laboratory Improvement Act of 1988, or CLIA, Sema4 is required to hold a certificate applicable to the type of laboratory examinations it performs and to comply with standards covering personnel, facilities administration, inspections, quality control, quality assurance and proficiency testing.</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1, 2021, Sema4 has a current certificate under CLIA to perform testing at our laboratory locations in Stamford and Branford, Connecticut. To renew this CLIA certificate, Sema4 is subject to survey and inspection every two years to assess compliance with program standards. Moreover, CLIA inspectors may make random inspections of Sema4’s clinical reference laboratories. The regulatory and compliance standards applicable to the testing Sema4 performs may change over time, and any such changes could have a material effect on its business.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Sema4’s clinical reference laboratory is out of compliance with CLIA requirements, it may be subject to sanctions such as suspension, limitation or revocation of its CLIA certificate, as well as directed plan of correction, state on-site monitoring, civil money penalties, civil injunctive suit or criminal penalties. Sema4 must maintain CLIA compliance and certification to be eligible to bill for diagnostic services provided to Medicare and Medicaid beneficiaries. If Sema4 were to be found out of compliance with CLIA requirements and subjected to sanction, its business could be harmed.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Sema4 is required to maintain a license to conduct testing in Connecticut. Connecticut laws establish standards for day-to-day operations of our laboratories in Stamford and Branford, Connecticut. If Sema4’s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Sema4’s business. As of March 1, 2021, Sema4 maintains a current license in good standing with CDHS. However, we cannot provide assurance that CDHS will at all times in the future find us to comply with all such laws.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Sema4’s laboratory holds the required licenses for California, New York, Maryland, Pennsylvania, and Rhode Island.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Sema4’s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Each Sema4 laboratory is licensed by New York, and Sema4 is currently approved for testing samples from New York. Sema4 is subject to periodic inspection by the NYDOH and it is required to demonstrate ongoing compliance with NYDOH regulations and standards.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states may adopt similar licensure requirements in the future, which may require Sema4 to modify, delay or stop its operations in such jurisdictions. Complying with licensure requirements in new jurisdictions may be expensive, time-consuming, and subject Sema4 to significant and unanticipated delays. If Sema4 identifies any other state with such requirements, or if Sema4 is contacted by any other state advising it of such requirements, Sema4 intends to follow instructions from the state regulators as to how we should comply with such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Sema4 provides its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Sema4 expects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FDA ultimately regulates certain LDTs as medical devices, whether via final guidance, final regulation, or as instructed by Congress, Sema4’s tests may be subject to certain additional regulatory requirements. Complying with the FDA's requirements for medical devices can be expensive, time-consuming, and subject Sema4 to significant or unanticipated delays. Insofar as Sema4 may be required to obtain premarket clearance or approval to perform or continue performing an LDT, Sema4 cannot assure you that it will be able to obtain such authorization. Even if Sema4 obtains regulatory clearance or approval where required, such authorization may not be for the intended uses that it believes are commercially attractive or are critical to the commercial success of our tests. As a result, the application of the FDA's medical device requirements to Sema4’s tests could materially and adversely affect its business, financial condition, and results of operations.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Sema4 may obtain FDA premarket approval, or PMA, for some of its tests including its matched whole exome sequencing, or WES, and whole transcriptome sequencing, or WTS, tests. Devices subject to FDA regulation must undergo premarket review prior to commercialization unless the device is exempt from such review, and Sema4 expects that it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Sema4 is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Sema4 submitted its pre-submission package and held a pre-submission meeting with the FDA in 2020, and is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it may be required to conduct post-approval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1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Sema4’s tests will be cleared or approved on a timely basis, if at all. In addition, there can be no assurance that the labeling claims cleared or approved by the FDA will be consistent with Sema4’s current claims or adequate to support continued adoption of and reimbursement for its products. Ongoing compliance with FDA regulations could increase the cost of conducting its business, subject us to FDA inspections and other regulatory actions, and potentially subject it to penalties in the event we fail to comply with such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Sema4 performs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Sema4 is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spacing w:after="0" w:line="1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the United States, there are various fraud and abuse laws with which we must comply, and Sema4 is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United States,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is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Sema4 must comply with such genetic privacy and testing laws in its collection, use, disclosure, and retention of genetic information and samples.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Sema4’s operations require employees to use certain hazardous chemicals, we also must comply with regulations on hazard communication and hazardous chemicals in laboratories. These regulations require Sema4, among other things, to develop written programs and plans, which must address methods for preventing and mitigating employee exposure, the use of personal protective equipment, and training.</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Sema4’s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Sema4 is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prescriptive than those in the U.S. Enforcement of these laws vary from jurisdiction to jurisdiction, with a variety of civil or criminal penalties, or private rights of action.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Sema4 collects payment card information when receiving payments of insurance premiums or payments for Sema4’s products or services, Sema4 complies with PCI DSS as applicable to Sema4’s payment environment and PCI DSS merchant level, which is determined by Sema4’s volume of payment card transactions per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an entity regulated by the Federal Trade Commission, or FTC, Sema4 is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Sema4 complies with the CAN-SPAM Act in connection with its transmittal of commercial electronic mail messages, or Commercial Email Messages. Commercial Email Messages do not include emails that are informational or are transactional or relationship messages.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Sema4 complies with TCPA in connection with its transmittal of automated, artificial, or prerecorded phone calls, SMS text messages, facsimile transmissions, and push notifications.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Sema4 is subject to the CCPA with respect to personal information it collects from California consumers that is neither PHI under HIPAA nor patient information that Sema4 maintains in the same manner as Protected Health Information.</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Sema4’s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principal competitive factors in Sema4’s market are:</w:t>
      </w:r>
    </w:p>
    <w:p>
      <w:pPr>
        <w:spacing w:after="0" w:line="171"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Sema4 compares favorably with its competitors on the basis of these factors. However, many of Sema4’s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Sema4 may not be able to compete effectively against these organizations.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Sema4 is currently not a party to any material legal proceedings. From time to time, Sema4 may be involved in various disputes and litigation that is either judged to be not material or that arises in the ordinary course of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Sema4 could be held liable for damages and fines as a result of its, or its partner’s, business operations should contamination of the environment or individual exposure to hazardous substances occur. Sema4 cannot predict how changes in laws or new regulations will affect it business operations or the cost of compliance.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Sema4 relies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Sema4’s laboratory operations could be interrupted if it encounters delays or difficulties in securing these reagents, sequencers or other equipment or materials, and if we cannot obtain an acceptable substitute. Any such interruption could significantly affect its business, financial condition, results of operations and reputation. Sema4 believes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Sema4 to alter its laboratory operations. Transitioning to a new supplier would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may result in interruptions in our laboratory operations, could affect the performance specifications of its laboratory operations or could require that Sema4 revalidate our tests. We cannot assure you that Sema4 would be able to secure alternative equipment, reagents, and other materials, or bring such equipment, reagents, and materials online and revalidate them without experiencing interruptions in its workflow. If Sema4 encounters delays or difficulties in securing, reconfiguring, or revalidating the equipment and reagents Sema4 require for its tests, our business and reputation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consumers; federally qualified health centers; and Biopharma companies. In addition, during 2020, the customers for our COVID-19 tests included state governments.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Sema4 seeks payment from third party payers, such as a commercial health insurance company, Medicare or a Medicaid program, pursuant to contracts established between Sema4 and such third parties.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2020, reimbursement from health plans represented 78% of Sema4's consolidated revenue. In 2020, two customers each represented 10% or more of Sema4’s consolidated revenue, and no other customer represented 10% or more of Sema4’s consolidated revenue.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Culture and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2021, Sema4 had 985 full time employees. To date, Sema4 has not experienced any work stoppages as a result of labor disputes, and Sema4 considers our relationship with its employees to be good. Sema4’s key human capital objectives in managing its business include attracting, developing and retaining top talent while integrating diversity, equity and inclusion principles and practices into our core values. Sema4 wants to attract a pool of diverse and exceptional candidates and support their career growth once they become employees. We also believe that Sema4’s ability to retain its workforce is dependent on its ability to foster an environment that is sustainably safe, respectful, fair and inclusive of everyone and promotes diversity, equity and inclusion inside and outside of its business.</w:t>
      </w:r>
    </w:p>
    <w:p>
      <w:pPr>
        <w:spacing w:after="0" w:line="13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Sema4 is mission driven. Sema4’s employees are passionate about changing healthcare as sema4 knows it and impacting lives. Sema4 hires entrepreneurs who are comfortable with ambiguity and thrive on innovation and thoughtful discourse. Sema4 empowers its employees to iterate and rapidly execute on ideas. When the creative moment strikes, sema4 embraces efficient execution and adheres to robust security and compliance programs.</w:t>
      </w:r>
    </w:p>
    <w:p>
      <w:pPr>
        <w:spacing w:after="0" w:line="95"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Sema4’s culture has and will evolve but, at its core, it strives to: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Consider employees as its most prized asset,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Move at the speed of technology and the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Be compassionate,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Think around corners,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Foster repeatable innovation,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Focus on our 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Facilities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Sema4’s corporate headquarters and main laboratory facility are both located in Stamford, Connecticut. Sema4’s headquarters comprises approximately 88,000 square feet of commercial office space and is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that is scheduled to expire on January 31, 2034. Sema4’s main separate laboratory facility is approximately 66,000 square feet of combined laboratory and office space and is subject to a lease that is scheduled to expire on October 31, 2046.</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Sema4 has two laboratory spaces in Branford, Connecticut. The larger laboratory facility comprises approximately 37,400 square feet of laboratory space that houses Sema4’s biorepository in a temperature and humidity-controlled lab space and is subject to a lease that is scheduled to expire on January 31, 2030. The smaller satellite laboratory and warehousing facility of 19,000 square feet is subject to a year-to-year 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also has product development team that is located in New York, New York, where its leases and occupy approximately 9,000 square feet of space across three parcels. The leases for two of these parcels are scheduled to expire on August 30, 2022, and the lease for the remaining parcel is month-to-month until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SEMA4’s 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proxy statement. Some of the information contained in this discussion and analysis or set forth elsewhere in this proxy statement, including information with respect to our plans and strategy for our business and related financing, includes forward-looking statements that involve risks and uncertainties. As a result of many factors, including those factors set forth in the “Risk Factors” section of this proxy statement,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Sema4’s Management’s Discussion and Analysis of Financial Condition and Results of Operations section to “Sema4,” “we,” “us,” “our” and other similar terms refer to Sema4 prior to the Business Combination and to the post-combination company and its consolidated subsidiaries after giving effect to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Sema4 is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Sema4 was established out of the Icahn School of Medicine at Mount Sinai, or ISMMS, and commenced operations in June 2017 as a commercial entity that could effectively engage diverse patient populations and health care institutions at scale. Sema4 has since established and deployed its comprehensive and integrated genomic and clinical data platform and established a mature diagnostic testing business.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Currently, we derive the majority of revenue from our diagnostic test solutions. Our diagnostic business generates revenue and engages with patients primarily through our Women’s Health and Oncology solutions.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risk of cancer or informs on cancer treatment. We believe our Signal Whole Exome and Transcriptome is one of the most comprehensive molecular profiling solutions from a commercial entity to receive New York State approval. Beginning in May of 2020, we were also able to expand our diagnostic testing services to include testing for the presence of COVID-19 infection.</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also expanded beyond diagnostic testing to enter into collaboration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 generation drug discovery and development, to post-market efficacy surveillance, to informing on bioavailability, toxicity, tolerability, and other features critical to drug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performance and results of operations. While each of these areas presents significant opportunities for us, they also pose significant risks and challenges that we must address. See the section titled “Risk Factors”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accessioned tests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the number of accessioned tests in any period is an important indicator of the growth in our diagnostic testing services and correlates with long-term patient relationships and the size of our genomic database. A test is accessioned when we receive the test at our laboratory, the relevant information about the test is entered into our computer system and the test sample is routed to the appropriate workflow.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 party payors. Reimbursement by a payor may depend on a number of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cases where we or our partners have established reimbursement rates with third party payors, we face additional challenges in complying with their procedural requirements for reimbursement. These requirements often vary from payor to payor and are reassessed by third party payors on a regular basis, and we have in the past needed additional time and resources to comply with them.</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its business could suffer.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Reducing the costs associated with performing our diagnostic tests is both a focus and a strategic objective of ours. We source, and will continue to source, components of our diagnostic testing workflows from third parties. We also rely upon third party service providers for data storage and workflow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performance depends on our ability to retain and broaden adoption of our services with existing customers as well as our ability to attract new customers. Our success in retaining and gaining customers is dependent on the market’s confidence in our services and the willingness of customers to continue to seek more comprehensive and integrated genomic and clinical data insights.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with the development or commercialization of clinical or research products in connection with our database and our Centrellis platform.</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are unlikely to succeed, we may abandon them without any return on our investment. If we are unsuccessful in developing additional services, our potential for growth may be impaired.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or COVID-19, outbreak a pandemic. COVID-19 has had, and continues to have, an extensive impact on the global health and economic environments. Many jurisdictions, including those in which Sema4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April 2020, our diagnostic test volumes decreased significantly as compared to the prior year as a result of COVID-19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the year. To support the rapid expansion of COVID-19 test volumes, we have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our response to COVID-19,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conditions begin to improve, we are focused on overhauling our revenue cycle, and as part of transformational activities have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We anticipate that demand for COVID-19 tests will eventually decrease as vaccines continue to be developed and deployed to the general population. However, no additional decline is expected for our other revenue streams for the remainder of 2021.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Employee Retention Credit, or ERC, distribution. During 2021, we received an additional $5.6 million under the PRF distribution.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balance sheets.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this time, we are not certain of the availability, extent or impact of any future relief provided under the CARES Act or other stimulus initiatives.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Effective January 1, 2019, we adopted the new revenue guidance, Accounting Standards Codification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modified retrospective approach. Upon the adoption of ASC 606, we recognize revenue when control of the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is transferred to the customer in an amount that reflects the consideration which we expect to be entitled to in exchange for those goods or services.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recognized revenue pursuant to ASC Topic 605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adoption of ASC 606 did not materially impact our 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primarily generate revenue from performing diagnostic testing services for three groups of customers: patients with third-party insurance coverage; patients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patients with third-party insurance coverage.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ASC 606, revenue is recognized at the point in time in which test results are delivered to customers in an amount that reflects what we expect to collect in exchange for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ASC 605, revenue is recognized in the period in which test results are delivered to customers if the price is fixed or determinable and collectability from the customer is reasonably assured. For most uninsured customers, we were not able to demonstrate a predictable pattern of collectability and, therefore, we recognized revenue when payment was received.</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potential future changes in insurance coverage policies, contractual rates, and other trends in the reimbursement of our tests, our collections may fluctuate significantly over time.</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accordance with ASC 606, we recognize revenue for collaboration service agreements over time based on costs incurred during the contract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ASC 605, we recognized revenues when the contractual obligations were met based on the terms of the respective agreements.</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are able to gain efficiencies. The cost per test may fluctuate from quarter to quarter.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generally expect our research and development expenses to continue to increase in absolute dollars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expenses consist of amounts due to ISMMS for expenses incurred pursuant to our transition service agreement, or TSA, and other service agreements and arrangements. Additional information can be found in Sema4’s audited financial statements in Note 6, “Related Party Transactions” and Sema4’s unaudited condensed financial statements in Note 6, “Related Party Transactions.”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related party expenses to decrease as we establish our own internal and external resources to fulfil the administrative and other services we have historically procured from ISMMS.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costs related to our capital leases and our long-term debt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recognized a gain on debt extinguishment for the year ended December 31, 2018 related to principal loan forgiveness under one of our loan agreements. Additional information can be found in Sema4’s audited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income, net primarily consists of certain funding received under the CARES Act, sales and use taxes and gains and losses on equipment disposals. We recognized $2.6 million of the $5.4 million of funding received under the CARES Act as other income, net on the statements of operations and comprehensive loss during the year ended December 31, 2020 and recognized $5.6 million of additional funding received under the CARES Act during the three months ended March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principal focus of our commercial operations is to offer our diagnostic tests through both our direct sales force and laboratory distribution partners. Test volume correlates with genomic database size and long-term patient relationships - thus driving database diversity and enabling potential identification of variants of unknown significance and population-specific insights. The number of tests that we accession is a key indicator that we use to assess the operational efficiency of our business. A test is accessioned when we receive the test at our laboratory, the relevant information about the test is entered into our computer system and the test sample is routed into the appropriate workflow.</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December 31, 2020, we accessioned approximately 520,660 tests in our laboratories, 311,987 tests of which were for COVID-19, compared to December 31, 2019, in which we accessioned approximately 225,863 tests in our laboratories, and December 31, 2018, in which we accessioned approximately 154,151 tests in our laboratories. The 47% increase in volume from 2018 to 2019 represents continuous expansion to a national footprint and expanded test offerings, and the 131% increase from 2019 to 2020 largely resulted from newly entered service agreements for COVID-19 testing, offset by a slowdown in the base diagnostic business during the beginning of the pandemic given that many of our customers, including hospitals and clinics, had suspended non-emergency appointments and services.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2021, we accessioned approximately 239,140 tests in our laboratories, 175,944 tests of which were for COVID-19, compared to March 31, 2020, in which we accessioned approximately 54,808 tests in our laboratories, none of which were for COVID-19. This 336% increase in volume from 2020 to 2021 largely resulted from newly entered service agreements for COVID-19 testing as well as an increase in non-COVID-19 institutional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2019 and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85"/>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175,351</w:t>
            </w:r>
          </w:p>
        </w:tc>
        <w:tc>
          <w:tcPr>
            <w:tcW w:w="60" w:type="dxa"/>
            <w:vAlign w:val="bottom"/>
          </w:tcPr>
          <w:p>
            <w:pPr>
              <w:spacing w:after="0"/>
              <w:rPr>
                <w:sz w:val="19"/>
                <w:szCs w:val="19"/>
                <w:color w:val="auto"/>
              </w:rPr>
            </w:pPr>
          </w:p>
        </w:tc>
        <w:tc>
          <w:tcPr>
            <w:tcW w:w="780" w:type="dxa"/>
            <w:vAlign w:val="bottom"/>
            <w:gridSpan w:val="2"/>
          </w:tcPr>
          <w:p>
            <w:pPr>
              <w:jc w:val="right"/>
              <w:ind w:right="5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191,667</w:t>
            </w:r>
          </w:p>
        </w:tc>
        <w:tc>
          <w:tcPr>
            <w:tcW w:w="60" w:type="dxa"/>
            <w:vAlign w:val="bottom"/>
          </w:tcPr>
          <w:p>
            <w:pPr>
              <w:spacing w:after="0"/>
              <w:rPr>
                <w:sz w:val="19"/>
                <w:szCs w:val="19"/>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179,322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196,174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119,623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76,551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53,831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33,118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9,395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398"/>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2,622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(29,704)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29"/>
        </w:trPr>
        <w:tc>
          <w:tcPr>
            <w:tcW w:w="40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Redeemable convertible preferred stock dividends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4040" w:type="dxa"/>
            <w:vAlign w:val="bottom"/>
            <w:gridSpan w:val="4"/>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(32,743)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1"/>
              </w:rPr>
              <w:t>2019 to 2020</w:t>
            </w: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w w:val="93"/>
              </w:rPr>
              <w:t>2018 to 2019</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w:t>
            </w: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58,697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1115 %</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62,833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Total revenue decreased by $16.9 million, or 9%, from $196.2 million for the year ended December 31, 2019 to $179.3 million for the year ended December 31, 2020.</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Diagnostic test revenue decreased by $16.3 million, or 9%, from $191.7 million for the year ended December 31, 2019 to $175.4 million for the year ended December 31, 2020. The decrease was primarily attributable to a change in the mix of tests performed coupled with reduced reimbursement rates. Sema4 experienced an increase in volumes of 131%,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251</w:t>
      </w:r>
    </w:p>
    <w:p>
      <w:pPr>
        <w:sectPr>
          <w:pgSz w:w="11900" w:h="16838" w:orient="portrait"/>
          <w:cols w:equalWidth="0" w:num="1">
            <w:col w:w="11240"/>
          </w:cols>
          <w:pgMar w:left="320" w:top="1440" w:right="339" w:bottom="1440" w:gutter="0" w:footer="0" w:header="0"/>
          <w:type w:val="continuous"/>
        </w:sectPr>
      </w:pPr>
    </w:p>
    <w:bookmarkStart w:id="261" w:name="page262"/>
    <w:bookmarkEnd w:id="261"/>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revenue decreased by $0.5 million, or 12%, from $4.5 million for the year ended December 31, 2019 to $4.0 million for the year ended December 31, 2020.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$62.9 million, or 47%, from $133.3 million for the year ended December 31, 2018 to $196.2 million for the year ended December 31, 2019.</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Diagnostic test revenue increased by $58.7 million, or 44%, from $133.0 million for the year ended December 31, 2018 to $191.7 million for the year ended December 31, 2019. The increase was primarily attributable to an increase in diagnostic testing volumes of 47%, partially offset by lower reimbursement rates for some diagnostic tests.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Other revenue increased by $4.1 million, or 1,115%, from $0.4 million for the year ended December 31, 2018 to $4.5 million for the year ended December 31, 2019. The increase was primarily attributable to the execution of three new contracts with various third parties in 2019 as well as significant growth in collaboration service activities pursuant to contracts entered into with a third party in March 2019 and with ISMMS in November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184,648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92,093</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65,025</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54 %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27,530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$65.0 million, or 54%, from $119.6 million for the year ended December 31, 2019 to $184.6 million for the year ended December 31, 2020. The increase was primarily attributable to the following cost components: a $17.0 million increase in reagents and laboratory supplies expense due primarily to the 131% increase in accessioned volumes coupled with the lower per test cost of performing COVID-19 tests relative to our other tests; a $13.2 million increase in stock-based compensation expenses primarily driven by the increase in fair value of the liability-classified awards; an $11.8 million increase in personnel-related expenses driven by an increase in average headcount, partially offset by COVID-19 austerity measures; a $6.4 million increase in third party reference laboratory expenses due to an increase in tests performed by such third parties; a $4.4 million increase in expenses for other services such as genetic counseling, shipping and phlebotomy services; a $4.3 million increase in depreciation and amortization expenses driven by laboratory sequencing equipment acquired in 2020 and an increase in capitalized software as compared to the prior year; a $3.7 million increase in outside labor costs driven by temporary hires contracted in 2020 to perform COVID-19 testing activities as well as an increase in consultants supporting collaboration services; a $1.6 million increase in software expenses due to increased cloud storage and expanded computing capacity requirements for testing data; and a $1.3 million increase in equipment-related expenses, including maintenance expenses on existing equipment and purchases of minor equipment in 2020.</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 of services increased by $27.5 million, or 30%, from $92.1 million for the year ended December 31, 2018 to $119.6 million for the year ended December 31, 2019. The increase was primarily attributable to the following cost components: a $16.4 million increase in reagents and laboratory supplies expense and a $2.8 million increase in other laboratory services such as genetic counseling, logistics, and phlebotomy services driven by the 47% increase in volume; a $7.5 million increase in personnel-related expenses due to an increase in average headcount; and a $4.3 million increase in software expenses due to increased cloud storage and expanded computing capacity requirements for testing data. These increases were partially offset by a $2.7 million decrease in third party reference laboratory expenses driven by a smaller percentage of tests performed by reference labs as a result of expanded in-house capabilities to perform sequencing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0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1"/>
        </w:trPr>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2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72,700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34,910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21,383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37,790</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108 %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13,527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Research and development expense increased by $37.8 million, or 108%, from $34.9 million for the year ended December 31, 2019 to $72.7 million for the year ended December 31, 2020. The increase was primarily attributable to the following cost components: a $25.4 million increase in stock-based compensation expenses due to an increase in fair value of the liability-classified awards and an increase in the number of outstanding awards;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 increased by $13.5 million, or 63%, from $21.4 million for the year ended December 31, 2018 to $34.9 million for the year ended December 31, 2019. The increase was primarily attributable to a $9.7 million increase in personnel-related expenses driven by increased average headcount and a $3.2 million increase in expenses for reagents, laboratory supplies and laboratory software for research and development use due to an increase in the number of, and required investment in, research and development studies.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1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962"/>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w w:val="92"/>
              </w:rPr>
              <w:t>(dollars in thousands)</w:t>
            </w: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53,831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33,118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19,947</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20,713</w:t>
            </w:r>
          </w:p>
        </w:tc>
        <w:tc>
          <w:tcPr>
            <w:tcW w:w="12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63 %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13,171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Selling and marketing expense increased by $20.7 million, or 63%, from $33.1 million for the year ended December 31, 2019 to $53.8 million for the year ended December 31, 2020. The increase was primarily attributable to the following cost components: a $10.6 million increase in personnel-related expenses driven by an increase in average headcount, partially offset by COVID-19 austerity measures; a $10.1 million increase in stock-based compensation expenses due to an increase in the fair value of the liability-classified awards and an increase in the number of outstanding awards; and a $1.5 million increase in commissions due to an increase in sales employee headcount and the implementation of temporary minimum commissions offered to sales employees in response to the COVID-19 pandemic. These increases were partially offset by a $1.8 million decrease in travel and business expenses due to reduced business travel during the COVID-19 pandemic.</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Selling and marketing expense increased by $13.2 million, or 66%, from $19.9 million for the year ended December 31, 2018 to $33.1 million for the year ended December 31, 2019. The increase was primarily attributable to the following cost components: an $8.6 million increase in personnel-related expenses, excluding commissions and a $1.7 million increase in travel and business expenses driven by increases in average headcount; a $1.5 million increase in commissions driven by the 47% increase in volume and achievement of sales targets; and a $0.8 million increase in consultant costs for strategy and go-to-market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100,742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29,484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71,258</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242 %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10,035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bl>
    <w:p>
      <w:pPr>
        <w:spacing w:after="0" w:line="24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General and administrative expense increased by $71.2 million, or 242%, from $29.5 million for the year ended December 31, 2019 to $100.7 million for the year ended December 31, 2020. The increase was primarily attributable to the following cost components: a $66.0 million increase in stock-based compensation expenses due to an increase in the fair value of the liability-classified awards and an increase in the number of outstanding awards;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 increased by $10.1 million, or 52%, from $19.4 million for the year ended December 31, 2018 to $29.5 million for the year ended December 31, 2019. The increase was primarily attributable to the following cost components: a $4.4 million increase in personnel-related expenses driven by an increase in average headcount; a $2.3 million increase in information technology expenses driven by an increase in software costs due to system migration projects, security audits and other information technology activities commencing in 2019; a $2.0 million increase in consulting and outside service expenses driven by information technology transformation projects commencing in 2019; and increases in miscellaneous other general and administrative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left="54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2"/>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9,395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(57)</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  $</w:t>
            </w:r>
          </w:p>
        </w:tc>
        <w:tc>
          <w:tcPr>
            <w:tcW w:w="13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Related party expenses decreased by $0.1 million, or 0.6%, from $9.5 million for the year ended December 31, 2019 to $9.4 million for the year ended December 31, 2020. The decrease was primarily attributable to a $1.7 million decrease in service fees associated with a reduction of leased ISMMS employees, a $1.0 million decrease in fees associated with information technology support pursuant to the transition services agreement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Related party expenses increased by $0.4 million, or 4%, from $9.1 million for the year ended December 31, 2018 to $9.5 million for the year ended December 31, 2019. The increase was primarily attributable to a $0.7 million increase in fees incurred for information technology support provided by ISMMS for certain transformational projects that occurred in 2019 pursuant to the TSA. These increases were partially offset by a $0.5 million decrease in service fees associated with a reduction of leased ISMMS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64" w:name="page265"/>
    <w:bookmarkEnd w:id="26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0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5"/>
              </w:rPr>
              <w:t>(dollars in thousands)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(482)</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  $</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988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income decreased by $0.5 million, or 49%, from $1.0 million for the year ended December 31, 2019 to $0.5 million for the year ended December 31, 2020. The decrease was due to declines in interest rates on money market deposit accounts and reductions in the average cash balances held throughout the year in these interest-bearing accounts.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income increased by $1.0 million, or 100%, from $0 for the year ended December 31, 2018 to $1.0 million for the year ended December 31, 2019. The increase in interest income was due to interest earned on cash deposited in new money market deposit accounts in 2019.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w w:val="94"/>
              </w:rPr>
              <w:t>(dollars 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1,691</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216 %  $</w:t>
            </w:r>
          </w:p>
        </w:tc>
        <w:tc>
          <w:tcPr>
            <w:tcW w:w="13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increased by $1.7 million, or 216%, from $0.8 million for the year ended December 31, 2019 to $2.5 million for the year ended December 31, 2020.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by $0.6 million, or 216%, from $0.2 million for the year ended December 31, 2018 to $0.8 million for the year ended December 31, 2019. The increase was driven by an increase in capital lease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8"/>
              </w:rPr>
              <w:t>2019 to 2020</w:t>
            </w:r>
          </w:p>
        </w:tc>
        <w:tc>
          <w:tcPr>
            <w:tcW w:w="1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2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1"/>
        </w:trPr>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2"/>
        </w:trPr>
        <w:tc>
          <w:tcPr>
            <w:tcW w:w="31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w w:val="92"/>
              </w:rPr>
              <w:t>Gain on extinguishment of debt $</w:t>
            </w:r>
          </w:p>
        </w:tc>
        <w:tc>
          <w:tcPr>
            <w:tcW w:w="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 % $</w:t>
            </w:r>
          </w:p>
        </w:tc>
        <w:tc>
          <w:tcPr>
            <w:tcW w:w="13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gains or losses on extinguishment of debt were recognized for the years ended December 31, 2020 and 2019. Gain on extinguishment of debt was $4.5 million for the year ended December 31, 2018. The gain on extinguishment of debt in 2018 was attributable to principal loan forgiveness in response to achievement of milestones specified in the amended loan agreement with the DECD.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88"/>
        </w:trPr>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 to 2020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 to 2019</w:t>
            </w:r>
          </w:p>
        </w:tc>
        <w:tc>
          <w:tcPr>
            <w:tcW w:w="800" w:type="dxa"/>
            <w:vAlign w:val="bottom"/>
            <w:tcBorders>
              <w:bottom w:val="single" w:sz="8" w:color="auto"/>
            </w:tcBorders>
          </w:tcPr>
          <w:p>
            <w:pPr>
              <w:spacing w:after="0"/>
              <w:rPr>
                <w:sz w:val="16"/>
                <w:szCs w:val="16"/>
                <w:color w:val="auto"/>
              </w:rPr>
            </w:pPr>
          </w:p>
        </w:tc>
      </w:tr>
      <w:tr>
        <w:trPr>
          <w:trHeight w:val="183"/>
        </w:trPr>
        <w:tc>
          <w:tcPr>
            <w:tcW w:w="2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w:t>
            </w:r>
          </w:p>
        </w:tc>
      </w:tr>
      <w:tr>
        <w:trPr>
          <w:trHeight w:val="183"/>
        </w:trPr>
        <w:tc>
          <w:tcPr>
            <w:tcW w:w="2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2,622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2,118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420 %  $</w:t>
            </w:r>
          </w:p>
        </w:tc>
        <w:tc>
          <w:tcPr>
            <w:tcW w:w="138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Other income, net increased by $2.1 million, or 420%, from $0.5 million for the year ended December 31, 2019 to $2.6 million for the year ended December 31, 2020. The increase in other income, net was primarily attributable to $2.6 million in funding that we received under the CARES Act.</w:t>
      </w:r>
    </w:p>
    <w:p>
      <w:pPr>
        <w:spacing w:after="0" w:line="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is $0.5 million for the years ended December 31, 2018 and 2019 and there were no material offsetting charges within income and expense year over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385"/>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4"/>
                <w:szCs w:val="24"/>
                <w:color w:val="auto"/>
              </w:rPr>
            </w:pPr>
          </w:p>
        </w:tc>
      </w:tr>
      <w:tr>
        <w:trPr>
          <w:trHeight w:val="4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46,070</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39,239</w:t>
            </w:r>
          </w:p>
        </w:tc>
      </w:tr>
      <w:tr>
        <w:trPr>
          <w:trHeight w:val="236"/>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37"/>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r>
      <w:tr>
        <w:trPr>
          <w:trHeight w:val="405"/>
        </w:trPr>
        <w:tc>
          <w:tcPr>
            <w:tcW w:w="8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w w:val="91"/>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62,760</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46,070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16,690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ind w:right="657"/>
              <w:spacing w:after="0"/>
              <w:rPr>
                <w:sz w:val="20"/>
                <w:szCs w:val="20"/>
                <w:color w:val="auto"/>
              </w:rPr>
            </w:pPr>
            <w:r>
              <w:rPr>
                <w:rFonts w:ascii="Arial" w:cs="Arial" w:eastAsia="Arial" w:hAnsi="Arial"/>
                <w:sz w:val="18"/>
                <w:szCs w:val="18"/>
                <w:color w:val="auto"/>
              </w:rPr>
              <w:t>1,006</w:t>
            </w:r>
          </w:p>
        </w:tc>
        <w:tc>
          <w:tcPr>
            <w:tcW w:w="1000" w:type="dxa"/>
            <w:vAlign w:val="bottom"/>
          </w:tcPr>
          <w:p>
            <w:pPr>
              <w:jc w:val="right"/>
              <w:spacing w:after="0"/>
              <w:rPr>
                <w:sz w:val="20"/>
                <w:szCs w:val="20"/>
                <w:color w:val="auto"/>
              </w:rPr>
            </w:pPr>
            <w:r>
              <w:rPr>
                <w:rFonts w:ascii="Arial" w:cs="Arial" w:eastAsia="Arial" w:hAnsi="Arial"/>
                <w:sz w:val="18"/>
                <w:szCs w:val="18"/>
                <w:color w:val="auto"/>
              </w:rPr>
              <w:t>172 %</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64,351</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46,655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4"/>
              </w:rPr>
              <w:t>17,696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increased by $17.7 million, or 38%, from $46.7 million for the three months ended March 31, 2020 to $64.4 million for the three months ended March 31, 2021.</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Diagnostic test revenue increased by $16.7 million, or 36%, from $46.1 million for the three months ended March 31, 2020 to $62.8 million for the three months ended March 31, 2021. The increase was primarily attributable to an increase in volumes of 336%, partially offset by the change in the mix of tests performed and reduced reimbursement rates. The increase in volume was primarily driven by the introduction of COVID-19 testing in May of 2020. The lower pricing on COVID-19 testing relative to other diagnostic tests and an overall decrease in average pricing on Women’s Health and Oncology testing contributed to lower revenues generated per test for the three months ended March 31, 2021 relative to the three months ended March 31, 2020.</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revenue increased by $1.0 million, or 172%, from $0.6 million for the three months ended March 31, 2020 to $1.6 million for the three months ended March 31, 2021. The increase was primarily attributable to growth in collaboration service activities due to the execution of two new third-party contracts, partially offset by reduced revenues recognized related to an existing third-party contract. Other revenues are expected to continue to be driven predominately by services performed pursuant to contracts with third parties.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71,812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39,239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32,573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bl>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 of services increased by $32.6 million, or 83%, from $39.2 million for the three months ended March 31, 2020 to $71.8 million for the three months ended March 31, 2021. The increase was primarily attributable to the following cost components: a $19.7 million increase in stock-based compensation expense primarily driven by the increase in fair value of the liability-classified awards; a $3.9 million increase in personnel-related expenses driven by an increase in average headcount; a $2.4 million increase in outside labor costs driven by temporary hires contracted to perform COVID-19 testing activities; a $1.3 million increase in expenses for other services such as genetic counseling, shipping and phlebotomy services; a $1.3 million increase in reagents and laboratory supplies expense due primarily to the 336% increase in accessioned volumes coupled with the lower per test cost of performing carrier screening and COVID-19 tests relative to our other tests; a $1.3 million increase in depreciation expenses driven by an increase in leasehold improvements; a $1.1 million increase in software expenses due to increased cloud storage and expanded computing capacity requirements from New York City to Stamford, Connecticut for testing data; and a $0.7 million increase in occupancy expenses in connection with our laboratory move as production activities began at the Stamford facility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53,131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13,096</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40,035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 increased by $40.0 million, or 306%, from $13.1 million for the three months ended March 31, 2020 to $53.1 million for the three months ended March 31, 2021. The increase was primarily attributable to the following cost components: a $38.0 million increase in stock-based compensation expense driven by the increase in fair value of the liability-classified awards; and a $2.0 million increase in expenses for reagents, laboratory supplies and laboratory software for research and development use driven by an increase in the number of, and required investment in, research and development studies.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ind w:left="540"/>
              <w:spacing w:after="0"/>
              <w:rPr>
                <w:sz w:val="20"/>
                <w:szCs w:val="20"/>
                <w:color w:val="auto"/>
              </w:rPr>
            </w:pPr>
            <w:r>
              <w:rPr>
                <w:rFonts w:ascii="Arial" w:cs="Arial" w:eastAsia="Arial" w:hAnsi="Arial"/>
                <w:sz w:val="14"/>
                <w:szCs w:val="14"/>
                <w:b w:val="1"/>
                <w:bCs w:val="1"/>
                <w:color w:val="auto"/>
                <w:w w:val="98"/>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31,569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11,733</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19,836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Selling and marketing expense increased by $19.9 million, or 169%, from $11.7 million for the three months ended March 31, 2020 to $31.6 million for the three months ended March 31, 2021. The increase was primarily attributable to the following cost components: a $17.3 million increase in stock-based compensation expense driven by the increase in fair value of the liability-classified awards; a $2.1 million increase in personnel-related expenses driven by increased headcount; a $0.5 million increase in information technology related expenses; and a $0.4 million increase in consulting and outside service expenses to support revenue cycle transformation initiatives. These increases were partially offset by a $0.6 million decrease in travel and entertainment expenses driven by reduced business travel during the COVID-19 pandemic.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101,917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7,164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4"/>
              </w:rPr>
              <w:t>94,753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1,323 %</w:t>
            </w:r>
          </w:p>
        </w:tc>
      </w:tr>
    </w:tbl>
    <w:p>
      <w:pPr>
        <w:spacing w:after="0" w:line="2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General and administrative expense increased by $94.7 million, or 1,323%, from $7.2 million for the three months ended March 31, 2020 to $101.9 million for the three months ended March 31, 2021. The increase was primarily attributable to the following cost components: an $89.3 million increase in stock-based compensation expense driven by the increase in fair value of the liability-classified awards and an increase in the number of outstanding awards; a $2.5 million increase in expenses for professional services associated with expected public company requirements; a $2.0 million increase in personnel-related expenses driven by an increase in average headcount including executive headcount; a $0.6 million increase in insurance expenses driven by transitioning to standalone insurance policies separate from ISMMS; and a $0.3 million increase in software expenses due to increased cloud storage capacity requirements. These increases were partially offset by a $0.6 million decrease in occupancy expenses in connection with our laboratory move from New York City to Stamford, Connecticut.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200" w:type="dxa"/>
            <w:vAlign w:val="bottom"/>
          </w:tcPr>
          <w:p>
            <w:pPr>
              <w:jc w:val="center"/>
              <w:ind w:left="82"/>
              <w:spacing w:after="0"/>
              <w:rPr>
                <w:sz w:val="20"/>
                <w:szCs w:val="20"/>
                <w:color w:val="auto"/>
              </w:rPr>
            </w:pPr>
            <w:r>
              <w:rPr>
                <w:rFonts w:ascii="Arial" w:cs="Arial" w:eastAsia="Arial" w:hAnsi="Arial"/>
                <w:sz w:val="14"/>
                <w:szCs w:val="14"/>
                <w:b w:val="1"/>
                <w:bCs w:val="1"/>
                <w:color w:val="auto"/>
                <w:w w:val="91"/>
              </w:rPr>
              <w:t>2020 to 2021</w:t>
            </w:r>
          </w:p>
        </w:tc>
        <w:tc>
          <w:tcPr>
            <w:tcW w:w="102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1,797</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2,195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(398)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Related party expenses decreased by $0.4 million, or 18.1%, from $2.2 million for the three months ended March 31, 2020 to $1.8 million for the three months ended March 31, 2021. The decrease was primarily attributable to the following cost components: a $0.2 million decrease in fees associated with information technology support pursuant to the transition services agreement with ISMMS; and a $0.2 million decrease in rent and facility expenses driven by a reduction of office and lab space leased from ISMMS pursuant to the transition services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Pr>
          <w:p>
            <w:pPr>
              <w:spacing w:after="0"/>
              <w:rPr>
                <w:sz w:val="16"/>
                <w:szCs w:val="16"/>
                <w:color w:val="auto"/>
              </w:rPr>
            </w:pPr>
          </w:p>
        </w:tc>
        <w:tc>
          <w:tcPr>
            <w:tcW w:w="120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rPr>
              <w:t>(313)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Interest income decreased by $0.3 million, or 94%, from $0.3 million for the three months ended March 31, 2020 to a nominal amount for the three months ended March 31, 2021. The decrease was due to declines in interest rates on money market deposit accounts and reductions in the average cash balances held in these interest-bearing accounts.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Pr>
          <w:p>
            <w:pPr>
              <w:spacing w:after="0"/>
              <w:rPr>
                <w:sz w:val="16"/>
                <w:szCs w:val="16"/>
                <w:color w:val="auto"/>
              </w:rPr>
            </w:pP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w w:val="91"/>
              </w:rPr>
              <w:t>2020 to 2021</w:t>
            </w:r>
          </w:p>
        </w:tc>
        <w:tc>
          <w:tcPr>
            <w:tcW w:w="1000" w:type="dxa"/>
            <w:vAlign w:val="bottom"/>
          </w:tcPr>
          <w:p>
            <w:pPr>
              <w:spacing w:after="0"/>
              <w:rPr>
                <w:sz w:val="16"/>
                <w:szCs w:val="16"/>
                <w:color w:val="auto"/>
              </w:rPr>
            </w:pPr>
          </w:p>
        </w:tc>
      </w:tr>
      <w:tr>
        <w:trPr>
          <w:trHeight w:val="183"/>
        </w:trPr>
        <w:tc>
          <w:tcPr>
            <w:tcW w:w="5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w:t>
            </w:r>
          </w:p>
        </w:tc>
      </w:tr>
      <w:tr>
        <w:trPr>
          <w:trHeight w:val="183"/>
        </w:trPr>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0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149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increased by $0.1 million, or 26%, from $0.6 million for the three months ended March 31, 2020 to $0.7 million for the three months ended March 31, 2021. The increase was driven by new loans executed in the second half of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9"/>
              </w:rPr>
              <w:t>Change</w:t>
            </w:r>
          </w:p>
        </w:tc>
        <w:tc>
          <w:tcPr>
            <w:tcW w:w="96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Pr>
          <w:p>
            <w:pPr>
              <w:spacing w:after="0"/>
              <w:rPr>
                <w:sz w:val="16"/>
                <w:szCs w:val="16"/>
                <w:color w:val="auto"/>
              </w:rPr>
            </w:pPr>
          </w:p>
        </w:tc>
        <w:tc>
          <w:tcPr>
            <w:tcW w:w="1160" w:type="dxa"/>
            <w:vAlign w:val="bottom"/>
          </w:tcPr>
          <w:p>
            <w:pPr>
              <w:jc w:val="center"/>
              <w:ind w:left="22"/>
              <w:spacing w:after="0"/>
              <w:rPr>
                <w:sz w:val="20"/>
                <w:szCs w:val="20"/>
                <w:color w:val="auto"/>
              </w:rPr>
            </w:pPr>
            <w:r>
              <w:rPr>
                <w:rFonts w:ascii="Arial" w:cs="Arial" w:eastAsia="Arial" w:hAnsi="Arial"/>
                <w:sz w:val="14"/>
                <w:szCs w:val="14"/>
                <w:b w:val="1"/>
                <w:bCs w:val="1"/>
                <w:color w:val="auto"/>
                <w:w w:val="93"/>
              </w:rPr>
              <w:t>2020 to 2021</w:t>
            </w:r>
          </w:p>
        </w:tc>
        <w:tc>
          <w:tcPr>
            <w:tcW w:w="960" w:type="dxa"/>
            <w:vAlign w:val="bottom"/>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5,584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5,562</w:t>
            </w:r>
          </w:p>
        </w:tc>
        <w:tc>
          <w:tcPr>
            <w:tcW w:w="960" w:type="dxa"/>
            <w:vAlign w:val="bottom"/>
            <w:shd w:val="clear" w:color="auto" w:fill="CCEEFF"/>
          </w:tcPr>
          <w:p>
            <w:pPr>
              <w:jc w:val="right"/>
              <w:spacing w:after="0" w:line="231"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 Not Meaningful (“NM”)</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increased by $5.6 million from a nominal amount for the three months ended March 31, 2020 to $5.6 million for the three months ended March 31, 2021. The increase in other income, net was primarily attributable to $5.6 million in funding that we received and recognized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2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30" w:lineRule="exact"/>
        <w:rPr>
          <w:sz w:val="20"/>
          <w:szCs w:val="20"/>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Gross Profit is a non-GAAP financial measure that we define as revenue less cost of services, excluding depreciation and amortization, stock-based compensation expense, related party expenses, labor costs due to a laboratory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years ended December 31, 2020, 2019 and 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183"/>
        </w:trPr>
        <w:tc>
          <w:tcPr>
            <w:tcW w:w="59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22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196,174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133,341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184,648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119,623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92,093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76,551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41,248</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748</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4,122</w:t>
            </w:r>
          </w:p>
        </w:tc>
      </w:tr>
      <w:tr>
        <w:trPr>
          <w:trHeight w:val="229"/>
        </w:trPr>
        <w:tc>
          <w:tcPr>
            <w:tcW w:w="5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(3)</w:t>
            </w:r>
          </w:p>
        </w:tc>
        <w:tc>
          <w:tcPr>
            <w:tcW w:w="420" w:type="dxa"/>
            <w:vAlign w:val="bottom"/>
          </w:tcPr>
          <w:p>
            <w:pPr>
              <w:spacing w:after="0"/>
              <w:rPr>
                <w:sz w:val="19"/>
                <w:szCs w:val="19"/>
                <w:color w:val="auto"/>
              </w:rPr>
            </w:pP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30,380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79,120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46,118</w:t>
            </w:r>
          </w:p>
        </w:tc>
      </w:t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19"/>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revenue to our Adjusted Gross Profit and Adjusted Gross Margin for the three months ended March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183"/>
        </w:trPr>
        <w:tc>
          <w:tcPr>
            <w:tcW w:w="7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r>
      <w:tr>
        <w:trPr>
          <w:trHeight w:val="23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64,351</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46,655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400" w:type="dxa"/>
            <w:vAlign w:val="bottom"/>
          </w:tcPr>
          <w:p>
            <w:pPr>
              <w:spacing w:after="0"/>
              <w:rPr>
                <w:sz w:val="19"/>
                <w:szCs w:val="19"/>
                <w:color w:val="auto"/>
              </w:rPr>
            </w:pP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71,812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39,239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(7,461)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7,416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Add:</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120</w:t>
            </w: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Related party expenses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574</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12,599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8,110</w:t>
            </w:r>
          </w:p>
        </w:tc>
      </w:tr>
      <w:tr>
        <w:trPr>
          <w:trHeight w:val="234"/>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0"/>
        </w:numPr>
        <w:rPr>
          <w:rFonts w:ascii="Arial" w:cs="Arial" w:eastAsia="Arial" w:hAnsi="Arial"/>
          <w:sz w:val="14"/>
          <w:szCs w:val="14"/>
          <w:color w:val="auto"/>
        </w:rPr>
      </w:pPr>
      <w:r>
        <w:rPr>
          <w:rFonts w:ascii="Arial" w:cs="Arial" w:eastAsia="Arial" w:hAnsi="Arial"/>
          <w:sz w:val="14"/>
          <w:szCs w:val="14"/>
          <w:color w:val="auto"/>
        </w:rPr>
        <w:t>Represents fees paid to ISMMS for certain services that, for GAAP purposes, are included in Cost of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EBITDA is a non-GAAP financial measure that we define as net loss adjusted for interest (income) expense, net, other (income) expense, net, provision for (benefit from) income taxes, gain on extinguishment of debt, depreciation and amortization and stock-based compensation expenses, and COVID-19 costs. We believe Adjusted EBITDA is useful in evaluating our operating performance compared to that of other companies in our industry, as this metric generally eliminates the effects of certain items that may vary from company to company for reasons unrelated to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years ended December 31, 2020, 2019, and 2018: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183"/>
        </w:trPr>
        <w:tc>
          <w:tcPr>
            <w:tcW w:w="6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Gain on extinguishment of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5,433</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29"/>
        </w:trPr>
        <w:tc>
          <w:tcPr>
            <w:tcW w:w="6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(17,625)</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a gain on debt extinguishment for the year ended December 31, 2018 related to principal loan forgiveness under one of our loan agreements.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For fiscal year 2020, consists of funding received under the CARES Act Provider Relief Fund, and sales and use taxes.</w:t>
      </w:r>
    </w:p>
    <w:p>
      <w:pPr>
        <w:spacing w:after="0" w:line="1" w:lineRule="exact"/>
        <w:rPr>
          <w:rFonts w:ascii="Arial" w:cs="Arial" w:eastAsia="Arial" w:hAnsi="Arial"/>
          <w:sz w:val="14"/>
          <w:szCs w:val="14"/>
          <w:color w:val="auto"/>
        </w:rPr>
      </w:pPr>
    </w:p>
    <w:p>
      <w:pPr>
        <w:ind w:left="340" w:right="80" w:hanging="332"/>
        <w:spacing w:after="0" w:line="248" w:lineRule="auto"/>
        <w:tabs>
          <w:tab w:leader="none" w:pos="332" w:val="left"/>
        </w:tabs>
        <w:numPr>
          <w:ilvl w:val="0"/>
          <w:numId w:val="221"/>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from COVID-19. However, we suffered significantly due to the decrease in volume in Women's Health and other products. Accordingly, we have adjusted our Gross Profit to reflect the management-assessed impact from the decrease in productivity of existing laboratory employees due to COVID-19 in the second quarter of 2020.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March 31, 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4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62"/>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Represents professional service costs directly related to the Business Combination.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For the three months ended March 31, 2021, consists of funding received under the CARES Act Provider Relief Fund.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Liquidity and Capital Resources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incurred net losses and negative cash flows from operations since our inception, including net losses of $241.3 million, $29.7 million and $23.9 million for the years ended December 31, 2020, 2019 and 2018, respectively, and net losses of $191.0 million and $27.0 million for the three months ended March 31, 2021 and 2020, respectively. As of March 31, 2021, we had an accumulated deficit of $521.0 million. We expect to continue to generate significant operating losses for the foreseeable future. Through March 31, 2021, we have funded our operations primarily with proceeds from the issuance of redeemable convertible preferred stock and the issuance of long-term debt. We intend to raise additional capital through the Business Combination. If we are unable to raise additional capital through the Business Combination, or if we require additional capital prior to the consummation of the Business Combination, we expect to seek additional funding through private equity financings, debt financings or other capital sources, including collaborations with other companies or other strategic transactions, subject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covenants under the Merger Agreement related to the conduct of our business prior to the Closing. In particular, we may seek to borrow up to $20 million in additional funds on a short term basis, which we expect would be repaid upon the consummation of the Business Combination; however, we have no binding commitments to access any such financing. Additional capital may not be available on reasonable terms, or at all. The terms of any financing may adversely affect the holdings or the rights of our stockholders.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obtain funding, we will be forced to delay, reduce or eliminate some or all of our research and development programs, product portfolio expansion or commercialization efforts, which could adversely affect our business financial condition, results of operations, or prospects, or we may be unable to continue operations. Although management continues to pursue these plans, there is no assurance that we will be successful in obtaining sufficient funding on acceptable terms to fund continuing operations, if at all.</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Based on our recurring losses from operations incurred since inception, expectation of continuing operating losses for the foreseeable future, and the need to raise additional capital to finance future operations, as of June 10, 2021, the issuance date of our unaudited condensed financial statements for the three months ended March 31, 2021 included elsewhere in this proxy statement, we have concluded that there is substantial doubt about our ability to continue as a going concern for a period of one year from the date that these financial statements were issued. Our cash and cash equivalents excluding restricted cash were $58.7 million as of March 31, 2021. As of June 10, 2021, the issuance date of our unaudited condensed financial statements for the three months ended March 31, 2021, we expect that our existing cash and cash equivalents will be sufficient to fund our operating expenses and capital expenditure requirements into the third quarter of 2021. Beyond that point, our ability to continue as a going concern is dependent on our ability to raise additional capital to finance our operations.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included elsewhere in this proxy statement do not include any adjustments that might result from the outcome of this uncertainty. Accordingly, the financial statements have been prepared on a basis that assumes we will continue as a going concern and which contemplates the realization of assets and satisfaction of liabilities and commitments in the ordinary course of business. Please see also “Risk Factors – Sema4 may need to raise additional capital to fund its existing operations, develop additional products and services, commercialize new products and services or expand its operations.”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plan to utilize the existing cash and cash equivalents on hand primarily to fund our operations as we continue to grow our business, enter into partnerships, pursue strategic investments and continue research and development initiatives related to Women’s Health and Oncology. We expect to incur additional costs associated with operating as a public company, including expenses related to legal, accounting, and regulatory matters; maintaining compliance with requirements of the Nasdaq and of the SEC; director and officer insurance premiums and investor relations. Cash used to fund operating expenses is affected by the timing of when we pay expenses, as reflected in the change in our outstanding accounts payable and accrued expenses. We also expect to make increased capital expenditures in the near term related to our laboratory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is a description of commitments for known and reasonably likely cash requirements as of December 31, 2020 and March 31, 2021. We anticipate fulfilling such commitments with our existing cash and cash equivalents, which amounted to $108.1 million and $58.7 million as of December 31, 2020 and March 31, 2021, respectively, or through additional capital raised to finance our operations; see "—Going Concern, Liquidity and Capital Resources".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future minimum payments under non-cancellable operating lease agreements were $73.3 million as of December 31, 2020 and $71.5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future payments under capital leases were $70.2 million as of December 31, 2020 and $69.2 million as of March 31, 2021. The timing of these future payments, by year, can be found in Sema4’s audited financial statements in Note 8, “Commitments and Contingencies” and Sema4’s unaudited condensed financial statements in Note 8, “Commitments and Contingencies,”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2016, ISMMS received a loan funding commitment from the DECD, or the DECD Loan Agreement, to support the Genetic Sequencing Laboratory Project, which we refer to as the Project. As part of the spin-out of Sema4 from ISMMS, ISMMS assigned both the Project and the DECD Loan Agreement to us. In June of 2018, we amended the DECD Loan Agreement by increasing the total loan commitment amount to $15.5 million. During the years ended December 31, 2020 and 2018, we received $6.0 million and $4.5 million, respectively, in loan funding. During the year ended December 31, 2020, we entered into a Master Loan and Security Agreement, or the Equipment Note, with a bank resulting in the receipt of $6.3 million of proceeds. The loan is fully secured with funds deposited in a bank account opened by Sema4 in the lender-designated bank. Also, during the year ended December 31, 2020, we entered into a Master Lease Agreement with a lender whereby we agreed to sell certain equipment and immediately lease it back, resulting in the receipt of $3.6 million of proceeds. Sema4 issued a letter of credit as security for this loan. More information on the terms of these financing arrangements can be found in Sema4’s audited financial statements in Note 7, “Long-term debt” and Sema4’s unaudited condensed financial statements in Note 7, “Long-term debt.”</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terms of the amended DECD Loan Agreement require us to make interest-only payments through July 2023 and principal and interest payments commencing in August 2023. The final payment of principal and interest is due in July 2028. Interest payments are fixed at an annual interest rate of 2.0%. The outstanding loan balance from the DECD was $11.0 million and $11.0 million at December 31, 2020 and March 31, 2021, respectively. The DECD may grant partial principal loan forgiveness that is contingent upon Sema4 achieving certain milestones. The timing of these future payments, by year, can be found in Sema4’s audited financial statements in Note 7, “Long-Term Debt” and Sema4’s unaudited condensed financial statements in Note 7, “Long-term debt.”</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Equipment Note require us to make sixty consecutive monthly payments of principal and interest at a fixed monthly amount of $0.1 million beginning in November 2020. Interest payments are fixed at an annual interest rate of 4.75%. The outstanding loan balance was $6.1 million and $5.8 million at December 31, 2020 and March 31, 2021, respectively. The timing of these future payments, by year, can be found in Sema4’s audited financial statements in Note 7, “Long-Term Debt” and Sema4’s unaudited condensed financial statements in Note 7, “Long-term debt,” respectively.</w:t>
      </w:r>
    </w:p>
    <w:p>
      <w:pPr>
        <w:spacing w:after="0" w:line="10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terms of the Master Lease Agreement require us to make sixty consecutive monthly payments of principal and interest at a fixed monthly amount of $0.1 million beginning in February 2021. Interest payments are fixed at an annual interest rate of 3.54%. The outstanding loan balance was $3.6 million and $3.5 million at December 31, 2020 and March 31, 2021, respectively. The timing of these future payments, by year, can be found Sema4’s audited financial statements in Note 7, “Long-Term Debt” and Sema4’s unaudited condensed financial statements in Note 7, “Long-term debt,”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3"/>
          </w:tcPr>
          <w:p>
            <w:pPr>
              <w:jc w:val="center"/>
              <w:ind w:right="215"/>
              <w:spacing w:after="0"/>
              <w:rPr>
                <w:sz w:val="20"/>
                <w:szCs w:val="20"/>
                <w:color w:val="auto"/>
              </w:rPr>
            </w:pPr>
            <w:r>
              <w:rPr>
                <w:rFonts w:ascii="Arial" w:cs="Arial" w:eastAsia="Arial" w:hAnsi="Arial"/>
                <w:sz w:val="14"/>
                <w:szCs w:val="14"/>
                <w:b w:val="1"/>
                <w:bCs w:val="1"/>
                <w:color w:val="auto"/>
                <w:w w:val="95"/>
              </w:rPr>
              <w:t>Three Months Ended</w:t>
            </w:r>
          </w:p>
        </w:tc>
      </w:tr>
      <w:tr>
        <w:trPr>
          <w:trHeight w:val="188"/>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r>
      <w:tr>
        <w:trPr>
          <w:trHeight w:val="183"/>
        </w:trPr>
        <w:tc>
          <w:tcPr>
            <w:tcW w:w="4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183"/>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(93,128)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(18,728)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40" w:type="dxa"/>
            <w:vAlign w:val="bottom"/>
          </w:tcPr>
          <w:p>
            <w:pPr>
              <w:ind w:left="340"/>
              <w:spacing w:after="0"/>
              <w:rPr>
                <w:sz w:val="20"/>
                <w:szCs w:val="20"/>
                <w:color w:val="auto"/>
              </w:rPr>
            </w:pPr>
            <w:r>
              <w:rPr>
                <w:rFonts w:ascii="Arial" w:cs="Arial" w:eastAsia="Arial" w:hAnsi="Arial"/>
                <w:sz w:val="18"/>
                <w:szCs w:val="18"/>
                <w:color w:val="auto"/>
              </w:rPr>
              <w:t>(31,974)</w:t>
            </w:r>
          </w:p>
        </w:tc>
        <w:tc>
          <w:tcPr>
            <w:tcW w:w="22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(15,456)</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129,056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148,012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cash used in operating activities during the year ended December 31, 2018 was $24.7 million, which was primarily attributable to a net loss of $23.9 million, a $4.5 million non-cash gain on extinguishment of debt and a net change in our operating assets and liabilities of $7.9 million, which were partially offset by non-cash depreciation and amortization of $5.4 million and non-cash stock-based compensation expense of $5.6 million. The net change in our operating assets and liabilities primarily reflected an increase in accounts receivable of $4.7 million driven by an increase in testing volumes and billings, a $4.9 million increase in inventories to support anticipated future growth in diagnostic testing and a $3.9 million increase in other current liabilities driven by higher personnel-related accruals due to increased headcount at 2018 year-end as compared to 2017 year-end.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cash used in operating activities during the three months ended March 31, 2021 was $42.2 million, which was primarily attributable to a net loss of $191.0 million and a net change in our operating assets and liabilities of $23.1 million, partially offset by non-cash depreciation and amortization of $4.9 million and non-cash stock-based compensation expense of $165.0 million. The net change in our operating assets and liabilities primarily reflected an $9.8 million increase in inventories driven by a higher volume of purchases to support increasing testing volumes, a $6.5 million increase in prepaid expenses and other current assets mainly driven by professional services costs directly related to the Business Combination, a $3.5 million increase in accounts payable and accrued expenses due to the timing of vendor payments, and an $8.7 million decrease in other current liabilities mainly driven by a decline in our bonus accrual following bonus payments in March 2021.</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operating activities during the three months ended March 31, 2020 was $22.6 million, which was primarily attributable to a net loss of $27.0 million, partially offset by non-cash depreciation and amortization of $2.4 million, non-cash stock-based compensation expense of $0.8 million and non-cash lease expenses of $1.1 million. The net change in our operating assets and liabilities was nominal for the three months ended March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2018 was $3.8 million, which was attributable to $2.2 million in purchases of property and equipment and $1.7 million of costs related to development of internal-use software assets, partially offset by $0.1 million in proceeds from the sale of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2021 was $5.0 million, which was attributable to $2.1 million in purchases of property and equipment and $2.9 million of costs related to development of internal-use software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during the three months ended March 31, 2020 was $5.3 million, which was attributable to $3.9 million in purchases of property and equipment and $1.4 million of costs related to development of internal-use software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2018 was $27.0 million, which was attributable to $24.6 million in capital contributions from ISMMS and $4.5 million in net cash proceeds from the issuance of long-term debt, partially offset by $2.1 million in principal payments on our capital lease obligations.</w:t>
      </w:r>
    </w:p>
    <w:p>
      <w:pPr>
        <w:spacing w:after="0" w:line="13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Net cash used in financing activities during the three months ended March 31, 2021 was $2.3 million, which was attributable to $1.3 million in payments for deferred transaction costs related to the Business Combination, $1.0 million in principal payments on our capital lease obligations and $0.4 million in principal payments on our long-term debt obligations, offset by $0.4 million cash received from stock option exercise.</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provided by financing activities during the three months ended March 31, 2020 was $4.7 million, which was attributable to $6.0 million in net cash proceeds from the issuance of long-term debt, partially offset by $1.3 million in principal payments on our capital lease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$118.9 million and $115.0 million at December 31, 2020 and 2019, respectively, and $69.5 million at March 31, 2021. Such interest-bearing instruments carry a degree of risk; however, because our investments are primarily high-quality credit instruments with short-term in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audited financial statements in Note 7, “Long-Term Debt” and Sema4’s unaudited condensed financial statements in Note 7,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4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fair value of our liability-classified stock options is determined using the Black-Scholes model, which uses the risk-free interest rate as an input. A 100 basis point change in interest rates would not have a material effect on the fair value of our liability classified stock options using the Black-Scholes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prepared our financial statements in accordance with GAAP. Our preparation of these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While our significant accounting policies are described in more detail in Sema4’s audited financial statements in Note 2, “Summary of Significant Accounting Policies” and Sema4’s unaudited condensed financial statements in Note 2, “Summary of Significant Accounting Policies,” included elsewhere in this prospectus, we believe the following accounting policies to be critical to the judgments and estimates used in the preparation of our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2019 we adopted Accounting Standards Codification (“ASC”) Topic 606 (“ASC 606”), Revenue from Contracts with Customers. Under ASC 606, revenue is recognized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 under ASC 606.</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recognized revenue pursuant to ASC Topic 605 (“ASC 605”), Revenue recognition, for the year ended December 31, 2018 prior to the adoption of ASC 606. Under ASC 605, revenue was recognized when persuasive evidence of a final agreement existed; delivery had occurred or services were rendered; the price of the product or service was fixed or determinable; and collectability from the customer was reasonably assured. Our contracts require significant judgments in determining whether the price is fixed or determinable and whether collectability is reasonably assured under ASC 605.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transferred at a point in time. Specifically, we determined the customer obtains control of the promised service upon delivery of the test results.</w:t>
      </w:r>
    </w:p>
    <w:p>
      <w:pPr>
        <w:spacing w:after="0" w:line="111"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Under ASC 606, we include the unconstrained amount of estimated variable consideration in the transaction price. The transaction price is constrained to only include the amount for which it is probable that a significant reversal of cumulative revenue recognized will not occur when underlying uncertainties or contingencies resolve. At the end of each subsequent reporting period, we re-evaluate the estimated variable consideration included in the transaction price and any related constraint and, if necessary, adjust our estimate of the overall transaction price. The process for estimating the transaction price associated with services provided to customers involves significant judgments and assumptions.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estimate the transaction price in arrangements with third-party insurance payors based on historical collection experience, contractual provisions and insurance reimbursement policies, payor mix, and other relevant information for applicable payor portfolios. The estimates for implicit price concessions require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are based upon management’s assessment of expected net collections, business and economic conditions, historical trends, trends in federal, state and private employer health care coverage and other collection indicators.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we determine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institutional clients, the customer is the institution. Sema4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monitor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Sema4’s estimates, Sema4 will adjust these estimates, which could affect revenue and earnings in the period such variances become known.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ASC 605, we recognize revenue from diagnostic tests performed in the period in which tests are reported to customers if the price is fixed or determinable and collectability from the customer is reasonably assured. The criterion for whether the price was fixed or determinable and whether collectability was reasonably assured were based on management’s judgments. When evaluating collectability, in situations where reimbursement coverage did not exist, we considered whether a sufficient history to reliably estimate a payer’s individual payment patterns existed. For most uninsured customers, we were not able to demonstrate a predictable pattern of collectability and, therefore, recognized revenue when payment was received. For customers who had demonstrated a consistent pattern of payment of tests billed at the appropriate amounts, we recognized revenue at estimated realizable amounts upon delivery of test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also recognize revenue from collaboration service agreements with Biopharma companies and other third parties pursuant to which we provide diagnostic testing and related data aggregation reporting services.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we would not be able to fulfill its underlying promise to its customers by transferring each good or service independently. These contracts generally include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ASC 606,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The costs for any subcontracted services are included in our measure of progress used to recognize revenue.</w:t>
      </w:r>
    </w:p>
    <w:p>
      <w:pPr>
        <w:spacing w:after="0" w:line="133" w:lineRule="exact"/>
        <w:rPr>
          <w:sz w:val="20"/>
          <w:szCs w:val="20"/>
          <w:color w:val="auto"/>
        </w:rPr>
      </w:pPr>
    </w:p>
    <w:p>
      <w:pPr>
        <w:ind w:right="1520" w:firstLine="324"/>
        <w:spacing w:after="0" w:line="438" w:lineRule="auto"/>
        <w:rPr>
          <w:sz w:val="20"/>
          <w:szCs w:val="20"/>
          <w:color w:val="auto"/>
        </w:rPr>
      </w:pPr>
      <w:r>
        <w:rPr>
          <w:rFonts w:ascii="Arial" w:cs="Arial" w:eastAsia="Arial" w:hAnsi="Arial"/>
          <w:sz w:val="18"/>
          <w:szCs w:val="18"/>
          <w:color w:val="auto"/>
        </w:rPr>
        <w:t xml:space="preserve">Under ASC 605, we recognize revenues when the contractual obligations are met based on the terms of the respective agreements. </w:t>
      </w:r>
      <w:r>
        <w:rPr>
          <w:rFonts w:ascii="Arial" w:cs="Arial" w:eastAsia="Arial" w:hAnsi="Arial"/>
          <w:sz w:val="18"/>
          <w:szCs w:val="18"/>
          <w:b w:val="1"/>
          <w:bCs w:val="1"/>
          <w:i w:val="1"/>
          <w:iCs w:val="1"/>
          <w:color w:val="auto"/>
        </w:rPr>
        <w:t>Capitalized Internal-Use Software Costs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to review internal-use software for impairment. To the extent that we change our estimates related to internal-use software, the amount of internal-use software development costs we capitalize and amortize could change in future periods.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measure stock-based compensation expense for liability-classified stock options granted to employees, consultants and directors based on the estimated fair value of the awards and recognize compensation expense over the requisite service period for each separate vesting portion of the award as if the award was, in-substance, multiple awards. Terms of our stock options include a provision whereby we have a call option to repurchase the award for cash upon termination of employment or termination of the consulting agreement. We have concluded that it is probable we will continue to exercise our call option prior to the award holder being subject to the risks and rewards of equity ownership. As a result, stock options are classified as liabilities in the accompanying balance sheets. Additional information on our stock-based compensation can be found in Sema4’s audited financial statements in Note 9, “Stock-Based Compensation” and Sema4’s unaudited condensed financial statements in Note 9, “Stock-Based Compensation.”</w:t>
      </w:r>
    </w:p>
    <w:p>
      <w:pPr>
        <w:spacing w:after="0" w:line="11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balance sheet. Shares of common stock issued upon settlement of an award continue to be classified as a liability and remeasured to fair value each reporting period until the shareholder bears the risks and rewards of equity ownership for a reasonable period of time, which Sema4 concludes is a period of at least six months.</w:t>
      </w:r>
    </w:p>
    <w:p>
      <w:pPr>
        <w:spacing w:after="0" w:line="10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estimate the fair value of stock options using the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These assumptions include: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any trading history for our common stock, the expected volatility was estimated based on the average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We computed historical volatility using the daily closing prices for the selected companies’ common stock during the equivalent period of the calculated expected term of the stock-based awards.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awards are expected to be outstanding and is determined by the potential timing of a</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event since all awards have accelerated vesting features upon a liquidation event and we generally do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curve in effect at the time of grant for bonds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with the expected holding periods corresponding with the expected term of the option.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historically paid dividends on common stock and do not anticipate paying dividends in the foreseeable future.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dividend yield is zero.</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Prior to the closing of the Business Combination, the fair value of our common stock issuable upon exercise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was determined by our board of directors, with input from management and independent third-party valuations, as discussed in “Common Stock Valuations”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44" w:lineRule="exact"/>
        <w:rPr>
          <w:sz w:val="20"/>
          <w:szCs w:val="20"/>
          <w:color w:val="auto"/>
        </w:rPr>
      </w:pPr>
    </w:p>
    <w:p>
      <w:pPr>
        <w:ind w:right="240" w:firstLine="324"/>
        <w:spacing w:after="0" w:line="438" w:lineRule="auto"/>
        <w:rPr>
          <w:sz w:val="20"/>
          <w:szCs w:val="20"/>
          <w:color w:val="auto"/>
        </w:rPr>
      </w:pPr>
      <w:r>
        <w:rPr>
          <w:rFonts w:ascii="Arial" w:cs="Arial" w:eastAsia="Arial" w:hAnsi="Arial"/>
          <w:sz w:val="18"/>
          <w:szCs w:val="18"/>
          <w:color w:val="auto"/>
        </w:rPr>
        <w:t xml:space="preserve">The estimated forfeiture rate is not determinable due to a lack of historical and comparable data. Therefore, we account for forfeitures as they occur. </w:t>
      </w:r>
      <w:r>
        <w:rPr>
          <w:rFonts w:ascii="Arial" w:cs="Arial" w:eastAsia="Arial" w:hAnsi="Arial"/>
          <w:sz w:val="18"/>
          <w:szCs w:val="18"/>
          <w:b w:val="1"/>
          <w:bCs w:val="1"/>
          <w:i w:val="1"/>
          <w:iCs w:val="1"/>
          <w:color w:val="auto"/>
        </w:rPr>
        <w:t>Common Stock Valuations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 of common stock underlying our stock options was determined at each grant date by our board of directors, with input from management, considering our most recently available third-party valuations of common stock and our board of directors’ assessment of additional objective and subjective factors that it believed were relevant and factors that may have changed from the date of the most recent valuation through the end of the reporting period. All options to purchase shares of our common stock are intended to be exercisable at a price per share not less than the per-share fair value of our common stock underlying those options on the date of grant.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determined the fair value of our common stock using methodologies, approaches and assumptions consistent with the American Institute of Certified Public Accountants Accounting and Valuation Guide, Valuation of Privately-Held-Company Equity Securities Issued as Compensation. Given the absence of a public trading market for our common stock, our common stock valuation methodologies utilize certain assumptions, including probability weighting of events, volatility, time to liquidation, a risk-free interest rate and an assumption for a discount for lack of marketability. Other considerations include:</w:t>
      </w:r>
    </w:p>
    <w:p>
      <w:pPr>
        <w:spacing w:after="0" w:line="134"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operating and financial performance, forecasts and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current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our stage of commercialization;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issuable upon exercise of these stock options, such as an initial public offering, reverse merger SPAC transaction, or sale of Sema4,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technology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U.S. and global economic and capital market conditions.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valuing our common stock for periods prior to December 31, 2020, we utilized the “backsolve” method to derive our implied enterprise value from arm’s length transactions in our redeemable convertible preferred securities assuming various timelines to liquidity via an initial public offering or sale. We then used an option-pricing model (“OPM”) to estimate the fair value of our common stock based on the calculated enterprise value under each liquidity scenario. The OPM treats the rights of the holders of redeemable convertible preferred stock and common stock as equivalent to that of call options on any value of the enterprise above certain break points of value based upon the liquidation preferences of the holders of preferred stock, as well as their rights to participation and conversion. Based on the timing and nature of an assumed liquidity event in each scenario, a discount for lack of marketability was applied to each scenario. We then probability weighted the value of each expected outcome to arrive at an estimate of fair value per share of common stock.</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valuing our common stock prior to the closing of the Business Combination, including as of December 31, 2020, we estimated the fair value of the enterprise using the probability-weighted expected return method (“PWERM”), which is a highly complex and subjective valuation methodology. Under a PWERM, the fair market value of the common stock is estimated based upon the discounted expected future values for the enterprise assuming various future outcomes. Based on the timing and nature of an assumed liquidity event in each scenario, a discount for lack of marketability was applied to each scenario. We then probability-weighted the value of each expected outcome to arrive at an estimate of fair value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valuations after the closing of the Business Combination, our board of directors determines the fair value of each share of common stock based on the closing price of our common stock on the date of grant or other relevant determination date, as reported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December 31,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 information on recent accounting pronouncements can be found in Sema4’s audited financial statements in Note 2, “Summary of Significant Accounting Policies” and Sema4’s unaudited condensed financial statements in Note 2, “Summary of Significant Accounting Policies.”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preparation of our audited financial statements included elsewhere in this proxy statement, we identified material weaknesses in our internal control over financial reporting, which existed as of December 31, 2020. Our management is actively engaged and committed to taking the steps necessary to remediate the control deficiencies that constituted the material weaknesses. During 2021, we made the following enhancements to our control environment:</w:t>
      </w:r>
    </w:p>
    <w:p>
      <w:pPr>
        <w:spacing w:after="0" w:line="133" w:lineRule="exact"/>
        <w:rPr>
          <w:sz w:val="20"/>
          <w:szCs w:val="20"/>
          <w:color w:val="auto"/>
        </w:rPr>
      </w:pPr>
    </w:p>
    <w:p>
      <w:pPr>
        <w:jc w:val="both"/>
        <w:ind w:left="660" w:hanging="328"/>
        <w:spacing w:after="0" w:line="263"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internal control over financial reporting.</w:t>
      </w:r>
    </w:p>
    <w:p>
      <w:pPr>
        <w:spacing w:after="0" w:line="12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internal controls over financial reporting. We expect to continue to evaluate our needs for additional personnel. We expect to provide enhanced training to existing and new employees in order to enhance the level of communication and understanding of controls with key individuals that provide key information and perform key roles within our financial accounting and reporting group.</w:t>
      </w:r>
    </w:p>
    <w:p>
      <w:pPr>
        <w:spacing w:after="0" w:line="14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4" w:lineRule="exact"/>
        <w:rPr>
          <w:sz w:val="20"/>
          <w:szCs w:val="20"/>
          <w:color w:val="auto"/>
        </w:rPr>
      </w:pPr>
    </w:p>
    <w:p>
      <w:pPr>
        <w:jc w:val="both"/>
        <w:ind w:left="660" w:hanging="328"/>
        <w:spacing w:after="0" w:line="263" w:lineRule="auto"/>
        <w:tabs>
          <w:tab w:leader="none" w:pos="6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We engaged outside consultants to assist us in the evaluation of a new Enterprise Resource Planning (“ERP”) system in order to mitigate the internal control gaps and limitations that cannot be addressed by the current ERP around segregation of duties, and to enhance the information technology general controls environment.</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remediation activities are continuing during 2021. In addition to the above actions, we expect to engage in additional activities, including, but not limited to:</w:t>
      </w:r>
    </w:p>
    <w:p>
      <w:pPr>
        <w:spacing w:after="0" w:line="116" w:lineRule="exact"/>
        <w:rPr>
          <w:sz w:val="20"/>
          <w:szCs w:val="20"/>
          <w:color w:val="auto"/>
        </w:rPr>
      </w:pPr>
    </w:p>
    <w:p>
      <w:pPr>
        <w:ind w:left="660" w:hanging="328"/>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Hiring more technical accounting resources to enhance our control environment;</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Until we have sufficient technical accounting resources, engaging external consultants to provide support and to assist us in our evaluation of more complex applications of GAAP, and to assist us with documenting and assessing our accounting policies and procedures;</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Implementing business process-level controls across all significant accounts and information technology general controls across all relevant domains. This will include providing training such that the preparers and control operators to establish clear expectations as it relates to the control design, execution and monitoring of such controls, including enhancements to the documentation to evidence the execution of the controls; and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Implementing improvements to our ERP to enhance the accuracy of our financial records, enable the enforcement of systematic segregation of duties, and to improve our information technology general controls environment.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internal control over financial reporting. As we continue to evaluate, and work to improve, our internal control over financial reporting, management may determine that additional measures to address control deficiencies or modifications to the remediation plan are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 OF SEMA4</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Unless the context otherwise requires, any reference in this section of this proxy statement to “Sema4,” “we,” “us” or “our” refers to Sema4 and its consolidated subsidiaries prior to the consummation of the Business Combination and to the post-combination company and its consolidated subsidiaries following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Sema4’s named executive officers for the year ended December 31, 2020, who were:</w:t>
      </w:r>
    </w:p>
    <w:p>
      <w:pPr>
        <w:spacing w:after="0" w:line="116" w:lineRule="exact"/>
        <w:rPr>
          <w:sz w:val="20"/>
          <w:szCs w:val="20"/>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Eric Schadt, Ph.D., Sema4’s founder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James Coffin, Ph.D., Sema4’s President and Chief Operating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Joel Sendek, Sema4’s former Chief Financial Officer.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as well as perquisites described below. Sema4’s named executive officers, during their employment with Sema4, are also eligible to participate in the same retirement and health and welfare benefit plans as its other full-time employees.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Sema4’s named executive officers during the year ended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(2)</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 Compensation</w:t>
            </w:r>
          </w:p>
        </w:tc>
        <w:tc>
          <w:tcPr>
            <w:tcW w:w="13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620" w:type="dxa"/>
            <w:vAlign w:val="bottom"/>
          </w:tcPr>
          <w:p>
            <w:pPr>
              <w:jc w:val="right"/>
              <w:ind w:right="577"/>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Eric Schadt, Ph.D.</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643,846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1,770,474</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13,756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2,968,076</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5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6" w:lineRule="exact"/>
              <w:rPr>
                <w:sz w:val="20"/>
                <w:szCs w:val="20"/>
                <w:color w:val="auto"/>
              </w:rPr>
            </w:pPr>
            <w:r>
              <w:rPr>
                <w:rFonts w:ascii="Arial" w:cs="Arial" w:eastAsia="Arial" w:hAnsi="Arial"/>
                <w:sz w:val="18"/>
                <w:szCs w:val="18"/>
                <w:color w:val="auto"/>
              </w:rPr>
              <w:t>James Coffin, Ph.D.</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524,615</w:t>
            </w:r>
          </w:p>
        </w:tc>
        <w:tc>
          <w:tcPr>
            <w:tcW w:w="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363,000</w:t>
            </w:r>
          </w:p>
        </w:tc>
        <w:tc>
          <w:tcPr>
            <w:tcW w:w="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623,189</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1,521,974</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President and Chief Operating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60" w:type="dxa"/>
            <w:vAlign w:val="bottom"/>
          </w:tcPr>
          <w:p>
            <w:pPr>
              <w:ind w:left="20"/>
              <w:spacing w:after="0" w:line="182" w:lineRule="exact"/>
              <w:rPr>
                <w:sz w:val="20"/>
                <w:szCs w:val="20"/>
                <w:color w:val="auto"/>
              </w:rPr>
            </w:pPr>
            <w:r>
              <w:rPr>
                <w:rFonts w:ascii="Arial" w:cs="Arial" w:eastAsia="Arial" w:hAnsi="Arial"/>
                <w:sz w:val="17"/>
                <w:szCs w:val="17"/>
                <w:color w:val="auto"/>
              </w:rPr>
              <w:t xml:space="preserve">Joel Sendek </w:t>
            </w:r>
            <w:r>
              <w:rPr>
                <w:rFonts w:ascii="Arial" w:cs="Arial" w:eastAsia="Arial" w:hAnsi="Arial"/>
                <w:sz w:val="21"/>
                <w:szCs w:val="21"/>
                <w:color w:val="auto"/>
                <w:vertAlign w:val="superscript"/>
              </w:rPr>
              <w:t>(4)</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405,385</w:t>
            </w:r>
          </w:p>
        </w:tc>
        <w:tc>
          <w:tcPr>
            <w:tcW w:w="80" w:type="dxa"/>
            <w:vAlign w:val="bottom"/>
          </w:tcPr>
          <w:p>
            <w:pPr>
              <w:spacing w:after="0"/>
              <w:rPr>
                <w:sz w:val="15"/>
                <w:szCs w:val="15"/>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1,669,257</w:t>
            </w:r>
          </w:p>
        </w:tc>
        <w:tc>
          <w:tcPr>
            <w:tcW w:w="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2,083,383</w:t>
            </w:r>
          </w:p>
        </w:tc>
        <w:tc>
          <w:tcPr>
            <w:tcW w:w="0" w:type="dxa"/>
            <w:vAlign w:val="bottom"/>
          </w:tcPr>
          <w:p>
            <w:pPr>
              <w:spacing w:after="0"/>
              <w:rPr>
                <w:sz w:val="1"/>
                <w:szCs w:val="1"/>
                <w:color w:val="auto"/>
              </w:rPr>
            </w:pPr>
          </w:p>
        </w:tc>
      </w:tr>
      <w:tr>
        <w:trPr>
          <w:trHeight w:val="223"/>
        </w:trPr>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1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08914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2571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 w:lineRule="exact"/>
        <w:rPr>
          <w:sz w:val="20"/>
          <w:szCs w:val="20"/>
          <w:color w:val="auto"/>
        </w:rPr>
      </w:pPr>
    </w:p>
    <w:p>
      <w:pPr>
        <w:ind w:left="340" w:hanging="332"/>
        <w:spacing w:after="0" w:line="241" w:lineRule="auto"/>
        <w:tabs>
          <w:tab w:leader="none" w:pos="332"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Sema4’s named executive officers for their service in 2020. For additional information regarding the bonus compensation, see “—2020 Bonuses.”</w:t>
      </w:r>
    </w:p>
    <w:p>
      <w:pPr>
        <w:ind w:left="340" w:right="40" w:hanging="332"/>
        <w:spacing w:after="0" w:line="260" w:lineRule="auto"/>
        <w:tabs>
          <w:tab w:leader="none" w:pos="332" w:val="left"/>
        </w:tabs>
        <w:numPr>
          <w:ilvl w:val="0"/>
          <w:numId w:val="228"/>
        </w:numPr>
        <w:rPr>
          <w:rFonts w:ascii="Arial" w:cs="Arial" w:eastAsia="Arial" w:hAnsi="Arial"/>
          <w:sz w:val="13"/>
          <w:szCs w:val="13"/>
          <w:color w:val="auto"/>
        </w:rPr>
      </w:pPr>
      <w:r>
        <w:rPr>
          <w:rFonts w:ascii="Arial" w:cs="Arial" w:eastAsia="Arial" w:hAnsi="Arial"/>
          <w:sz w:val="13"/>
          <w:szCs w:val="13"/>
          <w:color w:val="auto"/>
        </w:rPr>
        <w:t>Amounts represent the aggregate grant date fair value of the stock options awarded to the named executive officer during 2020 in accordance with FASB Accounting Standards Codification Topic 718. The assumptions used in calculating the grant date fair value of the stock options reported in the Option Awards column are set forth in Note 9 of the notes to Sema4’s audited financial statements included in this proxy statement. Such grant-date fair market value does not take into account any estimated forfeitures related to service-based vesting conditions.</w:t>
      </w:r>
    </w:p>
    <w:p>
      <w:pPr>
        <w:ind w:left="320" w:hanging="312"/>
        <w:spacing w:after="0"/>
        <w:tabs>
          <w:tab w:leader="none" w:pos="3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their employment agreements, Dr. Eric Schadt and Dr. James Coffin are entitled to receive annual bonuses based on the achievement of certain corporate performance objectives. For the 2020 bonuses, the target annual bonuses for Dr. Schadt and Dr. Coffin were equal to 100% and 60%, respectively of their respective annual base salaries. In March 2020, based on the achievement of corporate performance objectives, Sema4’s board of directors determined to award bonuses for 2020 as set forth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concerning outstanding equity awards held by each of Sema4’s named executive officers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8"/>
                <w:szCs w:val="18"/>
                <w:b w:val="1"/>
                <w:bCs w:val="1"/>
                <w:color w:val="auto"/>
                <w:w w:val="92"/>
                <w:vertAlign w:val="superscript"/>
              </w:rPr>
              <w:t>(1)</w:t>
            </w:r>
          </w:p>
        </w:tc>
        <w:tc>
          <w:tcPr>
            <w:tcW w:w="15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21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 Exercise Price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Option Expiration</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0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Grant Date</w:t>
            </w:r>
          </w:p>
        </w:tc>
        <w:tc>
          <w:tcPr>
            <w:tcW w:w="19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218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15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2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Options Exercisable (#)</w:t>
            </w:r>
          </w:p>
        </w:tc>
        <w:tc>
          <w:tcPr>
            <w:tcW w:w="21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Options Unexercisable (#)</w:t>
            </w:r>
          </w:p>
        </w:tc>
        <w:tc>
          <w:tcPr>
            <w:tcW w:w="15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2000" w:type="dxa"/>
            <w:vAlign w:val="bottom"/>
            <w:shd w:val="clear" w:color="auto" w:fill="CCEEFF"/>
          </w:tcPr>
          <w:p>
            <w:pPr>
              <w:jc w:val="center"/>
              <w:ind w:left="233"/>
              <w:spacing w:after="0" w:line="224" w:lineRule="exact"/>
              <w:rPr>
                <w:sz w:val="20"/>
                <w:szCs w:val="20"/>
                <w:color w:val="auto"/>
              </w:rPr>
            </w:pPr>
            <w:r>
              <w:rPr>
                <w:rFonts w:ascii="Arial" w:cs="Arial" w:eastAsia="Arial" w:hAnsi="Arial"/>
                <w:sz w:val="18"/>
                <w:szCs w:val="18"/>
                <w:color w:val="auto"/>
                <w:w w:val="85"/>
              </w:rPr>
              <w:t>6/1/2017</w:t>
            </w:r>
            <w:r>
              <w:rPr>
                <w:rFonts w:ascii="Arial" w:cs="Arial" w:eastAsia="Arial" w:hAnsi="Arial"/>
                <w:sz w:val="23"/>
                <w:szCs w:val="23"/>
                <w:color w:val="auto"/>
                <w:w w:val="85"/>
                <w:vertAlign w:val="superscript"/>
              </w:rPr>
              <w:t>(2)</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6/1/2027</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8"/>
              </w:rPr>
              <w:t>10/17/2019</w:t>
            </w:r>
            <w:r>
              <w:rPr>
                <w:rFonts w:ascii="Arial" w:cs="Arial" w:eastAsia="Arial" w:hAnsi="Arial"/>
                <w:sz w:val="23"/>
                <w:szCs w:val="23"/>
                <w:color w:val="auto"/>
                <w:w w:val="88"/>
                <w:vertAlign w:val="superscript"/>
              </w:rPr>
              <w:t>(3)</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412,500</w:t>
            </w:r>
          </w:p>
        </w:tc>
        <w:tc>
          <w:tcPr>
            <w:tcW w:w="2180" w:type="dxa"/>
            <w:vAlign w:val="bottom"/>
          </w:tcPr>
          <w:p>
            <w:pPr>
              <w:jc w:val="center"/>
              <w:ind w:right="37"/>
              <w:spacing w:after="0"/>
              <w:rPr>
                <w:sz w:val="20"/>
                <w:szCs w:val="20"/>
                <w:color w:val="auto"/>
              </w:rPr>
            </w:pPr>
            <w:r>
              <w:rPr>
                <w:rFonts w:ascii="Arial" w:cs="Arial" w:eastAsia="Arial" w:hAnsi="Arial"/>
                <w:sz w:val="18"/>
                <w:szCs w:val="18"/>
                <w:color w:val="auto"/>
                <w:w w:val="89"/>
              </w:rPr>
              <w:t>687,500</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10/17/2029</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583,310</w:t>
            </w:r>
          </w:p>
        </w:tc>
        <w:tc>
          <w:tcPr>
            <w:tcW w:w="2180" w:type="dxa"/>
            <w:vAlign w:val="bottom"/>
            <w:shd w:val="clear" w:color="auto" w:fill="CCEEFF"/>
          </w:tcPr>
          <w:p>
            <w:pPr>
              <w:jc w:val="center"/>
              <w:ind w:right="17"/>
              <w:spacing w:after="0"/>
              <w:rPr>
                <w:sz w:val="20"/>
                <w:szCs w:val="20"/>
                <w:color w:val="auto"/>
              </w:rPr>
            </w:pPr>
            <w:r>
              <w:rPr>
                <w:rFonts w:ascii="Arial" w:cs="Arial" w:eastAsia="Arial" w:hAnsi="Arial"/>
                <w:sz w:val="18"/>
                <w:szCs w:val="18"/>
                <w:color w:val="auto"/>
                <w:w w:val="89"/>
              </w:rPr>
              <w:t>1,283,294</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James Coffin, Ph.D</w:t>
            </w:r>
          </w:p>
        </w:tc>
        <w:tc>
          <w:tcPr>
            <w:tcW w:w="2000" w:type="dxa"/>
            <w:vAlign w:val="bottom"/>
          </w:tcPr>
          <w:p>
            <w:pPr>
              <w:jc w:val="center"/>
              <w:ind w:left="233"/>
              <w:spacing w:after="0" w:line="230" w:lineRule="exact"/>
              <w:rPr>
                <w:sz w:val="20"/>
                <w:szCs w:val="20"/>
                <w:color w:val="auto"/>
              </w:rPr>
            </w:pPr>
            <w:r>
              <w:rPr>
                <w:rFonts w:ascii="Arial" w:cs="Arial" w:eastAsia="Arial" w:hAnsi="Arial"/>
                <w:sz w:val="18"/>
                <w:szCs w:val="18"/>
                <w:color w:val="auto"/>
                <w:w w:val="89"/>
              </w:rPr>
              <w:t>8/31/2017</w:t>
            </w:r>
            <w:r>
              <w:rPr>
                <w:rFonts w:ascii="Arial" w:cs="Arial" w:eastAsia="Arial" w:hAnsi="Arial"/>
                <w:sz w:val="23"/>
                <w:szCs w:val="23"/>
                <w:color w:val="auto"/>
                <w:w w:val="89"/>
                <w:vertAlign w:val="superscript"/>
              </w:rPr>
              <w:t>(5)</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14,222</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8"/>
              </w:rPr>
              <w:t>3,278</w:t>
            </w:r>
          </w:p>
        </w:tc>
        <w:tc>
          <w:tcPr>
            <w:tcW w:w="1540" w:type="dxa"/>
            <w:vAlign w:val="bottom"/>
          </w:tcPr>
          <w:p>
            <w:pPr>
              <w:jc w:val="center"/>
              <w:ind w:right="95"/>
              <w:spacing w:after="0"/>
              <w:rPr>
                <w:sz w:val="20"/>
                <w:szCs w:val="20"/>
                <w:color w:val="auto"/>
              </w:rPr>
            </w:pPr>
            <w:r>
              <w:rPr>
                <w:rFonts w:ascii="Arial" w:cs="Arial" w:eastAsia="Arial" w:hAnsi="Arial"/>
                <w:sz w:val="18"/>
                <w:szCs w:val="18"/>
                <w:color w:val="auto"/>
                <w:w w:val="88"/>
              </w:rPr>
              <w:t>18.94</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8/31/2027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2000" w:type="dxa"/>
            <w:vAlign w:val="bottom"/>
            <w:shd w:val="clear" w:color="auto" w:fill="CCEEFF"/>
          </w:tcPr>
          <w:p>
            <w:pPr>
              <w:jc w:val="center"/>
              <w:ind w:left="233"/>
              <w:spacing w:after="0" w:line="230"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(4)</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205,320</w:t>
            </w:r>
          </w:p>
        </w:tc>
        <w:tc>
          <w:tcPr>
            <w:tcW w:w="218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89"/>
              </w:rPr>
              <w:t>451,706</w:t>
            </w:r>
          </w:p>
        </w:tc>
        <w:tc>
          <w:tcPr>
            <w:tcW w:w="1540" w:type="dxa"/>
            <w:vAlign w:val="bottom"/>
            <w:shd w:val="clear" w:color="auto" w:fill="CCEEFF"/>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line="211" w:lineRule="exact"/>
              <w:rPr>
                <w:sz w:val="20"/>
                <w:szCs w:val="20"/>
                <w:color w:val="auto"/>
              </w:rPr>
            </w:pPr>
            <w:r>
              <w:rPr>
                <w:rFonts w:ascii="Arial" w:cs="Arial" w:eastAsia="Arial" w:hAnsi="Arial"/>
                <w:sz w:val="18"/>
                <w:szCs w:val="18"/>
                <w:color w:val="auto"/>
              </w:rPr>
              <w:t>Joel Sendek</w:t>
            </w:r>
            <w:r>
              <w:rPr>
                <w:rFonts w:ascii="Arial" w:cs="Arial" w:eastAsia="Arial" w:hAnsi="Arial"/>
                <w:sz w:val="23"/>
                <w:szCs w:val="23"/>
                <w:color w:val="auto"/>
                <w:vertAlign w:val="superscript"/>
              </w:rPr>
              <w:t>(6)</w:t>
            </w:r>
          </w:p>
        </w:tc>
        <w:tc>
          <w:tcPr>
            <w:tcW w:w="2000" w:type="dxa"/>
            <w:vAlign w:val="bottom"/>
          </w:tcPr>
          <w:p>
            <w:pPr>
              <w:jc w:val="center"/>
              <w:ind w:left="233"/>
              <w:spacing w:after="0" w:line="211" w:lineRule="exact"/>
              <w:rPr>
                <w:sz w:val="20"/>
                <w:szCs w:val="20"/>
                <w:color w:val="auto"/>
              </w:rPr>
            </w:pPr>
            <w:r>
              <w:rPr>
                <w:rFonts w:ascii="Arial" w:cs="Arial" w:eastAsia="Arial" w:hAnsi="Arial"/>
                <w:sz w:val="18"/>
                <w:szCs w:val="18"/>
                <w:color w:val="auto"/>
                <w:w w:val="89"/>
              </w:rPr>
              <w:t>2/18/2020</w:t>
            </w:r>
            <w:r>
              <w:rPr>
                <w:rFonts w:ascii="Arial" w:cs="Arial" w:eastAsia="Arial" w:hAnsi="Arial"/>
                <w:sz w:val="23"/>
                <w:szCs w:val="23"/>
                <w:color w:val="auto"/>
                <w:w w:val="89"/>
                <w:vertAlign w:val="superscript"/>
              </w:rPr>
              <w:t>(7)</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549,965</w:t>
            </w:r>
          </w:p>
        </w:tc>
        <w:tc>
          <w:tcPr>
            <w:tcW w:w="2180" w:type="dxa"/>
            <w:vAlign w:val="bottom"/>
          </w:tcPr>
          <w:p>
            <w:pPr>
              <w:jc w:val="center"/>
              <w:ind w:right="17"/>
              <w:spacing w:after="0"/>
              <w:rPr>
                <w:sz w:val="20"/>
                <w:szCs w:val="20"/>
                <w:color w:val="auto"/>
              </w:rPr>
            </w:pPr>
            <w:r>
              <w:rPr>
                <w:rFonts w:ascii="Arial" w:cs="Arial" w:eastAsia="Arial" w:hAnsi="Arial"/>
                <w:sz w:val="18"/>
                <w:szCs w:val="18"/>
                <w:color w:val="auto"/>
                <w:w w:val="89"/>
              </w:rPr>
              <w:t>1,209,926</w:t>
            </w:r>
          </w:p>
        </w:tc>
        <w:tc>
          <w:tcPr>
            <w:tcW w:w="1540" w:type="dxa"/>
            <w:vAlign w:val="bottom"/>
          </w:tcPr>
          <w:p>
            <w:pPr>
              <w:jc w:val="center"/>
              <w:ind w:right="75"/>
              <w:spacing w:after="0"/>
              <w:rPr>
                <w:sz w:val="20"/>
                <w:szCs w:val="20"/>
                <w:color w:val="auto"/>
              </w:rPr>
            </w:pPr>
            <w:r>
              <w:rPr>
                <w:rFonts w:ascii="Arial" w:cs="Arial" w:eastAsia="Arial" w:hAnsi="Arial"/>
                <w:sz w:val="18"/>
                <w:szCs w:val="18"/>
                <w:color w:val="auto"/>
                <w:w w:val="90"/>
              </w:rPr>
              <w:t>0.9485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2/18/2030</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20"/>
                <w:szCs w:val="20"/>
                <w:color w:val="auto"/>
              </w:rPr>
            </w:pPr>
            <w:r>
              <w:rPr>
                <w:rFonts w:ascii="Arial" w:cs="Arial" w:eastAsia="Arial" w:hAnsi="Arial"/>
                <w:sz w:val="14"/>
                <w:szCs w:val="14"/>
                <w:color w:val="auto"/>
              </w:rPr>
              <w:t>__________________</w:t>
            </w:r>
          </w:p>
        </w:tc>
        <w:tc>
          <w:tcPr>
            <w:tcW w:w="20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All of the outstanding equity awards described in this table were granted under our 2017 Plan.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June 1, 2019 vesting commencement date. 100% of the shares underlying the stock option will vest upon a change in control transaction.</w:t>
      </w:r>
    </w:p>
    <w:p>
      <w:pPr>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August 2, 2019 vesting commencement date.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jc w:val="both"/>
        <w:ind w:left="340" w:right="1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standard calendar quarter following the August 31, 2017 vesting commencement date, beginning on December 30, 2017 and ending on August 30, 2021.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Mr. Sendek served as Sema4’s Chief Financial Officer from September 2019 through January 2021.</w:t>
      </w:r>
    </w:p>
    <w:p>
      <w:pPr>
        <w:spacing w:after="0" w:line="1" w:lineRule="exact"/>
        <w:rPr>
          <w:rFonts w:ascii="Arial" w:cs="Arial" w:eastAsia="Arial" w:hAnsi="Arial"/>
          <w:sz w:val="14"/>
          <w:szCs w:val="14"/>
          <w:color w:val="auto"/>
        </w:rPr>
      </w:pPr>
    </w:p>
    <w:p>
      <w:pPr>
        <w:ind w:left="340" w:right="60" w:hanging="332"/>
        <w:spacing w:after="0" w:line="244"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109,993 shares of Sema4’s Class B common stock underlying the stock option vested on the Grant Date; thereafter the stock option vests at a rate of 6.25% of the shares of Sema4’s Class B common stock underlying the stock option each quarter following the September 11, 2019 vesting commencement date, beginning on March 11, 2020 and ending on September 11, 2023. 100% of the shares underlying the stock option will vest (a) in the event that the service provider’s option is not assumed or replaced by the buyer in connection with a change of control transaction or (b) upon termination of the service provider’s employment by Sema4 without cause or by the service provider for good reason in connection with a change in control transaction.</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it is anticipated that Dr. Schadt and Dr. Coffin will each receive a grant of Earnout RSUs when the Earnout RSUs are granted following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Sema4’s Named Executive Officers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of Sema4’s current named executive officers has entered into an employment agreement with Sema4 that provides for at-will employment and includes each named executive officer’s base salary, a discretionary incentive bonus opportunity and standard employee benefit plan participation. In connection with the Business Combination, we have entered into amended and restated employment agreements with each named executive officer to provide for an annual base salary of $675,000 and a target annual bonus of 100% of annual base salary, in the case of Dr. Schadt, and an annual base salary of $550,000 and a target annual bonus of 70% of annual base salary, in the case of Dr. Coffin. The amended and restated employment agreements also provide for the potential payments and benefits upon a termination of employment or in connection with a change in control as described below in “— Potential Payments upon Termination or Change in Control.” In addition, Dr’s Schadt’s amended and restated employment agreement provides for Dr. Schadt to receive a grant of stock options following the closing of the Business Combination representing the opportunity to purchase a number of shares of Company Class A common stock equal to 1.4% of the total number of shares of Company Class A common stock outstanding as of immediately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closing of the Business Combination, and Dr. Coffin’s amended and restated employment agreement provides for Dr. Coffin to receive a grant of stock options following the closing of the Business Combination representing the opportunity to purchase a number of shares of Company Class A common stock equal to 0.4% of the total number of shares of Company Class A common stock outstanding as of immediately following the closing of the Business Combination. These awards will be granted under the Incentive Plan and will be subject to service-based vesting conditions.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connection with the amended and restated employment agreements, each of Dr. Schadt and Dr. Coffin agreed that, during the nine-month period following the Closing,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Company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his amended and restated employment agreement, if Dr. Schadt is terminated without “cause” or resigns for “good reason” (as such terms will be defined in his amended and restated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his amended and restated employment agreement, if Dr. Coffin is terminated without “cause” or resigns for “good reason” (as such terms will be defined in his amended and restated employment agreement) other than in connection with a change in control, he will be entitled to receive 12 months of base salary continuation and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above in “—Outstanding Equity Awards at 2020 Fiscal Year-End”, a portion of the stock options held by Dr. Schadt would vest upon a change in control transaction. Our Board has determined that the Business Combination will not constitute a change in control transaction for purposes of our named executive officer’s 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Sema4’s 2017 Plan was adopted by Sema4’s board of directors and approved by its stockholders on April 2017. The 2017 Plan allows for the grant of stock options, stock appreciation rights, restricted stock, and restricted stock units, or RSUs, as described below. As of March 31, 2021, Sema4 had 122,000 shares of Class A common stock and 11,710,025 shares of Class B common stock reserved for issuance pursuant to awards under Sema4’s 2017 Plan, of which 3,014,526 shares remained available for grant. Sema4 expects to terminate the 2017 Plan upon the effective date of the Equity Incentive Plan, which will be the date immediately prior to the Closing. Any awards granted under the 2017 Plan that remain outstanding as of such date will continue to be subject to the terms of Sema4’s 2017 Plan and applicable award agreements until such awards are exercised or amended or until they terminate or expire by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Sema4’s 2017 Plan is administered by its board of directors or a committee appointed by Sema4’s board of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2017 Plan, Sema4’s board of directors has the authority to, among other things, select the persons to whom awards will be granted, construe and interpret Sema4’s 2017 Plan as well as to prescribe, amend, and rescind rules and regulations relating to the 2017 Plan and awards granted pursuant to the 2017 Plan.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Pursuant to the 2017 Plan, Sema4 may grant incentive stock options only to its employees (including officers and directors who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Sema4 may grant non-statutory stock options, stock appreciation rights, restricted stock, and restricted stock units to its employees, directors, and consultants.</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2017 Plan provides for the grant of both (i) incentive stock options, which are intended to qualify for tax treatment as set forth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(ii) non-statutory stock options to purchase shares of Sema4’s common stock, each at a stated exercise price. The exercise price of each stock option must be at least equal to the fair market value of Sema4’s common stock on the date of grant, except that incentive stock options granted to any individual who owns more than ten percent of the total combined voting power of all classes of Sema4’s capital stock must have an exercise price at least equal to 110% of the fair market value of Sema4’s common stock on the date of grant. The maximum term of options granted under Sema4’s 2017 Plan is ten years from the date of grant, except that the maximum permitted term of incentive stock options granted to an individual who owns stock representing more than ten percent of the total combined voting power of all classes of Sema4’s capital stock is five years from the date of grant.</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a termination of a participant’s termination of service for any reason other than disability or death, an option is generally exercisable, to the extent vested, for a period of not less than 30 days in the case of termination without cause (except due to a participant’s death or disability) and for a period of 12 months in the case of termination due to the participant’s death or disability, or such longer as the administrator may provide. Stock options generally terminate upon a participant’s termination of employment for cause.</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Awards of restricted stock represent an offer by Sema4 to sell shares of its common stock subject to restrictions which may</w:t>
      </w:r>
      <w:r>
        <w:rPr>
          <w:rFonts w:ascii="Arial" w:cs="Arial" w:eastAsia="Arial" w:hAnsi="Arial"/>
          <w:sz w:val="17"/>
          <w:szCs w:val="17"/>
          <w:i w:val="1"/>
          <w:iCs w:val="1"/>
          <w:color w:val="auto"/>
        </w:rPr>
        <w:t xml:space="preserve"> </w:t>
      </w:r>
      <w:r>
        <w:rPr>
          <w:rFonts w:ascii="Arial" w:cs="Arial" w:eastAsia="Arial" w:hAnsi="Arial"/>
          <w:sz w:val="17"/>
          <w:szCs w:val="17"/>
          <w:color w:val="auto"/>
        </w:rPr>
        <w:t>lapse based on terms and conditions determined by Sema4’s board of directors or applicable committee. Holders of restricted stock are entitled to vote and, unless otherwise determined by the board of directors, are entitled to receive all dividends and distributions with respect to such shares. Any dividends or stock distributions paid pursuant to any unvested shares of restricted stock will be subject to the same restrictions on transferability and forfeiture as the restricted stock. As of March 31, 2021, no shares of restricted stock had been issued under the 2017 Plan.</w:t>
      </w:r>
    </w:p>
    <w:p>
      <w:pPr>
        <w:spacing w:after="0" w:line="12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2017 Plan also provides for the grant of stock appreciation rights and restricted stock units. As of December 31, 2020, no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that provide for settlement in shares of common stock and no restricted stock units had been issued under the 2017 Plan.</w:t>
      </w:r>
    </w:p>
    <w:p>
      <w:pPr>
        <w:spacing w:after="0" w:line="9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Unless otherwise determined by the board of directors, awards granted under the 2017 Plan may not be sold, pledged, assigned,</w:t>
      </w:r>
      <w:r>
        <w:rPr>
          <w:rFonts w:ascii="Arial" w:cs="Arial" w:eastAsia="Arial" w:hAnsi="Arial"/>
          <w:sz w:val="17"/>
          <w:szCs w:val="17"/>
          <w:i w:val="1"/>
          <w:iCs w:val="1"/>
          <w:color w:val="auto"/>
        </w:rPr>
        <w:t xml:space="preserve"> </w:t>
      </w:r>
      <w:r>
        <w:rPr>
          <w:rFonts w:ascii="Arial" w:cs="Arial" w:eastAsia="Arial" w:hAnsi="Arial"/>
          <w:sz w:val="17"/>
          <w:szCs w:val="17"/>
          <w:color w:val="auto"/>
        </w:rPr>
        <w:t>hypothecated, transferred, or disposed of in any manner other than by will, the laws of descent and distribution or qualified domestic relations orders.</w:t>
      </w:r>
    </w:p>
    <w:p>
      <w:pPr>
        <w:spacing w:after="0" w:line="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In the event of a Corporate Transaction (as defined in the 2017 Plan), the 2017 Plan provides that outstanding awards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unless they are assumed in connection with the corporate transaction. The administrator will have the authority, exercisable either in advance of any actual or anticipated corporate transaction or at the time of an actual corporate transaction and exercisable at the time of the grant of an award under the 2017 Plan or any time while an award remains outstanding, to provide for the full or partial automatic vesting and exercisability of one or more outstanding unvested awards under the 2017 Plan and the release from restrictions on transfer and repurchase or forfeiture rights of awards in connection with a corporate transaction, on such terms and conditions as the administrator may specify. The administrator will have the authority to condition any such award vesting and exercisability or release from such limitations upon the subsequent termination of service of a participant within a specified period following the effective date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stock dividend, recapitalization, stock split, reverse stock split, combination, reclassification, or other change in Sema4’s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structure affecting the shares of common stock issued under the 2017 Plan, Sema4’s board of directors will adjust the number of shares that may be delivered under 2017 Plan and/or the number, and price of shares covered by each outstanding award, in order to prevent diminution or enlargement of benefits or potential benefits intended to be made available under the 2017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Sema4 sponsors a retirement savings plan established in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Sema4’s named executive officers, while employed by Sema4, are eligible to participate in Sema4’s employee benefit plans on the same basis as Sema4’s other employees, including Sema4’s health and welfare plans. Sema4 generally does not provide Sema4’s named executive officers with perquisites or other personal benefits. However, Sema4 does reimburse Sema4’s named executive officers for their necessary and reasonable business and travel expenses incurred in connection with their services to Sema4.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Dr. Schadt did not receive any compensation for his service as a director during fiscal year 2020, while also serving as Chief Executive Officer. Please see the section entitled </w:t>
      </w:r>
      <w:r>
        <w:rPr>
          <w:rFonts w:ascii="Arial" w:cs="Arial" w:eastAsia="Arial" w:hAnsi="Arial"/>
          <w:sz w:val="16"/>
          <w:szCs w:val="16"/>
          <w:i w:val="1"/>
          <w:iCs w:val="1"/>
          <w:color w:val="auto"/>
        </w:rPr>
        <w:t>“Executive Compensation of Sema4—2020 Summary Compensation Table”</w:t>
      </w:r>
      <w:r>
        <w:rPr>
          <w:rFonts w:ascii="Arial" w:cs="Arial" w:eastAsia="Arial" w:hAnsi="Arial"/>
          <w:sz w:val="16"/>
          <w:szCs w:val="16"/>
          <w:color w:val="auto"/>
        </w:rPr>
        <w:t xml:space="preserve"> for a summary of payments made to Dr. Schadt. Other than as described below, none of Sema4’s non-employee directors received any fees or reimbursement of any expenses (other than customary expenses in connection with the attendance of meetings of Sema4’s board of directors) or any equity or non-equity awards in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total compensation earned by each of Sema4’s non-employee directors in the year ended December 31, 2020.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tcPr>
          <w:p>
            <w:pPr>
              <w:jc w:val="center"/>
              <w:ind w:left="1054"/>
              <w:spacing w:after="0"/>
              <w:rPr>
                <w:sz w:val="20"/>
                <w:szCs w:val="20"/>
                <w:color w:val="auto"/>
              </w:rPr>
            </w:pPr>
            <w:r>
              <w:rPr>
                <w:rFonts w:ascii="Arial" w:cs="Arial" w:eastAsia="Arial" w:hAnsi="Arial"/>
                <w:sz w:val="14"/>
                <w:szCs w:val="14"/>
                <w:b w:val="1"/>
                <w:bCs w:val="1"/>
                <w:color w:val="auto"/>
                <w:w w:val="92"/>
              </w:rPr>
              <w:t>Fees Earned or</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 Awards($)</w:t>
            </w:r>
          </w:p>
        </w:tc>
        <w:tc>
          <w:tcPr>
            <w:tcW w:w="2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All Other Compensation($)</w:t>
            </w:r>
            <w:r>
              <w:rPr>
                <w:rFonts w:ascii="Arial" w:cs="Arial" w:eastAsia="Arial" w:hAnsi="Arial"/>
                <w:sz w:val="18"/>
                <w:szCs w:val="18"/>
                <w:b w:val="1"/>
                <w:bCs w:val="1"/>
                <w:color w:val="auto"/>
                <w:w w:val="99"/>
                <w:vertAlign w:val="superscript"/>
              </w:rPr>
              <w:t>(3)</w:t>
            </w:r>
          </w:p>
        </w:tc>
        <w:tc>
          <w:tcPr>
            <w:tcW w:w="11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60" w:type="dxa"/>
            <w:vAlign w:val="bottom"/>
            <w:vMerge w:val="continue"/>
          </w:tcPr>
          <w:p>
            <w:pPr>
              <w:spacing w:after="0"/>
              <w:rPr>
                <w:sz w:val="11"/>
                <w:szCs w:val="11"/>
                <w:color w:val="auto"/>
              </w:rPr>
            </w:pPr>
          </w:p>
        </w:tc>
        <w:tc>
          <w:tcPr>
            <w:tcW w:w="2520" w:type="dxa"/>
            <w:vAlign w:val="bottom"/>
            <w:gridSpan w:val="2"/>
          </w:tcPr>
          <w:p>
            <w:pPr>
              <w:jc w:val="center"/>
              <w:ind w:left="1054"/>
              <w:spacing w:after="0" w:line="135" w:lineRule="exact"/>
              <w:rPr>
                <w:sz w:val="20"/>
                <w:szCs w:val="20"/>
                <w:color w:val="auto"/>
              </w:rPr>
            </w:pPr>
            <w:r>
              <w:rPr>
                <w:rFonts w:ascii="Arial" w:cs="Arial" w:eastAsia="Arial" w:hAnsi="Arial"/>
                <w:sz w:val="12"/>
                <w:szCs w:val="12"/>
                <w:b w:val="1"/>
                <w:bCs w:val="1"/>
                <w:color w:val="auto"/>
              </w:rPr>
              <w:t>Paid in Cash($)</w:t>
            </w:r>
            <w:r>
              <w:rPr>
                <w:rFonts w:ascii="Arial" w:cs="Arial" w:eastAsia="Arial" w:hAnsi="Arial"/>
                <w:sz w:val="15"/>
                <w:szCs w:val="15"/>
                <w:b w:val="1"/>
                <w:bCs w:val="1"/>
                <w:color w:val="auto"/>
                <w:vertAlign w:val="superscript"/>
              </w:rPr>
              <w:t>(1)</w:t>
            </w:r>
          </w:p>
        </w:tc>
        <w:tc>
          <w:tcPr>
            <w:tcW w:w="1200" w:type="dxa"/>
            <w:vAlign w:val="bottom"/>
          </w:tcPr>
          <w:p>
            <w:pPr>
              <w:jc w:val="right"/>
              <w:ind w:right="456"/>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1"/>
                <w:szCs w:val="11"/>
                <w:color w:val="auto"/>
              </w:rPr>
            </w:pPr>
          </w:p>
        </w:tc>
        <w:tc>
          <w:tcPr>
            <w:tcW w:w="20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278,209</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366,945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1,960,993</w:t>
            </w:r>
          </w:p>
        </w:tc>
        <w:tc>
          <w:tcPr>
            <w:tcW w:w="100" w:type="dxa"/>
            <w:vAlign w:val="bottom"/>
          </w:tcPr>
          <w:p>
            <w:pPr>
              <w:spacing w:after="0"/>
              <w:rPr>
                <w:sz w:val="19"/>
                <w:szCs w:val="19"/>
                <w:color w:val="auto"/>
              </w:rPr>
            </w:pP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1,960,993</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2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amounts reported in this column represent fees earned for service on Sema4’s board of directors.</w:t>
      </w:r>
    </w:p>
    <w:p>
      <w:pPr>
        <w:spacing w:after="0" w:line="1" w:lineRule="exact"/>
        <w:rPr>
          <w:rFonts w:ascii="Arial" w:cs="Arial" w:eastAsia="Arial" w:hAnsi="Arial"/>
          <w:sz w:val="14"/>
          <w:szCs w:val="14"/>
          <w:color w:val="auto"/>
        </w:rPr>
      </w:pPr>
    </w:p>
    <w:p>
      <w:pPr>
        <w:ind w:left="340" w:right="340" w:hanging="332"/>
        <w:spacing w:after="0" w:line="255" w:lineRule="auto"/>
        <w:tabs>
          <w:tab w:leader="none" w:pos="332" w:val="left"/>
        </w:tabs>
        <w:numPr>
          <w:ilvl w:val="0"/>
          <w:numId w:val="230"/>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Sema4’s 2017 Equity Incentive Plan to Sema4’s directors during the year ended December 31, 2020, as computed in accordance with FASB ASC Topic 718.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39" w:lineRule="exact"/>
        <w:rPr>
          <w:sz w:val="20"/>
          <w:szCs w:val="20"/>
          <w:color w:val="auto"/>
        </w:rPr>
      </w:pPr>
    </w:p>
    <w:p>
      <w:pPr>
        <w:ind w:left="340" w:right="180"/>
        <w:spacing w:after="0" w:line="247" w:lineRule="auto"/>
        <w:rPr>
          <w:sz w:val="20"/>
          <w:szCs w:val="20"/>
          <w:color w:val="auto"/>
        </w:rPr>
      </w:pPr>
      <w:r>
        <w:rPr>
          <w:rFonts w:ascii="Arial" w:cs="Arial" w:eastAsia="Arial" w:hAnsi="Arial"/>
          <w:sz w:val="14"/>
          <w:szCs w:val="14"/>
          <w:color w:val="auto"/>
        </w:rPr>
        <w:t>assumptions used in calculating the grant date fair value of the awards reported in the Option Awards column are set forth in Note 9 to Sema4’s consolidated financial statements included elsewhere in this proxy statement. Note that the amounts reported in this column reflect the aggregate accounting cost for these awards, and do not necessarily correspond to the actual economic value that may be received by the director from the awards.</w:t>
      </w:r>
    </w:p>
    <w:p>
      <w:pPr>
        <w:spacing w:after="0" w:line="1" w:lineRule="exact"/>
        <w:rPr>
          <w:sz w:val="20"/>
          <w:szCs w:val="20"/>
          <w:color w:val="auto"/>
        </w:rPr>
      </w:pPr>
    </w:p>
    <w:p>
      <w:pPr>
        <w:ind w:left="320" w:hanging="312"/>
        <w:spacing w:after="0"/>
        <w:tabs>
          <w:tab w:leader="none" w:pos="32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The amounts reported in this column represents Sema4’s reimbursement for reasonable business and travel expenses incurred in connection with the director’s services to Sema4.</w:t>
      </w:r>
    </w:p>
    <w:p>
      <w:pPr>
        <w:spacing w:after="0" w:line="1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aggregate number of shares of Sema4’s Class B common stock subject to outstanding options held by Sema4’s non-employee directors as of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40" w:type="dxa"/>
            <w:vAlign w:val="bottom"/>
          </w:tcPr>
          <w:p>
            <w:pPr>
              <w:jc w:val="center"/>
              <w:ind w:left="3155"/>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35"/>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5040" w:type="dxa"/>
            <w:vAlign w:val="bottom"/>
          </w:tcPr>
          <w:p>
            <w:pPr>
              <w:jc w:val="center"/>
              <w:ind w:left="3155"/>
              <w:spacing w:after="0" w:line="135" w:lineRule="exact"/>
              <w:rPr>
                <w:sz w:val="20"/>
                <w:szCs w:val="20"/>
                <w:color w:val="auto"/>
              </w:rPr>
            </w:pPr>
            <w:r>
              <w:rPr>
                <w:rFonts w:ascii="Arial" w:cs="Arial" w:eastAsia="Arial" w:hAnsi="Arial"/>
                <w:sz w:val="14"/>
                <w:szCs w:val="14"/>
                <w:b w:val="1"/>
                <w:bCs w:val="1"/>
                <w:color w:val="auto"/>
                <w:w w:val="93"/>
              </w:rPr>
              <w:t>Underlying Options Held as</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5040" w:type="dxa"/>
            <w:vAlign w:val="bottom"/>
            <w:tcBorders>
              <w:bottom w:val="single" w:sz="8" w:color="auto"/>
            </w:tcBorders>
          </w:tcPr>
          <w:p>
            <w:pPr>
              <w:jc w:val="center"/>
              <w:ind w:left="3155"/>
              <w:spacing w:after="0"/>
              <w:rPr>
                <w:sz w:val="20"/>
                <w:szCs w:val="20"/>
                <w:color w:val="auto"/>
              </w:rPr>
            </w:pPr>
            <w:r>
              <w:rPr>
                <w:rFonts w:ascii="Arial" w:cs="Arial" w:eastAsia="Arial" w:hAnsi="Arial"/>
                <w:sz w:val="14"/>
                <w:szCs w:val="14"/>
                <w:b w:val="1"/>
                <w:bCs w:val="1"/>
                <w:color w:val="auto"/>
                <w:w w:val="92"/>
              </w:rPr>
              <w:t>of December 31, 2020</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Kenneth Davis,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Michael Pellini, M.D</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Rachel Sherman, M.D., M.P.H., F.A.C.P</w:t>
            </w:r>
          </w:p>
        </w:tc>
        <w:tc>
          <w:tcPr>
            <w:tcW w:w="504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293,315</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R. Martin Chavez, Ph.D</w:t>
            </w:r>
          </w:p>
        </w:tc>
        <w:tc>
          <w:tcPr>
            <w:tcW w:w="5040" w:type="dxa"/>
            <w:vAlign w:val="bottom"/>
          </w:tcPr>
          <w:p>
            <w:pPr>
              <w:jc w:val="right"/>
              <w:spacing w:after="0" w:line="230" w:lineRule="exact"/>
              <w:rPr>
                <w:sz w:val="20"/>
                <w:szCs w:val="20"/>
                <w:color w:val="auto"/>
              </w:rPr>
            </w:pPr>
            <w:r>
              <w:rPr>
                <w:rFonts w:ascii="Arial" w:cs="Arial" w:eastAsia="Arial" w:hAnsi="Arial"/>
                <w:sz w:val="18"/>
                <w:szCs w:val="18"/>
                <w:color w:val="auto"/>
              </w:rPr>
              <w:t>832,199</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ElBardissi</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Viral Patel</w:t>
            </w:r>
          </w:p>
        </w:tc>
        <w:tc>
          <w:tcPr>
            <w:tcW w:w="5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Windreich</w:t>
            </w:r>
          </w:p>
        </w:tc>
        <w:tc>
          <w:tcPr>
            <w:tcW w:w="5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2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5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120" w:hanging="332"/>
        <w:spacing w:after="0" w:line="241" w:lineRule="auto"/>
        <w:tabs>
          <w:tab w:leader="none" w:pos="332" w:val="left"/>
        </w:tabs>
        <w:numPr>
          <w:ilvl w:val="0"/>
          <w:numId w:val="232"/>
        </w:numPr>
        <w:rPr>
          <w:rFonts w:ascii="Arial" w:cs="Arial" w:eastAsia="Arial" w:hAnsi="Arial"/>
          <w:sz w:val="14"/>
          <w:szCs w:val="14"/>
          <w:color w:val="auto"/>
        </w:rPr>
      </w:pPr>
      <w:r>
        <w:rPr>
          <w:rFonts w:ascii="Arial" w:cs="Arial" w:eastAsia="Arial" w:hAnsi="Arial"/>
          <w:sz w:val="14"/>
          <w:szCs w:val="14"/>
          <w:color w:val="auto"/>
        </w:rPr>
        <w:t>The stock option vests at a rate of 6.25% of the shares of Sema4’s Class B common stock underlying the stock option each quarter following the February 18, 2020 vesting commencement date. 100% of the shares underlying the stock option will vest in connection with a change in control transaction.</w:t>
      </w:r>
    </w:p>
    <w:p>
      <w:pPr>
        <w:ind w:left="340" w:hanging="332"/>
        <w:spacing w:after="0" w:line="246" w:lineRule="auto"/>
        <w:tabs>
          <w:tab w:leader="none" w:pos="332" w:val="left"/>
        </w:tabs>
        <w:numPr>
          <w:ilvl w:val="0"/>
          <w:numId w:val="232"/>
        </w:numPr>
        <w:rPr>
          <w:rFonts w:ascii="Arial" w:cs="Arial" w:eastAsia="Arial" w:hAnsi="Arial"/>
          <w:sz w:val="14"/>
          <w:szCs w:val="14"/>
          <w:color w:val="auto"/>
        </w:rPr>
      </w:pPr>
      <w:r>
        <w:rPr>
          <w:rFonts w:ascii="Arial" w:cs="Arial" w:eastAsia="Arial" w:hAnsi="Arial"/>
          <w:sz w:val="14"/>
          <w:szCs w:val="14"/>
          <w:color w:val="auto"/>
        </w:rPr>
        <w:t>52,012 shares of Sema4’s Class B common stock underlying the stock option shall vest on the 11th day of each August, November, February and May from May 11, 2020 through May 11, 2024, with the first such vesting date to occur on August 11, 2020, such that 52,012 of the shares of Sema4’s Class B common stock underlying the stock option shall be vested as of the date of the award. The balance of 7 shares of Sema4’s Class B common stock underlying the stock option shall vest on May 11, 2024. 100% of the shares underlying the stock option will vest in connection with a change in control transaction.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this transaction, the post-combination company intends to adopt a non-employee director compensation policy that will be designed to enable the post-combination company to attract and retain, on a long-term basis, highly qualified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288" w:name="page289"/>
    <w:bookmarkEnd w:id="2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consummation of the business combination, the business and affairs of the post-combination company will be managed by or under the direction of the board of directors of the post-combination company. the directors and executive officers of the post-combination company upon consummation of the business combination will include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5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Executive Officers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Pr>
          <w:p>
            <w:pPr>
              <w:ind w:lef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Shawn Assad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Accounting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James Coffin, Ph.D.</w:t>
            </w:r>
          </w:p>
        </w:tc>
        <w:tc>
          <w:tcPr>
            <w:tcW w:w="860" w:type="dxa"/>
            <w:vAlign w:val="bottom"/>
          </w:tcPr>
          <w:p>
            <w:pPr>
              <w:ind w:lef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Pr>
          <w:p>
            <w:pPr>
              <w:ind w:left="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Pr>
          <w:p>
            <w:pPr>
              <w:ind w:lef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486"/>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Non-Employee Directors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Dennis Charney, M.D.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Eli D. Casdin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Emily Leproust, Ph.D.</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Jason Ryan</w:t>
            </w:r>
          </w:p>
        </w:tc>
        <w:tc>
          <w:tcPr>
            <w:tcW w:w="860" w:type="dxa"/>
            <w:vAlign w:val="bottom"/>
          </w:tcPr>
          <w:p>
            <w:pPr>
              <w:ind w:left="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Joshua Ruch</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Pr>
          <w:p>
            <w:pPr>
              <w:ind w:lef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5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Nat Turner</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Rachel Sherman, M.D., M.P.H., F.A.C.P.</w:t>
            </w:r>
          </w:p>
        </w:tc>
        <w:tc>
          <w:tcPr>
            <w:tcW w:w="860" w:type="dxa"/>
            <w:vAlign w:val="bottom"/>
          </w:tcPr>
          <w:p>
            <w:pPr>
              <w:ind w:lef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Eric Schadt, Ph.D.</w:t>
      </w:r>
      <w:r>
        <w:rPr>
          <w:rFonts w:ascii="Arial" w:cs="Arial" w:eastAsia="Arial" w:hAnsi="Arial"/>
          <w:sz w:val="16"/>
          <w:szCs w:val="16"/>
          <w:color w:val="auto"/>
        </w:rPr>
        <w:t>, is founder and Chief Executive Officer of Sema4 and has served as a member of Sema4’s board of directors since June 2017.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of the post-combination company.</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Isaac Ro </w:t>
      </w:r>
      <w:r>
        <w:rPr>
          <w:rFonts w:ascii="Arial" w:cs="Arial" w:eastAsia="Arial" w:hAnsi="Arial"/>
          <w:sz w:val="18"/>
          <w:szCs w:val="18"/>
          <w:color w:val="auto"/>
        </w:rPr>
        <w:t>has served as Sema4’s Chief Financial Officer since February 2021. Mr. Ro previously served as the Chief Financial Officer of Thrive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Shawn Assad</w:t>
      </w:r>
      <w:r>
        <w:rPr>
          <w:rFonts w:ascii="Arial" w:cs="Arial" w:eastAsia="Arial" w:hAnsi="Arial"/>
          <w:sz w:val="16"/>
          <w:szCs w:val="16"/>
          <w:color w:val="auto"/>
        </w:rPr>
        <w:t>, has served as Sema4’s Chief Accounting Officer since May 2021. Mr. Assad previously served as the New York Office Partner at CFGI,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accounting advisory and consulting services company, from May 2020 until May 2021. Prior to joining CFGI, Mr. Assad served as the Chief Accounting Officer and Global Controller at Vice Media, digital media and broadcasting company, from April 2018 to May 2020. From May 2015 to April 2018, Mr. Assad held roles of increasing responsibility at Endeavor (formerly WME/IMG), a global entertainment, sports and content company, including as the Senior Vice President, Assistant Global Controller and Vice President of Global Technical and SEC Reporting, and from April 2008 to May 2015, Mr. Assad served as the Senior Director at The Seigfried Group LLP, an accounting and financial resources services firm. Mr. Assad holds a graduate degree in Accounting from Northeastern University and a Bachelor of Science in Accounting from Paris School of Business in Paris, France.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James Coffin, Ph.D.</w:t>
      </w:r>
      <w:r>
        <w:rPr>
          <w:rFonts w:ascii="Arial" w:cs="Arial" w:eastAsia="Arial" w:hAnsi="Arial"/>
          <w:sz w:val="16"/>
          <w:szCs w:val="16"/>
          <w:color w:val="auto"/>
        </w:rPr>
        <w:t>, has served as Sema4’s President and Chief Operating Officer since August 2017 and previously served as Sema4’s Treasurer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2021 to March 2021. Dr. Coffin previously served as Chief Executive Officer, Chairman of the Board and President at Source Medical Solutions, a practice management and EMR solutions provider in the ambulatory surgical space, from December 2014 to June 2017. Prior to joining Source Medical Solutions, Dr. Coffin was Worldwide Vice President and General Manager at Dell, leading the Global Healthcare and Life Science business from January 2007 to April 2013. Prior to Dell, Dr. Coffin served as Worldwide Vice President of IBM’s Healthcare and Life Sciences and its Life Sciences Solutions divisions between August 1999 and January 2007. Dr. Coffin earned his Ph.D. in Chemistry from the University of Arkansas and his B.S. in Chemistry from Louisiana Tech University. Dr. Coffin also completed a fellowship in Chemistry at the University of Cambridge.</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Sema4’s General Counsel since March 2016 and Secretary since March 2020. From 2015 to May 2017, Mr. Clark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Anthony Prentice </w:t>
      </w:r>
      <w:r>
        <w:rPr>
          <w:rFonts w:ascii="Arial" w:cs="Arial" w:eastAsia="Arial" w:hAnsi="Arial"/>
          <w:sz w:val="16"/>
          <w:szCs w:val="16"/>
          <w:color w:val="auto"/>
        </w:rPr>
        <w:t>has served as Sema4’s Chief Product Officer since September 2016. Prior to joining Sema4, Mr. Prentice served in various roles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Kareem Saad </w:t>
      </w:r>
      <w:r>
        <w:rPr>
          <w:rFonts w:ascii="Arial" w:cs="Arial" w:eastAsia="Arial" w:hAnsi="Arial"/>
          <w:sz w:val="18"/>
          <w:szCs w:val="18"/>
          <w:color w:val="auto"/>
        </w:rPr>
        <w:t>has served as Sema4’s Chief Business Officer since January 2021. Mr. Saad also previously served as the Chief Strategy Officer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Sema4’s Chief People Officer since September 2020. Prior to joining Sema4, Ms. White was Vice President of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Following the Closing, the post-combination company’s board of directors will consist of up to 9 directors, which will be divided into three classes (Class I, II and III) with Class I consisting of three directors, Class II consisting of four directors and Class III consisting of two directors. Pursuant to the Business Combination Agreement, the board of directors of the post-combination company will consist of (i) 6 individuals designated by Sema4 prior to the mailing of this proxy statement to CMLS shareholders (5 of whom are existing members of Sema4’s board of directors) and (ii) three directors designated by CMLS (who are Emily Leproust and Nat Turner, each an existing member of CMLS’s board of directors, and Eli Casdin, an existing member of CMLS’s board of directors and its Chief Executive Officer).</w:t>
      </w:r>
    </w:p>
    <w:p>
      <w:pPr>
        <w:spacing w:after="0" w:line="13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Dennis Charney, M.D., </w:t>
      </w:r>
      <w:r>
        <w:rPr>
          <w:rFonts w:ascii="Arial" w:cs="Arial" w:eastAsia="Arial" w:hAnsi="Arial"/>
          <w:sz w:val="18"/>
          <w:szCs w:val="18"/>
          <w:color w:val="auto"/>
        </w:rPr>
        <w:t>has served as a member of Sema4’s board of directors since June 2017. Dr. Charney has served as the Anne and Joel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Ehrenkranz Dean of the Icahn School of Medicine at Mount Sinai since January 2007, and as President for Academic Affairs for the Mount Sinai Health System since September 2013. From March 2006 to March 2007,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on the board of directors of the post-combination company.</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Eli D. Casdin </w:t>
      </w:r>
      <w:r>
        <w:rPr>
          <w:rFonts w:ascii="Arial" w:cs="Arial" w:eastAsia="Arial" w:hAnsi="Arial"/>
          <w:sz w:val="17"/>
          <w:szCs w:val="17"/>
          <w:color w:val="auto"/>
        </w:rPr>
        <w:t>will serve on the board of directors of the combined company following completion of the business combination. Mr. Casdin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member of the board of directors and as the Chief Executive Officer of CMLS since July 2020. Mr. Casdin founded Casdin Capital, LLC, an investment firm focused on the life sciences and healthcare industry, in November 2011 and currently serves as its Chief Investment Officer. Mr. Casdin has served on the board of directors of Exact Sciences Corp., a molecular diagnostics company focused on early cancer detection, treatment and monitoring, since October 2017. Mr. Casdin holds an M.B.A. from Columbia Business School and a B.S. degree from Columbia University School of General Studies. Mr. Casdin’s qualifications to serve on the board of directors of the post-combination company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Emily Leproust, Ph.D., </w:t>
      </w:r>
      <w:r>
        <w:rPr>
          <w:rFonts w:ascii="Arial" w:cs="Arial" w:eastAsia="Arial" w:hAnsi="Arial"/>
          <w:sz w:val="17"/>
          <w:szCs w:val="17"/>
          <w:color w:val="auto"/>
        </w:rPr>
        <w:t>will serve on the board of directors of the combined company following completion of the business combination. Dr. Leproust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the board of directors of the post-combination company include her extensive professional and educational experience in the life sciences industry.</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Jason Ryan </w:t>
      </w:r>
      <w:r>
        <w:rPr>
          <w:rFonts w:ascii="Arial" w:cs="Arial" w:eastAsia="Arial" w:hAnsi="Arial"/>
          <w:sz w:val="18"/>
          <w:szCs w:val="18"/>
          <w:color w:val="auto"/>
        </w:rPr>
        <w:t>will serve on the board of directors of the combined company following completion of the business combination. Mr. Ryan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and Financial Officer of Magenta Therapeutics, Inc., a biotechnology company, from January 2019 to October 2020. Prior to joining Magenta Therapeutics, Inc., Mr. Ryan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Mr. Ryan holds an M.B.A. from Babson College and a B.S. in economics from Bates College, and earned a C.P.A. in Massachusetts. Mr. Ryan’s extensive finance experience and his leadership experience in the life sciences and biopharmaceutical industries qualifies him to serve on the post-combination company’s board of directors.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Joshua Ruch </w:t>
      </w:r>
      <w:r>
        <w:rPr>
          <w:rFonts w:ascii="Arial" w:cs="Arial" w:eastAsia="Arial" w:hAnsi="Arial"/>
          <w:sz w:val="16"/>
          <w:szCs w:val="16"/>
          <w:color w:val="auto"/>
        </w:rPr>
        <w:t>has served as a member of Sema4’s board of directors since November 2017. Mr. Ruch is also a managing partner and co-founder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the post-combination company’s board of directors.</w:t>
      </w:r>
    </w:p>
    <w:p>
      <w:pPr>
        <w:spacing w:after="0" w:line="1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Michael Pellini, M.D.</w:t>
      </w:r>
      <w:r>
        <w:rPr>
          <w:rFonts w:ascii="Arial" w:cs="Arial" w:eastAsia="Arial" w:hAnsi="Arial"/>
          <w:sz w:val="17"/>
          <w:szCs w:val="17"/>
          <w:color w:val="auto"/>
        </w:rPr>
        <w:t>, has served as a member of Sema4’s board of directors since August 2019. Since December 2017, Dr. Pellini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Personalized Medicine Coalition,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of the post-combination company.</w:t>
      </w:r>
    </w:p>
    <w:p>
      <w:pPr>
        <w:spacing w:after="0" w:line="1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Nat Turner </w:t>
      </w:r>
      <w:r>
        <w:rPr>
          <w:rFonts w:ascii="Arial" w:cs="Arial" w:eastAsia="Arial" w:hAnsi="Arial"/>
          <w:sz w:val="16"/>
          <w:szCs w:val="16"/>
          <w:color w:val="auto"/>
        </w:rPr>
        <w:t>will serve on the board of directors of the combined company following the completion of the business combination. Mr. Turner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Co-Founder and Chief Executive Officer of Flatiron Health, Inc., a healthcare technology company focusing on accelerating oncology research and improving patient care since June 2012 and was acquired by Roche Holding AG in April 2018. Previously,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the board of directors of the post-combination company include his significant experience in the life sciences industry, both as an executive and as an angel investor.</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Rachel Sherman, M.D., M.P.H., F.A.C.P., </w:t>
      </w:r>
      <w:r>
        <w:rPr>
          <w:rFonts w:ascii="Arial" w:cs="Arial" w:eastAsia="Arial" w:hAnsi="Arial"/>
          <w:sz w:val="18"/>
          <w:szCs w:val="18"/>
          <w:color w:val="auto"/>
        </w:rPr>
        <w:t>has served as a member of Sema4’s board of directors since March 2020. Dr. Sherman is currently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Rachel Sherman Partners LLC, a drug development, regulatory, and policy consulting firm she founded in 2019, and a clinical lecturer at Harvard Pilgrim Health Care Institute. Dr.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the post-combination company’s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proposed Amended and Restated Certificate of Incorporation that will be in effect upon the Closing, immediately after the Closing, the board of directors of the post-combination company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The directors will be divided among the three classes as follows:</w:t>
      </w:r>
    </w:p>
    <w:p>
      <w:pPr>
        <w:spacing w:after="0" w:line="134" w:lineRule="exact"/>
        <w:rPr>
          <w:sz w:val="20"/>
          <w:szCs w:val="20"/>
          <w:color w:val="auto"/>
        </w:rPr>
      </w:pPr>
    </w:p>
    <w:p>
      <w:pPr>
        <w:ind w:left="660" w:right="2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 directors will be Eli D. Casdin, Joshua Ruch and Michael Pellini and their terms will expire at the first annual meeting of stockholders held after the Closing;</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II directors will be Rachel Sherman, Eric Schadt, Nat Turner and Dennis Charney, and their terms will expire at the second annual meeting of stockholders held after the Closing;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Class III directors will be Emily Leproust and Jason Ryan and their terms will expire at the third annual meeting of stockholders held after the Closing.</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Each director’s term continues until the election and qualification of his or her successor, or his or her earlier death, resignation or removal. The Amended and Restated Certificate of Incorporation and restated bylaws that will be in effect upon the Closing authorize only the board of directors of the post-combination company to fill vacancies on the board of directors of the post-combination company. Any increase or decrease in the number of directors will be distributed among the three classes so that, as nearly as possible, each class will consist of one-third of the directors. This classification of the board of directors of the post-combination company may have the effect of delaying or preventing changes in control of the post-combination company. See the section titled </w:t>
      </w:r>
      <w:r>
        <w:rPr>
          <w:rFonts w:ascii="Arial" w:cs="Arial" w:eastAsia="Arial" w:hAnsi="Arial"/>
          <w:sz w:val="16"/>
          <w:szCs w:val="16"/>
          <w:i w:val="1"/>
          <w:iCs w:val="1"/>
          <w:color w:val="auto"/>
        </w:rPr>
        <w:t>“Description of Securities— Certain Anti-Takeover Provisions of Delaware Law, the Company’s Certificate of Incorporation and Bylaws.”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rules of Nasdaq require that a majority of the post-combination company’s board of directors be independent. An “independent director” is defined generally as a person other than an executive officer or employee of CMLS, the post-combination company or any other individual having a relationship which, in the opinion of the issuer’s board of directors, would interfere with the exercise of independent judgement in carrying out the responsibilities of a director. It is anticipated that each individual expected to serve on the post-combination company’s board of directors upon consummation of the Business Combination, other than [ ], will qualify as an independent director under Nasdaq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post-combination company’s board of directors will have the authority to appoint committees to perform certain management and administration functions. CMLS’s current board of directors has established an audit committee, a compensation committee, and a nominating and corporate governance committee, each of which will have the composition and responsibilities described below following the Closing. The composition and responsibilities of each committee are described below. Members will serve on these committees until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 xml:space="preserve">resignation or until otherwise determined by the board of directors. Following the Closing, the charters for each of these committees will be available on Sema4’s website at </w:t>
      </w:r>
      <w:r>
        <w:rPr>
          <w:rFonts w:ascii="Arial" w:cs="Arial" w:eastAsia="Arial" w:hAnsi="Arial"/>
          <w:sz w:val="17"/>
          <w:szCs w:val="17"/>
          <w:i w:val="1"/>
          <w:iCs w:val="1"/>
          <w:color w:val="auto"/>
        </w:rPr>
        <w:t>www.Sema4.com.</w:t>
      </w:r>
      <w:r>
        <w:rPr>
          <w:rFonts w:ascii="Arial" w:cs="Arial" w:eastAsia="Arial" w:hAnsi="Arial"/>
          <w:sz w:val="17"/>
          <w:szCs w:val="17"/>
          <w:color w:val="auto"/>
        </w:rPr>
        <w:t xml:space="preserve"> Information contained on or accessible through Sema4’s website is not a part of this proxy statement/prospectus, and the inclusion of such website address in this proxy statement/prospectus is an inactive textual reference only.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Closing, the post-combination company’s audit committee will comprise of [ ], [ ] and[ ], with [ ] as the chairman of the post-combination company’s audit committee. The post-combination company board of directors is expected to determine that the composition of the post-combination company’s audit committee meets the requirements for independence under the current Nasdaq and SEC rules and regulations, and that each</w:t>
      </w:r>
    </w:p>
    <w:p>
      <w:pPr>
        <w:jc w:val="both"/>
        <w:spacing w:after="0" w:line="295" w:lineRule="auto"/>
        <w:rPr>
          <w:sz w:val="20"/>
          <w:szCs w:val="20"/>
          <w:color w:val="auto"/>
        </w:rPr>
      </w:pPr>
      <w:r>
        <w:rPr>
          <w:rFonts w:ascii="Arial" w:cs="Arial" w:eastAsia="Arial" w:hAnsi="Arial"/>
          <w:sz w:val="16"/>
          <w:szCs w:val="16"/>
          <w:color w:val="auto"/>
        </w:rPr>
        <w:t>member of the audit committee is financially literate. In addition, CMLS’s current board of directors has determined that [ ] is an “audit committee financial expert” as defined in Item 407(d)(5)(ii) of Regulation S-K promulgated under the Securities Act. This designation does not impose on him or her any duties, obligations or liabilities that are greater than are generally imposed on members of the post-combination company’s audit committee and the post-combination company’s board of directors. The post-combination company’s audit committee is directly responsible for, among other things:</w:t>
      </w:r>
    </w:p>
    <w:p>
      <w:pPr>
        <w:spacing w:after="0" w:line="107" w:lineRule="exact"/>
        <w:rPr>
          <w:sz w:val="20"/>
          <w:szCs w:val="20"/>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post-combination company’s independent auditors;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post-combination company’s annual proxy statement;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post-combination company’s compliance with legal and regulatory requirements;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post-combination company’s accounting and financial reporting processes, including the post-combination company’s financial statement audits and the integrity of the post-combination company’s financial statements;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Closing, the post-combination company’s compensation committee will comprise of [ ], [ ] and [ ], with [ ] as the chairman of our compensation committee. The post-combination company board of directors is expected to determine that each member of the post-combination company’s compensation committee is a non-employee director, as defined by Rule 16b-3 promulgated under the Exchange Act, and meets the requirements for independence under the current Nasdaq listing standards and SEC rules and regulations. The post-combination company’s compensation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the post-combination company’s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administering the post-combination company’s cash-based and equity-based compensation plans;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overseeing the post-combination company’s compliance with regulatory requirements associated with the compensation of directors, officers and employees.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Following the Closing, the post-combination company’s nominating and governance committee will comprise of [ ], [ ] and [ ], with [ ] as the chairman of the post-combination company’s nominating and governance committee. The post-combination company board of directors is expected to determine that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member of the post-combination company’s nominating and governance committee meets the requirements for independence under the current Nasdaq listing standards. The post-combination company’s nominating and governance committee is responsible for, among other things:</w:t>
      </w:r>
    </w:p>
    <w:p>
      <w:pPr>
        <w:spacing w:after="0" w:line="92"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the post-combination company’s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the post-combination company’s board of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advising the post-combination company’s board of directors on other corporate governance matters.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post-combination company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Sema4’s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proxy statement/prospectus, and the inclusion of the website address in this proxy statement/prospectus is an inactive textual reference only. The post-combination company intends to disclose any amendments to the Code of Business Conduct and Ethics, or any waivers of its requirements, on its website to the extent required by the applicable rules and exchange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 member of the post-combination company’s compensation committee has ever been an officer or employee of either company. None of the post-combination company’s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attached as Annex B to this proxy statement. We urge you to read our Amended and Restated Certificate of Incorporation in its entirety for a complete description of the rights and preferences of the post-combination company’s securities following the Business Combination.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Amended and Restated Certificate of Incorporation authorizes the issuance of 400,000,000 shares of common stock, $0.0001 par value per share, including 380,000,000 shares of Class A common stock and 20,000,000 shares of Class B common stock. The outstanding shares of our common stock are, and the shares of common stock issuable in connection with the Business Combination pursuant to the Merger Agreement and the PIPE Investment will be, duly authorized, validly issued, fully paid and non-assessable. As of the record date for the Special Meeting, there were 55,343,750 shares of common stock outstanding, held of record by approximately 5 holders of common stock, no shares of preferred stock outstanding and 21,995,000 warrants outstanding held of record by approximately 4 holders of warrants. Such numbers do not include DTC participants or beneficial owners holding shares through nominee names.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and Restated Certificate of Incorporation provides that the common stock will have identical rights, powers, preferences and privileges to current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current certificate of incorporation and the Amended and Restated Certificate of Incorporation,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The holders of common stock shall at all times vote together as one class on all matters submitted to a vote of the holders of common stock under both the current certificate of incorporation and the Amended and Restated Certificate of Incorporation.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rights, if any of the holders of any outstanding shares of preferred stock, under both the current certificate of incorporation and the Amended and Restated Certificate of Incorporation, holders of common stock will be entitled to receive such dividends and other distributions, if any, as may be declared from time to time by our Board in its discretion out of funds legally available therefor and shall share equally on a per share basis in such dividends and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event of the voluntary or involuntary liquidation, dissolution or winding-up of the post-combination company under both the current certificate of incorporation and the Amended and Restated Certificate of Incorporation, the holders of common stock will be entitled to receive all the remaining assets of the post-combination company available for distribution to stockholders, ratably in proportion to the number of shares of common stock held by them, after the rights of the holders of the preferred stock have been satisfied.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is currently divided into three classes, Class I, Class II and Class III, with only one class of directors being elected in each year and each class (except for those directors appointed prior to our first annual meeting of stockholders) serving a three-year term. The term of office of the Class I directors will expire at our first annual meeting of stockholders. The term of office of the Class II directors will expire at the second annual meeting of stockholders. The term of office of the Class III directors will expire at the third annual meeting of stockholders. However, if the Business Combination Proposal, the Nasdaq Stock Issuance Proposal, the Charter Approval Proposal and the Incentive Plan Proposal are approved at the Special Meeting, this structure will change.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terms of the Amended and Restated Certificate of Incorporation, upon the effectiveness thereof, the term of the Class I Directors in place at such time will expire at the first annual meeting of the stockholders of the post-combination company following the effectiveness of the Amended and Restated Certificate of Incorporation; the term of the Class II Directors in place at such time will expire at the second annual meeting of the stockholders of the post-combination company following the effectiveness of the Amended and Restated Certificate of Incorporation; and the term of the Class III Directors in place at such time will expire at the third annual meeting of the stockholders of the post-combination company following the effectiveness of the Amended and Restated Certificate of Incorporation.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Stock Prior to the Business Combination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providing stockholders with the opportunity to redeem all or a portion of their public shares of common stock upon the consummation of the Business Combination at a per-share price, payable in cash, equal to the aggregate amount on deposit in the Trust Account as of two business days prior to the Closing, including interest not previously released to the Company to pay its franchise and income taxes, divided by the number of then outstanding public shares, subject to the limitations described herein. Our Initial Stockholders, directors and officers have agreed to waive their redemption rights with respect to their shares of common stock in connection with the consummation of the Business Combination. Our Initial Stockholders have also agreed to waive their right to a conversion price adjustment with respect to any shares of our common stock they may hold in connection with the consummation of the Business Combination.</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consummate the Business Combination only if a majority of our outstanding shares of common stock entitled to vote and actually cast thereon at the Special Meeting are voted in favor of the Business Combination Proposal at the Special Meeting. However, the participation of our Sponsor, officers and directors, or their affiliates in privately negotiated transactions (as described in this proxy statement), if any, could result in the approval of the Business Combination even if a majority of the stockholders vote, or indicate their intention to vote, against the Business Combination.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Initial Stockholders have agreed to vote their shares of common stock in favor of the Business Combination. As of the date of filing this proxy statement, our Initial Stockholders, directors and officers do not currently hold any public shares. Public stockholders may elect to redeem their public shares whether they vote for or against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our current certificate of incorporation, if we are unable to consummate a business combination by the applicable deadline,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franchise and income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Initial Stockholders, officers and directors have agreed to waive their redemption rights with respect to the Founder Shares: (a) in connection with the consummation of a business combination; (b) if we fail to consummate our initial business combination by the applicable deadline; (c) in connection with a tender offer; and (d) otherwise upon our liquidation or in the event our Board resolves to liquidate the Trust Account and ceases to pursue the consummation of a business combination prior to the applicable deadline. Our Initial Stockholders have also agreed to waive their right to a conversion price adjustment with respect to any shares of our common stock they may hold in connection with the consummation of the Business Combination. However, if our Initial Stockholders or any of our officers, directors or affiliates acquire public shares, they will be entitled to redemption rights with respect to such public shares if we fail to consummate our initial business combination within the required time period.</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liquidation, dissolution or winding up of the Company after our initial business combination, holders of our common stock are entitled to share ratably in proportion to the number of shares of common stock in all assets remaining available for distribution to them after payment of the debts and other liabilities and after provision is made for each class of stock, if any, having preference over the common stock.</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stockholders have no preemptive or other subscription rights. There are no sinking fund provisions applicable to our common stock, except that upon the consummation of our initial business combination, subject to the limitations described herein, we will provide our stockholders with the opportunity to redeem their shares of our common stock for cash equal to their pro rata share of the aggregate amount on deposit in the Trust Account as of two business days prior to the Closing, including any amounts representing interest earned on the Trust Account, less any interest released to us released to pay its franchise and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Founder Shares are designated as Class B common stock and, are identical to the shares of common stock, and holders of Founder Shares have the same stockholder rights as public stockholders, except that: (i) the Founder Shares are subject to certain transfer restrictions, as described in more detail below; and (ii) our Initial Stockholders, directors and officers have entered into a letter agreement with us, pursuant to which they have agreed (a) to waive their redemption rights with respect to their shares of common stock in connection with the completion of our business combination and (b) to waive their rights to liquidating distributions from the Trust Account with respect to their Founder Shares if we fail to complete our business combination by the applicable deadline, although they will be entitled to liquidating distributions from the Trust Account with respect to any public shares they hold if we fail to complete our business combination within such time period; (iii) our Initial Stockholders have to waive their right to a conversion price adjustment with respect to any shares of our common stock they may hold in connection with the consummation of the Business Combination; and (iv) are subject to registration rights. Our Initial Stockholders, officers and directors have agreed to vote their shares of common stock in favor of our Business Combination. With certain limited exceptions, the Founder Shares are not transferable, assignable or salable (except to our officers and directors and other persons or entities affiliated with our Sponsor, each of whom will be subject to the same transfer restrictions) until 180 days after the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whole public warrant entitles the registered holder to purchase one share of our Class A common stock at a price of $11.50 per whole share, subject to adjustment as discussed below, at any time commencing on the later of 12 months from the closing of the IPO or 30 days after the completion of our initial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our initial business combination, at 5:00 p.m., New York City time, or earlier upon redemption or liquidation.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not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above, if our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a “cashless basis” in accordance with Section 3(a)(9) of the Securities Act (or any successor rule) and, in the event we so elect, we will not be required to file or maintain in effect a registration statement, but will use our best efforts to register the shares under applicable blue sky laws to the extent an exemption is not available.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9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9"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92" w:lineRule="exact"/>
        <w:rPr>
          <w:rFonts w:ascii="Arial" w:cs="Arial" w:eastAsia="Arial" w:hAnsi="Arial"/>
          <w:sz w:val="17"/>
          <w:szCs w:val="17"/>
          <w:color w:val="auto"/>
        </w:rPr>
      </w:pPr>
    </w:p>
    <w:p>
      <w:pPr>
        <w:jc w:val="both"/>
        <w:ind w:left="660" w:hanging="328"/>
        <w:spacing w:after="0" w:line="286" w:lineRule="auto"/>
        <w:tabs>
          <w:tab w:leader="none" w:pos="6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Redemption procedures and cashless exercise. </w:t>
      </w:r>
      <w:r>
        <w:rPr>
          <w:rFonts w:ascii="Arial" w:cs="Arial" w:eastAsia="Arial" w:hAnsi="Arial"/>
          <w:sz w:val="18"/>
          <w:szCs w:val="18"/>
          <w:color w:val="auto"/>
        </w:rPr>
        <w:t>If we call the public warrants for redemption as described above, our management will have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any holder that wishes to exercise his, her or its public warrant to do so on a “cashless basis.” In determining whether to require all holders to exercise their public warrants on a “cashless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our initial business combination. If we call our public warrants for redemption and our management does not take advantage of this option, our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 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6"/>
          <w:szCs w:val="16"/>
          <w:i w:val="1"/>
          <w:iCs w:val="1"/>
          <w:color w:val="auto"/>
        </w:rPr>
        <w:t>The Business Combination Proposal — Related Agreements — Forfeiture Agreement</w:t>
      </w:r>
      <w:r>
        <w:rPr>
          <w:rFonts w:ascii="Arial" w:cs="Arial" w:eastAsia="Arial" w:hAnsi="Arial"/>
          <w:sz w:val="16"/>
          <w:szCs w:val="16"/>
          <w:color w:val="auto"/>
        </w:rPr>
        <w:t>”.</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3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shares of common stock is increased by a stock dividend payable in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or by 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6" w:lineRule="exact"/>
        <w:rPr>
          <w:sz w:val="20"/>
          <w:szCs w:val="20"/>
          <w:color w:val="auto"/>
        </w:rPr>
      </w:pPr>
    </w:p>
    <w:p>
      <w:pPr>
        <w:jc w:val="both"/>
        <w:ind w:firstLine="8"/>
        <w:spacing w:after="0" w:line="255" w:lineRule="auto"/>
        <w:tabs>
          <w:tab w:leader="none" w:pos="26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the Company’s current certificate of incorporation to modify the substance or timing of the Company’s obligation to redeem 100% of our public shares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complete a business combination within 24 months from the closing of the IPO, or (v)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3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the Company in connection with redemption rights held by stockholders of the Company as provided for in the Company’s current certificate of incorporation or as a result of the repurchase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50% of the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reduced as specified in the warrant agreement based on the per share consideration minus Black-Scholes Warrant Value (as defined in the warrant agreement) of the public warrant.</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our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Sponsor and Mr. Islam and Dr. Leproust purchased an aggregate of 7,236,667 private placement warrants at a price of $1.50 per warrant for an aggregate purchase price of $10,855,000 in a private placement. The private placement warrants (including the common stock issuable upon exercise of the private placement warrants) will not be transferable, assignable or salable until 30 days after the completion of our initial business combination. Otherwise, the private placement warrants have terms and provisions that are identical to those of the warrants sold as part of the units in our IPO, including as to exercisability and exercise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Related Agreements — Forfeiture Agreement</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the Company’s Certificate of Incorporation and Bylaws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Provisions of the DGCL and our current certificate of incorporation and bylaws as well as provisions of the Amended and Restated Certificate of Incorporation could make it more difficult to acquire the post-combination company by means of a tender offer, a proxy contest or otherwise, or to remove incumbent officers and directors. These provisions, summarized below, are intended to discourage coercive takeover practices and inadequate takeover bids and to encourage persons seeking to acquire control of the post-combination company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both our current certificate of incorporation and our Amended and Restated Certificate of Incorporation provide for certain other provisions that may have an anti-takeover effect:</w:t>
      </w:r>
    </w:p>
    <w:p>
      <w:pPr>
        <w:spacing w:after="0" w:line="116" w:lineRule="exact"/>
        <w:rPr>
          <w:sz w:val="20"/>
          <w:szCs w:val="20"/>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There is no cumulative voting with respect to the election of directors.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Our Board is empowered to elect a director to fill a vacancy created by the expansion of the Board or the resignation, death, or removal of a director in certain circumstances.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Directors may only be removed from the Board for cause.</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69" w:lineRule="exact"/>
        <w:rPr>
          <w:rFonts w:ascii="Arial" w:cs="Arial" w:eastAsia="Arial" w:hAnsi="Arial"/>
          <w:sz w:val="16"/>
          <w:szCs w:val="16"/>
          <w:color w:val="auto"/>
        </w:rPr>
      </w:pPr>
    </w:p>
    <w:p>
      <w:pPr>
        <w:jc w:val="both"/>
        <w:ind w:left="660" w:hanging="328"/>
        <w:spacing w:after="0" w:line="296" w:lineRule="auto"/>
        <w:tabs>
          <w:tab w:leader="none" w:pos="6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common stock and preferred stock could render more difficult or discourage an attempt to obtain control of us by means of a proxy contest, tender offer, merger or otherwise.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 Clause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current certificate of incorporation includes and the Amended and Restated Certificate of Incorporation will include a forum selection clause. The Amended and Restated Certificate of Incorporation provides that, subject to limited exceptions, the Court of Chancery of the State of Delaware and federal court within the State of Delaware will be exclusive forums for any</w:t>
      </w:r>
    </w:p>
    <w:p>
      <w:pPr>
        <w:spacing w:after="0" w:line="130" w:lineRule="exact"/>
        <w:rPr>
          <w:sz w:val="20"/>
          <w:szCs w:val="20"/>
          <w:color w:val="auto"/>
        </w:rPr>
      </w:pPr>
    </w:p>
    <w:p>
      <w:pPr>
        <w:ind w:left="660" w:hanging="328"/>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derivative action or proceeding brought on the Company’s behalf;</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director, officer, stockholder, employee or agent of the Company to the Company or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4" w:lineRule="exact"/>
        <w:rPr>
          <w:sz w:val="20"/>
          <w:szCs w:val="20"/>
          <w:color w:val="auto"/>
        </w:rPr>
      </w:pPr>
    </w:p>
    <w:p>
      <w:pPr>
        <w:jc w:val="both"/>
        <w:ind w:left="660" w:hanging="328"/>
        <w:spacing w:after="0" w:line="263"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action asserting a claim against the Company or any director, officer, stockholder, employee or agent of the Company arising pursuant to any provision of the DGCL, the Company’s Amended and Restated Certificate of Incorporation or Bylaws or as to which the DGCL confers jurisdiction on the Court of Chancery of the State of Delaware: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the Amended and Restated Certificate of Incorporation or the Bylaws; 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other action asserting a claim against the Company or any director, officer, stockholder, employee or agent of the Company that is governed by the internal affairs doctrine.</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choice of forum provision does not apply to actions brought to enforce a duty or liability created by the Exchange Act or any other claim for which federal courts have exclusive jurisdiction. Furthermore, in accordance with the post-combination’s company restated bylaws, unless the Company consents in writing to the selection of an alternative forum, the federal district courts of the United States will be, to the fullest extent permitted by law, the exclusive forum for the resolution of any complaint asserting a cause of action arising under the Securities Act. The Company intends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 Please see “</w:t>
      </w:r>
      <w:r>
        <w:rPr>
          <w:rFonts w:ascii="Arial" w:cs="Arial" w:eastAsia="Arial" w:hAnsi="Arial"/>
          <w:sz w:val="17"/>
          <w:szCs w:val="17"/>
          <w:i w:val="1"/>
          <w:iCs w:val="1"/>
          <w:color w:val="auto"/>
        </w:rPr>
        <w:t>Risk Factors — The proposed Amended and Restated Certificate of Incorporation designates the Court of Chancery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 of Delaware and federal court within the State of Delaware as the exclusive forum for certain types of actions and proceedings that the Company’s stockholders may initiate, which could limit a stockholder’s ability to obtain a favorable judicial forum for disputes with the Company or its directors, officers or employees.” </w:t>
      </w:r>
      <w:r>
        <w:rPr>
          <w:rFonts w:ascii="Arial" w:cs="Arial" w:eastAsia="Arial" w:hAnsi="Arial"/>
          <w:sz w:val="17"/>
          <w:szCs w:val="17"/>
          <w:color w:val="auto"/>
        </w:rPr>
        <w:t>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 and Restrictions on the Use of Rule 144 by Shell Companies or Former Shell Companies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Rule 144 of the Securities Act, which we refer to as “Rule 144”, permits the resale of restricted securities without registration under the Securities Act if certain conditions are met. Rule 144 is not available for the resale of restricted securities initially issued by shell companies (other than business combination related shell companies) or issuers that have been at any time previously a shell company, including us. However, Rule 144 also includes an important exception to this prohibition if the following conditions are met at the time of such resale:</w:t>
      </w:r>
    </w:p>
    <w:p>
      <w:pPr>
        <w:spacing w:after="0" w:line="117" w:lineRule="exact"/>
        <w:rPr>
          <w:sz w:val="20"/>
          <w:szCs w:val="20"/>
          <w:color w:val="auto"/>
        </w:rPr>
      </w:pPr>
    </w:p>
    <w:p>
      <w:pPr>
        <w:ind w:left="660" w:hanging="328"/>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following the consummation of the Business Combination, we will no longer be a shell company, and as long as the conditions set forth in the exceptions listed above are satisfied, Rule 144 will become available for the resale of our restricted securities.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the above conditions have been met and Rule 144 is available, a person who has beneficially owned restricted shares of our common stock or warrants for at least one year would be entitled to sell their securities pursuant to Rule 144,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person is not deemed to have been one of our affiliates at the time of, or at any time during the three months preceding, a sale. If such persons are our affiliates at the time of, or at any time during the three months preceding, a sale, such persons would be subject to additional restrictions, by which such person would be entitled to sell within any three-month period only a number of securities that does not exceed the greater of:</w:t>
      </w:r>
    </w:p>
    <w:p>
      <w:pPr>
        <w:spacing w:after="0" w:line="134" w:lineRule="exact"/>
        <w:rPr>
          <w:sz w:val="20"/>
          <w:szCs w:val="20"/>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1% of the total number of shares of common stock or warrants, as applicable, then outstanding;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295</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left="66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stock or warrants, as applicable, during the four calendar weeks preceding the filing of a notice on Form 144 with respect to the sale.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by affiliates under Rule 144, when available, will also limited by manner of sale provisions and notice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the date of this proxy statement, we had 55,343,750 shares of common stock outstanding, of which 44,275,000 shares are freely tradable without restriction or further registration under the Securities Act, except for any shares purchased by one of our affiliates. All of the 11,068,750 Founder Shares owned by our Initial Stockholders are restricted securities under Rule 144, in that they were issued in private transactions not involving a public offering. If the Business Combination is approved, the shares of our common stock we issue to the PIPE Investors pursuant to the Subscription Agreements will be restricted securities for purposes of Rule 144.</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the date of this proxy statement, there are 21,995,000 warrants of the Company outstanding, consisting of 14,758,333 public warrants originally sold as part of the units issued in the Company’s IPO and 7,236,667 private placement warrants that were sold by the Company to our Sponsor in a private sale concurrently with the Company’s IPO (which up to a maximum of 33% of private placement warrants may be automatically cancelled immediately prior to Closing pursuant to the Forfeiture Agreement; for additional information on the potential forfeiture of private placement warrants by the Sponsor,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 Each warrant is exercisable for three-quarters of one share of our common stock, in accordance with the terms of the warrant agreement governing the warrants. The public warrants and are freely tradable, except for any warrants purchased by one of our affiliates within the meaning of Rule 144 under the Securities Act. In addition, we will be obligated to file no later than 15 business days after the Closing, a registration statement under the Securities Act covering the 44,275,000 shares of our Class A common stock that may be issued upon the exercise of the public warrants, and cause such registration statement to become effective and maintain the effectiveness of such registration statement until the expiration of the warrants.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Rule 144 to be available for the resale of the above noted restricted securities as long as the conditions set forth in the exceptions listed above are satisfied following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expiration of the Founder Shares Lock-Up Period, the Private Placement Lock-Up Period or any other applicable lock-up period, holders of at least a majority in interest of the then-outstanding number of registrable securities held by the holders or any holder expecting to sell registrable securities yielding aggregate gross proceeds in excess of $50,000,000 may make a written demand for registration of all or part of their registrable securities. The Company will within five days of the Company’s receipt of the demand, notify, in writing all other Holders of registrable securities of such demand. Each holder who will want to participate in the registration will notify the Company, in writing, within five days after the receipt by the holder of the notice from the Company. Upon receipt by the Company of any such written notification from a holder(s) to the Company such holder(s)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be entitled to have their registrable securities included in a registration more than 60 days immediately after the Company’s receipt of the demand.</w:t>
      </w:r>
    </w:p>
    <w:p>
      <w:pPr>
        <w:spacing w:after="0" w:line="1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Under no circumstances will the Company be obligated to effect more than an aggregate of three registrations pursuant to a demand by the existing holders and an aggregate of five registrations pursuant to a demand by the new holders with respect to any or all registrable securities.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foregoing, (i) the Company shall not be required to give effect to a demand from a holder if the Company has registered registrable securities pursuant to a demand (which has become effective) from such holder in the preceding 120 days, and (ii) the Company’s obligations with respect to any demand will be deemed satisfied so long as the registration statement filed includes all of such holder’s registrable securities and is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a registration statement </w:t>
      </w:r>
      <w:r>
        <w:rPr>
          <w:rFonts w:ascii="Arial" w:cs="Arial" w:eastAsia="Arial" w:hAnsi="Arial"/>
          <w:sz w:val="17"/>
          <w:szCs w:val="17"/>
          <w:i w:val="1"/>
          <w:iCs w:val="1"/>
          <w:color w:val="auto"/>
        </w:rPr>
        <w:t>(a)</w:t>
      </w:r>
      <w:r>
        <w:rPr>
          <w:rFonts w:ascii="Arial" w:cs="Arial" w:eastAsia="Arial" w:hAnsi="Arial"/>
          <w:sz w:val="17"/>
          <w:szCs w:val="17"/>
          <w:color w:val="auto"/>
        </w:rPr>
        <w:t xml:space="preserve"> filed in connection with any employee stock option or other benefit plan, </w:t>
      </w:r>
      <w:r>
        <w:rPr>
          <w:rFonts w:ascii="Arial" w:cs="Arial" w:eastAsia="Arial" w:hAnsi="Arial"/>
          <w:sz w:val="17"/>
          <w:szCs w:val="17"/>
          <w:i w:val="1"/>
          <w:iCs w:val="1"/>
          <w:color w:val="auto"/>
        </w:rPr>
        <w:t>(b)</w:t>
      </w:r>
      <w:r>
        <w:rPr>
          <w:rFonts w:ascii="Arial" w:cs="Arial" w:eastAsia="Arial" w:hAnsi="Arial"/>
          <w:sz w:val="17"/>
          <w:szCs w:val="17"/>
          <w:color w:val="auto"/>
        </w:rPr>
        <w:t xml:space="preserve"> for an exchange offer or offering of securities solely to the Company’s existing stockholders, </w:t>
      </w:r>
      <w:r>
        <w:rPr>
          <w:rFonts w:ascii="Arial" w:cs="Arial" w:eastAsia="Arial" w:hAnsi="Arial"/>
          <w:sz w:val="17"/>
          <w:szCs w:val="17"/>
          <w:i w:val="1"/>
          <w:iCs w:val="1"/>
          <w:color w:val="auto"/>
        </w:rPr>
        <w:t>(c)</w:t>
      </w:r>
      <w:r>
        <w:rPr>
          <w:rFonts w:ascii="Arial" w:cs="Arial" w:eastAsia="Arial" w:hAnsi="Arial"/>
          <w:sz w:val="17"/>
          <w:szCs w:val="17"/>
          <w:color w:val="auto"/>
        </w:rPr>
        <w:t xml:space="preserve"> for an offering solely of debt that is convertible into equity securities of the Company, </w:t>
      </w:r>
      <w:r>
        <w:rPr>
          <w:rFonts w:ascii="Arial" w:cs="Arial" w:eastAsia="Arial" w:hAnsi="Arial"/>
          <w:sz w:val="17"/>
          <w:szCs w:val="17"/>
          <w:i w:val="1"/>
          <w:iCs w:val="1"/>
          <w:color w:val="auto"/>
        </w:rPr>
        <w:t>(d)</w:t>
      </w:r>
      <w:r>
        <w:rPr>
          <w:rFonts w:ascii="Arial" w:cs="Arial" w:eastAsia="Arial" w:hAnsi="Arial"/>
          <w:sz w:val="17"/>
          <w:szCs w:val="17"/>
          <w:color w:val="auto"/>
        </w:rPr>
        <w:t xml:space="preserve"> for a dividend reinvestment plan, </w:t>
      </w:r>
      <w:r>
        <w:rPr>
          <w:rFonts w:ascii="Arial" w:cs="Arial" w:eastAsia="Arial" w:hAnsi="Arial"/>
          <w:sz w:val="17"/>
          <w:szCs w:val="17"/>
          <w:i w:val="1"/>
          <w:iCs w:val="1"/>
          <w:color w:val="auto"/>
        </w:rPr>
        <w:t>(e)</w:t>
      </w:r>
      <w:r>
        <w:rPr>
          <w:rFonts w:ascii="Arial" w:cs="Arial" w:eastAsia="Arial" w:hAnsi="Arial"/>
          <w:sz w:val="17"/>
          <w:szCs w:val="17"/>
          <w:color w:val="auto"/>
        </w:rPr>
        <w:t xml:space="preserve"> for any issuances of securities in connection with a transaction involving a merger, consolidation, sale, exchange, issuance, transfer, reorganization or other extraordinary transaction between the Company or any of its affiliates and any third party, or </w:t>
      </w:r>
      <w:r>
        <w:rPr>
          <w:rFonts w:ascii="Arial" w:cs="Arial" w:eastAsia="Arial" w:hAnsi="Arial"/>
          <w:sz w:val="17"/>
          <w:szCs w:val="17"/>
          <w:i w:val="1"/>
          <w:iCs w:val="1"/>
          <w:color w:val="auto"/>
        </w:rPr>
        <w:t>(f)</w:t>
      </w:r>
      <w:r>
        <w:rPr>
          <w:rFonts w:ascii="Arial" w:cs="Arial" w:eastAsia="Arial" w:hAnsi="Arial"/>
          <w:sz w:val="17"/>
          <w:szCs w:val="17"/>
          <w:color w:val="auto"/>
        </w:rPr>
        <w:t xml:space="preserve"> filed pursuant to subsection 2.1.1 of the registration rights agreement, then, the Company shall give written notice of such proposed filing to all of the holders of registrable securities (excluding the Sponsor with respect to any Registrable Securities (as defined in the Merger Agreement) distributed by the Sponsor to its members following the expiration of the Founder Shares Lock-up Period or the Private Placement Lock-up Period, as applicable) as soon as practicable but not less than 20 days before the anticipated filing date of such Registration Statement. This notice will offer to all of the Holders of Registrable Securities the opportunity to register the sale of such number of Registrable Securities as such Holders may request in writing within five days after receipt of such written notice.</w:t>
      </w:r>
    </w:p>
    <w:p>
      <w:pPr>
        <w:spacing w:after="0" w:line="1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shall, in good faith, cause such Registrable Securities identified in a Holder’s response to be included in such Piggyback Registration and shall use its commercially reasonable efforts to cause the managing underwriter or underwriters of a proposed Underwritten Offering, if any, to permit the Registrable Securities requested by the Holders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will enter into an underwriting agreement in customary form with the underwriter(s) selected for such Underwritten Offering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will, as soon as practicable, but in any event within 30 days after the Business Combination, file a Registration Statement under the Securities Act to permit the public resale of all the registrable securities held by the holders from time to time as permitted by Rule 415 under the Securities Act on the terms and conditions specified in registration rights agreement and will use its commercially reasonable efforts to cause such registration statement to be declared effective as soon as practicable after the filing thereof, but in no event later than the earlier of (i) 60 days following the Business Combination and (ii) five business days after the SEC notifies the Company that it will not review the registration statement.</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Without limiting the foregoing, as soon as practicable, but in no event later than three business days, following the resolution or clearance of all SEC comments or, if applicable, following notification by the SEC that the registration statement will not be subject to review, the Company will file a request for acceleration of effectiveness of such registration statement to a time and date not later than two business days after the submission of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registration statement filed with the SEC will be on Form S-1 or such other form of registration statement as is then available to effect a registration for resale of the registrable securities, provided, that the Company will file, within 30 days of such time as Form S-3 is available for the registration, a post-effective amendment to the registration statement then in effect, or otherwise file a registration statement on Form S-3, registering the registrable securities for resale on Form S-3 (provided that the Company will use commercially reasonable efforts to maintain the effectiveness of the Registration Statement then in effect until such time as a registration statement (or post-effective amendment) on Form S-3 covering such registrable securities has been declared effective by the SEC.</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registration statement will cover all registrable securities, and will contain a prospectus in such form as permits any holder to sell such registrable securities pursuant to Rule 415 under the Securities Act at any time beginning on the effective date for such registration statement and the Company will file with the SEC the final form of such prospectus pursuant to Rule 424 (or successor thereto) under the Securities Act no later than the second Business Day after the Registration Statement becomes effective. The registration statement will provide for the resale pursuant to any method or combination of methods legally available to, and requested by, the holders and will include a customary “plan of distribution”. The Company will use its commercially reasonable efforts to cause the registration statement to remain effective, and to be supplemented and amended to the extent necessary to ensure that the registration statement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registration statement, but in any event within three business days of such date, the Company will notify the Holders of the effectiveness of such registration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Subscription Agreements, the Company, as soon as practicable, but in no event later than 30 calendar days after the Business Combination, will file with the Commission (at the Company’s sole cost and expense) a Registration Statement registering the resale of the Acquired Shares, and the Company will use its commercially reasonable efforts to cause the Registration Statement to be declared effective as soon as practicable after the filing thereof, but no later than the earlier of (i) the 60th calendar day (or 100th calendar day if the Commission notifies the Company that it will “review” the Registration Statement) following the Business Combination and (ii) the tenth business day after the date the Company is notified by the Commission that the Registration Statement will not be “reviewed” or will not be subject to further review. Under no circumstances shall Subscriber be required to sign any type of lock-up agreement.</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the Commission prevents the Company from including any or all of the shares proposed to be registered under the Registration Statement due to limitations on the use of Rule 415 of the Securities Act for the resale of the Acquired Shares by the applicable stockholders or otherwise, such Registration Statement will register for resale such number of Acquired Shares which is equal to the maximum number of Acquired Shares as is permitted by the Commission. In such event, the number of Acquired Shares to be registered for each selling shareholder named in the Registration Statement will be reduced pro rata among all such selling shareholders. In the event the Company amends the Registration Statement in accordance with the foregoing, the Company will use its commercially reasonable efforts to file with the Commission, as promptly as allowed by the Commission, one or more registration statements to register the resale of those Registrable Securities that were not registered on the initial Registration Statement. The Company will use its commercially reasonable efforts to maintain the continuous effectiveness of the Registration Statement until all such securities cease to be Registrable Securities or such shorter period upon which each undersigned party with Registrable Securities included in such Registration Statement have notified the Company that such Registrable Securities have actually been sold.</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provide all customary and commercially reasonable cooperation necessary to enable the holders to resell Registrable Securities pursuant to the Registration Statement or Rule 144 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terms of the warrant agreement pursuant to which the public warrants were issued, the Company agreed that as soon as practicable, but in no event later than 15 business days after the closing of the Business Combination, it will use its best efforts to file with the SEC a registration statement for the registration under the Securities Act of the shares of common stock issuable upon exercise of the warrants. The Company will thereafter use its best efforts to cause the same to become effective within 60 business days following the Business Combination and to maintain a current prospectus relating to the common stock issuable upon exercise of the public warrants, until the expiration of the public warrants in accordance with the provisions of the warrant agreement. If any such registration statement has not been declared effective by the 60th Business Day following the Business Combination, holders of the Warrants shall have the right, during the period beginning on the sixty-first Business Day after the closing of the Business Combination and ending upon such registration statement being declared effective by the Commission, and during any other period when the Company failed to have maintained an effective registration statement covering the issuance of the shares of common stock issuable upon exercise of the Warrants, to exercise such Warrants on a “cashless basis,” by exchanging the Warrants (in accordance with Section 3(a)(9) of the Securities Act or another exemption) in accordance with the provisions of the warrant agreement.</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and (ii) in the event the Company so elects, the Company shall (x) not be required to file or maintain in effect a registration statement for the registration, under the Securities Act, of the shares of common stock issuable upon exercise of the warrants, notwithstanding anything in the warrant agreement to the contrary, and (y) use its commercially reasonable efforts to register or qualify for sale the shares of common stock issuable upon exercise of the public warrant under applicable blue sky laws to the extent an exemption is not available.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apply to list of the post-combination company’s common stock and warrants on Nasdaq under the symbols “SMFR” and “SMFRW,” respectively, upon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regarding (i) the actual beneficial ownership of the common stock of the Company as of March 31, 2021 and (ii) expected beneficial ownership of the common stock of the post-combination company immediately following the Closing, assuming that no public shares are redeemed, and alternatively that 29,474,795 public shares are redeemed, which represents the maximum number of public shares that can be redeemed while satisfying the applicable closing conditions under the Merger Agreement, by:</w:t>
      </w:r>
    </w:p>
    <w:p>
      <w:pPr>
        <w:spacing w:after="0" w:line="117" w:lineRule="exact"/>
        <w:rPr>
          <w:sz w:val="20"/>
          <w:szCs w:val="20"/>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the outstanding common stock of CMLS as of March 31, 2021;</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who may become beneficial owner of more than 5% of outstanding common stock of the post-combination company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of CMLS’s current executive officers and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of CMLS’s current executive officers and directors as a group;</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a director of the post-combination company upon consummation of the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all of the executive officers and directors of the post-combination company as a group after the consummation of the Business Combination.</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record date. Shares subject to warrants or options that are currently exercisable or exercisable within 60 days of the record date or subject to restricted stock units that vest within 60 days of the record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beneficial ownership of shares of common stock prior to the Business Combination is based on 55,343,750 shares of common stock of the Company (including 44,275,000 public shares and 11,068,750 Founder Shares) issued and outstanding as of March 31, 2021.</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none of the public shares are redeemed (the no redemptions scenario) has been determined based upon the following: (i) that no public stockholders exercise their redemption rights, (ii) that none of the investors set forth in the table below has purchased or purchases additional shares of common stock (prior to or after the Business Combination), (iii) that 35,000,000 shares of post-combination company common stock are issued to the PIPE Investors, (iv) that 147,922,735 shares of post-combination company common stock are issued to the former Sema4 equity holders as merger consideration, the former Sema4 equity holders who have elected to receive their pro rata share of Closing Available Cash receive an aggregate of $243.8 million in cash, and 29,120,955 Company Options are issued to the former Sema4 equity award holders, (v) the Sponsor forfeits no Founder Shares pursuant to the terms of the Sponsor Forfeiture Agreement and the remaining Founder Shares convert into 11,068,750 shares of Class A common stock in connection with the Business Combination, and (vi) there will be an aggregate of 238,266,485 shares of the post-combination company’s common stock issued and outstanding at Closing.</w:t>
      </w:r>
    </w:p>
    <w:p>
      <w:pPr>
        <w:spacing w:after="0" w:line="11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expected beneficial ownership of shares of common stock after the Business Combination assuming the maximum number of public shares have been redeemed (the maximum redemption scenario) has been determined based on the following: (i) that holders of 29,474,795 public shares exercise their redemption rights, which represents the maximum number of public shares that can be redeemed while satisfying the applicable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conditions under the Merger Agreement, (ii) that none of the investors set forth in the table below has purchased or purchases additional shares of common stock (prior to or after the Business Combination), (iii) that 35,000,000 shares of post-combination company common stock are issued to the PIPE Investors, (iv) that 172,304,223 shares of post-combination company common stock are issued to the former Sema4 equity holders as merger consideration, the former Sema4 equity holders who have elected to receive their pro rata share of Closing Available Cash receive no cash consideration, and 29,120,955 Company Options are issued to the former Sema4 equity award holders, (v) the Sponsor forfeits an aggregate of 2,439,452 Founder Shares pursuant to the Sponsor Forfeiture Agreement and the remaining Founder Shares convert into 8,629,298 shares of Class A common stock in connection with the Business Combination, and (vi) there will be an aggregate of 230,733,726 shares of the post-combination company’s common stock issued and outstanding at Closing.</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the calculations of the expected number of Company securities to be issued in the Business Combination under each of the no redemptions and maximum redemption scenarios has been determined based upon the number of shares of Sema4 Class A common stock, Sema4 Class B common stock and Sema4 preferred stock and the number of Sema4 Options that were issued and outstanding as of March 31, 2021.</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does not include any Earn-Out Shares that may be issued after the closing of the Business Combination.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noted by footnote, and subject to community property laws where applicable, based on the information provided to CMLS and Sema4, respectively, the persons and entities named in the table below have sole voting and investment power with respect to all shares shown as beneficially owned by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After Business Combination</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9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Prior to Business Combination</w:t>
            </w:r>
          </w:p>
        </w:tc>
        <w:tc>
          <w:tcPr>
            <w:tcW w:w="2840" w:type="dxa"/>
            <w:vAlign w:val="bottom"/>
            <w:gridSpan w:val="4"/>
          </w:tcPr>
          <w:p>
            <w:pPr>
              <w:ind w:left="540"/>
              <w:spacing w:after="0" w:line="135" w:lineRule="exact"/>
              <w:rPr>
                <w:sz w:val="20"/>
                <w:szCs w:val="20"/>
                <w:color w:val="auto"/>
              </w:rPr>
            </w:pPr>
            <w:r>
              <w:rPr>
                <w:rFonts w:ascii="Arial" w:cs="Arial" w:eastAsia="Arial" w:hAnsi="Arial"/>
                <w:sz w:val="14"/>
                <w:szCs w:val="14"/>
                <w:b w:val="1"/>
                <w:bCs w:val="1"/>
                <w:color w:val="auto"/>
              </w:rPr>
              <w:t>Assuming No Redemptions</w:t>
            </w:r>
          </w:p>
        </w:tc>
        <w:tc>
          <w:tcPr>
            <w:tcW w:w="19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96"/>
        </w:trPr>
        <w:tc>
          <w:tcPr>
            <w:tcW w:w="1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restart"/>
          </w:tcPr>
          <w:p>
            <w:pPr>
              <w:jc w:val="center"/>
              <w:ind w:left="408"/>
              <w:spacing w:after="0"/>
              <w:rPr>
                <w:sz w:val="20"/>
                <w:szCs w:val="20"/>
                <w:color w:val="auto"/>
              </w:rPr>
            </w:pPr>
            <w:r>
              <w:rPr>
                <w:rFonts w:ascii="Arial" w:cs="Arial" w:eastAsia="Arial" w:hAnsi="Arial"/>
                <w:sz w:val="14"/>
                <w:szCs w:val="14"/>
                <w:b w:val="1"/>
                <w:bCs w:val="1"/>
                <w:color w:val="auto"/>
                <w:w w:val="90"/>
              </w:rPr>
              <w:t>Redemptions</w:t>
            </w: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8"/>
                <w:szCs w:val="18"/>
                <w:b w:val="1"/>
                <w:bCs w:val="1"/>
                <w:color w:val="auto"/>
                <w:vertAlign w:val="superscript"/>
              </w:rPr>
              <w:t>(1)</w:t>
            </w: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Borders>
              <w:bottom w:val="single" w:sz="8" w:color="auto"/>
            </w:tcBorders>
            <w:gridSpan w:val="2"/>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3480" w:type="dxa"/>
            <w:vAlign w:val="bottom"/>
            <w:gridSpan w:val="2"/>
            <w:vMerge w:val="continue"/>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20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52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48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Arial" w:cs="Arial" w:eastAsia="Arial" w:hAnsi="Arial"/>
                <w:sz w:val="14"/>
                <w:szCs w:val="14"/>
                <w:i w:val="1"/>
                <w:iCs w:val="1"/>
                <w:color w:val="auto"/>
              </w:rPr>
              <w:t xml:space="preserve">CMLS Holdings LLC </w:t>
            </w:r>
            <w:r>
              <w:rPr>
                <w:rFonts w:ascii="Arial" w:cs="Arial" w:eastAsia="Arial" w:hAnsi="Arial"/>
                <w:sz w:val="18"/>
                <w:szCs w:val="18"/>
                <w:i w:val="1"/>
                <w:iCs w:val="1"/>
                <w:color w:val="auto"/>
                <w:vertAlign w:val="superscript"/>
              </w:rPr>
              <w:t>(2)</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ind w:right="508"/>
              <w:spacing w:after="0"/>
              <w:rPr>
                <w:sz w:val="20"/>
                <w:szCs w:val="20"/>
                <w:color w:val="auto"/>
              </w:rPr>
            </w:pPr>
            <w:r>
              <w:rPr>
                <w:rFonts w:ascii="Arial" w:cs="Arial" w:eastAsia="Arial" w:hAnsi="Arial"/>
                <w:sz w:val="14"/>
                <w:szCs w:val="14"/>
                <w:color w:val="auto"/>
                <w:w w:val="92"/>
              </w:rPr>
              <w:t>4.8</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Keith A. Meister</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Brian Emes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Shaun Rodriguez</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Sean George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Munib Islam</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6"/>
              </w:rPr>
              <w:t>All directors and officers of the Company as a Group prior</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11,068,750</w:t>
            </w:r>
          </w:p>
        </w:tc>
        <w:tc>
          <w:tcPr>
            <w:tcW w:w="1220" w:type="dxa"/>
            <w:vAlign w:val="bottom"/>
            <w:gridSpan w:val="2"/>
            <w:vMerge w:val="restart"/>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3"/>
              </w:rPr>
              <w:t>8,629,298</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to the Business Combination (eight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Directors and officers after the Business Combination:</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Eric Schadt</w:t>
            </w:r>
            <w:r>
              <w:rPr>
                <w:rFonts w:ascii="Arial" w:cs="Arial" w:eastAsia="Arial" w:hAnsi="Arial"/>
                <w:sz w:val="18"/>
                <w:szCs w:val="18"/>
                <w:color w:val="auto"/>
                <w:vertAlign w:val="superscript"/>
              </w:rPr>
              <w:t>(3)</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2.7</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6,437,494</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2.9</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Isaac Ro</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Shawn Assad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Daniel Clark</w:t>
            </w:r>
            <w:r>
              <w:rPr>
                <w:rFonts w:ascii="Arial" w:cs="Arial" w:eastAsia="Arial" w:hAnsi="Arial"/>
                <w:sz w:val="18"/>
                <w:szCs w:val="18"/>
                <w:color w:val="auto"/>
                <w:vertAlign w:val="superscript"/>
              </w:rPr>
              <w:t>(4)</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1,296,449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James Coffin</w:t>
            </w:r>
            <w:r>
              <w:rPr>
                <w:rFonts w:ascii="Arial" w:cs="Arial" w:eastAsia="Arial" w:hAnsi="Arial"/>
                <w:sz w:val="18"/>
                <w:szCs w:val="18"/>
                <w:color w:val="auto"/>
                <w:vertAlign w:val="superscript"/>
              </w:rPr>
              <w:t>(5)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color w:val="auto"/>
                <w:w w:val="92"/>
              </w:rPr>
              <w:t>1.0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2,252,860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Anthony Prentice</w:t>
            </w:r>
            <w:r>
              <w:rPr>
                <w:rFonts w:ascii="Arial" w:cs="Arial" w:eastAsia="Arial" w:hAnsi="Arial"/>
                <w:sz w:val="18"/>
                <w:szCs w:val="18"/>
                <w:color w:val="auto"/>
                <w:vertAlign w:val="superscript"/>
              </w:rPr>
              <w:t>(6)</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2,016,767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Kareem Saad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Karen White</w:t>
            </w:r>
            <w:r>
              <w:rPr>
                <w:rFonts w:ascii="Arial" w:cs="Arial" w:eastAsia="Arial" w:hAnsi="Arial"/>
                <w:sz w:val="18"/>
                <w:szCs w:val="18"/>
                <w:color w:val="auto"/>
                <w:vertAlign w:val="superscript"/>
              </w:rPr>
              <w:t>(7)</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25,767</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25,767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Dennis Charney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Eli D. Casdin</w:t>
            </w:r>
            <w:r>
              <w:rPr>
                <w:rFonts w:ascii="Arial" w:cs="Arial" w:eastAsia="Arial" w:hAnsi="Arial"/>
                <w:sz w:val="18"/>
                <w:szCs w:val="18"/>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w w:val="87"/>
              </w:rPr>
              <w:t>19.9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10,993,750</w:t>
            </w:r>
          </w:p>
        </w:tc>
        <w:tc>
          <w:tcPr>
            <w:tcW w:w="1220" w:type="dxa"/>
            <w:vAlign w:val="bottom"/>
            <w:gridSpan w:val="2"/>
            <w:shd w:val="clear" w:color="auto" w:fill="CCEEFF"/>
          </w:tcPr>
          <w:p>
            <w:pPr>
              <w:jc w:val="center"/>
              <w:ind w:right="408"/>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8,070,288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Emily Leproust</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tcPr>
          <w:p>
            <w:pPr>
              <w:spacing w:after="0"/>
              <w:rPr>
                <w:sz w:val="16"/>
                <w:szCs w:val="16"/>
                <w:color w:val="auto"/>
              </w:rPr>
            </w:pPr>
          </w:p>
        </w:tc>
        <w:tc>
          <w:tcPr>
            <w:tcW w:w="1200" w:type="dxa"/>
            <w:vAlign w:val="bottom"/>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Pellini</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6"/>
        </w:trPr>
        <w:tc>
          <w:tcPr>
            <w:tcW w:w="3480" w:type="dxa"/>
            <w:vAlign w:val="bottom"/>
            <w:gridSpan w:val="2"/>
          </w:tcPr>
          <w:p>
            <w:pPr>
              <w:ind w:left="20"/>
              <w:spacing w:after="0"/>
              <w:rPr>
                <w:sz w:val="20"/>
                <w:szCs w:val="20"/>
                <w:color w:val="auto"/>
              </w:rPr>
            </w:pPr>
            <w:r>
              <w:rPr>
                <w:rFonts w:ascii="Arial" w:cs="Arial" w:eastAsia="Arial" w:hAnsi="Arial"/>
                <w:sz w:val="14"/>
                <w:szCs w:val="14"/>
                <w:color w:val="auto"/>
              </w:rPr>
              <w:t>Jason Ryan</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220" w:type="dxa"/>
            <w:vAlign w:val="bottom"/>
            <w:gridSpan w:val="2"/>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68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Rachel Sherman</w:t>
            </w:r>
            <w:r>
              <w:rPr>
                <w:rFonts w:ascii="Arial" w:cs="Arial" w:eastAsia="Arial" w:hAnsi="Arial"/>
                <w:sz w:val="18"/>
                <w:szCs w:val="18"/>
                <w:color w:val="auto"/>
                <w:vertAlign w:val="superscript"/>
              </w:rPr>
              <w:t>(8)</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0"/>
              </w:rPr>
              <w:t>113,519</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center"/>
              <w:ind w:right="4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25,000</w:t>
            </w:r>
          </w:p>
        </w:tc>
        <w:tc>
          <w:tcPr>
            <w:tcW w:w="1220" w:type="dxa"/>
            <w:vAlign w:val="bottom"/>
            <w:gridSpan w:val="2"/>
            <w:shd w:val="clear" w:color="auto" w:fill="CCEEFF"/>
          </w:tcPr>
          <w:p>
            <w:pPr>
              <w:jc w:val="center"/>
              <w:ind w:right="38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25,000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80" w:type="dxa"/>
            <w:vAlign w:val="bottom"/>
            <w:gridSpan w:val="2"/>
          </w:tcPr>
          <w:p>
            <w:pPr>
              <w:ind w:left="20"/>
              <w:spacing w:after="0" w:line="135" w:lineRule="exact"/>
              <w:rPr>
                <w:sz w:val="20"/>
                <w:szCs w:val="20"/>
                <w:color w:val="auto"/>
              </w:rPr>
            </w:pPr>
            <w:r>
              <w:rPr>
                <w:rFonts w:ascii="Arial" w:cs="Arial" w:eastAsia="Arial" w:hAnsi="Arial"/>
                <w:sz w:val="14"/>
                <w:szCs w:val="14"/>
                <w:i w:val="1"/>
                <w:iCs w:val="1"/>
                <w:color w:val="auto"/>
                <w:w w:val="98"/>
              </w:rPr>
              <w:t>All directors and officers after the Business Combination</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11.042,750</w:t>
            </w:r>
          </w:p>
        </w:tc>
        <w:tc>
          <w:tcPr>
            <w:tcW w:w="100" w:type="dxa"/>
            <w:vAlign w:val="bottom"/>
          </w:tcPr>
          <w:p>
            <w:pPr>
              <w:spacing w:after="0"/>
              <w:rPr>
                <w:sz w:val="11"/>
                <w:szCs w:val="11"/>
                <w:color w:val="auto"/>
              </w:rPr>
            </w:pPr>
          </w:p>
        </w:tc>
        <w:tc>
          <w:tcPr>
            <w:tcW w:w="1200" w:type="dxa"/>
            <w:vAlign w:val="bottom"/>
            <w:vMerge w:val="restart"/>
          </w:tcPr>
          <w:p>
            <w:pPr>
              <w:jc w:val="center"/>
              <w:ind w:right="488"/>
              <w:spacing w:after="0"/>
              <w:rPr>
                <w:sz w:val="20"/>
                <w:szCs w:val="20"/>
                <w:color w:val="auto"/>
              </w:rPr>
            </w:pPr>
            <w:r>
              <w:rPr>
                <w:rFonts w:ascii="Arial" w:cs="Arial" w:eastAsia="Arial" w:hAnsi="Arial"/>
                <w:sz w:val="14"/>
                <w:szCs w:val="14"/>
                <w:color w:val="auto"/>
                <w:w w:val="87"/>
              </w:rPr>
              <w:t>20.0</w:t>
            </w: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1"/>
              </w:rPr>
              <w:t>23,186,606</w:t>
            </w:r>
          </w:p>
        </w:tc>
        <w:tc>
          <w:tcPr>
            <w:tcW w:w="122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87"/>
              </w:rPr>
              <w:t>10.0</w:t>
            </w:r>
          </w:p>
        </w:tc>
        <w:tc>
          <w:tcPr>
            <w:tcW w:w="100" w:type="dxa"/>
            <w:vAlign w:val="bottom"/>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w w:val="94"/>
              </w:rPr>
              <w:t>20,263,144</w:t>
            </w:r>
          </w:p>
        </w:tc>
        <w:tc>
          <w:tcPr>
            <w:tcW w:w="100" w:type="dxa"/>
            <w:vAlign w:val="bottom"/>
          </w:tcPr>
          <w:p>
            <w:pPr>
              <w:spacing w:after="0"/>
              <w:rPr>
                <w:sz w:val="11"/>
                <w:szCs w:val="11"/>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color w:val="auto"/>
                <w:w w:val="92"/>
              </w:rPr>
              <w:t>9.0</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as a group (16 persons)</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Five Percent Holders:</w:t>
            </w: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Blackstone Group Inc.</w:t>
            </w:r>
            <w:r>
              <w:rPr>
                <w:rFonts w:ascii="Arial" w:cs="Arial" w:eastAsia="Arial" w:hAnsi="Arial"/>
                <w:sz w:val="18"/>
                <w:szCs w:val="18"/>
                <w:color w:val="auto"/>
                <w:vertAlign w:val="superscript"/>
              </w:rPr>
              <w:t>(9)</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89" w:lineRule="exact"/>
              <w:rPr>
                <w:sz w:val="20"/>
                <w:szCs w:val="20"/>
                <w:color w:val="auto"/>
              </w:rPr>
            </w:pPr>
            <w:r>
              <w:rPr>
                <w:rFonts w:ascii="Arial" w:cs="Arial" w:eastAsia="Arial" w:hAnsi="Arial"/>
                <w:sz w:val="14"/>
                <w:szCs w:val="14"/>
                <w:color w:val="auto"/>
                <w:w w:val="87"/>
              </w:rPr>
              <w:t>23,949,870</w:t>
            </w:r>
            <w:r>
              <w:rPr>
                <w:rFonts w:ascii="Arial" w:cs="Arial" w:eastAsia="Arial" w:hAnsi="Arial"/>
                <w:sz w:val="18"/>
                <w:szCs w:val="18"/>
                <w:color w:val="auto"/>
                <w:w w:val="87"/>
                <w:vertAlign w:val="superscript"/>
              </w:rPr>
              <w:t>(10)</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6"/>
                <w:szCs w:val="16"/>
                <w:color w:val="auto"/>
              </w:rPr>
            </w:pPr>
          </w:p>
        </w:tc>
        <w:tc>
          <w:tcPr>
            <w:tcW w:w="1380" w:type="dxa"/>
            <w:vAlign w:val="bottom"/>
          </w:tcPr>
          <w:p>
            <w:pPr>
              <w:jc w:val="center"/>
              <w:spacing w:after="0" w:line="189" w:lineRule="exact"/>
              <w:rPr>
                <w:sz w:val="20"/>
                <w:szCs w:val="20"/>
                <w:color w:val="auto"/>
              </w:rPr>
            </w:pPr>
            <w:r>
              <w:rPr>
                <w:rFonts w:ascii="Arial" w:cs="Arial" w:eastAsia="Arial" w:hAnsi="Arial"/>
                <w:sz w:val="14"/>
                <w:szCs w:val="14"/>
                <w:color w:val="auto"/>
                <w:w w:val="87"/>
              </w:rPr>
              <w:t>29,902,446</w:t>
            </w:r>
            <w:r>
              <w:rPr>
                <w:rFonts w:ascii="Arial" w:cs="Arial" w:eastAsia="Arial" w:hAnsi="Arial"/>
                <w:sz w:val="18"/>
                <w:szCs w:val="18"/>
                <w:color w:val="auto"/>
                <w:w w:val="87"/>
                <w:vertAlign w:val="superscript"/>
              </w:rPr>
              <w:t>(11)</w:t>
            </w:r>
          </w:p>
        </w:tc>
        <w:tc>
          <w:tcPr>
            <w:tcW w:w="1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13.8</w:t>
            </w:r>
          </w:p>
        </w:tc>
        <w:tc>
          <w:tcPr>
            <w:tcW w:w="0" w:type="dxa"/>
            <w:vAlign w:val="bottom"/>
          </w:tcPr>
          <w:p>
            <w:pPr>
              <w:spacing w:after="0"/>
              <w:rPr>
                <w:sz w:val="1"/>
                <w:szCs w:val="1"/>
                <w:color w:val="auto"/>
              </w:rPr>
            </w:pPr>
          </w:p>
        </w:tc>
      </w:tr>
      <w:tr>
        <w:trPr>
          <w:trHeight w:val="135"/>
        </w:trPr>
        <w:tc>
          <w:tcPr>
            <w:tcW w:w="34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Entities affiliated with Deerfield Management Company,</w:t>
            </w:r>
          </w:p>
        </w:tc>
        <w:tc>
          <w:tcPr>
            <w:tcW w:w="16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7"/>
              </w:rPr>
              <w:t>13,849,786</w:t>
            </w:r>
            <w:r>
              <w:rPr>
                <w:rFonts w:ascii="Arial" w:cs="Arial" w:eastAsia="Arial" w:hAnsi="Arial"/>
                <w:sz w:val="18"/>
                <w:szCs w:val="18"/>
                <w:color w:val="auto"/>
                <w:w w:val="87"/>
                <w:vertAlign w:val="superscript"/>
              </w:rPr>
              <w:t>(13)</w:t>
            </w:r>
          </w:p>
        </w:tc>
        <w:tc>
          <w:tcPr>
            <w:tcW w:w="1220" w:type="dxa"/>
            <w:vAlign w:val="bottom"/>
            <w:gridSpan w:val="2"/>
            <w:vMerge w:val="restart"/>
            <w:shd w:val="clear" w:color="auto" w:fill="CCEEFF"/>
          </w:tcPr>
          <w:p>
            <w:pPr>
              <w:jc w:val="center"/>
              <w:ind w:right="408"/>
              <w:spacing w:after="0"/>
              <w:rPr>
                <w:sz w:val="20"/>
                <w:szCs w:val="20"/>
                <w:color w:val="auto"/>
              </w:rPr>
            </w:pPr>
            <w:r>
              <w:rPr>
                <w:rFonts w:ascii="Arial" w:cs="Arial" w:eastAsia="Arial" w:hAnsi="Arial"/>
                <w:sz w:val="14"/>
                <w:szCs w:val="14"/>
                <w:color w:val="auto"/>
                <w:w w:val="92"/>
              </w:rPr>
              <w:t>5.9</w:t>
            </w:r>
          </w:p>
        </w:tc>
        <w:tc>
          <w:tcPr>
            <w:tcW w:w="10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13,849,786</w:t>
            </w:r>
            <w:r>
              <w:rPr>
                <w:rFonts w:ascii="Arial" w:cs="Arial" w:eastAsia="Arial" w:hAnsi="Arial"/>
                <w:sz w:val="18"/>
                <w:szCs w:val="18"/>
                <w:color w:val="auto"/>
                <w:w w:val="89"/>
                <w:vertAlign w:val="superscript"/>
              </w:rPr>
              <w:t>(14)</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3340" w:type="dxa"/>
            <w:vAlign w:val="bottom"/>
            <w:shd w:val="clear" w:color="auto" w:fill="CCEEFF"/>
          </w:tcPr>
          <w:p>
            <w:pPr>
              <w:ind w:left="40"/>
              <w:spacing w:after="0" w:line="189" w:lineRule="exact"/>
              <w:rPr>
                <w:sz w:val="20"/>
                <w:szCs w:val="20"/>
                <w:color w:val="auto"/>
              </w:rPr>
            </w:pPr>
            <w:r>
              <w:rPr>
                <w:rFonts w:ascii="Arial" w:cs="Arial" w:eastAsia="Arial" w:hAnsi="Arial"/>
                <w:sz w:val="21"/>
                <w:szCs w:val="21"/>
                <w:color w:val="auto"/>
                <w:vertAlign w:val="subscript"/>
              </w:rPr>
              <w:t>L.P.</w:t>
            </w:r>
            <w:r>
              <w:rPr>
                <w:rFonts w:ascii="Arial" w:cs="Arial" w:eastAsia="Arial" w:hAnsi="Arial"/>
                <w:sz w:val="8"/>
                <w:szCs w:val="8"/>
                <w:color w:val="auto"/>
              </w:rPr>
              <w:t>(12)</w:t>
            </w:r>
          </w:p>
        </w:tc>
        <w:tc>
          <w:tcPr>
            <w:tcW w:w="166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480" w:type="dxa"/>
            <w:vAlign w:val="bottom"/>
            <w:gridSpan w:val="2"/>
          </w:tcPr>
          <w:p>
            <w:pPr>
              <w:ind w:left="20"/>
              <w:spacing w:after="0" w:line="170" w:lineRule="exact"/>
              <w:rPr>
                <w:sz w:val="20"/>
                <w:szCs w:val="20"/>
                <w:color w:val="auto"/>
              </w:rPr>
            </w:pPr>
            <w:r>
              <w:rPr>
                <w:rFonts w:ascii="Arial" w:cs="Arial" w:eastAsia="Arial" w:hAnsi="Arial"/>
                <w:sz w:val="14"/>
                <w:szCs w:val="14"/>
                <w:color w:val="auto"/>
              </w:rPr>
              <w:t>Icahn School of Medicine at Mount Sinai</w:t>
            </w:r>
            <w:r>
              <w:rPr>
                <w:rFonts w:ascii="Arial" w:cs="Arial" w:eastAsia="Arial" w:hAnsi="Arial"/>
                <w:sz w:val="18"/>
                <w:szCs w:val="18"/>
                <w:color w:val="auto"/>
                <w:vertAlign w:val="superscript"/>
              </w:rPr>
              <w:t>(15)</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70" w:lineRule="exact"/>
              <w:rPr>
                <w:sz w:val="20"/>
                <w:szCs w:val="20"/>
                <w:color w:val="auto"/>
              </w:rPr>
            </w:pPr>
            <w:r>
              <w:rPr>
                <w:rFonts w:ascii="Arial" w:cs="Arial" w:eastAsia="Arial" w:hAnsi="Arial"/>
                <w:sz w:val="14"/>
                <w:szCs w:val="14"/>
                <w:color w:val="auto"/>
                <w:w w:val="87"/>
              </w:rPr>
              <w:t>83,402,170</w:t>
            </w:r>
            <w:r>
              <w:rPr>
                <w:rFonts w:ascii="Arial" w:cs="Arial" w:eastAsia="Arial" w:hAnsi="Arial"/>
                <w:sz w:val="18"/>
                <w:szCs w:val="18"/>
                <w:color w:val="auto"/>
                <w:w w:val="87"/>
                <w:vertAlign w:val="superscript"/>
              </w:rPr>
              <w:t>(16)</w:t>
            </w:r>
          </w:p>
        </w:tc>
        <w:tc>
          <w:tcPr>
            <w:tcW w:w="1220" w:type="dxa"/>
            <w:vAlign w:val="bottom"/>
            <w:gridSpan w:val="2"/>
          </w:tcPr>
          <w:p>
            <w:pPr>
              <w:jc w:val="center"/>
              <w:ind w:right="388"/>
              <w:spacing w:after="0"/>
              <w:rPr>
                <w:sz w:val="20"/>
                <w:szCs w:val="20"/>
                <w:color w:val="auto"/>
              </w:rPr>
            </w:pPr>
            <w:r>
              <w:rPr>
                <w:rFonts w:ascii="Arial" w:cs="Arial" w:eastAsia="Arial" w:hAnsi="Arial"/>
                <w:sz w:val="14"/>
                <w:szCs w:val="14"/>
                <w:color w:val="auto"/>
                <w:w w:val="87"/>
              </w:rPr>
              <w:t>35.8</w:t>
            </w:r>
          </w:p>
        </w:tc>
        <w:tc>
          <w:tcPr>
            <w:tcW w:w="100" w:type="dxa"/>
            <w:vAlign w:val="bottom"/>
          </w:tcPr>
          <w:p>
            <w:pPr>
              <w:spacing w:after="0"/>
              <w:rPr>
                <w:sz w:val="14"/>
                <w:szCs w:val="14"/>
                <w:color w:val="auto"/>
              </w:rPr>
            </w:pPr>
          </w:p>
        </w:tc>
        <w:tc>
          <w:tcPr>
            <w:tcW w:w="1380" w:type="dxa"/>
            <w:vAlign w:val="bottom"/>
          </w:tcPr>
          <w:p>
            <w:pPr>
              <w:jc w:val="center"/>
              <w:spacing w:after="0" w:line="170" w:lineRule="exact"/>
              <w:rPr>
                <w:sz w:val="20"/>
                <w:szCs w:val="20"/>
                <w:color w:val="auto"/>
              </w:rPr>
            </w:pPr>
            <w:r>
              <w:rPr>
                <w:rFonts w:ascii="Arial" w:cs="Arial" w:eastAsia="Arial" w:hAnsi="Arial"/>
                <w:sz w:val="14"/>
                <w:szCs w:val="14"/>
                <w:color w:val="auto"/>
                <w:w w:val="86"/>
              </w:rPr>
              <w:t>105,441,409</w:t>
            </w:r>
            <w:r>
              <w:rPr>
                <w:rFonts w:ascii="Arial" w:cs="Arial" w:eastAsia="Arial" w:hAnsi="Arial"/>
                <w:sz w:val="18"/>
                <w:szCs w:val="18"/>
                <w:color w:val="auto"/>
                <w:w w:val="86"/>
                <w:vertAlign w:val="superscript"/>
              </w:rPr>
              <w:t>(17)</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w w:val="87"/>
              </w:rPr>
              <w:t>48.6</w:t>
            </w:r>
          </w:p>
        </w:tc>
        <w:tc>
          <w:tcPr>
            <w:tcW w:w="0" w:type="dxa"/>
            <w:vAlign w:val="bottom"/>
          </w:tcPr>
          <w:p>
            <w:pPr>
              <w:spacing w:after="0"/>
              <w:rPr>
                <w:sz w:val="1"/>
                <w:szCs w:val="1"/>
                <w:color w:val="auto"/>
              </w:rPr>
            </w:pPr>
          </w:p>
        </w:tc>
      </w:tr>
      <w:tr>
        <w:trPr>
          <w:trHeight w:val="162"/>
        </w:trPr>
        <w:tc>
          <w:tcPr>
            <w:tcW w:w="348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340" w:type="dxa"/>
            <w:vAlign w:val="bottom"/>
          </w:tcPr>
          <w:p>
            <w:pPr>
              <w:ind w:left="200"/>
              <w:spacing w:after="0"/>
              <w:rPr>
                <w:sz w:val="20"/>
                <w:szCs w:val="20"/>
                <w:color w:val="auto"/>
              </w:rPr>
            </w:pPr>
            <w:r>
              <w:rPr>
                <w:rFonts w:ascii="Arial" w:cs="Arial" w:eastAsia="Arial" w:hAnsi="Arial"/>
                <w:sz w:val="14"/>
                <w:szCs w:val="14"/>
                <w:color w:val="auto"/>
              </w:rPr>
              <w:t>Less than 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100" w:hanging="332"/>
        <w:spacing w:after="0" w:line="241" w:lineRule="auto"/>
        <w:tabs>
          <w:tab w:leader="none" w:pos="33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Unless otherwise indicated, the business address of each beneficial owner listed in the table below before the Business Combination is c/o Corvex Management LP, Inc., 667 Madison Ave, New York, NY 10065 and the business address of each of the directors and officers after the Business Combination is c/o Sema4 Holdings Corp, 333 Ludlow Street, Stamford, Connecticut 06902.</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247"/>
        </w:numPr>
        <w:rPr>
          <w:rFonts w:ascii="Arial" w:cs="Arial" w:eastAsia="Arial" w:hAnsi="Arial"/>
          <w:sz w:val="14"/>
          <w:szCs w:val="14"/>
          <w:color w:val="auto"/>
        </w:rPr>
      </w:pPr>
      <w:r>
        <w:rPr>
          <w:rFonts w:ascii="Arial" w:cs="Arial" w:eastAsia="Arial" w:hAnsi="Arial"/>
          <w:sz w:val="14"/>
          <w:szCs w:val="14"/>
          <w:color w:val="auto"/>
        </w:rPr>
        <w:t>The Sponsor is the record holder of the shares reported herein. The Board of Managers of the Sponsor is comprised of Mr. Casdin and Mr. Meister who share voting and investment discretion with respect to the common stock held of record by the Sponsor. Messrs. Casdin and Meister disclaim beneficial ownership of these shares except to the extent of their respective pecuniary interests therein.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6,437,494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1,296,449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2,252,860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Consists of 2,016,767 shares of the post-combination company common stock subject to options exercisable within 60 days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39" w:lineRule="exact"/>
        <w:rPr>
          <w:sz w:val="20"/>
          <w:szCs w:val="20"/>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25,767 shares of the post-combination company common stock subject to options exercisable within 60 days of March 31, 2021.</w:t>
      </w:r>
    </w:p>
    <w:p>
      <w:pPr>
        <w:spacing w:after="0" w:line="13"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113,519 shares of the post-combination company common stock subject to options exercisable within 60 days of March 31, 2021.</w:t>
      </w:r>
    </w:p>
    <w:p>
      <w:pPr>
        <w:spacing w:after="0" w:line="1" w:lineRule="exact"/>
        <w:rPr>
          <w:rFonts w:ascii="Arial" w:cs="Arial" w:eastAsia="Arial" w:hAnsi="Arial"/>
          <w:sz w:val="14"/>
          <w:szCs w:val="14"/>
          <w:color w:val="auto"/>
        </w:rPr>
      </w:pPr>
    </w:p>
    <w:p>
      <w:pPr>
        <w:ind w:left="332" w:right="20" w:hanging="332"/>
        <w:spacing w:after="0" w:line="260" w:lineRule="auto"/>
        <w:tabs>
          <w:tab w:leader="none" w:pos="324" w:val="left"/>
        </w:tabs>
        <w:numPr>
          <w:ilvl w:val="0"/>
          <w:numId w:val="248"/>
        </w:numPr>
        <w:rPr>
          <w:rFonts w:ascii="Arial" w:cs="Arial" w:eastAsia="Arial" w:hAnsi="Arial"/>
          <w:sz w:val="13"/>
          <w:szCs w:val="13"/>
          <w:color w:val="auto"/>
        </w:rPr>
      </w:pPr>
      <w:r>
        <w:rPr>
          <w:rFonts w:ascii="Arial" w:cs="Arial" w:eastAsia="Arial" w:hAnsi="Arial"/>
          <w:sz w:val="13"/>
          <w:szCs w:val="13"/>
          <w:color w:val="auto"/>
        </w:rPr>
        <w:t>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ind w:left="332"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23,326,038 shares of post-combination company common stock to be held by BTO Sema4 Holdings L.P., 482,778 shares of post-combination company common stock to be held by Blackstone Tactical Opportunities Fund - FD L.P. and 141,054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hanging="332"/>
        <w:spacing w:after="0" w:line="241" w:lineRule="auto"/>
        <w:tabs>
          <w:tab w:leader="none" w:pos="323"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29,123,564 shares of post-combination company common stock to be held by BTO Sema4 Holdings L.P., 602,770 shares of post-combination company common stock to be held by Blackstone Tactical Opportunities Fund - FD L.P. and 176,112 shares of post-combination company common stock to be held by Blackstone Family Tactical Opportunities Investment Partnership III ESC L.P.</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 w:lineRule="exact"/>
        <w:rPr>
          <w:rFonts w:ascii="Arial" w:cs="Arial" w:eastAsia="Arial" w:hAnsi="Arial"/>
          <w:sz w:val="14"/>
          <w:szCs w:val="14"/>
          <w:color w:val="auto"/>
        </w:rPr>
      </w:pPr>
    </w:p>
    <w:p>
      <w:pPr>
        <w:ind w:left="332" w:right="6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ind w:left="332" w:right="6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6,924,893 shares of post-combination company common stock to be held by Deerfield Partners and 6,924,893 shares of post-combination company common stock to be held by DPDF.</w:t>
      </w:r>
    </w:p>
    <w:p>
      <w:pPr>
        <w:jc w:val="both"/>
        <w:ind w:left="332" w:right="120" w:hanging="332"/>
        <w:spacing w:after="0" w:line="241" w:lineRule="auto"/>
        <w:tabs>
          <w:tab w:leader="none" w:pos="329" w:val="left"/>
        </w:tabs>
        <w:numPr>
          <w:ilvl w:val="0"/>
          <w:numId w:val="248"/>
        </w:numPr>
        <w:rPr>
          <w:rFonts w:ascii="Arial" w:cs="Arial" w:eastAsia="Arial" w:hAnsi="Arial"/>
          <w:sz w:val="14"/>
          <w:szCs w:val="14"/>
          <w:color w:val="auto"/>
        </w:rPr>
      </w:pPr>
      <w:r>
        <w:rPr>
          <w:rFonts w:ascii="Arial" w:cs="Arial" w:eastAsia="Arial" w:hAnsi="Arial"/>
          <w:sz w:val="14"/>
          <w:szCs w:val="14"/>
          <w:color w:val="auto"/>
        </w:rPr>
        <w:t>The shares are held by Icahn School of Medicine at Mount Sinai, or ISMMS, a New York Education Corporation. The responsibility and authority for the voting and investment decisions with respect to the shares of Sema4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83,402,170 shares of post-combination company common stock to be held by Icahn School of Medicine at Mount Sinai.</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8"/>
        </w:numPr>
        <w:rPr>
          <w:rFonts w:ascii="Arial" w:cs="Arial" w:eastAsia="Arial" w:hAnsi="Arial"/>
          <w:sz w:val="14"/>
          <w:szCs w:val="14"/>
          <w:color w:val="auto"/>
        </w:rPr>
      </w:pPr>
      <w:r>
        <w:rPr>
          <w:rFonts w:ascii="Arial" w:cs="Arial" w:eastAsia="Arial" w:hAnsi="Arial"/>
          <w:sz w:val="14"/>
          <w:szCs w:val="14"/>
          <w:color w:val="auto"/>
        </w:rPr>
        <w:t>Consists of 105,441,409 shares of post-combination company common stock to be held by 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12"/>
          </w:cols>
          <w:pgMar w:left="328" w:top="1440" w:right="359" w:bottom="1440" w:gutter="0" w:footer="0" w:header="0"/>
        </w:sectPr>
      </w:pPr>
    </w:p>
    <w:bookmarkStart w:id="313" w:name="page314"/>
    <w:bookmarkEnd w:id="313"/>
    <w:p>
      <w:pPr>
        <w:spacing w:after="0" w:line="14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In August 2020, our Sponsor transferred 25,000 Founder Shares to each of Mr. Islam, Dr. Leproust and Mr. Turner. On September 1, 2020, we effected a 1:1.1 stock split of our Class B common stock, resulting in our Sponsor holding an aggregate of 10,993,750 Founder Shares and there being an aggregate of 11,068,750 Founder Shares outstanding. The purchase price of the Founder Shares was determined by dividing the amount of cash contributed to the Company by the number of Founder Shares issued. The Founder Shares may not, subject to certain limited exceptions, be transferred, assigned or sold by the holder.</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Initial Stockholders have agreed to (i) waive their redemption rights with respect to their Founder Shares and public shares in connection with the completion of our initial business combination, (ii) waive their redemption rights with respect to their Founder Shares and public shares in connection with a stockholder vote to approve an amendment to our current certificate of incorporation to modify the substance or timing of our obligation to redeem 100% of our public shares if we do not complete our initial business combination within 18 months from the closing of the initial public offering or to provide for redemption in connection with a business combination and (iii) waive their rights to liquidating distributions from the Trust Account with respect to their Founder Shares if we fail to complete our initial business combination within 18 months from the closing of the initial public offering, although they will be entitled to liquidating distributions from the Trust Account with respect to any public shares they hold if we fail to complete our initial business combination within the prescribed time frame.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w:t>
      </w:r>
      <w:r>
        <w:rPr>
          <w:rFonts w:ascii="Arial" w:cs="Arial" w:eastAsia="Arial" w:hAnsi="Arial"/>
          <w:sz w:val="17"/>
          <w:szCs w:val="17"/>
          <w:color w:val="auto"/>
        </w:rPr>
        <w:t>For additional information on the potential forfeiture of private placement warrants by the Sponsor, see the section entitled “</w:t>
      </w:r>
      <w:r>
        <w:rPr>
          <w:rFonts w:ascii="Arial" w:cs="Arial" w:eastAsia="Arial" w:hAnsi="Arial"/>
          <w:sz w:val="17"/>
          <w:szCs w:val="17"/>
          <w:i w:val="1"/>
          <w:iCs w:val="1"/>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Combination Proposal — Related Agreements — Forfeiture Agreement</w:t>
      </w:r>
      <w:r>
        <w:rPr>
          <w:rFonts w:ascii="Arial" w:cs="Arial" w:eastAsia="Arial" w:hAnsi="Arial"/>
          <w:sz w:val="17"/>
          <w:szCs w:val="17"/>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holders of the Founder Shares, private placement warrants (and any shares of common stock issuable upon the exercise of the private placement warrants), and securities that may be issued upon conversion of working capital loans are entitled to registration rights pursuant to a registration rights agreement signed February 9, 2021, requiring the Company to register such securities for resale.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termination of the applicable lock-up period. The Company will bear the expenses incurred in connection with the filing of any such registration statements.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Forfeiture Agreement provides that, immediately prior to the Closing, and conditioned and effective upon the Closing, up to a maximum of 33% of private placement warrants held by the Sponsor immediately prior to the Closing, may be automatically cancelled, for no consideration, and shall no longer be outstanding. For additional information on the potential forfeiture of private placement warrants by the Sponsor, see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 Proposal — Related Agreements — Forfeiture Agreement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 Business Combination Registration Rights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Sponsor and certain stockholders will enter into a registration rights agreement (the “Post Business Combination Registration Rights Agreement”) with respect to the Company’s common stock that will be issued and outstanding following the Business Combination. Pursuant to the terms of the Post Business Combination Registration Rights Agreement, the Company will be obligated to file a resale shelf registration statement on behalf of the stockholder parties within 30 calendar days after the Closing. The Post Business Combination Registration Rights Agreement will also provide the parties thereto with demand, “piggy-back” and Form S-3 registration rights, subject to certain minimum requirements and customary conditions. In addition, subject to certain exceptions, each party to the Post Business Combination Registration Rights Agreement will agree for a period of time not to transfer or dispose of the Company’s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September 30, 2020, there were no amounts outstanding under the Working Capital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entered into separate forward purchase agreements with affiliates of the Sponsor, Casdin Capital, LLC (“</w:t>
      </w:r>
      <w:r>
        <w:rPr>
          <w:rFonts w:ascii="Arial" w:cs="Arial" w:eastAsia="Arial" w:hAnsi="Arial"/>
          <w:sz w:val="18"/>
          <w:szCs w:val="18"/>
          <w:i w:val="1"/>
          <w:iCs w:val="1"/>
          <w:color w:val="auto"/>
        </w:rPr>
        <w:t>Casdin</w:t>
      </w:r>
      <w:r>
        <w:rPr>
          <w:rFonts w:ascii="Arial" w:cs="Arial" w:eastAsia="Arial" w:hAnsi="Arial"/>
          <w:sz w:val="18"/>
          <w:szCs w:val="18"/>
          <w:color w:val="auto"/>
        </w:rPr>
        <w:t>”) and Corvex Management LP (“</w:t>
      </w:r>
      <w:r>
        <w:rPr>
          <w:rFonts w:ascii="Arial" w:cs="Arial" w:eastAsia="Arial" w:hAnsi="Arial"/>
          <w:sz w:val="18"/>
          <w:szCs w:val="18"/>
          <w:i w:val="1"/>
          <w:iCs w:val="1"/>
          <w:color w:val="auto"/>
        </w:rPr>
        <w:t>Corvex</w:t>
      </w:r>
      <w:r>
        <w:rPr>
          <w:rFonts w:ascii="Arial" w:cs="Arial" w:eastAsia="Arial" w:hAnsi="Arial"/>
          <w:sz w:val="18"/>
          <w:szCs w:val="18"/>
          <w:color w:val="auto"/>
        </w:rPr>
        <w:t>”),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Business Combination, the Company entered into the Subscription Agreements with the PIPE Investors, pursuant to which, among other things, the Company agreed to issue and sell to the PIPE Investors, in private placements to close immediately prior to the Closing, an aggregate of 35,000,000 shares of common stock at $10.00 per share, for an aggregate purchase price of $350,000,000.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All of the PIPE investors have affirmed to us that the Restatement (as defined below) would not affect the closing of the Transaction. For more information about the Restatement please see the section entitled “</w:t>
      </w:r>
      <w:r>
        <w:rPr>
          <w:rFonts w:ascii="Arial" w:cs="Arial" w:eastAsia="Arial" w:hAnsi="Arial"/>
          <w:sz w:val="17"/>
          <w:szCs w:val="17"/>
          <w:i w:val="1"/>
          <w:iCs w:val="1"/>
          <w:color w:val="auto"/>
        </w:rPr>
        <w:t>Risk Factors — Risks Related to the Company and the Business Combination</w:t>
      </w:r>
      <w:r>
        <w:rPr>
          <w:rFonts w:ascii="Arial" w:cs="Arial" w:eastAsia="Arial" w:hAnsi="Arial"/>
          <w:sz w:val="17"/>
          <w:szCs w:val="17"/>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Policy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consummation of our IPO, we adopted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audit committee, pursuant to a written charter that we adopted prior to the consummation of our IPO, is responsible for reviewing and approving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We also require each of our directors and executive officers to complete a directors’ and officers’ questionnaire that elicits information about related party transactions.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Sema4’s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660" w:hanging="328"/>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Sema4 has been or is to be a participant;</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color w:val="auto"/>
        </w:rPr>
        <w:t>the amount involved exceeded or exceeds $120,000;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4" w:lineRule="exact"/>
        <w:rPr>
          <w:sz w:val="20"/>
          <w:szCs w:val="20"/>
          <w:color w:val="auto"/>
        </w:rPr>
      </w:pPr>
    </w:p>
    <w:p>
      <w:pPr>
        <w:ind w:left="660" w:hanging="328"/>
        <w:spacing w:after="0" w:line="342" w:lineRule="auto"/>
        <w:tabs>
          <w:tab w:leader="none" w:pos="655" w:val="left"/>
        </w:tabs>
        <w:numPr>
          <w:ilvl w:val="0"/>
          <w:numId w:val="250"/>
        </w:numPr>
        <w:rPr>
          <w:rFonts w:ascii="Arial" w:cs="Arial" w:eastAsia="Arial" w:hAnsi="Arial"/>
          <w:sz w:val="16"/>
          <w:szCs w:val="16"/>
          <w:b w:val="1"/>
          <w:bCs w:val="1"/>
          <w:color w:val="auto"/>
        </w:rPr>
      </w:pPr>
      <w:r>
        <w:rPr>
          <w:rFonts w:ascii="Arial" w:cs="Arial" w:eastAsia="Arial" w:hAnsi="Arial"/>
          <w:sz w:val="16"/>
          <w:szCs w:val="16"/>
          <w:color w:val="auto"/>
        </w:rPr>
        <w:t>any of Sema4’s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July 2020, Sema4 sold an aggregate of 197,821 shares of its Series C preferred stock at a purchase price of $613.6743 per share to accredited investors for an aggregate purchase price of approximately $121.4 million. Each share of Sema4’s Series C preferred stock will be cancelled and represent the right to receive a portion of the merger consideration in connection with the completion of the Business Combination, as provided in the Merger Agreement. See “Proposal No.1 – Approval of the Business Combination—The Merger Agreement—Merger Consideration.”</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purchases of shares of Sema4’s Series C preferred stock by its executive officers, directors, and holders of more than 5% of its capital stock.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Shares of Series C Preferred Stock</w:t>
            </w:r>
          </w:p>
        </w:tc>
        <w:tc>
          <w:tcPr>
            <w:tcW w:w="0" w:type="dxa"/>
            <w:vAlign w:val="bottom"/>
          </w:tcPr>
          <w:p>
            <w:pPr>
              <w:spacing w:after="0"/>
              <w:rPr>
                <w:sz w:val="1"/>
                <w:szCs w:val="1"/>
                <w:color w:val="auto"/>
              </w:rPr>
            </w:pPr>
          </w:p>
        </w:tc>
      </w:tr>
      <w:tr>
        <w:trPr>
          <w:trHeight w:val="135"/>
        </w:trPr>
        <w:tc>
          <w:tcPr>
            <w:tcW w:w="7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Shares</w:t>
            </w:r>
          </w:p>
        </w:tc>
        <w:tc>
          <w:tcPr>
            <w:tcW w:w="220" w:type="dxa"/>
            <w:vAlign w:val="bottom"/>
          </w:tcPr>
          <w:p>
            <w:pPr>
              <w:spacing w:after="0"/>
              <w:rPr>
                <w:sz w:val="11"/>
                <w:szCs w:val="11"/>
                <w:color w:val="auto"/>
              </w:rPr>
            </w:pPr>
          </w:p>
        </w:tc>
        <w:tc>
          <w:tcPr>
            <w:tcW w:w="156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89"/>
              </w:rPr>
              <w:t>Aggregate Gross</w:t>
            </w:r>
          </w:p>
        </w:tc>
        <w:tc>
          <w:tcPr>
            <w:tcW w:w="0" w:type="dxa"/>
            <w:vAlign w:val="bottom"/>
          </w:tcPr>
          <w:p>
            <w:pPr>
              <w:spacing w:after="0"/>
              <w:rPr>
                <w:sz w:val="1"/>
                <w:szCs w:val="1"/>
                <w:color w:val="auto"/>
              </w:rPr>
            </w:pPr>
          </w:p>
        </w:tc>
      </w:tr>
      <w:tr>
        <w:trPr>
          <w:trHeight w:val="188"/>
        </w:trPr>
        <w:tc>
          <w:tcPr>
            <w:tcW w:w="78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Consideration ($)</w:t>
            </w:r>
          </w:p>
        </w:tc>
        <w:tc>
          <w:tcPr>
            <w:tcW w:w="0" w:type="dxa"/>
            <w:vAlign w:val="bottom"/>
          </w:tcPr>
          <w:p>
            <w:pPr>
              <w:spacing w:after="0"/>
              <w:rPr>
                <w:sz w:val="1"/>
                <w:szCs w:val="1"/>
                <w:color w:val="auto"/>
              </w:rPr>
            </w:pPr>
          </w:p>
        </w:tc>
      </w:tr>
      <w:tr>
        <w:trPr>
          <w:trHeight w:val="224"/>
        </w:trPr>
        <w:tc>
          <w:tcPr>
            <w:tcW w:w="78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r>
        <w:trPr>
          <w:trHeight w:val="155"/>
        </w:trPr>
        <w:tc>
          <w:tcPr>
            <w:tcW w:w="78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20" w:hanging="332"/>
        <w:spacing w:after="0" w:line="255" w:lineRule="auto"/>
        <w:tabs>
          <w:tab w:leader="none" w:pos="332" w:val="left"/>
        </w:tabs>
        <w:numPr>
          <w:ilvl w:val="0"/>
          <w:numId w:val="251"/>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July 27, 2020, Sema4 entered into a second amended and restated stockholders’ agreement, as amended, or the Stockholders’ Agreement, with certain holders of Sema4’s capital stock. The Stockholders’ Agreement provides for certain customary rights with respect to the management of Sema4, rights of first offer and pre-emptive rights, transfer restrictions, tag-along rights and drag-along rights, which rights and restrictions will terminate upon the consummation of the Business Combination. In addition, the Stockholders’ Agreement provides for certain customary registration rights. In connection with the consummation of the Business Combination, certain stockholders of Sema4 will enter into an amended and restated registration rights agreement with the post-combination company, which will terminate the registration rights under the Stockholders’ Agreement. For a description of the amended and restated registration rights agreement, see the section entitled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 </w:t>
      </w:r>
      <w:r>
        <w:rPr>
          <w:rFonts w:ascii="Arial" w:cs="Arial" w:eastAsia="Arial" w:hAnsi="Arial"/>
          <w:sz w:val="17"/>
          <w:szCs w:val="17"/>
          <w:i w:val="1"/>
          <w:iCs w:val="1"/>
          <w:color w:val="auto"/>
        </w:rPr>
        <w:t>The Company’s Related Party</w:t>
      </w:r>
      <w:r>
        <w:rPr>
          <w:rFonts w:ascii="Arial" w:cs="Arial" w:eastAsia="Arial" w:hAnsi="Arial"/>
          <w:sz w:val="17"/>
          <w:szCs w:val="17"/>
          <w:color w:val="auto"/>
        </w:rPr>
        <w:t xml:space="preserve"> </w:t>
      </w:r>
      <w:r>
        <w:rPr>
          <w:rFonts w:ascii="Arial" w:cs="Arial" w:eastAsia="Arial" w:hAnsi="Arial"/>
          <w:sz w:val="17"/>
          <w:szCs w:val="17"/>
          <w:i w:val="1"/>
          <w:iCs w:val="1"/>
          <w:color w:val="auto"/>
        </w:rPr>
        <w:t>Transactions — Post Business Combination Registration Rights Agreement</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28, 2016, Sema4 entered into a registration rights agreement, or the ISMMS Registration Rights Agreement, with Icahn School of Medicine at Mount Sinai, or ISMMS. The ISMMS Registration Rights Agreement provides for certain customary registration rights. In connection with the consummation of the Business Combination, ISMMS will enter into an amended and restated registration rights agreement with the post-combination company, which will terminate the registration rights under the ISMMS Registration Rights Agreement. For a description of the amended and restated registration rights agreement,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 </w:t>
      </w:r>
      <w:r>
        <w:rPr>
          <w:rFonts w:ascii="Arial" w:cs="Arial" w:eastAsia="Arial" w:hAnsi="Arial"/>
          <w:sz w:val="18"/>
          <w:szCs w:val="18"/>
          <w:i w:val="1"/>
          <w:iCs w:val="1"/>
          <w:color w:val="auto"/>
        </w:rPr>
        <w:t>The Company’s Related Party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Post Business Combination Registration Rights Agreement</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Sema4’s Executive Officers and Directors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Rick Wallsten, the brother of Eric Schadt, Sema4’s Chief Executive Officer and a director, has been employed by Sema4 since November 2017 as a clinical pharmacist. As a clinical pharmacist for Sema4, Mr. Wallsten is responsible for certain aspects of Sema4’s pharmacogenomics program. During the year ended December 31, 2020, Mr. Wallsten had total cash compensation, including base salary and bonus, of $157,620.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Kelly Peterson, the sister of James Coffin, Sema4’s President, Chief Operating Officer and Treasurer, has been employed by Sema4 since February 2019 as an account manager. As an account manager for Sema4, Ms. Peterson is responsible for managing certain of Sema4’s oncology customer accounts. During the year ended December 31, 2020, Ms. Peterson had total cash compensation, including base salary, commission and other compensation, of $160,223.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Sema4 was a party to several space license agreements and continues to be a party to sublease agreements with the Mount Sinai Health System (which we refer to together with its related entities as Mount Sinai) pursuant to which Sema4 leased certain office and laboratory space from Mount Sinai at fair market value, including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these licensed and subleased facilities was $5.9 million for the year ended December 31, 2020 and $1.4 million for the three months ended March 31, 2021. Future minimum lease payments are expected to total $4.8 million related to all facilities subleased by ISMMS to Sema4 for the year ending December 31, 2021. It is expected that the post-combination company will continue to operate out of the office and laboratory space in Stamford, Connecticut for its headquarters and laboratory operations, and certain of the subleased office space in New York, New York, following the completion of the Business Combination.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ISMMS provided transition services, under a transition services agreement and other contractual arrangements with Sema4 for services related to finance (accounts payable &amp; purchasing, general accounting, financial systems, and payroll), real estate management, insurance coverage, compliance, equipment subleases, and IT. The transition services agreement expired on March 28, 2021. Sema4 made direct payments to ISMMS of approximately $3.1 million and $0.7 million for the year ended December 31, 2020 and the three months ended March 31, 2021 pursuant to the transition services agreement. It is expected that Sema4 will negotiate and enter into a new transition services agreement prior to the completion of the Business Combination.</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provides partial reimbursement to Mount Sinai for limited compensation, services, and related expenses for certain individuals employed by Mount Sinai and certain individuals employed at both Mount Sinai and Sema4. For the year ended December 31, 2020 and the three months ended March 31, 2021, the total amount of reimbursement for employee compensation and expenses paid by Sema4 to Mount Sinai was equal to approximately $1.3 million and $0.3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Sema4 provides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Sema4 provides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Sema4 certain rights to use de-identified curated data. The data structuring and curation services agreement has a five-year term and, provided Sema4 is not in default under the terms of the agreement, the agreement may be renewed at Sema4’s option for up to two one-year extension periods. Following the extension periods, the agreement may be further renewed by the mutual agreement of the parties. The agreement may be terminated earlier by Mount Sinai upon certain fundamental breaches by Sema4, by Sema4 upon a breach by Mount Sinai of its material obligations, and by either party if certain insolvency or bankruptcy events occur with respect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Sema4 also receives products and services from Mount Sinai at fair market value, including for certain research and clinical services, development services and lab services, and licenses certain intellectual property from Mount Sinai. Pursuant to these arrangements, Sema4 made direct payments to Mount Sinai of approximately $3.7 million and $0.3 million for the year ended December 31, 2020 and the three months ended March 31, 2021,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Post-Business Combination Arrangements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Business Combination, certain agreements were entered into or will be entered into pursuant to the Merger Agreement. These agreements include:</w:t>
      </w:r>
    </w:p>
    <w:p>
      <w:pPr>
        <w:spacing w:after="0" w:line="116" w:lineRule="exact"/>
        <w:rPr>
          <w:sz w:val="20"/>
          <w:szCs w:val="20"/>
          <w:color w:val="auto"/>
        </w:rPr>
      </w:pPr>
    </w:p>
    <w:p>
      <w:pPr>
        <w:ind w:left="6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Amended and Restated Registration Rights Agreement (see the section entitled “</w:t>
      </w:r>
      <w:r>
        <w:rPr>
          <w:rFonts w:ascii="Arial" w:cs="Arial" w:eastAsia="Arial" w:hAnsi="Arial"/>
          <w:sz w:val="18"/>
          <w:szCs w:val="18"/>
          <w:i w:val="1"/>
          <w:iCs w:val="1"/>
          <w:color w:val="auto"/>
        </w:rPr>
        <w:t>The Business Combination Proposal — Related Agreements —</w:t>
      </w:r>
      <w:r>
        <w:rPr>
          <w:rFonts w:ascii="Arial" w:cs="Arial" w:eastAsia="Arial" w:hAnsi="Arial"/>
          <w:sz w:val="18"/>
          <w:szCs w:val="18"/>
          <w:color w:val="auto"/>
        </w:rPr>
        <w:t xml:space="preserve"> </w:t>
      </w:r>
      <w:r>
        <w:rPr>
          <w:rFonts w:ascii="Arial" w:cs="Arial" w:eastAsia="Arial" w:hAnsi="Arial"/>
          <w:sz w:val="18"/>
          <w:szCs w:val="18"/>
          <w:i w:val="1"/>
          <w:iCs w:val="1"/>
          <w:color w:val="auto"/>
        </w:rPr>
        <w:t>Amended and Restated Registration Rights 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Forfeiture Agreement (see the section entitled “</w:t>
      </w:r>
      <w:r>
        <w:rPr>
          <w:rFonts w:ascii="Arial" w:cs="Arial" w:eastAsia="Arial" w:hAnsi="Arial"/>
          <w:sz w:val="17"/>
          <w:szCs w:val="17"/>
          <w:i w:val="1"/>
          <w:iCs w:val="1"/>
          <w:color w:val="auto"/>
        </w:rPr>
        <w:t>The Business Combination Proposal — Related Agreements — Forfeiture Agreement</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ISMMS Lock-Up Agreement (see the section entitled “</w:t>
      </w:r>
      <w:r>
        <w:rPr>
          <w:rFonts w:ascii="Arial" w:cs="Arial" w:eastAsia="Arial" w:hAnsi="Arial"/>
          <w:sz w:val="18"/>
          <w:szCs w:val="18"/>
          <w:i w:val="1"/>
          <w:iCs w:val="1"/>
          <w:color w:val="auto"/>
        </w:rPr>
        <w:t>The Business Combination Proposal — Related Agreements —ISMMS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Shareholder-Lockup Agreement (see the section entitled “</w:t>
      </w:r>
      <w:r>
        <w:rPr>
          <w:rFonts w:ascii="Arial" w:cs="Arial" w:eastAsia="Arial" w:hAnsi="Arial"/>
          <w:sz w:val="18"/>
          <w:szCs w:val="18"/>
          <w:i w:val="1"/>
          <w:iCs w:val="1"/>
          <w:color w:val="auto"/>
        </w:rPr>
        <w:t>The Business Combination Proposal — Related Agreements —Shareholder-Lockup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Sponsor Support Agreement (see the section entitled “</w:t>
      </w:r>
      <w:r>
        <w:rPr>
          <w:rFonts w:ascii="Arial" w:cs="Arial" w:eastAsia="Arial" w:hAnsi="Arial"/>
          <w:sz w:val="18"/>
          <w:szCs w:val="18"/>
          <w:i w:val="1"/>
          <w:iCs w:val="1"/>
          <w:color w:val="auto"/>
        </w:rPr>
        <w:t>The Business Combination Proposal — Related Agreements — Sponsor Support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Insider Letter (see the section entitled “</w:t>
      </w:r>
      <w:r>
        <w:rPr>
          <w:rFonts w:ascii="Arial" w:cs="Arial" w:eastAsia="Arial" w:hAnsi="Arial"/>
          <w:sz w:val="18"/>
          <w:szCs w:val="18"/>
          <w:i w:val="1"/>
          <w:iCs w:val="1"/>
          <w:color w:val="auto"/>
        </w:rPr>
        <w:t>The Business Combination Proposal — Related Agreements —Insider Letter</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Amended and Restated Certificate of Incorporation, which will be effective upon the completion of the Business Combination, will contain provisions limiting the liability of directors, and Company’s bylaws, which will be effective upon the completion of the Business Combination, will provide that the post-combination company will indemnify each of its directors to the fullest extent permitted under Delaware law. The Amended and Restated Certificate of Incorporation and the bylaws will also provide the board of directors with discretion to indemnify officers and employees when determined appropriate by the post-combination company’s board of directors.</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post-combination company intends to enter into new indemnification agreements with each of its directors and executive officers and certain other key employees. The indemnification agreements will provide that the post-combination company will indemnify each of its directors, executive officers, and such other key employees against any and all expenses incurred by that director, executive officer, or other key employee because of his or her status as one of the post-combination company’s directors, executive officers, or other key employees, to the fullest extent permitted by Delaware law, the Amended and Restated Certificate of Incorporation and the post-combination company’s bylaws. In addition, the indemnification agreements will provide that, to the fullest extent permitted by Delaware law, the post-combination company will advance all expenses incurred by its directors, executive officers, and other key employees in connection with a legal proceeding involving his or her status as a director, executive officer, or key employee.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post-combination company intends to adopt a new written related party transaction policy to be effective upon the completion of the Business Combination. The policy will provide that officers, directors, holders of more than 5% of any class of the post-combination company’s voting securities, and any member of the immediate family of and any entity affiliated with any of the foregoing persons, will not be permitted to enter into a related-party transaction with the post-combination company without the prior consent of the audit committee, or other independent members of the post-combination company’s board of directors in the event it is inappropriate for the audit committee to review such transaction due to a conflict of interest. Any request for the post-combination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TICKER SYMBOL AND DIVIDEND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Price and Ticker Symbol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units, common stock and warrants are currently listed on Nasdaq under the symbols “CMLFU”, “CMLF” and “CMLFW”, respectively.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9, 2021, the trading date before the public announcement of the Business Combination, the Company’s units, common stock and warrants closed at $16.96, $15.52 and $4.70, respectively. On June 25, 2021, the trading date immediately prior to the date of this proxy statement, the Company’s units, common stock and warrants closed at $14.25, $12.66 and $4.48,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April 15, 2021, there was 1 holder of record of our units, 1 holder of record of our common stock, and 4 holders of record of our warrants. The number of holders of record does not include a substantially greater number of “street name” holders or beneficial holders whose units, common stock and warrants are held of record by banks, brokers and other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the Business Combination. The payment of any cash dividends subsequent to the Business Combination will be within the discretion of the post-combination company’s board of directors at such time. We currently expect that the post-combination company will retain future earnings to finance operations and grow its business, and we do not expect the post-combination company to declare or pay cash dividends for the foreseeable future.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public market for shares of Sema4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Representatives of our independent registered public accounting firm, Withum, will be present at the special meeting of the Company’s stockholders. The representatives will have the opportunity to make a statement if they so desire and they are expected to be available to respond to appropriate questions.</w:t>
      </w:r>
    </w:p>
    <w:p>
      <w:pPr>
        <w:spacing w:after="0" w:line="1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Appraisal rights are not available to holders of our shares of common stock in connection with the Business Combination.</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HOUSEHOLDING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8" w:lineRule="exact"/>
        <w:rPr>
          <w:sz w:val="20"/>
          <w:szCs w:val="20"/>
          <w:color w:val="auto"/>
        </w:rPr>
      </w:pPr>
    </w:p>
    <w:p>
      <w:pPr>
        <w:ind w:left="660" w:hanging="328"/>
        <w:spacing w:after="0" w:line="277" w:lineRule="auto"/>
        <w:tabs>
          <w:tab w:leader="none" w:pos="6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the stockholder should contact us at our offices at CM Life Sciences, Inc., 667 Madison Avenue, New York, New York 10065 or by telephone at (212) 474-6745, to inform us of his or her request;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FUTURE STOCKHOLDER PROPOSALS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anticipate that the 2021 annual meeting of stockholders will be held no later than June 2021. For any proposal to be considered for inclusion in the proxy statement and form of proxy for the post-combination company’s 2021 annual meeting of stockholders, it must be submitted in writing and comply with the requirements of Rule 14a-8 of the Exchange Act. Such proposals must be received by the post-combination company at its principal executive offices a reasonable time before the post-combination company begins to print and mail its 2021 annual meeting proxy materials in order to be considered for inclusion in the proxy materials for the 2021 annual meeting.</w:t>
      </w:r>
    </w:p>
    <w:p>
      <w:pPr>
        <w:spacing w:after="0" w:line="1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any other applicable requirements, for business and for nominations to be properly brought before an annual meeting by a stockholder, the post-combination company bylaws will provide that the stockholder must give timely notice in proper written form to our secretary at the post-combination company’s principal executive offices and such business must otherwise be a proper matter for stockholder action. Such notice, to be timely, must be received not less than 90 days nor more than 120 days prior to the first anniversary of the preceding year’s annual meeting (which date shall, for purposes of the annual meeting of the post-combination company in the year of the Business Combination, be deemed to have occurred on May 15 of such year). As a result, any notice given by or on behalf of a shareholder pursuant to these provisions of the post-combination company bylaws (and not</w:t>
      </w:r>
    </w:p>
    <w:p>
      <w:pPr>
        <w:spacing w:after="0" w:line="4" w:lineRule="exact"/>
        <w:rPr>
          <w:sz w:val="20"/>
          <w:szCs w:val="20"/>
          <w:color w:val="auto"/>
        </w:rPr>
      </w:pPr>
    </w:p>
    <w:p>
      <w:pPr>
        <w:spacing w:after="0"/>
        <w:tabs>
          <w:tab w:leader="none" w:pos="4380" w:val="left"/>
          <w:tab w:leader="none" w:pos="6820" w:val="left"/>
        </w:tabs>
        <w:rPr>
          <w:sz w:val="20"/>
          <w:szCs w:val="20"/>
          <w:color w:val="auto"/>
        </w:rPr>
      </w:pPr>
      <w:r>
        <w:rPr>
          <w:rFonts w:ascii="Arial" w:cs="Arial" w:eastAsia="Arial" w:hAnsi="Arial"/>
          <w:sz w:val="18"/>
          <w:szCs w:val="18"/>
          <w:color w:val="auto"/>
        </w:rPr>
        <w:t>pursuant to SEC Rule 14a-8) must be received by [</w:t>
      </w:r>
      <w:r>
        <w:rPr>
          <w:sz w:val="20"/>
          <w:szCs w:val="20"/>
          <w:color w:val="auto"/>
        </w:rPr>
        <w:tab/>
      </w:r>
      <w:r>
        <w:rPr>
          <w:rFonts w:ascii="Arial" w:cs="Arial" w:eastAsia="Arial" w:hAnsi="Arial"/>
          <w:sz w:val="18"/>
          <w:szCs w:val="18"/>
          <w:color w:val="auto"/>
        </w:rPr>
        <w:t>], 2021 (but not before [</w:t>
      </w:r>
      <w:r>
        <w:rPr>
          <w:sz w:val="20"/>
          <w:szCs w:val="20"/>
          <w:color w:val="auto"/>
        </w:rPr>
        <w:tab/>
      </w:r>
      <w:r>
        <w:rPr>
          <w:rFonts w:ascii="Arial" w:cs="Arial" w:eastAsia="Arial" w:hAnsi="Arial"/>
          <w:sz w:val="16"/>
          <w:szCs w:val="16"/>
          <w:color w:val="auto"/>
        </w:rPr>
        <w:t>], 2021). However,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event that the date of the annual meeting is advanced by more than thirty (30) days, or delayed by more than seventy (70) days, a stockholder’s notice must be so received not earlier than the one hundred and twentieth (120th)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Corvex Management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474-6745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Eli Casdin</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may also obtain these documents by requesting them in writing or by telephone from the Company’s proxy solicitation agent at the following address and telephone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D.F. King &amp; Co.,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 Wall Street,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(toll-free): (800) 967-5074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(212) 269-5550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CMLF@dfking.com</w:t>
      </w:r>
    </w:p>
    <w:p>
      <w:pPr>
        <w:spacing w:after="0" w:line="15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Arial" w:cs="Arial" w:eastAsia="Arial" w:hAnsi="Arial"/>
          <w:sz w:val="18"/>
          <w:szCs w:val="18"/>
          <w:color w:val="auto"/>
        </w:rPr>
        <w:t>If you request any documents from us, we will mail them to you by first class mail, or</w:t>
      </w:r>
      <w:r>
        <w:rPr>
          <w:rFonts w:ascii="Arial" w:cs="Arial" w:eastAsia="Arial" w:hAnsi="Arial"/>
          <w:sz w:val="18"/>
          <w:szCs w:val="18"/>
          <w:b w:val="1"/>
          <w:bCs w:val="1"/>
          <w:color w:val="auto"/>
        </w:rPr>
        <w:t xml:space="preserve"> </w:t>
      </w:r>
      <w:r>
        <w:rPr>
          <w:rFonts w:ascii="Arial" w:cs="Arial" w:eastAsia="Arial" w:hAnsi="Arial"/>
          <w:sz w:val="18"/>
          <w:szCs w:val="18"/>
          <w:color w:val="auto"/>
        </w:rPr>
        <w:t>another equally prompt means.</w:t>
      </w:r>
    </w:p>
    <w:p>
      <w:pPr>
        <w:spacing w:after="0" w:line="12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information contained in this proxy statement relating to the Company has been supplied by the Company, and all such information relating to Sema4 has been supplied by Sema4. Information provided by either the Company or Sema4 does not constitute any representation, estimate or projection of any other party.</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document is a proxy statement of the Company for the special meeting. We have not authorized anyone to give any information or make any representation about the transaction, the Company or Sema4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91"/>
              </w:rPr>
              <w:t>Mount Sinai Genomics, Inc.</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4"/>
          </w:tcPr>
          <w:p>
            <w:pPr>
              <w:jc w:val="center"/>
              <w:ind w:right="3620"/>
              <w:spacing w:after="0"/>
              <w:rPr>
                <w:sz w:val="20"/>
                <w:szCs w:val="20"/>
                <w:color w:val="auto"/>
              </w:rPr>
            </w:pPr>
            <w:r>
              <w:rPr>
                <w:rFonts w:ascii="Arial" w:cs="Arial" w:eastAsia="Arial" w:hAnsi="Arial"/>
                <w:sz w:val="18"/>
                <w:szCs w:val="18"/>
                <w:b w:val="1"/>
                <w:bCs w:val="1"/>
                <w:color w:val="auto"/>
                <w:w w:val="89"/>
              </w:rPr>
              <w:t>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89"/>
              </w:rPr>
              <w:t>Years Ended December 31, 2020, 2019 and 2018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83"/>
        </w:trPr>
        <w:tc>
          <w:tcPr>
            <w:tcW w:w="10620" w:type="dxa"/>
            <w:vAlign w:val="bottom"/>
            <w:gridSpan w:val="12"/>
          </w:tcPr>
          <w:p>
            <w:pPr>
              <w:spacing w:after="0" w:line="182" w:lineRule="exact"/>
              <w:rPr>
                <w:rFonts w:ascii="Arial" w:cs="Arial" w:eastAsia="Arial" w:hAnsi="Arial"/>
                <w:sz w:val="18"/>
                <w:szCs w:val="18"/>
                <w:color w:val="0000FF"/>
              </w:rPr>
            </w:pPr>
            <w:hyperlink w:anchor="page324">
              <w:r>
                <w:rPr>
                  <w:rFonts w:ascii="Arial" w:cs="Arial" w:eastAsia="Arial" w:hAnsi="Arial"/>
                  <w:sz w:val="18"/>
                  <w:szCs w:val="18"/>
                  <w:color w:val="0000FF"/>
                </w:rPr>
                <w:t>Report of Independent Registered Public Accounting Firm</w:t>
              </w:r>
            </w:hyperlink>
          </w:p>
        </w:tc>
        <w:tc>
          <w:tcPr>
            <w:tcW w:w="180" w:type="dxa"/>
            <w:vAlign w:val="bottom"/>
          </w:tcPr>
          <w:p>
            <w:pPr>
              <w:spacing w:after="0"/>
              <w:rPr>
                <w:sz w:val="15"/>
                <w:szCs w:val="15"/>
                <w:color w:val="auto"/>
              </w:rPr>
            </w:pPr>
          </w:p>
        </w:tc>
        <w:tc>
          <w:tcPr>
            <w:tcW w:w="420" w:type="dxa"/>
            <w:vAlign w:val="bottom"/>
            <w:gridSpan w:val="2"/>
          </w:tcPr>
          <w:p>
            <w:pPr>
              <w:jc w:val="center"/>
              <w:ind w:right="180"/>
              <w:spacing w:after="0" w:line="182" w:lineRule="exact"/>
              <w:rPr>
                <w:rFonts w:ascii="Arial" w:cs="Arial" w:eastAsia="Arial" w:hAnsi="Arial"/>
                <w:sz w:val="18"/>
                <w:szCs w:val="18"/>
                <w:color w:val="0000FF"/>
                <w:w w:val="88"/>
              </w:rPr>
            </w:pPr>
            <w:hyperlink w:anchor="page324">
              <w:r>
                <w:rPr>
                  <w:rFonts w:ascii="Arial" w:cs="Arial" w:eastAsia="Arial" w:hAnsi="Arial"/>
                  <w:sz w:val="18"/>
                  <w:szCs w:val="18"/>
                  <w:color w:val="0000FF"/>
                  <w:w w:val="88"/>
                </w:rPr>
                <w:t>F-2</w:t>
              </w:r>
            </w:hyperlink>
          </w:p>
        </w:tc>
      </w:tr>
      <w:tr>
        <w:trPr>
          <w:trHeight w:val="249"/>
        </w:trPr>
        <w:tc>
          <w:tcPr>
            <w:tcW w:w="42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6400" w:type="dxa"/>
            <w:vAlign w:val="bottom"/>
            <w:gridSpan w:val="4"/>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r>
      <w:tr>
        <w:trPr>
          <w:trHeight w:val="190"/>
        </w:trPr>
        <w:tc>
          <w:tcPr>
            <w:tcW w:w="1100" w:type="dxa"/>
            <w:vAlign w:val="bottom"/>
          </w:tcPr>
          <w:p>
            <w:pPr>
              <w:spacing w:after="0" w:line="190" w:lineRule="exact"/>
              <w:rPr>
                <w:rFonts w:ascii="Arial" w:cs="Arial" w:eastAsia="Arial" w:hAnsi="Arial"/>
                <w:sz w:val="18"/>
                <w:szCs w:val="18"/>
                <w:color w:val="0000FF"/>
                <w:w w:val="85"/>
              </w:rPr>
            </w:pPr>
            <w:hyperlink w:anchor="page325">
              <w:r>
                <w:rPr>
                  <w:rFonts w:ascii="Arial" w:cs="Arial" w:eastAsia="Arial" w:hAnsi="Arial"/>
                  <w:sz w:val="18"/>
                  <w:szCs w:val="18"/>
                  <w:color w:val="0000FF"/>
                  <w:w w:val="85"/>
                </w:rPr>
                <w:t>Balance Sheets</w:t>
              </w:r>
            </w:hyperlink>
          </w:p>
        </w:tc>
        <w:tc>
          <w:tcPr>
            <w:tcW w:w="9520" w:type="dxa"/>
            <w:vAlign w:val="bottom"/>
            <w:gridSpan w:val="11"/>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gridSpan w:val="2"/>
          </w:tcPr>
          <w:p>
            <w:pPr>
              <w:jc w:val="center"/>
              <w:ind w:right="180"/>
              <w:spacing w:after="0" w:line="190" w:lineRule="exact"/>
              <w:rPr>
                <w:rFonts w:ascii="Arial" w:cs="Arial" w:eastAsia="Arial" w:hAnsi="Arial"/>
                <w:sz w:val="18"/>
                <w:szCs w:val="18"/>
                <w:color w:val="0000FF"/>
                <w:w w:val="88"/>
              </w:rPr>
            </w:pPr>
            <w:hyperlink w:anchor="page325">
              <w:r>
                <w:rPr>
                  <w:rFonts w:ascii="Arial" w:cs="Arial" w:eastAsia="Arial" w:hAnsi="Arial"/>
                  <w:sz w:val="18"/>
                  <w:szCs w:val="18"/>
                  <w:color w:val="0000FF"/>
                  <w:w w:val="88"/>
                </w:rPr>
                <w:t>F-3</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27">
              <w:r>
                <w:rPr>
                  <w:rFonts w:ascii="Arial" w:cs="Arial" w:eastAsia="Arial" w:hAnsi="Arial"/>
                  <w:sz w:val="18"/>
                  <w:szCs w:val="18"/>
                  <w:color w:val="0000FF"/>
                </w:rPr>
                <w:t>Statements of Operations and Comprehensive Loss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7">
              <w:r>
                <w:rPr>
                  <w:rFonts w:ascii="Arial" w:cs="Arial" w:eastAsia="Arial" w:hAnsi="Arial"/>
                  <w:sz w:val="18"/>
                  <w:szCs w:val="18"/>
                  <w:color w:val="0000FF"/>
                  <w:w w:val="88"/>
                </w:rPr>
                <w:t>F-5</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w w:val="90"/>
              </w:rPr>
            </w:pPr>
            <w:hyperlink w:anchor="page328">
              <w:r>
                <w:rPr>
                  <w:rFonts w:ascii="Arial" w:cs="Arial" w:eastAsia="Arial" w:hAnsi="Arial"/>
                  <w:sz w:val="18"/>
                  <w:szCs w:val="18"/>
                  <w:color w:val="0000FF"/>
                  <w:w w:val="90"/>
                </w:rPr>
                <w:t>Statement of Redeemable Convertible Preferred Stock and Stockholders’ Deficit</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8">
              <w:r>
                <w:rPr>
                  <w:rFonts w:ascii="Arial" w:cs="Arial" w:eastAsia="Arial" w:hAnsi="Arial"/>
                  <w:sz w:val="18"/>
                  <w:szCs w:val="18"/>
                  <w:color w:val="0000FF"/>
                  <w:w w:val="88"/>
                </w:rPr>
                <w:t>F-6</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820" w:type="dxa"/>
            <w:vAlign w:val="bottom"/>
            <w:gridSpan w:val="10"/>
          </w:tcPr>
          <w:p>
            <w:pPr>
              <w:spacing w:after="0"/>
              <w:rPr>
                <w:rFonts w:ascii="Arial" w:cs="Arial" w:eastAsia="Arial" w:hAnsi="Arial"/>
                <w:sz w:val="18"/>
                <w:szCs w:val="18"/>
                <w:color w:val="0000FF"/>
              </w:rPr>
            </w:pPr>
            <w:hyperlink w:anchor="page329">
              <w:r>
                <w:rPr>
                  <w:rFonts w:ascii="Arial" w:cs="Arial" w:eastAsia="Arial" w:hAnsi="Arial"/>
                  <w:sz w:val="18"/>
                  <w:szCs w:val="18"/>
                  <w:color w:val="0000FF"/>
                </w:rPr>
                <w:t>Statements of Cash Flows</w:t>
              </w:r>
            </w:hyperlink>
          </w:p>
        </w:tc>
        <w:tc>
          <w:tcPr>
            <w:tcW w:w="4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29">
              <w:r>
                <w:rPr>
                  <w:rFonts w:ascii="Arial" w:cs="Arial" w:eastAsia="Arial" w:hAnsi="Arial"/>
                  <w:sz w:val="18"/>
                  <w:szCs w:val="18"/>
                  <w:color w:val="0000FF"/>
                  <w:w w:val="88"/>
                </w:rPr>
                <w:t>F-7</w:t>
              </w:r>
            </w:hyperlink>
          </w:p>
        </w:tc>
      </w:tr>
      <w:tr>
        <w:trPr>
          <w:trHeight w:val="20"/>
        </w:trPr>
        <w:tc>
          <w:tcPr>
            <w:tcW w:w="1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0620" w:type="dxa"/>
            <w:vAlign w:val="bottom"/>
            <w:gridSpan w:val="12"/>
          </w:tcPr>
          <w:p>
            <w:pPr>
              <w:spacing w:after="0"/>
              <w:rPr>
                <w:rFonts w:ascii="Arial" w:cs="Arial" w:eastAsia="Arial" w:hAnsi="Arial"/>
                <w:sz w:val="18"/>
                <w:szCs w:val="18"/>
                <w:color w:val="0000FF"/>
              </w:rPr>
            </w:pPr>
            <w:hyperlink w:anchor="page330">
              <w:r>
                <w:rPr>
                  <w:rFonts w:ascii="Arial" w:cs="Arial" w:eastAsia="Arial" w:hAnsi="Arial"/>
                  <w:sz w:val="18"/>
                  <w:szCs w:val="18"/>
                  <w:color w:val="0000FF"/>
                </w:rPr>
                <w:t>Notes to Financial Statements</w:t>
              </w:r>
            </w:hyperlink>
          </w:p>
        </w:tc>
        <w:tc>
          <w:tcPr>
            <w:tcW w:w="180" w:type="dxa"/>
            <w:vAlign w:val="bottom"/>
          </w:tcPr>
          <w:p>
            <w:pPr>
              <w:spacing w:after="0"/>
              <w:rPr>
                <w:sz w:val="18"/>
                <w:szCs w:val="18"/>
                <w:color w:val="auto"/>
              </w:rPr>
            </w:pPr>
          </w:p>
        </w:tc>
        <w:tc>
          <w:tcPr>
            <w:tcW w:w="420" w:type="dxa"/>
            <w:vAlign w:val="bottom"/>
            <w:gridSpan w:val="2"/>
          </w:tcPr>
          <w:p>
            <w:pPr>
              <w:jc w:val="center"/>
              <w:ind w:right="180"/>
              <w:spacing w:after="0"/>
              <w:rPr>
                <w:rFonts w:ascii="Arial" w:cs="Arial" w:eastAsia="Arial" w:hAnsi="Arial"/>
                <w:sz w:val="18"/>
                <w:szCs w:val="18"/>
                <w:color w:val="0000FF"/>
                <w:w w:val="88"/>
              </w:rPr>
            </w:pPr>
            <w:hyperlink w:anchor="page330">
              <w:r>
                <w:rPr>
                  <w:rFonts w:ascii="Arial" w:cs="Arial" w:eastAsia="Arial" w:hAnsi="Arial"/>
                  <w:sz w:val="18"/>
                  <w:szCs w:val="18"/>
                  <w:color w:val="0000FF"/>
                  <w:w w:val="88"/>
                </w:rPr>
                <w:t>F-8</w:t>
              </w:r>
            </w:hyperlink>
          </w:p>
        </w:tc>
      </w:tr>
      <w:tr>
        <w:trPr>
          <w:trHeight w:val="493"/>
        </w:trPr>
        <w:tc>
          <w:tcPr>
            <w:tcW w:w="1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gridSpan w:val="6"/>
          </w:tcPr>
          <w:p>
            <w:pPr>
              <w:jc w:val="center"/>
              <w:ind w:right="3080"/>
              <w:spacing w:after="0"/>
              <w:rPr>
                <w:sz w:val="20"/>
                <w:szCs w:val="20"/>
                <w:color w:val="auto"/>
              </w:rPr>
            </w:pPr>
            <w:r>
              <w:rPr>
                <w:rFonts w:ascii="Arial" w:cs="Arial" w:eastAsia="Arial" w:hAnsi="Arial"/>
                <w:sz w:val="18"/>
                <w:szCs w:val="18"/>
                <w:b w:val="1"/>
                <w:bCs w:val="1"/>
                <w:color w:val="auto"/>
                <w:w w:val="92"/>
              </w:rPr>
              <w:t>Three Months Ended March 31, 2021 and 2020</w:t>
            </w:r>
          </w:p>
        </w:tc>
        <w:tc>
          <w:tcPr>
            <w:tcW w:w="1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10620" w:type="dxa"/>
            <w:vAlign w:val="bottom"/>
            <w:gridSpan w:val="12"/>
          </w:tcPr>
          <w:p>
            <w:pPr>
              <w:spacing w:after="0"/>
              <w:rPr>
                <w:sz w:val="20"/>
                <w:szCs w:val="20"/>
                <w:color w:val="auto"/>
              </w:rPr>
            </w:pPr>
            <w:r>
              <w:rPr>
                <w:rFonts w:ascii="Arial" w:cs="Arial" w:eastAsia="Arial" w:hAnsi="Arial"/>
                <w:sz w:val="18"/>
                <w:szCs w:val="18"/>
                <w:color w:val="auto"/>
              </w:rPr>
              <w:t>Condensed Financial Statements (unaudited)</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0"/>
        </w:trPr>
        <w:tc>
          <w:tcPr>
            <w:tcW w:w="2820" w:type="dxa"/>
            <w:vAlign w:val="bottom"/>
            <w:tcBorders>
              <w:bottom w:val="single" w:sz="8" w:color="0000FF"/>
            </w:tcBorders>
            <w:gridSpan w:val="4"/>
          </w:tcPr>
          <w:p>
            <w:pPr>
              <w:spacing w:after="0" w:line="190" w:lineRule="exact"/>
              <w:rPr>
                <w:rFonts w:ascii="Arial" w:cs="Arial" w:eastAsia="Arial" w:hAnsi="Arial"/>
                <w:sz w:val="18"/>
                <w:szCs w:val="18"/>
                <w:color w:val="0000FF"/>
                <w:w w:val="87"/>
              </w:rPr>
            </w:pPr>
            <w:hyperlink w:anchor="page362">
              <w:r>
                <w:rPr>
                  <w:rFonts w:ascii="Arial" w:cs="Arial" w:eastAsia="Arial" w:hAnsi="Arial"/>
                  <w:sz w:val="18"/>
                  <w:szCs w:val="18"/>
                  <w:color w:val="0000FF"/>
                  <w:w w:val="87"/>
                </w:rPr>
                <w:t>Condensed Balance Sheets (unaudited)</w:t>
              </w:r>
            </w:hyperlink>
          </w:p>
        </w:tc>
        <w:tc>
          <w:tcPr>
            <w:tcW w:w="7800" w:type="dxa"/>
            <w:vAlign w:val="bottom"/>
            <w:gridSpan w:val="8"/>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90" w:lineRule="exact"/>
              <w:rPr>
                <w:rFonts w:ascii="Arial" w:cs="Arial" w:eastAsia="Arial" w:hAnsi="Arial"/>
                <w:sz w:val="18"/>
                <w:szCs w:val="18"/>
                <w:color w:val="0000FF"/>
                <w:w w:val="80"/>
              </w:rPr>
            </w:pPr>
            <w:hyperlink w:anchor="page362">
              <w:r>
                <w:rPr>
                  <w:rFonts w:ascii="Arial" w:cs="Arial" w:eastAsia="Arial" w:hAnsi="Arial"/>
                  <w:sz w:val="18"/>
                  <w:szCs w:val="18"/>
                  <w:color w:val="0000FF"/>
                  <w:w w:val="80"/>
                </w:rPr>
                <w:t>F-39</w:t>
              </w:r>
            </w:hyperlink>
          </w:p>
        </w:tc>
        <w:tc>
          <w:tcPr>
            <w:tcW w:w="180" w:type="dxa"/>
            <w:vAlign w:val="bottom"/>
          </w:tcPr>
          <w:p>
            <w:pPr>
              <w:spacing w:after="0"/>
              <w:rPr>
                <w:sz w:val="16"/>
                <w:szCs w:val="16"/>
                <w:color w:val="auto"/>
              </w:rPr>
            </w:pPr>
          </w:p>
        </w:tc>
      </w:tr>
      <w:tr>
        <w:trPr>
          <w:trHeight w:val="210"/>
        </w:trPr>
        <w:tc>
          <w:tcPr>
            <w:tcW w:w="10620" w:type="dxa"/>
            <w:vAlign w:val="bottom"/>
            <w:gridSpan w:val="12"/>
          </w:tcPr>
          <w:p>
            <w:pPr>
              <w:spacing w:after="0"/>
              <w:rPr>
                <w:rFonts w:ascii="Arial" w:cs="Arial" w:eastAsia="Arial" w:hAnsi="Arial"/>
                <w:sz w:val="18"/>
                <w:szCs w:val="18"/>
                <w:color w:val="0000FF"/>
              </w:rPr>
            </w:pPr>
            <w:hyperlink w:anchor="page363">
              <w:r>
                <w:rPr>
                  <w:rFonts w:ascii="Arial" w:cs="Arial" w:eastAsia="Arial" w:hAnsi="Arial"/>
                  <w:sz w:val="18"/>
                  <w:szCs w:val="18"/>
                  <w:color w:val="0000FF"/>
                </w:rPr>
                <w:t>Condensed Statements of Operations and Comprehensive Loss (unaudited)</w:t>
              </w:r>
            </w:hyperlink>
          </w:p>
        </w:tc>
        <w:tc>
          <w:tcPr>
            <w:tcW w:w="180" w:type="dxa"/>
            <w:vAlign w:val="bottom"/>
          </w:tcPr>
          <w:p>
            <w:pPr>
              <w:spacing w:after="0"/>
              <w:rPr>
                <w:sz w:val="18"/>
                <w:szCs w:val="18"/>
                <w:color w:val="auto"/>
              </w:rPr>
            </w:pPr>
          </w:p>
        </w:tc>
        <w:tc>
          <w:tcPr>
            <w:tcW w:w="420" w:type="dxa"/>
            <w:vAlign w:val="bottom"/>
            <w:gridSpan w:val="2"/>
          </w:tcPr>
          <w:p>
            <w:pPr>
              <w:jc w:val="center"/>
              <w:ind w:right="120"/>
              <w:spacing w:after="0"/>
              <w:rPr>
                <w:rFonts w:ascii="Arial" w:cs="Arial" w:eastAsia="Arial" w:hAnsi="Arial"/>
                <w:sz w:val="18"/>
                <w:szCs w:val="18"/>
                <w:color w:val="0000FF"/>
                <w:w w:val="80"/>
              </w:rPr>
            </w:pPr>
            <w:hyperlink w:anchor="page363">
              <w:r>
                <w:rPr>
                  <w:rFonts w:ascii="Arial" w:cs="Arial" w:eastAsia="Arial" w:hAnsi="Arial"/>
                  <w:sz w:val="18"/>
                  <w:szCs w:val="18"/>
                  <w:color w:val="0000FF"/>
                  <w:w w:val="80"/>
                </w:rPr>
                <w:t>F-41</w:t>
              </w:r>
            </w:hyperlink>
          </w:p>
        </w:tc>
      </w:tr>
      <w:tr>
        <w:trPr>
          <w:trHeight w:val="20"/>
        </w:trPr>
        <w:tc>
          <w:tcPr>
            <w:tcW w:w="1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209"/>
        </w:trPr>
        <w:tc>
          <w:tcPr>
            <w:tcW w:w="75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364">
              <w:r>
                <w:rPr>
                  <w:rFonts w:ascii="Arial" w:cs="Arial" w:eastAsia="Arial" w:hAnsi="Arial"/>
                  <w:sz w:val="18"/>
                  <w:szCs w:val="18"/>
                  <w:color w:val="0000FF"/>
                  <w:w w:val="90"/>
                </w:rPr>
                <w:t>Condensed Statement of Redeemable Convertible Preferred Stock and Stockholders’ Deficit (unaudited)</w:t>
              </w:r>
            </w:hyperlink>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4">
              <w:r>
                <w:rPr>
                  <w:rFonts w:ascii="Arial" w:cs="Arial" w:eastAsia="Arial" w:hAnsi="Arial"/>
                  <w:sz w:val="18"/>
                  <w:szCs w:val="18"/>
                  <w:color w:val="0000FF"/>
                  <w:w w:val="80"/>
                </w:rPr>
                <w:t>F-42</w:t>
              </w:r>
            </w:hyperlink>
          </w:p>
        </w:tc>
        <w:tc>
          <w:tcPr>
            <w:tcW w:w="180" w:type="dxa"/>
            <w:vAlign w:val="bottom"/>
          </w:tcPr>
          <w:p>
            <w:pPr>
              <w:spacing w:after="0"/>
              <w:rPr>
                <w:sz w:val="18"/>
                <w:szCs w:val="18"/>
                <w:color w:val="auto"/>
              </w:rPr>
            </w:pPr>
          </w:p>
        </w:tc>
      </w:tr>
      <w:tr>
        <w:trPr>
          <w:trHeight w:val="209"/>
        </w:trPr>
        <w:tc>
          <w:tcPr>
            <w:tcW w:w="360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365">
              <w:r>
                <w:rPr>
                  <w:rFonts w:ascii="Arial" w:cs="Arial" w:eastAsia="Arial" w:hAnsi="Arial"/>
                  <w:sz w:val="18"/>
                  <w:szCs w:val="18"/>
                  <w:color w:val="0000FF"/>
                  <w:w w:val="88"/>
                </w:rPr>
                <w:t>Condensed Statements of Cash Flows (unaudited)</w:t>
              </w:r>
            </w:hyperlink>
          </w:p>
        </w:tc>
        <w:tc>
          <w:tcPr>
            <w:tcW w:w="7020" w:type="dxa"/>
            <w:vAlign w:val="bottom"/>
            <w:gridSpan w:val="7"/>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5">
              <w:r>
                <w:rPr>
                  <w:rFonts w:ascii="Arial" w:cs="Arial" w:eastAsia="Arial" w:hAnsi="Arial"/>
                  <w:sz w:val="18"/>
                  <w:szCs w:val="18"/>
                  <w:color w:val="0000FF"/>
                  <w:w w:val="80"/>
                </w:rPr>
                <w:t>F-43</w:t>
              </w:r>
            </w:hyperlink>
          </w:p>
        </w:tc>
        <w:tc>
          <w:tcPr>
            <w:tcW w:w="180" w:type="dxa"/>
            <w:vAlign w:val="bottom"/>
          </w:tcPr>
          <w:p>
            <w:pPr>
              <w:spacing w:after="0"/>
              <w:rPr>
                <w:sz w:val="18"/>
                <w:szCs w:val="18"/>
                <w:color w:val="auto"/>
              </w:rPr>
            </w:pPr>
          </w:p>
        </w:tc>
      </w:tr>
      <w:tr>
        <w:trPr>
          <w:trHeight w:val="210"/>
        </w:trPr>
        <w:tc>
          <w:tcPr>
            <w:tcW w:w="38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66">
              <w:r>
                <w:rPr>
                  <w:rFonts w:ascii="Arial" w:cs="Arial" w:eastAsia="Arial" w:hAnsi="Arial"/>
                  <w:sz w:val="18"/>
                  <w:szCs w:val="18"/>
                  <w:color w:val="0000FF"/>
                  <w:w w:val="89"/>
                </w:rPr>
                <w:t>Notes to Unaudited Condensed Financial Statements</w:t>
              </w:r>
            </w:hyperlink>
          </w:p>
        </w:tc>
        <w:tc>
          <w:tcPr>
            <w:tcW w:w="6820" w:type="dxa"/>
            <w:vAlign w:val="bottom"/>
            <w:gridSpan w:val="5"/>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0000FF"/>
            </w:tcBorders>
          </w:tcPr>
          <w:p>
            <w:pPr>
              <w:jc w:val="center"/>
              <w:spacing w:after="0"/>
              <w:rPr>
                <w:rFonts w:ascii="Arial" w:cs="Arial" w:eastAsia="Arial" w:hAnsi="Arial"/>
                <w:sz w:val="18"/>
                <w:szCs w:val="18"/>
                <w:color w:val="0000FF"/>
                <w:w w:val="80"/>
              </w:rPr>
            </w:pPr>
            <w:hyperlink w:anchor="page366">
              <w:r>
                <w:rPr>
                  <w:rFonts w:ascii="Arial" w:cs="Arial" w:eastAsia="Arial" w:hAnsi="Arial"/>
                  <w:sz w:val="18"/>
                  <w:szCs w:val="18"/>
                  <w:color w:val="0000FF"/>
                  <w:w w:val="80"/>
                </w:rPr>
                <w:t>F-44</w:t>
              </w:r>
            </w:hyperlink>
          </w:p>
        </w:tc>
        <w:tc>
          <w:tcPr>
            <w:tcW w:w="1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20"/>
          </w:cols>
          <w:pgMar w:left="340" w:top="1440" w:right="339" w:bottom="1440" w:gutter="0" w:footer="0" w:header="0"/>
        </w:sectPr>
      </w:pPr>
    </w:p>
    <w:bookmarkStart w:id="324" w:name="page325"/>
    <w:bookmarkEnd w:id="324"/>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Mount Sinai Genomics,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Mount Sinai Genomics, Inc. (the Company) as of December 31, 2020 and 2019, the related statements of operations and comprehensive loss, redeemable convertible preferred stock and stockholders’ deficit and cash flows for each of the three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recurring losses, and expects to continue to do so, has an accumulated deficit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Our opinion is not modified with respect to this matter.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115,006</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Inventory</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24,962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15,983</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8,681</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11,179</w:t>
            </w:r>
          </w:p>
        </w:tc>
        <w:tc>
          <w:tcPr>
            <w:tcW w:w="0" w:type="dxa"/>
            <w:vAlign w:val="bottom"/>
          </w:tcPr>
          <w:p>
            <w:pPr>
              <w:spacing w:after="0"/>
              <w:rPr>
                <w:sz w:val="1"/>
                <w:szCs w:val="1"/>
                <w:color w:val="auto"/>
              </w:rPr>
            </w:pPr>
          </w:p>
        </w:tc>
      </w:tr>
      <w:tr>
        <w:trPr>
          <w:trHeight w:val="186"/>
        </w:trPr>
        <w:tc>
          <w:tcPr>
            <w:tcW w:w="802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174,108</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35,263</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10,828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17,475</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0" w:type="dxa"/>
            <w:vAlign w:val="bottom"/>
          </w:tcPr>
          <w:p>
            <w:pPr>
              <w:spacing w:after="0"/>
              <w:rPr>
                <w:sz w:val="1"/>
                <w:szCs w:val="1"/>
                <w:color w:val="auto"/>
              </w:rPr>
            </w:pPr>
          </w:p>
        </w:tc>
      </w:tr>
      <w:tr>
        <w:trPr>
          <w:trHeight w:val="186"/>
        </w:trPr>
        <w:tc>
          <w:tcPr>
            <w:tcW w:w="8020" w:type="dxa"/>
            <w:vAlign w:val="bottom"/>
          </w:tcPr>
          <w:p>
            <w:pPr>
              <w:ind w:left="240"/>
              <w:spacing w:after="0"/>
              <w:rPr>
                <w:sz w:val="20"/>
                <w:szCs w:val="20"/>
                <w:color w:val="auto"/>
              </w:rPr>
            </w:pPr>
            <w:r>
              <w:rPr>
                <w:rFonts w:ascii="Arial" w:cs="Arial" w:eastAsia="Arial" w:hAnsi="Arial"/>
                <w:sz w:val="14"/>
                <w:szCs w:val="14"/>
                <w:color w:val="auto"/>
              </w:rPr>
              <w:t>Current portion of capital lease obligations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Current contract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28,137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10,407</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current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73,442</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2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18,971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131,989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11,758</w:t>
            </w:r>
          </w:p>
        </w:tc>
        <w:tc>
          <w:tcPr>
            <w:tcW w:w="0" w:type="dxa"/>
            <w:vAlign w:val="bottom"/>
          </w:tcPr>
          <w:p>
            <w:pPr>
              <w:spacing w:after="0"/>
              <w:rPr>
                <w:sz w:val="1"/>
                <w:szCs w:val="1"/>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 net of current portion</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11"/>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75,435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Commitments and contingencies (Note 8)</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9"/>
              </w:rPr>
              <w:t>Series A-1 redeemable convertible preferred stock, $0.00001 par value: 447,373 shares authorized, issued and outstanding at</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December 31, 2020 and 2019; aggregate liquidation preference of $55,000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4"/>
              </w:rPr>
              <w:t>Series A-2 redeemable convertible preferred stock, $0.00001 par value: 522,627 shares authorized at December 31, 2020 and 2019;</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2"/>
              </w:rPr>
              <w:t>401,347 shares authorized, issued and outstanding at December 31, 2020 and 2019; aggregate liquidation preference of $49,342 at</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December 31, 2020 and 2019</w:t>
            </w:r>
          </w:p>
        </w:tc>
        <w:tc>
          <w:tcPr>
            <w:tcW w:w="9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2"/>
              </w:rPr>
              <w:t>Series B redeemable convertible preferred stock, $0.00001 par value: 338,663 shares authorized, issued and outstanding at December</w:t>
            </w:r>
          </w:p>
        </w:tc>
        <w:tc>
          <w:tcPr>
            <w:tcW w:w="9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6"/>
        </w:trPr>
        <w:tc>
          <w:tcPr>
            <w:tcW w:w="8020" w:type="dxa"/>
            <w:vAlign w:val="bottom"/>
          </w:tcPr>
          <w:p>
            <w:pPr>
              <w:ind w:left="440"/>
              <w:spacing w:after="0"/>
              <w:rPr>
                <w:sz w:val="20"/>
                <w:szCs w:val="20"/>
                <w:color w:val="auto"/>
              </w:rPr>
            </w:pPr>
            <w:r>
              <w:rPr>
                <w:rFonts w:ascii="Arial" w:cs="Arial" w:eastAsia="Arial" w:hAnsi="Arial"/>
                <w:sz w:val="14"/>
                <w:szCs w:val="14"/>
                <w:color w:val="auto"/>
              </w:rPr>
              <w:t>31, 2020 and 2019; aggregate liquidation preference of $204,302 at December 31, 2020 and 2019</w:t>
            </w:r>
          </w:p>
        </w:tc>
        <w:tc>
          <w:tcPr>
            <w:tcW w:w="9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2"/>
              </w:rPr>
              <w:t>Series C redeemable convertible preferred stock, $0.00001 par value: 197,824 shares authorized at December 31, 2020 and no shares</w:t>
            </w:r>
          </w:p>
        </w:tc>
        <w:tc>
          <w:tcPr>
            <w:tcW w:w="9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w w:val="98"/>
              </w:rPr>
              <w:t>authorized at December 31, 2019; 197,821 shares issued and outstanding at December 31, 2020 and no shares issued and</w:t>
            </w:r>
          </w:p>
        </w:tc>
        <w:tc>
          <w:tcPr>
            <w:tcW w:w="9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December 31, 2019; aggregate liquidation preference of $121,397 at December 31, 2020</w:t>
            </w:r>
          </w:p>
        </w:tc>
        <w:tc>
          <w:tcPr>
            <w:tcW w:w="9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334,439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217,115</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deficit:</w:t>
            </w: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20" w:type="dxa"/>
            <w:vAlign w:val="bottom"/>
          </w:tcPr>
          <w:p>
            <w:pPr>
              <w:ind w:left="260"/>
              <w:spacing w:after="0" w:line="135" w:lineRule="exact"/>
              <w:rPr>
                <w:sz w:val="20"/>
                <w:szCs w:val="20"/>
                <w:color w:val="auto"/>
              </w:rPr>
            </w:pPr>
            <w:r>
              <w:rPr>
                <w:rFonts w:ascii="Arial" w:cs="Arial" w:eastAsia="Arial" w:hAnsi="Arial"/>
                <w:sz w:val="14"/>
                <w:szCs w:val="14"/>
                <w:color w:val="auto"/>
                <w:w w:val="98"/>
              </w:rPr>
              <w:t>Class A common stock, $0.00001 par value: 2,500,000 shares authorized at December 31, 2020 and 2019; 1 share issued and</w:t>
            </w:r>
          </w:p>
        </w:tc>
        <w:tc>
          <w:tcPr>
            <w:tcW w:w="960" w:type="dxa"/>
            <w:vAlign w:val="bottom"/>
          </w:tcPr>
          <w:p>
            <w:pPr>
              <w:spacing w:after="0"/>
              <w:rPr>
                <w:sz w:val="11"/>
                <w:szCs w:val="11"/>
                <w:color w:val="auto"/>
              </w:rPr>
            </w:pPr>
          </w:p>
        </w:tc>
        <w:tc>
          <w:tcPr>
            <w:tcW w:w="7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020" w:type="dxa"/>
            <w:vAlign w:val="bottom"/>
          </w:tcPr>
          <w:p>
            <w:pPr>
              <w:ind w:left="440"/>
              <w:spacing w:after="0"/>
              <w:rPr>
                <w:sz w:val="20"/>
                <w:szCs w:val="20"/>
                <w:color w:val="auto"/>
              </w:rPr>
            </w:pPr>
            <w:r>
              <w:rPr>
                <w:rFonts w:ascii="Arial" w:cs="Arial" w:eastAsia="Arial" w:hAnsi="Arial"/>
                <w:sz w:val="14"/>
                <w:szCs w:val="14"/>
                <w:color w:val="auto"/>
              </w:rPr>
              <w:t>outstanding at December 31, 2020 and 2019</w:t>
            </w:r>
          </w:p>
        </w:tc>
        <w:tc>
          <w:tcPr>
            <w:tcW w:w="9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80" w:lineRule="exact"/>
        <w:rPr>
          <w:sz w:val="20"/>
          <w:szCs w:val="20"/>
          <w:color w:val="auto"/>
        </w:rPr>
      </w:pPr>
    </w:p>
    <w:p>
      <w:pPr>
        <w:ind w:left="440" w:right="3600" w:hanging="161"/>
        <w:spacing w:after="0" w:line="260" w:lineRule="auto"/>
        <w:rPr>
          <w:sz w:val="20"/>
          <w:szCs w:val="20"/>
          <w:color w:val="auto"/>
        </w:rPr>
      </w:pPr>
      <w:r>
        <w:rPr>
          <w:rFonts w:ascii="Arial" w:cs="Arial" w:eastAsia="Arial" w:hAnsi="Arial"/>
          <w:sz w:val="13"/>
          <w:szCs w:val="13"/>
          <w:color w:val="auto"/>
        </w:rPr>
        <w:t>Class B convertible common stock, $0.00001 par value: 15,000,000 shares authorized at December 31, 2020 and 2019; 105,429 shares issued and outstanding at December 31, 2020 and no shares issued and outstanding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5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(88,711)</w:t>
            </w:r>
          </w:p>
        </w:tc>
      </w:tr>
      <w:tr>
        <w:trPr>
          <w:trHeight w:val="18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Total stockholders’ deficit</w:t>
            </w: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(88,711)</w:t>
            </w:r>
          </w:p>
        </w:tc>
      </w:tr>
      <w:tr>
        <w:trPr>
          <w:trHeight w:val="211"/>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203,839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60"/>
              <w:spacing w:after="0" w:line="176" w:lineRule="exact"/>
              <w:rPr>
                <w:sz w:val="20"/>
                <w:szCs w:val="20"/>
                <w:color w:val="auto"/>
              </w:rPr>
            </w:pPr>
            <w:r>
              <w:rPr>
                <w:rFonts w:ascii="Arial" w:cs="Arial" w:eastAsia="Arial" w:hAnsi="Arial"/>
                <w:sz w:val="18"/>
                <w:szCs w:val="18"/>
                <w:color w:val="auto"/>
                <w:w w:val="92"/>
              </w:rPr>
              <w:t>Diagnostic test revenue (including related party revenue of $285, $0 and $0 for the</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4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30"/>
        </w:trPr>
        <w:tc>
          <w:tcPr>
            <w:tcW w:w="6360" w:type="dxa"/>
            <w:vAlign w:val="bottom"/>
          </w:tcPr>
          <w:p>
            <w:pPr>
              <w:ind w:left="44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1"/>
              </w:rPr>
              <w:t>Other revenue (including related party revenue of $3, $1,180 and $254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133,341</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Cost of services (including related party expenses of $2,189, $1,859 and $4,122 for the</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184,648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2020, 2019 and 2018,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19,947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(29,704)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40" w:type="dxa"/>
            <w:vAlign w:val="bottom"/>
            <w:tcBorders>
              <w:right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2240" w:type="dxa"/>
            <w:vAlign w:val="bottom"/>
            <w:tcBorders>
              <w:right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940" w:type="dxa"/>
            <w:vAlign w:val="bottom"/>
          </w:tcPr>
          <w:p>
            <w:pPr>
              <w:jc w:val="center"/>
              <w:ind w:right="14"/>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9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2018</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Preferred Series A dividend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0"/>
        </w:trPr>
        <w:tc>
          <w:tcPr>
            <w:tcW w:w="24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B,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1,187,383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175"/>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Common stock class B</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ind w:left="240"/>
              <w:spacing w:after="0" w:line="176" w:lineRule="exact"/>
              <w:rPr>
                <w:sz w:val="20"/>
                <w:szCs w:val="20"/>
                <w:color w:val="auto"/>
              </w:rPr>
            </w:pPr>
            <w:r>
              <w:rPr>
                <w:rFonts w:ascii="Arial" w:cs="Arial" w:eastAsia="Arial" w:hAnsi="Arial"/>
                <w:sz w:val="18"/>
                <w:szCs w:val="18"/>
                <w:color w:val="auto"/>
              </w:rPr>
              <w:t>issued pursuant to stock</w:t>
            </w: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8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gridSpan w:val="2"/>
            <w:vMerge w:val="restart"/>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Pr>
          <w:p>
            <w:pPr>
              <w:ind w:left="240"/>
              <w:spacing w:after="0"/>
              <w:rPr>
                <w:sz w:val="20"/>
                <w:szCs w:val="20"/>
                <w:color w:val="auto"/>
              </w:rPr>
            </w:pPr>
            <w:r>
              <w:rPr>
                <w:rFonts w:ascii="Arial" w:cs="Arial" w:eastAsia="Arial" w:hAnsi="Arial"/>
                <w:sz w:val="18"/>
                <w:szCs w:val="18"/>
                <w:color w:val="auto"/>
              </w:rPr>
              <w:t>options</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Issuance of Preferred Series</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197,821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C, net of issuance costs</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1,385,204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105,429</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(241,340)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(23,872)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5,433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3"/>
        </w:trPr>
        <w:tc>
          <w:tcPr>
            <w:tcW w:w="6360" w:type="dxa"/>
            <w:vAlign w:val="bottom"/>
          </w:tcPr>
          <w:p>
            <w:pPr>
              <w:ind w:left="240"/>
              <w:spacing w:after="0"/>
              <w:rPr>
                <w:sz w:val="20"/>
                <w:szCs w:val="20"/>
                <w:color w:val="auto"/>
              </w:rPr>
            </w:pPr>
            <w:r>
              <w:rPr>
                <w:rFonts w:ascii="Arial" w:cs="Arial" w:eastAsia="Arial" w:hAnsi="Arial"/>
                <w:sz w:val="16"/>
                <w:szCs w:val="16"/>
                <w:color w:val="auto"/>
              </w:rPr>
              <w:t>Loss from sale of lab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Contract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13"/>
        </w:trPr>
        <w:tc>
          <w:tcPr>
            <w:tcW w:w="6360" w:type="dxa"/>
            <w:vAlign w:val="bottom"/>
          </w:tcPr>
          <w:p>
            <w:pPr>
              <w:ind w:left="4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(24,684)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24,636</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lease principal payments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118,960</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paid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Series A redeemable convertible preferred stock dividends declared and paid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Forgiveness of principal on long-term debt</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3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acquired under capital leases obligations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40"/>
          </w:cols>
          <w:pgMar w:left="320" w:top="1440" w:right="339" w:bottom="1440" w:gutter="0" w:footer="0" w:header="0"/>
          <w:type w:val="continuous"/>
        </w:sectPr>
      </w:pPr>
    </w:p>
    <w:bookmarkStart w:id="330" w:name="page331"/>
    <w:bookmarkEnd w:id="33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(the “Contribution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(see Note 6) in exchange for equity in the Company (the “Spin-out”). Following the Spin-out, the Company commenced operations and began providing the services and performing research.</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remained a wholly-owned subsidiary of ISMMS until August 2, 2019, when the Company issued its Series B redeemable convertible preferred stock (see Note 10). ISMMS provided its remaining committed funding to the Company, pursuant to the Contribution Agreement, prior to the Series B redeemable convertible preferred stock issuance. ISMMS continues to maintain majority control of the Company following the Series B and Series C redeemable convertible preferred stock issuances.</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(“U.S. GAAP”).</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Assets and liabilities transferred to the Company in the Spin-out were accounted for at ISMMS’s historical book basis as the transaction represented a transfer of net assets between entities under common control. The Company’s historical financial information includes costs of certain services historically provided by ISMMS pursuant to a Transition Services Agreement (“TSA”) and service agreements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whether there are certain conditions and events, considered in the aggregate, that raise substantial doubt about the Company’s ability to continue as a going concern within one year after the date that the financial statements are issued.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Through December 31, 2020, the Company has funded its operations primarily with proceeds from the issuance of its redeemable convertible preferred stock and the issuance of long-term debt. The Company has incurred recurring losses since its inception, including net losses of $241.3 million, $29.7 million and $23.9 million for the years ended December 31, 2020, 2019 and 2018, respectively. As of December 31, 2020, the Company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accumulated deficit of $330.1 million. The Company expects to continue to generate significant operating losses for the foreseeable future. As of May 6, 2021, the issuance date of the financial statements for the year ended December 31, 2020, the Company expects that its existing cash and cash equivalents of $108.1 million (excluding restricted cash) will be sufficient to fund its operating expenses and capital expenditure requirements into the second half of 2021. The future viability of the Company beyond that point is dependent on its ability to raise additional capital to finance its operations.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15).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6, 2021, the issuance date of the accompanying financial statements, the Company has concluded that there is substantial doubt about its ability to continue as a going concern for a period of one year from the date that these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financial statements do not include any adjustments that might result from the outcome of this uncertainty. Accordingly, the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judgments and assumptions that affect the reported amounts of assets and liabilities and the related disclosures at the date of the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Actual results could differ materially from those estimates, judgments and assumptions.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Accounts Receivable</w:t>
            </w:r>
          </w:p>
        </w:tc>
      </w:t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December 31,</w:t>
            </w:r>
          </w:p>
        </w:tc>
      </w:tr>
      <w:tr>
        <w:trPr>
          <w:trHeight w:val="183"/>
        </w:trPr>
        <w:tc>
          <w:tcPr>
            <w:tcW w:w="4280" w:type="dxa"/>
            <w:vAlign w:val="bottom"/>
          </w:tcPr>
          <w:p>
            <w:pPr>
              <w:spacing w:after="0"/>
              <w:rPr>
                <w:sz w:val="15"/>
                <w:szCs w:val="15"/>
                <w:color w:val="auto"/>
              </w:rPr>
            </w:pPr>
          </w:p>
        </w:tc>
        <w:tc>
          <w:tcPr>
            <w:tcW w:w="1040" w:type="dxa"/>
            <w:vAlign w:val="bottom"/>
          </w:tcPr>
          <w:p>
            <w:pPr>
              <w:jc w:val="center"/>
              <w:ind w:left="173"/>
              <w:spacing w:after="0"/>
              <w:rPr>
                <w:sz w:val="20"/>
                <w:szCs w:val="20"/>
                <w:color w:val="auto"/>
              </w:rPr>
            </w:pPr>
            <w:r>
              <w:rPr>
                <w:rFonts w:ascii="Arial" w:cs="Arial" w:eastAsia="Arial" w:hAnsi="Arial"/>
                <w:sz w:val="14"/>
                <w:szCs w:val="14"/>
                <w:b w:val="1"/>
                <w:bCs w:val="1"/>
                <w:color w:val="auto"/>
                <w:w w:val="96"/>
              </w:rPr>
              <w:t>2020</w:t>
            </w:r>
          </w:p>
        </w:tc>
        <w:tc>
          <w:tcPr>
            <w:tcW w:w="1660" w:type="dxa"/>
            <w:vAlign w:val="bottom"/>
            <w:gridSpan w:val="3"/>
          </w:tcPr>
          <w:p>
            <w:pPr>
              <w:jc w:val="center"/>
              <w:ind w:left="27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04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4"/>
              </w:rPr>
              <w:t>27%</w:t>
            </w:r>
          </w:p>
        </w:tc>
        <w:tc>
          <w:tcPr>
            <w:tcW w:w="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3"/>
              <w:spacing w:after="0"/>
              <w:rPr>
                <w:sz w:val="20"/>
                <w:szCs w:val="20"/>
                <w:color w:val="auto"/>
              </w:rPr>
            </w:pPr>
            <w:r>
              <w:rPr>
                <w:rFonts w:ascii="Arial" w:cs="Arial" w:eastAsia="Arial" w:hAnsi="Arial"/>
                <w:sz w:val="18"/>
                <w:szCs w:val="18"/>
                <w:color w:val="auto"/>
                <w:w w:val="88"/>
              </w:rPr>
              <w:t>37%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w w:val="94"/>
              </w:rPr>
              <w:t>14%</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040" w:type="dxa"/>
            <w:vAlign w:val="bottom"/>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center"/>
              <w:ind w:left="276"/>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3"/>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4"/>
              </w:rPr>
              <w:t>12%</w:t>
            </w: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0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center"/>
              <w:ind w:left="27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3"/>
              <w:spacing w:after="0"/>
              <w:rPr>
                <w:sz w:val="20"/>
                <w:szCs w:val="20"/>
                <w:color w:val="auto"/>
              </w:rPr>
            </w:pPr>
            <w:r>
              <w:rPr>
                <w:rFonts w:ascii="Arial" w:cs="Arial" w:eastAsia="Arial" w:hAnsi="Arial"/>
                <w:sz w:val="18"/>
                <w:szCs w:val="18"/>
                <w:color w:val="auto"/>
                <w:w w:val="88"/>
              </w:rPr>
              <w:t>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21%</w:t>
            </w:r>
          </w:p>
        </w:tc>
      </w:tr>
      <w:tr>
        <w:trPr>
          <w:trHeight w:val="143"/>
        </w:trPr>
        <w:tc>
          <w:tcPr>
            <w:tcW w:w="4280" w:type="dxa"/>
            <w:vAlign w:val="bottom"/>
          </w:tcPr>
          <w:p>
            <w:pPr>
              <w:spacing w:after="0" w:line="143" w:lineRule="exact"/>
              <w:rPr>
                <w:sz w:val="20"/>
                <w:szCs w:val="20"/>
                <w:color w:val="auto"/>
              </w:rPr>
            </w:pPr>
            <w:r>
              <w:rPr>
                <w:rFonts w:ascii="Arial" w:cs="Arial" w:eastAsia="Arial" w:hAnsi="Arial"/>
                <w:sz w:val="14"/>
                <w:szCs w:val="14"/>
                <w:color w:val="auto"/>
              </w:rPr>
              <w:t>__________________</w:t>
            </w: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2"/>
        </w:trPr>
        <w:tc>
          <w:tcPr>
            <w:tcW w:w="4280" w:type="dxa"/>
            <w:vAlign w:val="bottom"/>
          </w:tcPr>
          <w:p>
            <w:pPr>
              <w:spacing w:after="0"/>
              <w:rPr>
                <w:sz w:val="20"/>
                <w:szCs w:val="20"/>
                <w:color w:val="auto"/>
              </w:rPr>
            </w:pPr>
            <w:r>
              <w:rPr>
                <w:rFonts w:ascii="Arial" w:cs="Arial" w:eastAsia="Arial" w:hAnsi="Arial"/>
                <w:sz w:val="14"/>
                <w:szCs w:val="14"/>
                <w:color w:val="auto"/>
              </w:rPr>
              <w:t>*    less than 10%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subject to a concentration of risk from a limited number of suppliers for certain reagents and laboratory supplies. One supplier accounted for approximately 11%, 15% and 14% of purchases of lab supplies, reagents and kits for the years ended December 31, 2020, 2019 and 2018, respectively. Another supplier accounted for approximately 10%, 12% and 13% of purchases of lab supplies, reagents and kits for the years ended December 31, 2020, 2019 and 2018, respectively. This risk is managed by maintaining a target quantity of surplus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improved in the second half of 2020, the Company continued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The Company received $5.4 million in 2020 as part of the stimulus, comprised of $2.6 million received under the Provider Relief Fund (“PRF”) distribution and $2.8 million received under the Employee Retention Credit (“ERC”) distribution.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The Company concluded it is probable that all terms and conditions associated with the PRF distribution have been met. As a result, the Company recorded the PRF distribution in other income, net in the statements of operations and comprehensive loss.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(1) its operations have been fully or partially suspended because of COVID-19 or (2) its gross receipts in a calendar quarter in 2020 declined by more than 50% from the same period in 2019. At the time of applying for the ERC, the Company concluded that it was reasonably possible the eligibility requirements would be met; however, due to a change in circumstances, the Company re-evaluated its position, deferred the recognition of the ERC distribution and recorded the proceeds in other liabilities as of December 31, 2020.</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this time, the Company is not certain of the availability, extent or impact of any future relief provided under the CARES Act or other stimulus initiatives.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December 31, 2020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consists of amounts due from customers for services performed and reflect the consideration to which the Company expects to be entitled in exchange for providing those services. Accounts receivable are estimated and recorded in the period the related revenue is recorded. During the years ended December 31, 2020, 2019 and 2018, the Company did not record provisions for doubtful accounts. The Company wrote off accounts receivable balances of $0.2 million for the year ended December 31, 2020 and did not write off any accounts receivable balances for the years ended December 31, 2019 and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Inventory,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During the years ended December 31, 2020, 2019 and 2018, the Company did not write off any 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Property and equipment, including equipment contributed by ISMMS on the date of the Spin-out (see Note 5),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and expensed as incurred for preliminary project activities and post-implementation activities. Capitalization of such costs ceases when the project is substantially complete and ready for its intended purpose. Costs for maintenance and training are expensed as incurred.</w:t>
      </w:r>
    </w:p>
    <w:p>
      <w:pPr>
        <w:spacing w:after="0" w:line="13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1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records incentive stock options (“ISO”) and non-qualified stock options (“NSO”) offered to employees, consultants and directors of the Company based on the estimated fair value of the awards and recognizes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compensation expense over the requisite service period for each separate vesting portion of the award as if the award was, in-substance, multiple awards. The Company uses the Black-Scholes option-pricing model to estimate the fair value of its stock option awards. Terms of the ISO and NSO stock options include a provision whereby the Company has a call option to repurchase the award for cash upon termination of employment or termination of the consulting agreement. The Company has concluded that it is probable it will continue to exercise its call option prior to the award holder being subject to the risks and rewards of equity ownership. As a result, stock options are classified as liabilities in the accompanying balance sheets.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ISO and NSO stock options granted vest solely based upon continued employment or service over a specific period of time. As such, the Company recognizes stock-based compensation liabilities only for those stock-based awards that are ultimately vested over their requisite service periods based on the vesting provisions of the individual grant awards, net of the shares exercised and forfeitures realized. Determination of fair value requires input of highly subjective assumptions.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forfeitures as they occur.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Lease incentives are recognized as a reduction of rent expense on a straight-line basis over the term of the lease. The Company recognizes rent expense beginning on the date it obtains the legal right to use and control the leased space.</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Sale-leaseback arrangements characterized as “failed” due to the Company’s continuing involvement with the “sold” assets are accounted for as financing obligations. Specifically, in a failed sale-leaseback transaction, the Company does not derecognize the transferred assets and accounts for the proceeds as a financing obligation. The financing obligation is decreased over time by the Company’s lease payments, less the portion considered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Amounts related to contingencies are accrued if it is probable that a liability has been incurred and an amount can be reasonably estimated.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adopted Accounting Standards Codification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January 1, 2019 using the modified retrospective method applied to contracts which were not completed as of the adoption date. As a result, upon the adoption of ASC 606, the majority of what was previously classified as the provision for doubtful accounts recorded in general and administrative expense is now reflected as an implicit price concession and, therefore, is included as a reduction to diagnostic test revenue in the statements of operations and comprehensive loss. The Company recognizes any changes in customer credit issues not assessed at the date of service as provisions for doubtful accounts. Upon the adoption of ASC 606, the Company recognizes revenue when control of the promised goods or services is transferred to the customer in an amount that reflects the consideration which the Company expects to be entitled to in exchange for those goods or services.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The Company also recognizes revenue from collaboration service agreements with pharmaceutical companies and other third parties pursuant to which the Company provides diagnostic testing and related data aggregation reporting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diagnostic test revenue contracts typically consist of a single performance obligation to deliver diagnostic testing services to the ordering facility or patient. Control over diagnostic testing services is transferred at a point in time. Specifically, the Company determined the customer obtains control of the promised service upon delivery of the test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diagnostic testing services is recorded at the estimated transaction price, subject to the constraint for variable consideration, upon transfer of control of the service.</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these arrangements, the customer is the patient. In arrangements with third-party insurance payors, the transaction price is stated within the contract, however, the Company accepts payments from third-party payors that are less than the contractually stated price and is therefore variable consideration.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4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monitors these accrual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the Company’s estimates, the Company will adjust these estimates, which would affect revenue and earnings in the period such variances become known.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self-pay patients, the Company determines the transaction price associated with services rendered in consideration of implicit price concessions that are granted to such patients.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enters into both short-term and long-term project-based collaboration service agreements with third parties, whereby the Company provides diagnostic testing, research and related data aggregation reporting services.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its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its customers by transferring each good or service independently.</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12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satisfies its performance obligations pursuant to its collaboration service agreements over time as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Company recognized revenue pursuant to ASC Topic 605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for the year ended December 31, 2018 prior to the adoption of ASC 606. Under ASC 605, diagnostic test revenue was recognized when persuasive evidence of a final agreement existed; delivery had occurred or services were rendered; the price of the product or service was fixed or determinable; and collectability from the customer was reasonably assured. The criterion for whether the price was fixed or determinable and whether collectability was reasonably assured were based on management’s judgments. When evaluating collectability, in situations where reimbursement coverage did not exist, the Company considered whether a sufficient history to reliably estimate a payer’s individual payment patterns existed. For most uninsured customers, the Company was not able to demonstrate a predictable pattern of collectability and, therefore, recognized revenue when payment was received. For customers who had demonstrated a consistent pattern of payment of tests billed at the appropriate amounts, the Company recognized revenue at estimated realizable amounts upon delivery of test results.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providing diagnostic testing and related data aggregation reporting services pursuant to collaboration service agreements were recognized when the contractual obligations were met based on the terms of the respective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Cost of services reflects the aggregate costs incurred in performing diagnostic testing and collaboration services. These costs include expenses for reagents and laboratory supplies, personnel-related expenses (comprising salaries and benefits), stock-based compensation, shipping and handling fees, costs of third-party reference lab testing and third-party providers of genetic counseling and phlebotomy services, amortization of software development costs and equipment and allocated facility costs associated with testing. Allocated facility costs include depreciation of laboratory equipment, facility occupancy and information technology costs. Cost of services are recorded as the services are performed.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Research and development expenses represent costs incurred to develop technology and future test offerings. These costs are principally associated with the Company’s efforts to develop the software used to analyze data and process customer orders. These costs primarily consist of personnel-related expenses (comprising salaries and benefits), stock-based compensation, costs of reagents and laboratory supplies, costs of consultants and third-party services, equipment and related depreciation expenses, non-capitalizable software development costs and allocated facility and information technology costs associated with genomics medical research. Research and development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Selling and marketing expenses primarily consist of personnel-related expenses (comprising salaries, and benefits) and stock-based compensation for employees performing commercial sales, account management, marketing and medical education. Selling and marketing costs are expensed as incurred.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income, net primarily consists of certain funding received under the CARES Act in 2020, sales and use taxes and gains and losses on equipment disposals. The Company recognized $2.6 million of the $5.4 million of funding received under the CARES Act as other income, net on the statements of operations and comprehensive loss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and 2019, basic and diluted net loss per share attributable to common stockholders is presented in conformity with the two-class method required for companies with participating securities. The Company considers all redeemable convertible preferred stock issued on and after August 2, 2019 to be participating securities as the holders are entitled to receive dividends on an as-converted to Class A common stock basis in the event that a dividend is paid on common stock.</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two-class method, the net loss attributable to common stockholders was not allocated to the redeemable convertible preferred stock, as holders of the redeemable convertible preferred stock did not have a contractual obligation to share in losses. The net loss attributable to common stockholders is allocated to Class A and Class B common stockholders based on the proportion to which each class of common stock shares in losses of the Company. This proportion is based on the rights of the holders of Class B common stock relative to those of the holders of Class A common stock (see Note 11 and Note 13). Basic net loss per share attributable to common stockholders is calculated by dividing the net loss attributable to common stockholders by the weighted-average number of shares of common stock outstanding for the period.</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Diluted net loss per share attributable to common stockholders is computed by dividing the net loss attributable to common stockholders by the weighted-average number of shares of common stock outstanding in the basic net loss per share calculation plus the number of shares of common stock that would be issued assuming exercise or conversion of all potentially dilutive instruments. For purposes of this calculation, common stock options and redeemable convertible preferred stock have been excluded as their effect is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operates and manages its business as one reportable operating segment based on the manner in which the Chief Executive Officer, who is the Company’s chief operating decision maker (“CODM”), assesses performance and allocates resources across the business.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Effective January 1, 2020, the Company adopted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xml:space="preserve"> (“ASU 2018-13”). This ASU removes requirements to disclose the amount of and reasons for transfers between Level 1 and Level 2 of the fair value hierarchy, the policy for timing of transfers between levels, and the valuation processes for Level 3 fair value measurements. ASU 2018-13 clarifies that disclosure regarding measurement uncertainty is intended to communicate information about the uncertainty in measurement as of the reporting date. ASU 2018-13 adds certain disclosure requirements, including disclosure of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also requires entities that use the practical expedient to measure the fair value of certain investments at their net asset values to disclose (1) the timing of liquidation of an investee’s assets and (2) the date when redemption restrictions will lapse, but only if the investee has communicated this information to the entity or announced it publicly Adoption of ASU 2018-13 did not have a material impact on the Company’s financial statements.</w:t>
      </w:r>
    </w:p>
    <w:p>
      <w:pPr>
        <w:spacing w:after="0" w:line="1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Effective January 1, 2020, the Company adopted ASU 2018-07, </w:t>
      </w:r>
      <w:r>
        <w:rPr>
          <w:rFonts w:ascii="Arial" w:cs="Arial" w:eastAsia="Arial" w:hAnsi="Arial"/>
          <w:sz w:val="18"/>
          <w:szCs w:val="18"/>
          <w:i w:val="1"/>
          <w:iCs w:val="1"/>
          <w:color w:val="auto"/>
        </w:rPr>
        <w:t>Compensation – Stock Compensation (Topic 718),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Share-Based Payment Accounting </w:t>
      </w:r>
      <w:r>
        <w:rPr>
          <w:rFonts w:ascii="Arial" w:cs="Arial" w:eastAsia="Arial" w:hAnsi="Arial"/>
          <w:sz w:val="18"/>
          <w:szCs w:val="18"/>
          <w:color w:val="auto"/>
        </w:rPr>
        <w:t>(“ASU 2018-07”), which was issued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simplify accounting for nonemployee share-based payment transactions by making the treatment of nonemployee share-based compensation similar to that of employee share-based compensation. Adoption of ASU 2018-07 did not have a material impact on the Company’s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Clarifying the Interaction between Topic 808 and Topic 606</w:t>
      </w:r>
      <w:r>
        <w:rPr>
          <w:rFonts w:ascii="Arial" w:cs="Arial" w:eastAsia="Arial" w:hAnsi="Arial"/>
          <w:sz w:val="18"/>
          <w:szCs w:val="18"/>
          <w:color w:val="auto"/>
        </w:rPr>
        <w:t xml:space="preserve"> (“ASU 2018-18”), which clarifies that certain transactions between participants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4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 collaborative arrangement should be accounted for under ASC 606 when the counterparty is a customer. In addition, ASC Topic 808 (“ASC 808”), </w:t>
      </w:r>
      <w:r>
        <w:rPr>
          <w:rFonts w:ascii="Arial" w:cs="Arial" w:eastAsia="Arial" w:hAnsi="Arial"/>
          <w:sz w:val="17"/>
          <w:szCs w:val="17"/>
          <w:i w:val="1"/>
          <w:iCs w:val="1"/>
          <w:color w:val="auto"/>
        </w:rPr>
        <w:t xml:space="preserve">Collaborative Arrangements </w:t>
      </w:r>
      <w:r>
        <w:rPr>
          <w:rFonts w:ascii="Arial" w:cs="Arial" w:eastAsia="Arial" w:hAnsi="Arial"/>
          <w:sz w:val="17"/>
          <w:szCs w:val="17"/>
          <w:color w:val="auto"/>
        </w:rPr>
        <w:t>precludes an entity from presenting consideration from a transaction in a collaborative arrangement as revenue from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with customers if the counterparty is not a customer for that transaction. The provisions of ASU 2018-18 are effective for the Company for annual and interim periods beginning after December 15, 2020. Early adoption is permitted. The amendments in ASU 2018-18 are to be applied retrospectively through a cumulative effect adjustment to the opening balance of retained earnings of the later of (1) the earliest annual period presented and (2) the annual period that includes the date of the entity’s initial application of ASC 606. Permissible transition options include the election to retrospectively apply the amendments to either (1) all contracts or (2) only the contracts that are not completed at the date of initial application of Topic 606. The Company is not currently a participant in any such collaborative arrangements that are accounted for under ASC 808 and will evaluate the impact the adoption of this standard for any potential collaborative arrangements the Company enters into in the future.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 Recognition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Note 2, the Company adopted ASC 606 on January 1, 2019 using the modified retrospective method applied to contracts which were not completed as of the adoption date. The only impact as a result of the adoption of ASC 606 was the change in presentation of bad debt expense from general and administrative expense to a reduction of diagnostic test revenue. The adoption of ASC 606 did not have a material impact on the Company’s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138,153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169,538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112,542</w:t>
            </w:r>
          </w:p>
        </w:tc>
      </w:tr>
      <w:tr>
        <w:trPr>
          <w:trHeight w:val="230"/>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19,606</w:t>
            </w:r>
          </w:p>
        </w:tc>
      </w:tr>
      <w:tr>
        <w:trPr>
          <w:trHeight w:val="229"/>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r>
      <w:tr>
        <w:trPr>
          <w:trHeight w:val="28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133,341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The quarterly changes in estimates did not result in material adjustments to the Company’s previously reported revenue or accounts receivable amounts for the years ended December 31, 2020, 2019 and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at year-end. The revenues under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service agreements with original expected durations of more than one year are estimated to be approximately $12.0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Contract Liabilities</w:t>
            </w:r>
          </w:p>
        </w:tc>
        <w:tc>
          <w:tcPr>
            <w:tcW w:w="0" w:type="dxa"/>
            <w:vAlign w:val="bottom"/>
          </w:tcPr>
          <w:p>
            <w:pPr>
              <w:spacing w:after="0"/>
              <w:rPr>
                <w:sz w:val="1"/>
                <w:szCs w:val="1"/>
                <w:color w:val="auto"/>
              </w:rPr>
            </w:pPr>
          </w:p>
        </w:tc>
      </w:tr>
      <w:tr>
        <w:trPr>
          <w:trHeight w:val="188"/>
        </w:trPr>
        <w:tc>
          <w:tcPr>
            <w:tcW w:w="75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8"/>
        </w:trPr>
        <w:tc>
          <w:tcPr>
            <w:tcW w:w="7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asset additions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1,097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transferred to receivables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Customer prepayments</w:t>
            </w:r>
          </w:p>
        </w:tc>
        <w:tc>
          <w:tcPr>
            <w:tcW w:w="11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80" w:type="dxa"/>
            <w:vAlign w:val="bottom"/>
            <w:tcBorders>
              <w:top w:val="single" w:sz="8" w:color="auto"/>
              <w:bottom w:val="single" w:sz="8" w:color="auto"/>
            </w:tcBorders>
          </w:tcPr>
          <w:p>
            <w:pPr>
              <w:jc w:val="right"/>
              <w:ind w:right="9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contract assets and contract liabilities as of December 31, 2020 and 2019 is primarily due to the execution of a collaboration service agreement with a customer. The Company presents contracts assets and contract liabilities arising from this customer contract on a net basis on its balance sheets. As of December 31, 2020, $1.8 million is recorded as current contract liabilities. As of December 31, 2019, $1.5 million and $0.8 million are recorded as current contract liabilities and contract liabilities,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based upon forecasted performance.</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2020 and 2019, the Company had outstanding deferred costs to fulfill contracts of $3.0 million and $1.1 million, respectively. As of December 31, 2020, all outstanding deferred costs were recorded as prepaid expenses and other current assets. As of December 31, 2019, $0.9 million and $0.2 million were recorded as prepaid expenses and other current assets and other assets,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$0.9 million, $0.7 million and $0 for the years ended December 31, 2020, 2019 and 2018, respectively. The amortization of these costs is recorded in cost of services on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0" w:lineRule="exact"/>
        <w:rPr>
          <w:sz w:val="20"/>
          <w:szCs w:val="20"/>
          <w:color w:val="auto"/>
        </w:rPr>
      </w:pPr>
    </w:p>
    <w:p>
      <w:pPr>
        <w:ind w:left="320" w:hanging="312"/>
        <w:spacing w:after="0"/>
        <w:tabs>
          <w:tab w:leader="none" w:pos="32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346"/>
        </w:trPr>
        <w:tc>
          <w:tcPr>
            <w:tcW w:w="47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ind w:left="320" w:hanging="312"/>
        <w:spacing w:after="0"/>
        <w:tabs>
          <w:tab w:leader="none" w:pos="32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(30,099)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years ended December 31, 2020, 2019 and 2018, depreciation and amortization expense was $11.7 million, $6.4 million and $5.4 million, respectively, which included software amortization expense of $3.0 million, $1.2 million and $0.4 million for the years ended December 31, 2020, 2019 and 2018, respectively.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amortization expense is included within the statements of operations and comprehensive loss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2018, the Company sold laboratory equipment to ISMMS for $0.1 million and realized a loss of $0.1 million, which is included in other income, net in the statements of operations and comprehensive loss. During 2020 and 2019, there were no sales of property and equipment made by the Company.</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Related Party Transactions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June 1, 2017, the Company and ISMMS entered into the Contribution Agreement, pursuant to which certain assets and liabilities were contributed to the Company by ISMMS in exchange for common and preferred stock of the Company with dividends accrued at 3% per annum. In accordance with the Contribution Agreement, ISMMS committed to fund $55.0 million to the Company, of which $55.0 million was drawn as of December 31, 2019. ISMMS also assigned a loan funding commitment to the Company, for which ISMMS is the guarantor. See Note 7 and Note 10 for further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provides diagnostic testing services to entities within the Mount Sinai Health Network. Related party diagnostic testing revenues recognized totaled $0.3 million for the year ended December 31, 2020. The Company did not recognize any related party diagnostic testing revenues during the years ended December 31, 2019 and 2018.</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entered into collaboration service agreements with ISMMS and other entities within the Mount Sinai Health Network pursuant to which the Company performed various diagnostic testing, research and related data aggregation reporting services. Revenues recognized under these agreements were nominal for the year ended December 31, 2020. Revenues recognized under these agreements totaled $1.2 million and $0.3 million for the years ended December 31, 2019 and 2018, respectively. These amounts are presented in other revenue on the statements of operations and comprehensive loss.</w:t>
      </w:r>
    </w:p>
    <w:p>
      <w:pPr>
        <w:spacing w:after="0" w:line="10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had amounts due from ISMMS and other entities within the Mount Sinai Health Network for revenues earned of $0.3 million and $0.2 million as of December 31, 2020 and 2019, respectively. These amounts are presented as due from related parties on the Company’s balance sheets.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party to a TSA with ISMMS. The TSA was established to facilitate the continuity of the Company’s operations following the Spin-out. The TSA includes financial guarantees on debt and lease obligations (as further discussed in Note 7 and Note 8, respectively); rental of certain office spaces; and accounting, finance, billing, compliance, information technology and insurance services. Expenses recognized under this agreement totaled $7.2 million, $7.8 million and $6.0 million for the years ended December 31, 2020, 2019 and 2018, respectively, and are presented within related party expenses in the statements of operations and comprehensive loss. The Company had TSA payables due to ISMMS of $0.6 million and $0.5 million at December 31, 2020 and 2019, respectively. These amounts are included within due to related parties on the Company’s balance sheets.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also party to the Service Agreements with ISMMS, whereby ISMMS provides services for the Company, including certain revenue collection efforts, procurement efforts, office space, administrative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services that are not covered under the TSA. ISMMS also provides personnel through employee lease arrangements pursuant to the Service Agreements. In addition, the Company incurs costs for research and development and other support provided by related parties, including costs for services that are subcontracted to related parties that support the Company in fulfilling its performance obligations with its customers. Expenses recognized pursuant to the Service Agreements and other service arrangements with ISMMS totaled $4.4 million, $3.5 million and $7.3 million for the years ended December 31, 2020, 2019 and 2018, respectively. These amounts are included in either cost of services or related party expenses on the statements of operations and comprehensive loss depending on the particular activity to which the costs relate. The Company had payables due to ISMMS for the Service Agreements and other service arrangements of $0.8 million and $1.3 million at December 31, 2020 and 2019, respectively. These amounts are included within due to related parties on the Company’s balance sheets.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the Company. ISMMS guaranteed and continues to guarantee the Company’s obligation to repay the DECD.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Amended DECD Loan Agreement require the Company to make interest-only payments through July 2023 and principal and interest payments commencing in August 2023. The final payment of principal and interest is due in July 2028.</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92" w:lineRule="exact"/>
        <w:rPr>
          <w:sz w:val="20"/>
          <w:szCs w:val="20"/>
          <w:color w:val="auto"/>
        </w:rPr>
      </w:pPr>
    </w:p>
    <w:p>
      <w:pPr>
        <w:ind w:left="660" w:hanging="324"/>
        <w:spacing w:after="0" w:line="277" w:lineRule="auto"/>
        <w:rPr>
          <w:sz w:val="20"/>
          <w:szCs w:val="20"/>
          <w:color w:val="auto"/>
        </w:rPr>
      </w:pPr>
      <w:r>
        <w:rPr>
          <w:rFonts w:ascii="Arial" w:cs="Arial" w:eastAsia="Arial" w:hAnsi="Arial"/>
          <w:sz w:val="18"/>
          <w:szCs w:val="18"/>
          <w:color w:val="auto"/>
        </w:rPr>
        <w:t>– $4.5 million of Phase 1 funding will be forgiven based on creating and maintaining 35 new full-time positions in Connecticut, with a combined annual average compensation of $70,000, for a period of 24 continuous months by December 31, 2017;</w:t>
      </w:r>
    </w:p>
    <w:p>
      <w:pPr>
        <w:spacing w:after="0" w:line="116" w:lineRule="exact"/>
        <w:rPr>
          <w:sz w:val="20"/>
          <w:szCs w:val="20"/>
          <w:color w:val="auto"/>
        </w:rPr>
      </w:pPr>
    </w:p>
    <w:p>
      <w:pPr>
        <w:jc w:val="center"/>
        <w:ind w:left="660" w:right="20" w:hanging="324"/>
        <w:spacing w:after="0" w:line="342" w:lineRule="auto"/>
        <w:rPr>
          <w:sz w:val="20"/>
          <w:szCs w:val="20"/>
          <w:color w:val="auto"/>
        </w:rPr>
      </w:pPr>
      <w:r>
        <w:rPr>
          <w:rFonts w:ascii="Arial" w:cs="Arial" w:eastAsia="Arial" w:hAnsi="Arial"/>
          <w:sz w:val="16"/>
          <w:szCs w:val="16"/>
          <w:color w:val="auto"/>
        </w:rPr>
        <w:t>–   $2.8 million of Phase 2 funding will be forgiven based on creating 228 new full-time positions in Connecticut, with a combined annual average compensation of $83,000, and maintaining an average of 269 full-time positions for a period of 24 continuous months by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4"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$3.0 million of Phase 3 funding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29" w:lineRule="exact"/>
        <w:rPr>
          <w:sz w:val="20"/>
          <w:szCs w:val="20"/>
          <w:color w:val="auto"/>
        </w:rPr>
      </w:pPr>
    </w:p>
    <w:p>
      <w:pPr>
        <w:ind w:left="660" w:hanging="324"/>
        <w:spacing w:after="0" w:line="263"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Amended DECD Loan Agreement terms require the completion of an employment audit by a certified public accountant and acceptance by the DECD to achieve principal loan forgiveness.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phased funding and potential loan forgiveness milestones set forth in the Amended DECD Loan Agreement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Funding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35"/>
              <w:spacing w:after="0"/>
              <w:rPr>
                <w:sz w:val="20"/>
                <w:szCs w:val="20"/>
                <w:color w:val="auto"/>
              </w:rPr>
            </w:pPr>
            <w:r>
              <w:rPr>
                <w:rFonts w:ascii="Arial" w:cs="Arial" w:eastAsia="Arial" w:hAnsi="Arial"/>
                <w:sz w:val="14"/>
                <w:szCs w:val="14"/>
                <w:b w:val="1"/>
                <w:bCs w:val="1"/>
                <w:color w:val="auto"/>
              </w:rPr>
              <w:t>Potential Loan</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Forgiveness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1</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Phase 2</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Phase 3</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Final</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2018, the Company received an official letter from the DECD stating that in accordance with the Amended DECD Loan Agreement and following its Phase 1 employment audit, the Company met the job creation and retention milestones for Phase 1 and earned the related $4.5 million principal loan forgiveness credit. Accordingly, the Company recorded a $4.5 million gain on extinguishment of debt in the statements of operations and comprehensive loss for the year ended December 31, 2018.</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received $4.5 million in loan funding for Phase 2 and $6.0 million in loan funding for Phase 3 in September 2018 and March 2020, respectively. The outstanding loan balance from the DECD was $11.0 million and $5.0 million at December 31, 2020 and 2019, respectively.</w:t>
      </w:r>
    </w:p>
    <w:p>
      <w:pPr>
        <w:spacing w:after="0" w:line="9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Loan Agreement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August 2020, the Company entered into a Master Loan and Security Agreement (“Master Loan Agreement”) with a bank, which was assigned to a separate lender in September 2020. The Master Loan Agreement set forth terms and conditions between the Company and the bank, inclusive of certain representations and covenants. In October 2020, the Company entered into an equipment security note (“Equipment Note”), subject to all terms in the Master Loan Agreement, in which the Company received a loan of $6.3 million and deposited the proceeds into a deposit account held by the bank. The funds deposited into the account remain in the Company’s name; however, release of the funds is controlled by the bank, as agreed upon under a separate deposit control agreement. Per the terms of the Master Loan Agreement, on an annual basis upon each anniversary of the executed Master Loan Agreement, funds in the deposit account will be released to the Company in such manner that the remaining balance in the deposit account is equal to 110% of the current principal balance of the outstanding loan. Once the funds are released, the Company can use the proceeds without any restrictions. The terms of the Equipment Note require the Company to make sixty consecutive monthly payments of principal and interest at a fixed monthly amount of $0.1 million beginning in November 2020. Interest payments are fixed at an annual interest rate of 4.75%. The Company granted the bank a security interest in the equipment listed in the Equipment Note as collateral for the loan financing arrangement. The Company retains the title to all equipment listed in the Equipment Note and fulfillment of the arrangement is not dependent on the use of the specified equipment. As such, the Company accounts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financing arrangement as debt. The Company recorded the $6.3 million proceeds as restricted cash on the balance sheet at December 31, 2020. The outstanding loan balance was $6.1 million at December 31, 2020 following monthly payments made in November and December 2020.</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subordination agreement between the bank and the DECD, the DECD agreed that any present or future security interests in collateral would be subordinate to the security interests of the bank.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Master Lease Agreement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December 2020, the Company entered into a Master Lease Agreement (“Master Lease Agreement”) with a lender whereby the Company agreed to sell certain equipment and immediately leaseback the equipment, resulting in proceeds of $3.6 million. The transaction does not qualify as a sale-leaseback transaction as there is a $1.00 repurchase option at the end of the lease term that does not represent the fair value of the underlying assets. Accordingly, the Company continues to reflect the transferred assets on the balance sheets and recorded the proceeds as a financing obligation.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terms of the Master Lease Agreement require the Company to make sixty consecutive monthly payments of principal and interest at a fixed monthly amount of $0.1 million beginning in February 2021. Interest payments are fixed at an annual interest rate of 3.54%.</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Per the terms of the Master Lease Agreement and a separate Letter of Credit Agreement (“LOC Agreement”), the Company was required to deliver a letter of credit, from a financial institution deemed satisfactory, equal to the amount of the transferred assets. Accordingly, in December 2020, a financial institution issued an irrevocable standby letter of credit to the lender for $3.6 million. The Company deposited the funds in an account held by the financial institution and, in accordance with the terms of a separate agreement with the financial institution, the Company must maintain an aggregate amount on deposit equal to at least 105% of the value of any outstanding letters of credit issued by the financial institution on the Company’s behalf. Per the terms of the LOC Agreement with the lender, the letter of credit must be in place until all obligations have been paid in full. Beginning in June 2021 and every December and June thereafter, the letter of credit will be reduced to the then outstanding balance of the obligation. In addition, beginning in June 2022 and continuing each fiscal year thereafter, the lender will consent to a 33% reduction of the then current balance of the letter of credit provided that certain conditions and covenants have been met. Further, the Company must furnish annual audited financial statements and other financial information to the lender on a regular basis. The Company was in compliance with the above covenants as of December 31, 2020.</w:t>
      </w:r>
    </w:p>
    <w:p>
      <w:pPr>
        <w:spacing w:after="0" w:line="1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balance sheet at December 31, 2020. The outstanding loan balance was also $3.6 million at December 31, 2020.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 separate intercreditor agreement between the lender and the DECD, the DECD agreed that any present or future security interests in collateral would be subordinate to the security interests of the lender.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i w:val="1"/>
                <w:iCs w:val="1"/>
                <w:color w:val="auto"/>
              </w:rPr>
              <w:t>Maturities of Long-Term Debt</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As of December 31, 2020, long-term debt matures as follows (in thousands):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Borders>
              <w:bottom w:val="single" w:sz="8" w:color="CCEEFF"/>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an agreement with ISMMS to sublease office space in Connecticut with a remaining term of approximately 13 years as of December 31, 2020. The lease is subject to escalating rent and rent-free period provisions and require the Company to pay additional amounts for operating expenses. In addition, the Company leased certain lab and office spaces in New York from ISMMS on a month-to-month basis during the years ended December 31, 2020, 2019 and 2018. See Note 6 for additional information.</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April 2019, the Company entered into a sublease agreement to rent a building located in Stamford, Connecticut to be used for office and laboratory space. As the land is more than 25% of the total value, the building is accounted for as a capital lease and the land as an operating lease.</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November 2019, the Company entered into a lease agreement with a third party for office space in Connecticut. The Company took occupancy of the facility and the lease commenced in November 2019 and has a remaining term of 13 years as of December 31, 2020. The lease provides for escalating rent over the lease term and requires the Company to pay additional amounts for operating expenses. Per the terms of the lease agreement, the Company was required to deliver a letter of credit from a financial institution equal to the amount of the security deposit on the office space. Accordingly, in February 2020, a financial institution issued an irrevocable standby letter of credit to the third party for $0.9 million. The Company recorded $0.9 million as restricted cash on the balance sheet as of December 31, 2020.</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2020, the Company entered into a lease agreement with a third party for lab space in Branford, Connecticut. The Company took occupancy of the facility and the lease commenced in February 2020 and has a remaining term of 9 years as of December 31, 2020. The lease provides for escalating rent over the lease term and requires the Company to pay additional amounts for operating expenses.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w w:val="95"/>
              </w:rPr>
              <w:t>Future minimum payments under non-cancelable operating leases as of December 31, 2020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3,975</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$5.3 million, $0.8 million and $0.9 million for the years ended December 31, 2020, 2019 and 2018, respectively. Rent expense related to month-to-month operating leases was $3.2 million, $2.8 million, and $3.2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2019, the Company entered into a sublease agreement to rent a building to be used for office and laboratory space for a base term of 325 months. The building is accounted for as a capital lease and the land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the option to renew the lease at the end of the initial base term for either one period of 10 years, or two periods of 5 years. There is also an early termination option in which the Company may cancel the lease after the 196th month with a cancellation charge of $8.4 million. The Company has no intent to exercise the renewal nor early termination options.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building lease is amortized on a straight-line basis over 325 months. The interest rate related to the lease obligation is 13.1% and the maturity date is October 30, 2046.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also incurs other lease-related expenses such as real estate taxes, operating expenses and maintenance that are generally based on the Company’s pro-rata share of the total square footage of the property being leased.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Property and equipment under capital leases was $27.0 million and $19.5 million as of December 31, 2020 and 2019, respectively. Accumulated amortization on capital lease assets was $9.7 million and $6.3 million at December 31, 2020 and 2019, respectively.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balance sheets in accordance with repayment terms. Future payments under capital leases at December 31, 2020, are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8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20,778</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related to capital leases was $2.2 million, $0.7 million and $0.1 million for the years ended December 31, 2020,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December 31, 2020, nor is it a party to any legal proceedings as of the date of issuance of these financial statements.</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2017, the Company adopted the 2017 Stock Incentive Plan (the “2017 Plan”), effectively replacing the 2016 Stock Incentive Plan, for which no shares had vested, therefore, resulting in no obligation to the Company. In February 2018, the Board of Directors approved a resolution to amend the 2017 Plan, whereby awards are to be granted for Class A common stock and/or Class B common stock of the Company. The 2017 Plan is intended to qualify as an incentive stock option under the section 422 of Internal Revenue Service code, however certain non-qualified stock options and stock appreciation rights have been awarded under the 2017 Plan.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offers total aggregate shares of up to 279,192 shares of Class A common stock and Class B common stock, collectively, on an as-converted to Class A common stock basis. Following the amendment to the 2017 Plan in February 2018, the Company intends to use available shares to grant Class B common stock awards.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Awards could be granted to directors, officers, employees and consultants (collectively referred to as Employees) at the discretion of the Company and under terms and provisions established by the Board of Directors. Under the terms of the 2017 Plan, options may be granted at an exercise price not less than fair value. For employees holding more than 10% of the voting rights of all classes of stock of the Company, the per share exercise price must be at least 110% of fair value of the common stock on the date of grant, as determined by the Board of Directors. The terms of the awards granted may not exceed ten years from the date of grant.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2017 Plan awards granted generally vest in tranches with different vesting dates over a period of four years solely based upon continued employment or engagement under a consulting agreement over a specific period of time. Generally, the options granted to newly hired employees vest in equal monthly or quarterly installments over the four-year vesting schedule.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measurement of fair value and subsequent change in fair value are recognized as compensation expense over the requisite service period from grant date to settlement date for all awards that vest with a corresponding adjustment to stock-based compensation liabilities on the Company’s balance sheets.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the Company granted stock appreciation rights (“SAR”) to one employee and one consultant. In 2019 and 2020, the Company did not grant SARs to any employees or consultants. The awards granted vest in tranches</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with different vesting dates over a period of four years solely based upon continued employment or engagement under consulting agreement and vest in equal quarterly installments over the four-year vesting schedule. The SAR can only be exercised upon a liquidation event as defined in the related SAR agreement, which includes liquidations, mergers, and an initial public offering. The Company concluded that such liquidation events are not probable of occurring and, as such, no expense related to the SAR was recognized by the Company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December 31, 2020 and 2019, stock-based compensation liabilities were $132.0 million and $11.8 million, respectively. Stock-based compensation expense is included within the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Shares Available for</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4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80" w:type="dxa"/>
            <w:vAlign w:val="bottom"/>
            <w:vMerge w:val="continue"/>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$ 5,794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Balances at December 31, 2019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128,500</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forfeited and cancelled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w w:val="94"/>
              </w:rPr>
              <w:t>Increase in share reserve for issuance of Class B grants</w:t>
            </w:r>
          </w:p>
        </w:tc>
        <w:tc>
          <w:tcPr>
            <w:tcW w:w="13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115,972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76,584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w w:val="95"/>
              </w:rPr>
              <w:t>Shares Available for</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2018</w:t>
            </w:r>
          </w:p>
        </w:tc>
        <w:tc>
          <w:tcPr>
            <w:tcW w:w="1340" w:type="dxa"/>
            <w:vAlign w:val="bottom"/>
          </w:tcPr>
          <w:p>
            <w:pPr>
              <w:jc w:val="right"/>
              <w:spacing w:after="0"/>
              <w:rPr>
                <w:sz w:val="20"/>
                <w:szCs w:val="20"/>
                <w:color w:val="auto"/>
              </w:rPr>
            </w:pPr>
            <w:r>
              <w:rPr>
                <w:rFonts w:ascii="Arial" w:cs="Arial" w:eastAsia="Arial" w:hAnsi="Arial"/>
                <w:sz w:val="18"/>
                <w:szCs w:val="18"/>
                <w:color w:val="auto"/>
              </w:rPr>
              <w:t>3,315,972</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(3,247,815)</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176"/>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w w:val="92"/>
              </w:rPr>
              <w:t>Increase in share reserve for issuance under the 2017</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7,529,200</w:t>
            </w:r>
          </w:p>
        </w:tc>
        <w:tc>
          <w:tcPr>
            <w:tcW w:w="0" w:type="dxa"/>
            <w:vAlign w:val="bottom"/>
          </w:tcPr>
          <w:p>
            <w:pPr>
              <w:spacing w:after="0"/>
              <w:rPr>
                <w:sz w:val="1"/>
                <w:szCs w:val="1"/>
                <w:color w:val="auto"/>
              </w:rPr>
            </w:pPr>
          </w:p>
        </w:tc>
      </w:tr>
      <w:tr>
        <w:trPr>
          <w:trHeight w:val="229"/>
        </w:trPr>
        <w:tc>
          <w:tcPr>
            <w:tcW w:w="4260" w:type="dxa"/>
            <w:vAlign w:val="bottom"/>
          </w:tcPr>
          <w:p>
            <w:pPr>
              <w:ind w:left="400"/>
              <w:spacing w:after="0"/>
              <w:rPr>
                <w:sz w:val="20"/>
                <w:szCs w:val="20"/>
                <w:color w:val="auto"/>
              </w:rPr>
            </w:pPr>
            <w:r>
              <w:rPr>
                <w:rFonts w:ascii="Arial" w:cs="Arial" w:eastAsia="Arial" w:hAnsi="Arial"/>
                <w:sz w:val="18"/>
                <w:szCs w:val="18"/>
                <w:color w:val="auto"/>
              </w:rPr>
              <w:t>Plan</w:t>
            </w: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2019</w:t>
            </w:r>
          </w:p>
        </w:tc>
        <w:tc>
          <w:tcPr>
            <w:tcW w:w="1340" w:type="dxa"/>
            <w:vAlign w:val="bottom"/>
          </w:tcPr>
          <w:p>
            <w:pPr>
              <w:jc w:val="right"/>
              <w:spacing w:after="0"/>
              <w:rPr>
                <w:sz w:val="20"/>
                <w:szCs w:val="20"/>
                <w:color w:val="auto"/>
              </w:rPr>
            </w:pPr>
            <w:r>
              <w:rPr>
                <w:rFonts w:ascii="Arial" w:cs="Arial" w:eastAsia="Arial" w:hAnsi="Arial"/>
                <w:sz w:val="18"/>
                <w:szCs w:val="18"/>
                <w:color w:val="auto"/>
              </w:rPr>
              <w:t>9,366,357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(9,245,190)</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forfeited and 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537,000</w:t>
            </w:r>
          </w:p>
        </w:tc>
        <w:tc>
          <w:tcPr>
            <w:tcW w:w="0" w:type="dxa"/>
            <w:vAlign w:val="bottom"/>
          </w:tcPr>
          <w:p>
            <w:pPr>
              <w:spacing w:after="0"/>
              <w:rPr>
                <w:sz w:val="1"/>
                <w:szCs w:val="1"/>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w w:val="89"/>
              </w:rPr>
              <w:t>Increase in share reserve for issuance of Class B grants</w:t>
            </w:r>
          </w:p>
        </w:tc>
        <w:tc>
          <w:tcPr>
            <w:tcW w:w="1340" w:type="dxa"/>
            <w:vAlign w:val="bottom"/>
          </w:tcPr>
          <w:p>
            <w:pPr>
              <w:jc w:val="right"/>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Options 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26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1,308,167</w:t>
            </w: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Arial" w:cs="Arial" w:eastAsia="Arial" w:hAnsi="Arial"/>
                <w:sz w:val="18"/>
                <w:szCs w:val="18"/>
                <w:color w:val="auto"/>
              </w:rPr>
              <w:t>Options exercisable at December 31, 2020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Stock Options</w:t>
            </w:r>
          </w:p>
        </w:tc>
        <w:tc>
          <w:tcPr>
            <w:tcW w:w="14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6"/>
              </w:rPr>
              <w:t>Weighted- Average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14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 Life</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(years)</w:t>
            </w:r>
          </w:p>
        </w:tc>
        <w:tc>
          <w:tcPr>
            <w:tcW w:w="280" w:type="dxa"/>
            <w:vAlign w:val="bottom"/>
          </w:tcPr>
          <w:p>
            <w:pPr>
              <w:spacing w:after="0"/>
              <w:rPr>
                <w:sz w:val="16"/>
                <w:szCs w:val="16"/>
                <w:color w:val="auto"/>
              </w:rPr>
            </w:pP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2,434,028</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3,247,815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(369,000)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4"/>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5,312,843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9,245,190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(537,000)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13,915,604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1320" w:type="dxa"/>
            <w:vAlign w:val="bottom"/>
          </w:tcPr>
          <w:p>
            <w:pPr>
              <w:jc w:val="right"/>
              <w:spacing w:after="0"/>
              <w:rPr>
                <w:sz w:val="20"/>
                <w:szCs w:val="20"/>
                <w:color w:val="auto"/>
              </w:rPr>
            </w:pPr>
            <w:r>
              <w:rPr>
                <w:rFonts w:ascii="Arial" w:cs="Arial" w:eastAsia="Arial" w:hAnsi="Arial"/>
                <w:sz w:val="18"/>
                <w:szCs w:val="18"/>
                <w:color w:val="auto"/>
              </w:rPr>
              <w:t>5,615,734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00" w:space="100"/>
            <w:col w:w="5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240"/>
          </w:cols>
          <w:pgMar w:left="320" w:top="1440" w:right="339" w:bottom="1440" w:gutter="0" w:footer="0" w:header="0"/>
          <w:type w:val="continuous"/>
        </w:sectPr>
      </w:pPr>
    </w:p>
    <w:bookmarkStart w:id="352" w:name="page353"/>
    <w:bookmarkEnd w:id="35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stock options outstanding for Class B common stock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Exercise Prices</w:t>
            </w:r>
          </w:p>
        </w:tc>
        <w:tc>
          <w:tcPr>
            <w:tcW w:w="4560" w:type="dxa"/>
            <w:vAlign w:val="bottom"/>
            <w:gridSpan w:val="2"/>
          </w:tcPr>
          <w:p>
            <w:pPr>
              <w:ind w:left="2060"/>
              <w:spacing w:after="0"/>
              <w:rPr>
                <w:sz w:val="20"/>
                <w:szCs w:val="20"/>
                <w:color w:val="auto"/>
              </w:rPr>
            </w:pPr>
            <w:r>
              <w:rPr>
                <w:rFonts w:ascii="Arial" w:cs="Arial" w:eastAsia="Arial" w:hAnsi="Arial"/>
                <w:sz w:val="14"/>
                <w:szCs w:val="14"/>
                <w:b w:val="1"/>
                <w:bCs w:val="1"/>
                <w:color w:val="auto"/>
              </w:rPr>
              <w:t>Class B Stock Options Outstanding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3"/>
              </w:rPr>
              <w:t>Weighted- Average Remaining Contractual Life (years)</w:t>
            </w:r>
          </w:p>
        </w:tc>
      </w:tr>
      <w:tr>
        <w:trPr>
          <w:trHeight w:val="229"/>
        </w:trPr>
        <w:tc>
          <w:tcPr>
            <w:tcW w:w="3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$0.1894</w:t>
            </w:r>
          </w:p>
        </w:tc>
        <w:tc>
          <w:tcPr>
            <w:tcW w:w="4460" w:type="dxa"/>
            <w:vAlign w:val="bottom"/>
            <w:tcBorders>
              <w:top w:val="single" w:sz="8" w:color="auto"/>
            </w:tcBorders>
            <w:shd w:val="clear" w:color="auto" w:fill="CCEEFF"/>
          </w:tcPr>
          <w:p>
            <w:pPr>
              <w:jc w:val="center"/>
              <w:ind w:left="1734"/>
              <w:spacing w:after="0"/>
              <w:rPr>
                <w:sz w:val="20"/>
                <w:szCs w:val="20"/>
                <w:color w:val="auto"/>
              </w:rPr>
            </w:pPr>
            <w:r>
              <w:rPr>
                <w:rFonts w:ascii="Arial" w:cs="Arial" w:eastAsia="Arial" w:hAnsi="Arial"/>
                <w:sz w:val="18"/>
                <w:szCs w:val="18"/>
                <w:color w:val="auto"/>
                <w:w w:val="89"/>
              </w:rPr>
              <w:t>1,834,028</w:t>
            </w:r>
          </w:p>
        </w:tc>
        <w:tc>
          <w:tcPr>
            <w:tcW w:w="10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7.27</w:t>
            </w:r>
          </w:p>
        </w:tc>
      </w:tr>
      <w:tr>
        <w:trPr>
          <w:trHeight w:val="229"/>
        </w:trPr>
        <w:tc>
          <w:tcPr>
            <w:tcW w:w="3020" w:type="dxa"/>
            <w:vAlign w:val="bottom"/>
          </w:tcPr>
          <w:p>
            <w:pPr>
              <w:ind w:left="20"/>
              <w:spacing w:after="0"/>
              <w:rPr>
                <w:sz w:val="20"/>
                <w:szCs w:val="20"/>
                <w:color w:val="auto"/>
              </w:rPr>
            </w:pPr>
            <w:r>
              <w:rPr>
                <w:rFonts w:ascii="Arial" w:cs="Arial" w:eastAsia="Arial" w:hAnsi="Arial"/>
                <w:sz w:val="18"/>
                <w:szCs w:val="18"/>
                <w:color w:val="auto"/>
              </w:rPr>
              <w:t>$0.5960</w:t>
            </w:r>
          </w:p>
        </w:tc>
        <w:tc>
          <w:tcPr>
            <w:tcW w:w="4460" w:type="dxa"/>
            <w:vAlign w:val="bottom"/>
          </w:tcPr>
          <w:p>
            <w:pPr>
              <w:jc w:val="center"/>
              <w:ind w:left="1754"/>
              <w:spacing w:after="0"/>
              <w:rPr>
                <w:sz w:val="20"/>
                <w:szCs w:val="20"/>
                <w:color w:val="auto"/>
              </w:rPr>
            </w:pPr>
            <w:r>
              <w:rPr>
                <w:rFonts w:ascii="Arial" w:cs="Arial" w:eastAsia="Arial" w:hAnsi="Arial"/>
                <w:sz w:val="18"/>
                <w:szCs w:val="18"/>
                <w:color w:val="auto"/>
                <w:w w:val="90"/>
              </w:rPr>
              <w:t>50,000</w:t>
            </w:r>
          </w:p>
        </w:tc>
        <w:tc>
          <w:tcPr>
            <w:tcW w:w="10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7.82</w:t>
            </w: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$0.9485</w:t>
            </w:r>
          </w:p>
        </w:tc>
        <w:tc>
          <w:tcPr>
            <w:tcW w:w="4460" w:type="dxa"/>
            <w:vAlign w:val="bottom"/>
            <w:shd w:val="clear" w:color="auto" w:fill="CCEEFF"/>
          </w:tcPr>
          <w:p>
            <w:pPr>
              <w:jc w:val="center"/>
              <w:ind w:left="1734"/>
              <w:spacing w:after="0"/>
              <w:rPr>
                <w:sz w:val="20"/>
                <w:szCs w:val="20"/>
                <w:color w:val="auto"/>
              </w:rPr>
            </w:pPr>
            <w:r>
              <w:rPr>
                <w:rFonts w:ascii="Arial" w:cs="Arial" w:eastAsia="Arial" w:hAnsi="Arial"/>
                <w:sz w:val="18"/>
                <w:szCs w:val="18"/>
                <w:color w:val="auto"/>
                <w:w w:val="89"/>
              </w:rPr>
              <w:t>9,611,633</w:t>
            </w:r>
          </w:p>
        </w:tc>
        <w:tc>
          <w:tcPr>
            <w:tcW w:w="100" w:type="dxa"/>
            <w:vAlign w:val="bottom"/>
            <w:shd w:val="clear" w:color="auto" w:fill="CCEEFF"/>
          </w:tcPr>
          <w:p>
            <w:pPr>
              <w:spacing w:after="0"/>
              <w:rPr>
                <w:sz w:val="19"/>
                <w:szCs w:val="19"/>
                <w:color w:val="auto"/>
              </w:rPr>
            </w:pPr>
          </w:p>
        </w:tc>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8.98</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$2.3564</w:t>
            </w:r>
          </w:p>
        </w:tc>
        <w:tc>
          <w:tcPr>
            <w:tcW w:w="4460" w:type="dxa"/>
            <w:vAlign w:val="bottom"/>
          </w:tcPr>
          <w:p>
            <w:pPr>
              <w:jc w:val="center"/>
              <w:ind w:left="1734"/>
              <w:spacing w:after="0"/>
              <w:rPr>
                <w:sz w:val="20"/>
                <w:szCs w:val="20"/>
                <w:color w:val="auto"/>
              </w:rPr>
            </w:pPr>
            <w:r>
              <w:rPr>
                <w:rFonts w:ascii="Arial" w:cs="Arial" w:eastAsia="Arial" w:hAnsi="Arial"/>
                <w:sz w:val="18"/>
                <w:szCs w:val="18"/>
                <w:color w:val="auto"/>
                <w:w w:val="89"/>
              </w:rPr>
              <w:t>2,419,943</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5"/>
              </w:rPr>
              <w:t>9.89</w:t>
            </w:r>
          </w:p>
        </w:tc>
      </w:tr>
    </w:tbl>
    <w:p>
      <w:pPr>
        <w:spacing w:after="0" w:line="14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December 31, 2020.</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each stock option award granted was estimated on the date of grant and remeasured each reporting period using the Black-Scholes option-valuation model based on the following inputs and assumptions: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Expected volatility – Since the Company is privately-held and, therefore, does not have any trading history for its common stock, the expected volatility was estimated based on the average volatility for comparable publicly traded companies over a period equal to the expected term of stock option grants. When selecting these comparable companies, the Company considered the enterprise value, risk profiles, position within the industry, and whether there was sufficient historical share price information to meet the expected life of the stock-based awards. Historical volatility was computed using the daily closing prices for the selected companies’ common stock during the equivalent period of the calculated expected term of the stock-based awards.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Expected term – The expected term represents the period that awards are expected to be outstanding. The expected term was determined by the potential timing of a liquidity event since all awards have accelerated vesting features upon a liquidation event and the Company generally does not expect grantees to exercise vested options prior to a liquidation event.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Risk-free interest rate – The risk-free interest rate is based on the U.S. Treasury yield curve in effect for bonds with maturities consistent with the expected holding periods corresponding with the expected term of the option.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Dividend yield – The Company has never paid dividends on its common stock and does not anticipate paying dividends on its common stock in the foreseeable future. Therefore, the Company used an expected dividend yield of zero.</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Fair value of common stock –The absence of a public market for the Company’s common stock for the years ended December 31, 2020, 2019 and 2018 required the Company’s Board of Directors to estimate the fair value of its common stock. The Company considered several objective and subjective factors, including the most recently available valuation of the Company’s common stock prepared by an independent third party valuation firm and factors that may have changed from the date of the most recent valuation through the end of the reporting period. In determining the fair value of common stock, the Company considered the valuation of comparable companies, the Company’s operating and financial performance, the lack of liquidity of the Company’s common stock, transactions in the Company’s common stock, general and industry specific economic outlook, amongst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stock option awards as of December 31, 2020, 2019, and 2018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0.50-1.49</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3.00–5.00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4.00</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1.40%–1.43%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2.68%</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$94.85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$59.60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$6.7931</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$0.9485</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$0.5960</w:t>
            </w:r>
          </w:p>
        </w:tc>
      </w:tr>
    </w:tbl>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2020, the fair value associated with the Company’s stock options totaled $160.6 million. The vested portion of this fair value at December 31, 2020 was $80.0 million and $52.0 million for Class A and Class B stock options, respectively, and is included in stock-based compensation liabilities on the Company’s balance sheets. As of December 31, 2020, unrecognized stock-based compensation cost related to the unvested portion of the Company’s stock options were $0.5 million and $28.1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year ended December 31, 2020 was $0.1 million. No cash was received from stock option exercise for the years ended December 31, 2019 and 2018.</w:t>
      </w:r>
    </w:p>
    <w:p>
      <w:pPr>
        <w:spacing w:after="0" w:line="1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Redeemable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in connection with the Spin-out, the Company issued 800,000 shares of Series A redeemable convertible preferred stock (the “Series A Preferred Stock”) to ISMMS at an original issue price of $122.94 per share (the “Series A Original Issue Price”). ISMMS’s capital contribution to the Company was accounted for at the net book value of the assets transferred to and liabilities assumed by the Company since the Company and ISMMS are entities under common control (see Note 1). As a result, the difference between the fair value of the Series A Preferred Stock at the Series A Original Issue Price and the net book value of the assets and liabilities contributed to the Company as described in Note 6 results in additional preference of $55.0 million to ISMMS.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a number of votes equal to the number of whole shares of Class A common stock into which it is convertible. The Series A Preferred Stock was convertible to Class A common stock at the option of the holder at any time and without the payment of additional consideration and was mandatorily convertible upon the occurrence of certain events.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holder of the Series A Preferred Stock was entitled to mandatory, cumulative dividends at a rate of 3% per annum that were satisfied through the issuance of additional shares on each anniversary of the issuance of the Series A Preferred Stock. As a result, the Company issued an additional 24,000 and 24,720 shares to the holder of the Series A Preferred Stock on June 1, 2018 and June 1, 2019,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event of a liquidation, dissolution or a deemed liquidation of the Company, the holder of the Series A Preferred Stock was to receive distributions prior to payment to the holder of Class A common stock.</w:t>
      </w:r>
    </w:p>
    <w:p>
      <w:pPr>
        <w:spacing w:after="0" w:line="1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Series A Preferred Stock Modification and Issuances of Redeemable Convertible Series B Preferred Stock and Redeemable Convertible Series C Preferred Stock</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August 2019, the Company amended its certificate of incorporation to change the structure of the redeemable convertible preferred stock by authorizing to issue three series of redeemable convertible preferred stock. Following the amended certificate of incorporation, the Company has authority to issue 1,308,663 shares of redeemable convertible preferred stock with $0.00001 par value per share, which consists of 447,373 shares designated as Series A-1 redeemable convertible preferred stock (the “Series A-1 Preferred Stock”), 522,627 shares designated as Series A-2 redeemable convertible preferred stock (the “Series A-2 Preferred Stock”) and 338,663 shares designated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B redeemable convertible preferred stock (the “Series B Preferred Stock”). The original issue price for Series A-1 Preferred Stock and Series A-2 Preferred Stock is the Series A Original Issue Price and the original issue price for Series B Preferred stock is $376.80 per share (the “Series B Original Issue Price”).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consideration thereof on August 2, 2019, the Company issued 447,373 shares and 401,347 shares of its Series A-1 Preferred Stock and Series A-2 Preferred Stock, respectively, to ISMMS at the Series A Original Issue Price, replacing the Series A Preferred Stock issued and outstanding prior to the amendment to the certificate of incorporation. Also, on August 2, 2019, the Company entered into a stock purchase agreement with third-party investors, whereby the Company issued 338,663 shares of its Series B Preferred Stock at the Series B Original Issue Price, resulting in $118.8 million in cash proceeds, net of issuance costs.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and August 2020, the Company amended its certificate of incorporation to authorize the issuance of additional shares of redeemable convertible preferred stock. Following the amended certificate of incorporation, the Company has authority to issue 197,824 shares of redeemable convertible preferred stock with $0.00001 par value per share designated as Series C redeemable convertible preferred stock (the “Series C Preferred Stock”). The original issue price for Series C Preferred Stock is $613.67 per share (the “Series C Original Issue Price”). Concurrently with these amendments to the certificate of incorporation, the Company entered into stock purchase agreements with third-party investors, whereby the Company issued 197,821 shares of its Series C Preferred Stock at the Series C Original Issue Price, resulting in $117.3 million in cash proceeds, net of issuance costs.</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Series A-1 Preferred Stock, the Series A-2 Preferred Stock, the Series B Preferred Stock and the Series C Preferred Stock are collectively referred to as the “Redeemable Convertible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years ended December 31, 2020, 2019 and 2018. As of December 31, 2020 and 2019,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 liquidation, dissolution or deemed liquidation of the Company, the holders of the Series A-1 Preferred Stock, Series B Preferred Stock and Series C Preferred Stock are entitled to receive, prior to distribution to the holders of Series A-2 Preferred Stock, Class A common stock and Class B common stock, an amount per share equal to the greater of: (i) the liquidation preference amount for each series of preferred stock plus any accrued but unpaid dividends, or (ii) the amount per share that would have been payable had all shares been converted into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1440" w:right="339" w:bottom="1440" w:gutter="0" w:footer="0" w:header="0"/>
        </w:sectPr>
      </w:pPr>
    </w:p>
    <w:bookmarkStart w:id="355" w:name="page356"/>
    <w:bookmarkEnd w:id="355"/>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common stock immediately prior to such liquidation event. After the required distributions to the holders of the Series A-1 Preferred Stock, Series B Preferred Stock and Series C Preferred Stock, holders of the Series A-2 Preferred Stock are entitled to receive distributions of the remaining assets of the Company prior to the holders of Class A common stock and Class B common stock.</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holders of the Series A-1 Preferred Stock and Series A-2 Preferred Stock are entitled to a liquidation preference equal to the Series A Original Issue Price.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holders of the Series B Preferred Stock are entitled to a liquidation preference of $603.26 per share during the period commencing on original issue date of the Series B Preferred Stock (the “Series B Original Issue Date”) and ending on the date that is one day prior to the third anniversary of the Series B Original Issue Date; $612.69 per share during the period commencing on the third anniversary of the Series B Original Issue Date and ending on the date that is one day prior to the fourth anniversary of the Series B Original Issue Date; and $659.82 per share from and after the fourth anniversary of the Series B Original Issue Date, in each case as such amount is appropriately adjusted in the event of any stock dividend, stock split or other similar recapitalization with respect to the Series B Preferred Stock.</w:t>
      </w:r>
    </w:p>
    <w:p>
      <w:pPr>
        <w:spacing w:after="0" w:line="138" w:lineRule="exact"/>
        <w:rPr>
          <w:sz w:val="20"/>
          <w:szCs w:val="20"/>
          <w:color w:val="auto"/>
        </w:rPr>
      </w:pPr>
    </w:p>
    <w:p>
      <w:pPr>
        <w:ind w:right="1940" w:firstLine="324"/>
        <w:spacing w:after="0" w:line="438" w:lineRule="auto"/>
        <w:rPr>
          <w:sz w:val="20"/>
          <w:szCs w:val="20"/>
          <w:color w:val="auto"/>
        </w:rPr>
      </w:pPr>
      <w:r>
        <w:rPr>
          <w:rFonts w:ascii="Arial" w:cs="Arial" w:eastAsia="Arial" w:hAnsi="Arial"/>
          <w:sz w:val="18"/>
          <w:szCs w:val="18"/>
          <w:color w:val="auto"/>
        </w:rPr>
        <w:t xml:space="preserve">The holders of the Series C Preferred Stock are entitled to a liquidation preference equal to the Series C Original Issue Price. </w:t>
      </w:r>
      <w:r>
        <w:rPr>
          <w:rFonts w:ascii="Arial" w:cs="Arial" w:eastAsia="Arial" w:hAnsi="Arial"/>
          <w:sz w:val="18"/>
          <w:szCs w:val="18"/>
          <w:b w:val="1"/>
          <w:bCs w:val="1"/>
          <w:i w:val="1"/>
          <w:iCs w:val="1"/>
          <w:color w:val="auto"/>
        </w:rPr>
        <w:t>Classification of Redeemable Convertible Preferred Stock</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balance sheets. No accretion was recorded during the years ended December 31, 2020, 2019 and 2018 as a deemed liquidation event was not considered probable.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Redeemable Convertible Preferred Stock at December 31, 2020 consists of the following (in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c>
          <w:tcPr>
            <w:tcW w:w="0" w:type="dxa"/>
            <w:vAlign w:val="bottom"/>
          </w:tcPr>
          <w:p>
            <w:pPr>
              <w:spacing w:after="0"/>
              <w:rPr>
                <w:sz w:val="1"/>
                <w:szCs w:val="1"/>
                <w:color w:val="auto"/>
              </w:rPr>
            </w:pPr>
          </w:p>
        </w:tc>
      </w:tr>
      <w:tr>
        <w:trPr>
          <w:trHeight w:val="188"/>
        </w:trPr>
        <w:tc>
          <w:tcPr>
            <w:tcW w:w="470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447,373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522,627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401,347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338,663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197,821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1,506,487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1,385,204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 2018, the Company’s certificate of incorporation was amended to provide for two classes of common stock, Class A and Class B. The Company converted 57,500 Class A shares to Class B shares at a conversion ratio of 1:100. As a result, the Company has the authority to issue 1,942,500 shares of Class A common stock and 5,750,000 shares of Class B common stock, both at $0.00001 par value per share.</w:t>
      </w:r>
    </w:p>
    <w:p>
      <w:pPr>
        <w:spacing w:after="0" w:line="1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August 2, 2019, the Company’s certificate of incorporation was amended to increase the number of shares the Company was authorized to issue for both Class A and Class B common stock. As a result of the amended certificate of incorporation, the Company has the authority to issue 2,500,000 shares of Class A common stock and 15,000,000 shares of Class B common stock, both at $0.00001 par value per share. The Company has authority to convert all Class B common stock to shares of Class A common stock on a basis of 100 shares of Class B common stock for each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rights of the holders of Class A common stock and Class B common stock are identical, except with respect to voting and conversion. Holders of Class A common stock are entitled to one vote per share and holders of Class B common stock are entitled to one one-hundredth of a vote per share. The Company has the authority at any time by notice given to the holders of Class B common stock to convert all of the Class B common stock to shares of Class A common stock on a basis of 100 shares of Class B common stock for each share of Class A common stock.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was one share of Class A common stock issued and outstanding at December 31, 2020, 2019 and 2018. There were 105,429 shares of Class B common stock issued and outstanding at December 31, 2020. There were no shares of Class B common stock issued and outstanding at December 31, 2019 and 2018. The shares of Class B common stock issued and outstanding at December 31, 2020 remained liability-classified since the Company concluded that the stockholder did not yet bear the risks and rewards of equity ownership for a reasonable period of time.</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years ended December 31, 2020, 2019 and 2018, the Company did not have a current or deferred income tax expense or (benefit). Accordingly, the effective tax rate for the Company for the years ended December 31, 2020, 2019 and 2018 was zero percent. A reconciliation of the anticipated income tax expense/(benefit) computed by applying the statutory federal income tax rate of 21% to income before taxes to the amount reported in the statement of operations and comprehensive loss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15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6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2.1</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(7.8)</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(4.3)</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660" w:type="dxa"/>
            <w:vAlign w:val="bottom"/>
            <w:gridSpan w:val="2"/>
          </w:tcPr>
          <w:p>
            <w:pPr>
              <w:jc w:val="center"/>
              <w:ind w:left="15"/>
              <w:spacing w:after="0"/>
              <w:rPr>
                <w:sz w:val="20"/>
                <w:szCs w:val="20"/>
                <w:color w:val="auto"/>
              </w:rPr>
            </w:pPr>
            <w:r>
              <w:rPr>
                <w:rFonts w:ascii="Arial" w:cs="Arial" w:eastAsia="Arial" w:hAnsi="Arial"/>
                <w:sz w:val="18"/>
                <w:szCs w:val="18"/>
                <w:color w:val="auto"/>
                <w:w w:val="93"/>
              </w:rPr>
              <w:t>(24.1)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(22.2)</w:t>
            </w: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tax effects of temporary differences and carryforwards that give rise to significant portions of the net deferred tax assets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44,583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Deferred employer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Gross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Valuation allowance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bottom w:val="single" w:sz="8" w:color="CCEEFF"/>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(58,264)</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(20,082)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the following tax net operating loss carryforwards available to reduce future federal and state taxable income, and tax credit carryforwards available to offset future federal and Connecticut income taxes: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2036-2037</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tcPr>
          <w:p>
            <w:pPr>
              <w:jc w:val="right"/>
              <w:spacing w:after="0"/>
              <w:rPr>
                <w:sz w:val="20"/>
                <w:szCs w:val="20"/>
                <w:color w:val="auto"/>
              </w:rPr>
            </w:pPr>
            <w:r>
              <w:rPr>
                <w:rFonts w:ascii="Arial" w:cs="Arial" w:eastAsia="Arial" w:hAnsi="Arial"/>
                <w:sz w:val="18"/>
                <w:szCs w:val="18"/>
                <w:color w:val="auto"/>
              </w:rPr>
              <w:t>66,937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2028-2042</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2038-2040</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2034-2035</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 expiration</w:t>
            </w: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Future realization of the tax benefits of existing temporary differences and carryforwards ultimately depends on the existence of sufficient taxable income within the carryforward period. As of December 31, 2020 and 2019,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2020 and 2019. The valuation allowance increased by $38.2 million in 2020 and $7.2 million in 2019 primarily due to the increase in net operating loss carryforwards, research and development tax credits, accrued compensation expenses, stock-based compensation and deferred rent expense.</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 reconciliation of the beginning and ending amounts of unrecognized tax benefits for the years ended December 31, 2020 and 2019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8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
        </w:trPr>
        <w:tc>
          <w:tcPr>
            <w:tcW w:w="80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0"/>
        </w:trPr>
        <w:tc>
          <w:tcPr>
            <w:tcW w:w="802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8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2020 and 2019, the Company had no accrued interest or penalties related to uncertain tax positions.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statutes of limitations remain open for all years until the net operating loss carryforwards are utilized or expire prior to utilization.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of legislation in the state of Connecticut, corporate entities have the opportunity to exchange certain research and development tax credit carryforwards for a cash payment of 65% of the research and development tax credits. The research and development expenses that qualify for Connecticut credits are limited to those costs incurred within Connecticut. The Company has elected to participate in the exchange program and, as a result, has recognized net benefits of $0.5 million for the year ended December 31, 2019 and $0.5 million for the year ended December 31, 2018 which is included in non-operating income in the statements of operations and comprehensive loss. The Company was not eligible for the exchange program for the year ended December 31, 2020 because it no longer qualified as a small business for purposes of the exchange program as its gross income exceeded $70.0 million for the previous tax year.</w:t>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net loss per share attributable to common stockholders (in thousands, except for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Class A shares outstanding used in computing allocation of net loss</w:t>
            </w: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Class B shares on an as converted to Class A basis used in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computing allocation</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A</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Arial" w:cs="Arial" w:eastAsia="Arial" w:hAnsi="Arial"/>
                <w:sz w:val="18"/>
                <w:szCs w:val="18"/>
                <w:color w:val="auto"/>
                <w:w w:val="92"/>
              </w:rPr>
              <w:t>Weighted average shares used in computing net loss per share attributable to Class B</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stockholders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64"/>
        </w:trPr>
        <w:tc>
          <w:tcPr>
            <w:tcW w:w="636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2018 and 2019 as the inclusion of potentially dilutive shares would have been anti-dilutive.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year ended December 31, 2020, the Company’s diluted net loss per share of Class A common stock assumed the conversion of all Class B common stock into Class A common stock in accordance with the if-converted method. For the year ended December 31, 2020, the calculation of diluted net loss per share of Class B common stock did not differ from the calculation of basic net loss per share as the inclusion of potentially 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would have been anti-dilutive. The following table sets forth the computation of diluted net loss per share of Class A common stock for the year ended December 31, 2020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4"/>
              </w:rPr>
              <w:t>Net Loss Attributable to</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20" w:type="dxa"/>
            <w:vAlign w:val="bottom"/>
          </w:tcPr>
          <w:p>
            <w:pPr>
              <w:spacing w:after="0"/>
              <w:rPr>
                <w:sz w:val="11"/>
                <w:szCs w:val="11"/>
                <w:color w:val="auto"/>
              </w:rPr>
            </w:pPr>
          </w:p>
        </w:tc>
        <w:tc>
          <w:tcPr>
            <w:tcW w:w="13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8"/>
              </w:rPr>
              <w:t>Loss per share</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Class A common stock</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w w:val="97"/>
              </w:rPr>
              <w:t>Add:The effect of dilutive potential Class A common stock Class B common stock</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(235,516)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5,312,843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2,434,028</w:t>
            </w:r>
          </w:p>
        </w:tc>
        <w:tc>
          <w:tcPr>
            <w:tcW w:w="0" w:type="dxa"/>
            <w:vAlign w:val="bottom"/>
          </w:tcPr>
          <w:p>
            <w:pPr>
              <w:spacing w:after="0"/>
              <w:rPr>
                <w:sz w:val="1"/>
                <w:szCs w:val="1"/>
                <w:color w:val="auto"/>
              </w:rPr>
            </w:pPr>
          </w:p>
        </w:tc>
      </w:tr>
      <w:tr>
        <w:trPr>
          <w:trHeight w:val="176"/>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 convertible preferred stock (on an if-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1,272,821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979,526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814,071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converted basis)</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15,310,425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6,420,869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3,390,599</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14.</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 w:type="dxa"/>
            <w:vAlign w:val="bottom"/>
            <w:tcBorders>
              <w:bottom w:val="single" w:sz="8" w:color="CCEEFF"/>
            </w:tcBorders>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bonus</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Accrued benefits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current other liabilities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61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Subsequent Events</w:t>
            </w: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4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evaluated subsequent events through May 6, 2021, the date the financial statements were available to be issued.</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361" w:name="page362"/>
    <w:bookmarkEnd w:id="36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174,108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41,609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38,591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Current contract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31,643</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Stock-based compensation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296,952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22,852</w:t>
            </w:r>
          </w:p>
        </w:tc>
        <w:tc>
          <w:tcPr>
            <w:tcW w:w="0" w:type="dxa"/>
            <w:vAlign w:val="bottom"/>
          </w:tcPr>
          <w:p>
            <w:pPr>
              <w:spacing w:after="0"/>
              <w:rPr>
                <w:sz w:val="1"/>
                <w:szCs w:val="1"/>
                <w:color w:val="auto"/>
              </w:rPr>
            </w:pP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406,191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Series A-1 redeemable convertible preferred stock, $0.00001 par value: 447,373 shares authorized, issued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and outstanding at March 31, 2021 and December 31, 2020; aggregate liquidation preference of $55,000</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Series A-2 redeemable convertible preferred stock, $0.00001 par value: 522,627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1"/>
              </w:rPr>
              <w:t>31, 2021 and December 31, 2020; 401,347 shares authorized, issued and outstanding at March 31, 2021</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and December 31, 2020; aggregate liquidation preference of $49,342 at March 31, 2021 and</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Series B redeemable convertible preferred stock, $0.00001 par value: 338,663 shares authorized, issued and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outstanding at March 31, 2021 and December 31, 2020; aggregate liquidation preference of $204,302 at</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March 31, 2021 and December 31, 2020</w:t>
            </w: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Series C redeemable convertible preferred stock, $0.00001 par value: 197,824 shares authorized at March</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8"/>
              </w:rPr>
              <w:t>31, 2021 and December 31, 2020; 197,821 shares issued and outstanding at March 31, 2021 and</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2"/>
              </w:rPr>
              <w:t>December 31, 2020; aggregate liquidation preference of $121,397 at March 31, 2021 and December 31,</w:t>
            </w: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117,324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21" w:right="33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Class A common stock, $0.00001 par value: 2,500,000 shares authorized at March 31, 2021 and December</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31, 2020; 1 share issued and outstanding at March 31, 2021 and December 31, 2020</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Class B convertible common stock, $0.00001 par value: 15,000,000 shares authorized at March 31, 2021</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w w:val="94"/>
              </w:rPr>
              <w:t>and December 31, 2020; 604,649 and 105,429 shares issued and outstanding at March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219,586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21" w:right="339" w:bottom="1440" w:gutter="0" w:footer="0" w:header="0"/>
        </w:sectPr>
      </w:pPr>
    </w:p>
    <w:bookmarkStart w:id="363" w:name="page364"/>
    <w:bookmarkEnd w:id="36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Diagnostic test revenue (including related party revenue of $33 and $61 for the three months ended March</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31, 2021 and 2020,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Other revenue (including related party revenue of $27 and $0 for the three months ended March 31, 2021</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46,655</w:t>
            </w:r>
          </w:p>
        </w:tc>
        <w:tc>
          <w:tcPr>
            <w:tcW w:w="0" w:type="dxa"/>
            <w:vAlign w:val="bottom"/>
          </w:tcPr>
          <w:p>
            <w:pPr>
              <w:spacing w:after="0"/>
              <w:rPr>
                <w:sz w:val="1"/>
                <w:szCs w:val="1"/>
                <w:color w:val="auto"/>
              </w:rPr>
            </w:pPr>
          </w:p>
        </w:tc>
      </w:tr>
      <w:tr>
        <w:trPr>
          <w:trHeight w:val="155"/>
        </w:trPr>
        <w:tc>
          <w:tcPr>
            <w:tcW w:w="8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Cost of services (including related party expenses of $278 and $574 for the three months ended March 31,</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71,812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2020,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common stock</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21" w:right="3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tcBorders>
              <w:right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Redeemable Convertible</w:t>
            </w:r>
          </w:p>
        </w:tc>
        <w:tc>
          <w:tcPr>
            <w:tcW w:w="60" w:type="dxa"/>
            <w:vAlign w:val="bottom"/>
          </w:tcPr>
          <w:p>
            <w:pPr>
              <w:spacing w:after="0"/>
              <w:rPr>
                <w:sz w:val="14"/>
                <w:szCs w:val="14"/>
                <w:color w:val="auto"/>
              </w:rPr>
            </w:pPr>
          </w:p>
        </w:tc>
        <w:tc>
          <w:tcPr>
            <w:tcW w:w="21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Class A Common Stock</w:t>
            </w:r>
          </w:p>
        </w:tc>
        <w:tc>
          <w:tcPr>
            <w:tcW w:w="220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Borders>
              <w:right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6"/>
                <w:szCs w:val="16"/>
                <w:color w:val="auto"/>
              </w:rPr>
            </w:pPr>
          </w:p>
        </w:tc>
        <w:tc>
          <w:tcPr>
            <w:tcW w:w="2180" w:type="dxa"/>
            <w:vAlign w:val="bottom"/>
            <w:gridSpan w:val="5"/>
            <w:vMerge w:val="continue"/>
          </w:tcPr>
          <w:p>
            <w:pPr>
              <w:spacing w:after="0"/>
              <w:rPr>
                <w:sz w:val="16"/>
                <w:szCs w:val="16"/>
                <w:color w:val="auto"/>
              </w:rPr>
            </w:pPr>
          </w:p>
        </w:tc>
        <w:tc>
          <w:tcPr>
            <w:tcW w:w="22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0"/>
                <w:szCs w:val="10"/>
                <w:color w:val="auto"/>
              </w:rPr>
            </w:pPr>
          </w:p>
        </w:tc>
        <w:tc>
          <w:tcPr>
            <w:tcW w:w="940" w:type="dxa"/>
            <w:vAlign w:val="bottom"/>
          </w:tcPr>
          <w:p>
            <w:pPr>
              <w:jc w:val="center"/>
              <w:ind w:right="17"/>
              <w:spacing w:after="0" w:line="11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1"/>
                <w:szCs w:val="11"/>
                <w:color w:val="auto"/>
              </w:rPr>
            </w:pPr>
          </w:p>
        </w:tc>
        <w:tc>
          <w:tcPr>
            <w:tcW w:w="94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 value</w:t>
            </w:r>
          </w:p>
        </w:tc>
        <w:tc>
          <w:tcPr>
            <w:tcW w:w="11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value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6"/>
                <w:szCs w:val="16"/>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(88,711)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1,187,383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217,115</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(115,701)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Balance at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1,385,204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(330,051)</w:t>
            </w:r>
          </w:p>
        </w:tc>
        <w:tc>
          <w:tcPr>
            <w:tcW w:w="0" w:type="dxa"/>
            <w:vAlign w:val="bottom"/>
          </w:tcPr>
          <w:p>
            <w:pPr>
              <w:spacing w:after="0"/>
              <w:rPr>
                <w:sz w:val="1"/>
                <w:szCs w:val="1"/>
                <w:color w:val="auto"/>
              </w:rPr>
            </w:pPr>
          </w:p>
        </w:tc>
      </w:tr>
      <w:tr>
        <w:trPr>
          <w:trHeight w:val="230"/>
        </w:trPr>
        <w:tc>
          <w:tcPr>
            <w:tcW w:w="2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(190,993)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Common stock class B issued</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499,220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pursuant to stock options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1,385,204</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604,649</w:t>
            </w: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8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(521,044)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21" w:right="3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w:t>
            </w: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(22,613)</w:t>
            </w:r>
          </w:p>
        </w:tc>
      </w:tr>
      <w:tr>
        <w:trPr>
          <w:trHeight w:val="38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long-term debt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Long-term debt principal payments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principal payments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deferred transaction costs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91,729</w:t>
            </w:r>
          </w:p>
        </w:tc>
      </w:tr>
      <w:tr>
        <w:trPr>
          <w:trHeight w:val="38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 paid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 leases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240"/>
          </w:cols>
          <w:pgMar w:left="320" w:top="121" w:right="339" w:bottom="1440" w:gutter="0" w:footer="0" w:header="0"/>
          <w:type w:val="continuous"/>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Mount Sinai Genomics, Inc., d/b/a Sema4 (the “Company”) provides genomics-related diagnostic and information services and pursues genomics medical research. The Company utilizes an integrated portfolio of laboratory processes, software tools and informatics capabilities to process DNA-containing samples, analyze information about patient-specific genetic variation and generate test reports for clinicians and their patients. The Company provides a variety of genetic diagnostic tests and information with focus on reproductive health, pediatric, oncology and other conditions. In 2020, the Company began to provide diagnostic testing services in response to the recent novel coronavirus (“COVID-19”) outbreak. The Company serves patients and bills third party payors across the United States, with a substantial portion of its diagnostic testing volume occurring in the states of New York, California, Florida, Connecticut, and New Jersey.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was incorporated in the State of Delaware as a for-profit corporation on October 16, 2015, with limited operations focused on establishing the Company as a capitalized, standalone entity. On June 1, 2017, the Company signed a contribution and funding agreement and other agreements with Icahn School of Medicine at Mount Sinai (“ISMMS”), whereby ISMMS contributed certain assets and liabilities related to the Company’s operations, provided certain services to the Company, and also committed to fund the Company up to $55.0 million in future capital contributions in exchange for equity in the Company (the “Spin-out”). Following the Spin-out, the Company commenced operations and began providing the services and performing research. The Company continues to be party to a Transition Services Agreement (“TSA”) as well as service agreements (“Service Agreements”) with ISMMS (see Note 6).</w:t>
      </w:r>
    </w:p>
    <w:p>
      <w:pPr>
        <w:spacing w:after="0" w:line="14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February 9, 2021, the Company, CM Life Sciences, Inc. (“CMLS”), and S-IV Sub, Inc., a direct and wholly-owned subsidiary of CMLS, entered into an Agreement and Plan of Merger (the “Merger Agreement”), pursuant to which CMLS will acquire the Company through a merger of S-IV Sub, Inc. with and into the Company (the “Merger”), with the Company being the surviving corporation and a wholly-owned subsidiary of CMLS following the Merger. Once effective, all equity securities of the Company will be converted into the right to receive the applicable portion of merger consideration.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condensed financial statements have been prepared in conformity with accounting principles generally accepted in the United States of America (“U.S. GAAP”) for interim financial information. Accordingly, they do not include all of the information and footnotes required by U.S. GAAP for complete financial statements. As such, the accompanying unaudited condensed financial statements should be read in conjunction with the Company’s audited financial statements and notes thereto as of and for the years ended December 31, 2020, 2019 and 2018 that are included elsewhere in this proxy statement.</w:t>
      </w:r>
    </w:p>
    <w:p>
      <w:pPr>
        <w:spacing w:after="0" w:line="13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accompanying condensed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ISMMS pursuant to the TSA and Service Agreements. The Company’s historical results are not necessarily indicative of what its results of operations, financial position, cash flows, or costs and expenses would have been had the Company been an independent entity during the historical periods presented or what its results of operations, financial position, cash flows, or costs and expenses will be in the future when it is a publicly traded, stand-alone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condensed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21" w:right="339"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Through March 31, 2021, the Company has funded its operations primarily with proceeds from the issuance of its redeemable convertible preferred stock and the issuance of long-term debt. The Company has incurred recurring losses since its inception, including net losses of $191.0 million and $27.0 million for the three months ended March 31, 2021 and 2020, respectively. As of March 31, 2021, the Company had an accumulated deficit of $521.0 million. The Company expects to continue to generate significant operating losses for the foreseeable future. As of June 10, 2021, the issuance date of the condensed financial statements for the three months ended March 31, 2021, the Company expects that its existing cash and cash equivalents of $58.7 million (excluding restricted cash) will be sufficient to fund its operating expenses and capital expenditure requirements into the third quarter of 2021. The future viability of the Company beyond that point is dependent on its ability to raise additional capital to finance its operations.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seeking to merge with CM Life Sciences, Inc. (see Note 1). In the event the Company does not complete this transaction, the Company expects to seek additional funding through an initial public offering of its common shares,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stockholders.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June 10 2021, the issuance date of the accompanying condensed financial statements, the Company has concluded that there is substantial doubt about its ability to continue as a going concern for a period of one year from the date that these condensed financial statements were issued.</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condensed financial statements do not include any adjustments that might result from the outcome of this uncertainty. Accordingly, the condensed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condensed financial statements in conformity with U.S. GAAP requires management to make certain estimates, judgments and assumptions that affect the reported amounts of assets and liabilities and the related disclosures at the date of the condensed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and inventory. Actual results could differ materially from those estimates, judgments and assumptions.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320" w:top="121" w:right="33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assesses both the customer and, if applicable, the third-party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at March 31, 2021 and December 31,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each significant payor, revenue as a percentage of total revenues and accounts receivable as a percentage of total accounts receivable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Revenue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82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As of</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7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14 %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B</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Payor D</w:t>
            </w:r>
          </w:p>
        </w:tc>
        <w:tc>
          <w:tcPr>
            <w:tcW w:w="1720" w:type="dxa"/>
            <w:vAlign w:val="bottom"/>
          </w:tcPr>
          <w:p>
            <w:pPr>
              <w:jc w:val="right"/>
              <w:ind w:right="1115"/>
              <w:spacing w:after="0"/>
              <w:rPr>
                <w:sz w:val="20"/>
                <w:szCs w:val="20"/>
                <w:color w:val="auto"/>
              </w:rPr>
            </w:pPr>
            <w:r>
              <w:rPr>
                <w:rFonts w:ascii="Arial" w:cs="Arial" w:eastAsia="Arial" w:hAnsi="Arial"/>
                <w:sz w:val="18"/>
                <w:szCs w:val="18"/>
                <w:color w:val="auto"/>
              </w:rPr>
              <w:t>12 %</w:t>
            </w: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7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*less than 10%</w:t>
            </w:r>
          </w:p>
        </w:tc>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11% and 12% of purchases of lab supplies, reagents and kits for the three months ended March 31, 2021 and 2020, respectively. This risk is managed by maintaining a target quantity of surplus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2020, the World Health Organization declared the COVID-19 outbreak a pandemic. COVID-19 has had, and continues to have, an extensive impact on the global health and economic environments. Many jurisdictions, including those in which the Company has locations, have implemented measures to combat the outbreak, such as travel restrictions and shelter in place orders. In addition, the healthcare sector generally experienced a decline in discretionary care services at the onset of the pandemic.</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Beginning in April 2020, the Company’s diagnostic test volumes decreased significantly as compared to the prior year as a result of COVID-19 and the related limitations and priorities across the healthcare system. In response, beginning in May 2020, the Company entered into several service agreements with state governments and healthcare institutions to provide testing for the presence of COVID-19 infection. While test volumes have since improved, the Company continues to experience changes in the mix of tests due to the impact of COVID-19. COVID-19 could continue to have a material impact on the Company’s results of operations, cash flows and financial condition for the foreseeable future.</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the Company received $5.4 million, comprised of $2.6 million received under the Provider Relief Fund (“PRF”) distribution, which was recognized in other income, net in the statements of operations and comprehensive loss, and $2.8 million received under the Employee Retention Credit (“ERC”) distribution, which was recorded in the other liabilities and reflected in this balance as of March 31, 2021 and December 31, 2020.</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2021, the Company received an additional $5.6 million under the PRF distribution, which was recognized in other income, net in the statements of operations and comprehensive loss. At this time, the Company is not certain of the availability, extent or impact of any future relief provided under the CARES Act or other stimulus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320" w:top="121" w:right="33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consist of amounts invested in money market funds. Carrying values of cash equivalents approximate fair value due to the short-term nature of these instruments.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balance sheets that sum to the total of the same amounts shown on the condensed statements of cash flows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As of March 31, 2021</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As of 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Restricted cash as of March 31, 2021 consists of money market deposit accounts that secure irrevocable standby letters of credit that serve as collateral for security deposits for financing obligations and operating leases (see Note 7 and Note 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capitalizes deferred transaction costs, which primarily consist of direct, incremental legal, professional, accounting and other third-party fees relating to the anticipated Merger. As of March 31, 2021, the Company has deferred $5.5 million of transaction costs in prepaid expenses and other current assets on the condensed balance sheets that will be reclassified and offset against equity upon consummation of the Merger. Should the planned Merger be abandoned, the deferred offering costs will be expensed immediately as a charge to operating expenses in the condensed statements of operations and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Effective January 1, 2021, the Company adopted Accounting Standards Update (“ASU”) 2018-18, </w:t>
      </w:r>
      <w:r>
        <w:rPr>
          <w:rFonts w:ascii="Arial" w:cs="Arial" w:eastAsia="Arial" w:hAnsi="Arial"/>
          <w:sz w:val="16"/>
          <w:szCs w:val="16"/>
          <w:i w:val="1"/>
          <w:iCs w:val="1"/>
          <w:color w:val="auto"/>
        </w:rPr>
        <w:t>Collaborative Arrangements: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Interaction between Topic 808 and Topic 606 </w:t>
      </w:r>
      <w:r>
        <w:rPr>
          <w:rFonts w:ascii="Arial" w:cs="Arial" w:eastAsia="Arial" w:hAnsi="Arial"/>
          <w:sz w:val="16"/>
          <w:szCs w:val="16"/>
          <w:color w:val="auto"/>
        </w:rPr>
        <w:t>(“ASU 2018-18”), which clarifies that certain transactions between participants in a collaborative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arrangement should be accounted for under ASC Topic 606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when the counterparty is a customer. In addition, ASC Topic 808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precludes an entity from presenting consideration from a transaction in a collaborative arrangement as revenue from contracts with customers if the counterparty is not a customer for that transaction. Adoption of ASU 2018-18 did not have an impact on the Company’s condensed financial statements as the Company is not currently a participant in any such collaborative arrangements.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lessees to recognize right-of-use assets and lease liabilities for most leases on their balance sheets. Expense recognition for lessees under ASU 2016-02 is similar to current lease accounting. ASU 2016-02 will require enhanced disclosures to help the financial statement users better understand the amount, timing, and uncertainty of cash flows arising from leases. The recognition, measurement and presentation of expenses and cash flows arising from a lease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320" w:top="121" w:right="3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primarily depend on its classification as a finance or operating lease. As an emerging growth company, the provisions of ASU 2016-02 are effective for the Company for annual and interim periods beginning after December 15, 2021. Early adoption is permitted. The Company is evaluating the transition options permissible under ASU 2016-02 and plans to adopt through a cumulative adjustment to retained earnings on the date of adoption. Significant implementation matters being addressed by the Company include documenting the new lease accounting process. The Company is evaluating the effect this ASU will have on its financial statements, related disclosures and ongoing financial reporting. The Company expects implementation of this ASU to result in the recognition of right-of-use assets and corresponding lease liabilities in its balance sheets, principally related to office and facility leases.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The new credit losses standard changes the impairment model for most financial assets and certain other instruments.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31,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1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 – Goodwill and Other – 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(“ASU 2018-15”), which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standard. ASU 2018-15 will require an entity (customer) in a hosting arrangement that is a service contract to follow the guidance in Subtopic 350-40 to determine which implementation costs to capitalize as an asset related to the service contract and which costs to expense. ASU 2018-15 also requires the entity (customer) to expense the capitalized implementation costs of a hosting arrangement that is a service contract over the term of the hosting arrangement. ASU 2018-15 also requires the entity to present the expense related to the capitalized implementation costs in the same line item in the statement of income as the fees associated with the hosting element (service) of the arrangement and classify payments for capitalized implementation costs in the statement of cash flows in the same manner as payments made for fees associated with the hosting element. The entity is also required to present the capitalized implementation costs on the balance sheets in the same line item that a prepayment for the fees of the associated hosting arrangement would be presented. The amendments in ASU 2018-15 are effective for the Company in annual reporting periods beginning after December 15, 2020 and interim periods beginning after December 15, 2021. Early adoption is permitted. The Company is evaluating the transition options permissible under ASU 2018-15 of either 1) retrospectively adjusting prior periods presented or 2) prospectively applying amendments to all implementation costs incurred after the date of adoption. The Company is currently evaluating the impact of ASU 2018-15 will have on its financial statements and related disclosures.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ASU 2019-12 simplifies the accounting for income taxes by removing certain exceptions to the general principles in ASC 740 and clarifying and amending existing guidance to improve consistent application. ASU 2019-12 is effective for fiscal years beginning after December 15, 2021. Early adoption is permitted. The Company is currently assessing the impact of adopting this new accounting guidance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121" w:right="339"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revenue is generated from diagnostic services provided to three groups of customers: patients with third-party insurance coverage; patients without third-party insurance coverage or those who elect to self-pay; and institutional clients, such as hospitals, clinics and reference laboratories. Revenue from diagnostic testing services is recorded at the estimated transaction price, subject to the constraint for variable consideration, upon transfer of control of the service.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enters into both short-term and long-term project-based collaboration service agreements with third parties, whereby the Company provides diagnostic testing, research and related data aggregation reporting services. The consideration to which the Company is entitled pursuant to its collaboration service agreements generally includes non-refundable upfront payments and variable payments based upon the achievement of certain milestones during the contract term. Non-refundable upfront payments are generally received in advance of performing the services and, therefore,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Revenue for such collaboration service agreements is recognized over time using an input measure based on costs incurred to satisfy the performance obligation.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revenue disaggregated by type of customer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46,197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44,396</w:t>
            </w: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quarterly change in estimate resulted in a $3.5 million adjustment for tests in which the performance obligation of delivering the test results was met in prior periods. The change in estimate is a result of changes in the estimated transaction price due to contractual adjustments, obtaining updated information from payors and patients that was unknown at the time the performance obligation was met and settlements with third party payors. For the three months ended March 31, 2020, the quarterly change in estimate did not result in material adjustments to the Company’s previously reported revenue or accounts receivable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long-term nature of some collaboration service agreements, the Company’s obligations pursuant to such agreements represent partially unsatisfied performance obligations as of March 31, 2021. The revenues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121"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existing collaboration service agreements with original expected durations of more than one year are estimated to be approximately $11.8 million. The Company expects to recognize the majority of this revenue over the next 4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415"/>
              <w:spacing w:after="0"/>
              <w:rPr>
                <w:sz w:val="20"/>
                <w:szCs w:val="20"/>
                <w:color w:val="auto"/>
              </w:rPr>
            </w:pPr>
            <w:r>
              <w:rPr>
                <w:rFonts w:ascii="Arial" w:cs="Arial" w:eastAsia="Arial" w:hAnsi="Arial"/>
                <w:sz w:val="14"/>
                <w:szCs w:val="14"/>
                <w:b w:val="1"/>
                <w:bCs w:val="1"/>
                <w:color w:val="auto"/>
              </w:rPr>
              <w:t>Contract</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contract liabilities as of March 31, 2021 is primarily due to the execution of a collaboration service agreement with a customer. The Company presents contracts assets and contract liabilities arising from another customer contract on a net basis on its condensed balance sheets. As of March 31, 2021 and December 31, 2020, $2.8 million and $1.8 million is recorded as current contract liabilities, respectively.</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recognized for the three months ended March 31, 2021 and March 31, 2020 that were included in the contract liability balance at the beginning of each period were $0.5 million and $0.1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condensed balance sheets as current or non-current based upon forecasted performance.</w:t>
      </w:r>
    </w:p>
    <w:p>
      <w:pPr>
        <w:spacing w:after="0" w:line="9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March 31, 2021 and December 31, 2020, the Company had outstanding deferred costs to fulfill contracts of $2.8 million and $3.0 million, respectively. As of March 31, 2021 and December 31, 2020, all outstanding deferred costs were recorded as prepaid expenses and other current assets.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deferred costs was $0.3 million and $0.3 million for the three months ended March 31, 2021 and 2020, respectively. The amortization of these costs is recorded in cost of services on the condensed statements of operations and comprehensive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121"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capital leases and long-term debt are classified within level 1 of the fair value hierarchy because such long-term debt and capital lease agreements bear interest at rates for instruments with similar characteristics; accordingly, the carrying value of these liabilities approximate their fair values.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As of March 31, 2021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40"/>
        </w:trPr>
        <w:tc>
          <w:tcPr>
            <w:tcW w:w="5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As of December 31, 2020</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Money market funds are classified within Level 1 of the fair value hierarchy as the fair value is based on quoted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Level 1, Level 2 and Level 3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34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3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1340" w:type="dxa"/>
            <w:vAlign w:val="bottom"/>
          </w:tcPr>
          <w:p>
            <w:pPr>
              <w:jc w:val="center"/>
              <w:ind w:right="134"/>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Furnitures, fixtures and other equipment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March 31, 2021 and 2020, depreciation and amortization expense was $4.9 million and $2.4 million, respectively, which included software amortization expense of $1.2 million and $0.5 million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121" w:right="33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three months ended March 31, 2021 and 2020, respectively. Depreciation and amortization expense is included within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and 2020, there were no sales of property and equipment made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Related party revenue with Mount Sinai Health Network for diagnostic testing revenues were nominal for the three months ended March 31, 2021 and totaled $0.1 million for the three months ended March 31, 2020. Related party revenues from collaborative service agreements were nominal for the three months ended March 31, 2021, while there were none for the three months ended March 31, 2020.</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amounts due from ISMMS and other entities within the Mount Sinai Health Network for revenues earned of $0.3 million and $0.3 million as of March 31, 2021 and December 31, 2020, respectively. These amounts are presented as due from related parties on the Company’s condensed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costs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Expenses recognized under the TSA totaled $1.4 million and $1.9 million for the three months ended March 31, 2021 and 2020, respectively, and are presented within related party expenses in the condensed statements of operations and comprehensive loss. The Company had TSA payables due to ISMMS of $0.7 million and $0.6 million at March 31, 2021 and December 31, 2020, respectively. These amounts are included within due to related parties on the Company’s condensed balance sheets.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Expenses recognized pursuant to the Service Agreements and other service arrangements with ISMMS totaled $0.7 million and $0.9 million for the three months ended March 31, 2021 and 2020, respectively. These amounts are included in either cost of services or related party expenses on the condensed statements of operations and comprehensive loss depending on the particular activity to which the costs relate. Payables due to ISMMS for the Service Agreements and other service arrangements were nominal at March 31, 2021 and totaled $0.8 million at December 31, 2020. These amounts are included within due to related parties on the Company’s condensed balance sheets.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statements of operations and comprehensive loss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121" w:right="3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ISMMS assigned a loan funding commitment from the Connecticut Department of Economic and Community Development (“DECD”) to the Company. The DECD loan agreement, as amended,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This commitment is collateralized by providing a security interest in certain machinery and equipment the Company acquired from ISMMS, as defined in a separate security agreement. ISMMS also guarantees the Company’s obligation to repay the DECD.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outstanding loan balance from the DECD was $11.0 million and $11.0 million at March 31,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2020, the Company entered into a loan and security agreement with a bank, in which the Company received a loan of $6.3 million and deposited the proceeds into a deposit account held by the bank. The Company is required to make sixty consecutive monthly payments of principal and interest at a fixed monthly amount of $0.1 million beginning in November 2020. Interest payments are fixed at an annual interest rate of 4.75%.</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$6.3 million proceeds as restricted cash on the condensed balance sheets at March 31, 2021 and December 31, 2020. The outstanding loan balance was $5.8 million and $6.1 million at March 31, 2021 and December 31,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leaseback the equipment, resulting in proceeds of $3.6 million. Per the terms of the agreement, a financial institution issued an irrevocable standby letter of credit to the lender for $3.6 million. The Company is required to make sixty consecutive monthly payments of principal and interest at a fixed monthly amount of $0.1 million beginning in February 2021. Interest payments are fixed at an annual interest rate of 3.54%.</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must maintain an aggregate amount on deposit equal to at least 105% of the value of any outstanding letters of credit issued by the financial institution on the Company’s behalf. The letter of credit must be in place until all obligations have been paid in full. Further, the Company must furnish annual audited financial statements and other financial information to the lender on a regular basis. The Company was in compliance with the covenants as of March 31, 2021.</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the $3.6 million proceeds as restricted cash on the condensed balance sheets at March 31, 2021 and December 31, 2020. The outstanding loan balance was $3.5 million and $3.6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121" w:right="3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Long-Term Debt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long-term debt matures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Company’s operating leases consist of office and lab space leases and a ground lease associated with a building under capital lease. The Company has entered into leases of office and lab space with ISMSS, including month-to-month leases in place during the three months ended March 31, 2021 and 2020. Pursuant to the terms of a lease agreement, the Company was required to have issued an irrevocable standby letter of credit to the lessor for $0.9 million, which was included in restricted cash on the condensed balance sheets as of March 31, 2021 and December 31, 2020.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under non-cancelable operating leases as of March 31, 2021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4,386</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4,568</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50,111</w:t>
            </w:r>
          </w:p>
        </w:tc>
      </w:tr>
      <w:tr>
        <w:trPr>
          <w:trHeight w:val="248"/>
        </w:trPr>
        <w:tc>
          <w:tcPr>
            <w:tcW w:w="9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Rent expense related to non-cancelable operating leases was $1.4 million and $1.3 million for the three months ended March 31, 2021 and 2020, respectively. Rent expense related to month-to-month operating leases was $0.3 million and $0.8 million for the three months ended March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1.9% to 12.0%. The leases are secured by the underlying equipment. The Company also leases a building used for office and laboratory space in which the building is accounted for as a capital lease and the land is as an operating lease.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under capital leases was $27.6 million and $27.0 million as of March 31, 2021 and December 31,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Accumulated amortization on capital lease assets was $10.7 million and $9.7 million at March 31, 2021 and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121" w:right="339" w:bottom="1440" w:gutter="0" w:footer="0" w:header="0"/>
        </w:sectPr>
      </w:pPr>
    </w:p>
    <w:bookmarkStart w:id="377" w:name="page378"/>
    <w:bookmarkEnd w:id="377"/>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all capital leases, the portion of the future payments designated as principal repayment is recorded as a capital lease obligation on the Company’s condensed balance sheets in accordance with repayment terms. Future payments under capital leases at March 31, 2021,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(remainder of year)</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(45,407)</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80" w:firstLine="324"/>
        <w:spacing w:after="0" w:line="438" w:lineRule="auto"/>
        <w:rPr>
          <w:sz w:val="20"/>
          <w:szCs w:val="20"/>
          <w:color w:val="auto"/>
        </w:rPr>
      </w:pPr>
      <w:r>
        <w:rPr>
          <w:rFonts w:ascii="Arial" w:cs="Arial" w:eastAsia="Arial" w:hAnsi="Arial"/>
          <w:sz w:val="18"/>
          <w:szCs w:val="18"/>
          <w:color w:val="auto"/>
        </w:rPr>
        <w:t xml:space="preserve">Interest expense related to capital leases was $0.6 million and $0.5 million for the three months ended March 31, 2021 and 2020, respectively. </w:t>
      </w:r>
      <w:r>
        <w:rPr>
          <w:rFonts w:ascii="Arial" w:cs="Arial" w:eastAsia="Arial" w:hAnsi="Arial"/>
          <w:sz w:val="18"/>
          <w:szCs w:val="18"/>
          <w:b w:val="1"/>
          <w:bCs w:val="1"/>
          <w:i w:val="1"/>
          <w:iCs w:val="1"/>
          <w:color w:val="auto"/>
        </w:rPr>
        <w:t>Contingencies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may, from time to time, become involved in legal proceedings arising out of the normal course of its operations. For instance, the Company may be subject to lawsuits alleging negligence or other similar legal claims related to its provision of genetic testing and/or information services. The Company establishes reserves for specific legal matters when it determines that the likelihood of an unfavorable outcome is probable and the loss is reasonably estimable. The Company has also identified certain other legal matters where it believes an unfavorable outcome is not probable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of one or more of these lawsuits or other contingencies could have a material impact on the liquidity, results of operations, or financial condition of the Company.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various liability insurance coverages for, among other things, claims that could result from providing, or failing to provide diagnostic testing services, including inaccurate testing results, and other exposures. The Company’s insurance coverage limits its maximum exposure on claims; however, the Company is responsible for any uninsured portion of losses. Management believes that present insurance coverage is sufficient to cover potential exposures.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was not a party to any material legal proceedings at March 31, 2021, nor is it a party to any legal proceedings as of the date of issuance of these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adopted the 2017 Stock Incentive Plan (the 2017 Plan) in April of 2017. The 2017 Plan was amended in February 2018, offering total aggregate shares of up to 279,192 shares of Class A common stock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121" w:right="3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 B common stock, collectively, on an as-converted to Class A common stock basis. Following the amendment to the 2017 Plan, the Company intends to use available shares to grant Class B common stock awards.</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the 2017 Plan, the Company has a call option to repurchase awards for cash from the plan participants upon termination of the participant’s employment or consulting agreement. The Company concludes that it is probable it will exercise its call option prior to the award holder being subject to the risks and rewards of equity ownership. As a result, the Company’s stock-based compensation awards are classified as a liability. Shares of common stock issued upon settlement of an award continue to be classified as a liability and remeasured to fair value each reporting period until the stockholder bears the risks and rewards of equity ownership for a reasonable period of time, which the Company concludes is a period of at least six months.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historically granted stock appreciation rights (“SAR”) to one employee and one consultant. The SAR can only be exercised upon a liquidation event, which the Company concludes is not probable of occurring as of March 31, 2021. As a result, no expense related to the SAR was recognized by the Company during the three months ended March 31, 2021 and 2020. The Company did not grant SARs to any employees or consultants during the three months ended March 31, 2021.</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March 31, 2021 and December 31, 2020, stock-based compensation liabilities were $297.0 million and $132.0 million, respectively. Stock-based compensation expense is included within the condensed statements of operations and comprehensive loss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summarizes the activity under the 2017 Plan for Class A and Class B common stock options (in thousands, except share and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Shares Available</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3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1"/>
                <w:szCs w:val="11"/>
                <w:color w:val="auto"/>
              </w:rPr>
            </w:pPr>
          </w:p>
        </w:tc>
        <w:tc>
          <w:tcPr>
            <w:tcW w:w="10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30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14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80,565</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Options forfeited and cancelled</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174,739</w:t>
            </w:r>
          </w:p>
        </w:tc>
        <w:tc>
          <w:tcPr>
            <w:tcW w:w="0" w:type="dxa"/>
            <w:vAlign w:val="bottom"/>
          </w:tcPr>
          <w:p>
            <w:pPr>
              <w:spacing w:after="0"/>
              <w:rPr>
                <w:sz w:val="1"/>
                <w:szCs w:val="1"/>
                <w:color w:val="auto"/>
              </w:rPr>
            </w:pPr>
          </w:p>
        </w:tc>
      </w:tr>
      <w:tr>
        <w:trPr>
          <w:trHeight w:val="223"/>
        </w:trPr>
        <w:tc>
          <w:tcPr>
            <w:tcW w:w="480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168,747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121" w:right="339"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outstanding stock options for Class A common stock have an exercise price of $18.94.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2"/>
                <w:szCs w:val="12"/>
                <w:color w:val="auto"/>
              </w:rPr>
            </w:pP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85"/>
        </w:trPr>
        <w:tc>
          <w:tcPr>
            <w:tcW w:w="40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4040" w:type="dxa"/>
            <w:vAlign w:val="bottom"/>
          </w:tcPr>
          <w:p>
            <w:pPr>
              <w:spacing w:after="0"/>
              <w:rPr>
                <w:sz w:val="4"/>
                <w:szCs w:val="4"/>
                <w:color w:val="auto"/>
              </w:rPr>
            </w:pPr>
          </w:p>
        </w:tc>
        <w:tc>
          <w:tcPr>
            <w:tcW w:w="14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Shares Available for</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44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1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Grant</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1,308,167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13,915,604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w:t>
            </w: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Option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forfeited and cancelled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(499,220)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3,014,526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157,455</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Arial" w:cs="Arial" w:eastAsia="Arial" w:hAnsi="Arial"/>
                <w:sz w:val="18"/>
                <w:szCs w:val="18"/>
                <w:color w:val="auto"/>
              </w:rPr>
              <w:t>Options exercisable at March 31, 2021</w:t>
            </w:r>
          </w:p>
        </w:tc>
        <w:tc>
          <w:tcPr>
            <w:tcW w:w="1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5,552,271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aggregate intrinsic value in the tables above calculates the difference between the exercise price of the underlying stock options and the fair value of the Company’s common stock for stock options that were in-the-money and represents the value that would have been received by the option holders had all option holders exercised their options on March 31, 2021.</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estimated fair value of the stock option awards as of March 31, 2021 and March 31, 2020, was estimated using the Black-Scholes option pricing model with the following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1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3"/>
              </w:rPr>
              <w:t>Three Months ended March 31,</w:t>
            </w:r>
          </w:p>
        </w:tc>
        <w:tc>
          <w:tcPr>
            <w:tcW w:w="1240" w:type="dxa"/>
            <w:vAlign w:val="bottom"/>
            <w:tcBorders>
              <w:bottom w:val="single" w:sz="8" w:color="auto"/>
            </w:tcBorders>
          </w:tcPr>
          <w:p>
            <w:pPr>
              <w:spacing w:after="0"/>
              <w:rPr>
                <w:sz w:val="16"/>
                <w:szCs w:val="16"/>
                <w:color w:val="auto"/>
              </w:rPr>
            </w:pPr>
          </w:p>
        </w:tc>
      </w:tr>
      <w:tr>
        <w:trPr>
          <w:trHeight w:val="18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68.50%- 75.60%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68.30%-73.30%</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160" w:type="dxa"/>
            <w:vAlign w:val="bottom"/>
          </w:tcPr>
          <w:p>
            <w:pPr>
              <w:jc w:val="right"/>
              <w:spacing w:after="0"/>
              <w:rPr>
                <w:sz w:val="20"/>
                <w:szCs w:val="20"/>
                <w:color w:val="auto"/>
              </w:rPr>
            </w:pPr>
            <w:r>
              <w:rPr>
                <w:rFonts w:ascii="Arial" w:cs="Arial" w:eastAsia="Arial" w:hAnsi="Arial"/>
                <w:sz w:val="18"/>
                <w:szCs w:val="18"/>
                <w:color w:val="auto"/>
              </w:rPr>
              <w:t>0.50- 1.75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3.00-5.00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0.05%- 0.16%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0.29%-0.37%</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160" w:type="dxa"/>
            <w:vAlign w:val="bottom"/>
          </w:tcPr>
          <w:p>
            <w:pPr>
              <w:jc w:val="right"/>
              <w:spacing w:after="0"/>
              <w:rPr>
                <w:sz w:val="20"/>
                <w:szCs w:val="20"/>
                <w:color w:val="auto"/>
              </w:rPr>
            </w:pPr>
            <w:r>
              <w:rPr>
                <w:rFonts w:ascii="Arial" w:cs="Arial" w:eastAsia="Arial" w:hAnsi="Arial"/>
                <w:sz w:val="18"/>
                <w:szCs w:val="18"/>
                <w:color w:val="auto"/>
              </w:rPr>
              <w:t>0.00 %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0.00 %</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$565.85-$1,549.43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$85.42-$97.58</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Class B common stock</w:t>
            </w:r>
          </w:p>
        </w:tc>
        <w:tc>
          <w:tcPr>
            <w:tcW w:w="2160" w:type="dxa"/>
            <w:vAlign w:val="bottom"/>
          </w:tcPr>
          <w:p>
            <w:pPr>
              <w:jc w:val="right"/>
              <w:spacing w:after="0"/>
              <w:rPr>
                <w:sz w:val="20"/>
                <w:szCs w:val="20"/>
                <w:color w:val="auto"/>
              </w:rPr>
            </w:pPr>
            <w:r>
              <w:rPr>
                <w:rFonts w:ascii="Arial" w:cs="Arial" w:eastAsia="Arial" w:hAnsi="Arial"/>
                <w:sz w:val="18"/>
                <w:szCs w:val="18"/>
                <w:color w:val="auto"/>
              </w:rPr>
              <w:t>$5.66-$15.49</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$0.85-$0.98</w:t>
            </w:r>
          </w:p>
        </w:tc>
      </w:tr>
    </w:tbl>
    <w:p>
      <w:pPr>
        <w:spacing w:after="0" w:line="2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2021, the fair value associated with the Company’s stock options totaled $340.5 million. The vested portion of this fair value at March 31, 2021 was $174.2 million and $122.8 million for Class A and Class B stock options, respectively, and is included in stock-based compensation liabilities on the Company’s condensed balance sheets. As of March 31, 2021, unrecognized stock-based compensation cost related to the unvested portion of the Company’s stock options were $0.6 million and $42.9 million for Class A and Class B stock options, respectively. The Company expects to recognize the unrecognized compensation cost on a graded-vesting basis over a weighted-average period of 0.3 and 0.9 years for Class A and Class B stock options, respectively. Cash received from stock option exercise for the three months ended March 31, 2021 was $0.4 million. No cash was received from stock option exercise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121"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Redeemable Convertible Preferred Stock at March 31, 2021 and December 31, 2020 consists of the following (in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 Authorized</w:t>
            </w:r>
          </w:p>
        </w:tc>
        <w:tc>
          <w:tcPr>
            <w:tcW w:w="15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Shares Issued and</w:t>
            </w:r>
          </w:p>
        </w:tc>
        <w:tc>
          <w:tcPr>
            <w:tcW w:w="280" w:type="dxa"/>
            <w:vAlign w:val="bottom"/>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w w:val="94"/>
              </w:rPr>
              <w:t>Aggregate Liquidation</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440" w:type="dxa"/>
            <w:vAlign w:val="bottom"/>
          </w:tcPr>
          <w:p>
            <w:pPr>
              <w:jc w:val="right"/>
              <w:spacing w:after="0"/>
              <w:rPr>
                <w:sz w:val="20"/>
                <w:szCs w:val="20"/>
                <w:color w:val="auto"/>
              </w:rPr>
            </w:pPr>
            <w:r>
              <w:rPr>
                <w:rFonts w:ascii="Arial" w:cs="Arial" w:eastAsia="Arial" w:hAnsi="Arial"/>
                <w:sz w:val="18"/>
                <w:szCs w:val="18"/>
                <w:color w:val="auto"/>
              </w:rPr>
              <w:t>522,627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401,347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1,506,487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Holders of the Redeemable Convertible Preferred Stock are entitled to a number of votes equal to the number of whole shares of Class A common stock into which it is convertible.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the Redeemable Convertible Preferred Stock are entitled to receive or participate in dividends to the extent that dividends are declared for holders of Class A common stock and Class B common stock, at which point the holders of the Redeemable Convertible Preferred Stock are entitled to participate on an as-converted to Class A common stock basis.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not declared any cash or other dividends through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Redeemable Convertible Preferred Stock is convertible into Class A common stock at the option of the holder at any time and without the payment of additional consideration and is mandatorily convertible upon the occurrence of certain events. The conversion ratio could be adjusted upon the Company’s issuance of shares of common stock below the original issue prices of the Redeemable Convertible Preferred Stock; the issuance of certain options or securities convertible into common stock of the Company; the issuance of certain dividends; and events such as stock splits, merger and reorganization.</w:t>
      </w:r>
    </w:p>
    <w:p>
      <w:pPr>
        <w:spacing w:after="0" w:line="13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were no conversions of Redeemable Convertible Preferred Stock into Class A common stock during the three months ended March 31, 2021. As of March 31, 2021 and December 31, 2020, all shares of Redeemable Convertible Preferred Stock were convertible into shares of Class A common stock at a 1:1 ratio.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 of Redeemable Convertible Preferred Stock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Redeemable Convertible Preferred Stock has deemed liquidation provisions which provide the holders the option to redeem the shares upon a change in control or other deemed liquidation event. The deemed liquidation preference provisions of the Redeemable Convertible Preferred Stock are considered contingent redemption provisions that are not solely within the Company’s control. Accordingly, the Redeemable Convertible Preferred Stock is presented outside of permanent equity in the mezzanine portion of the Company’s condensed balance sheets. No accretion was recorded during the three months ended March 31, 2021 and 2020, as a deemed liquidation event was not considered probable.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was one share of Class A common stock issued and outstanding at March 31, 2021 and December 31, 2020. There were 604,649 and 105,429 shares of Class B common stock issued and outstanding at March 31, 2021 and December 31, 2020, respectively. The shares of Class B common stock issued and outstanding at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121" w:right="339"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2021 remained liability-classified since the Company concluded that the stockholder did not yet bear the risks and rewards of equity ownership for a reasonable period of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Income taxes for the three months ended March 31, 2021 and March 31, 2020 are recorded at the Company’s estimated annual effective income tax rate, subject to adjustments for discrete events, should they occur. The Company’s estimated annual effective tax rate was 0.0% for the three months ended March 31, 2021 and March 31, 2020. The primary reconciling items between the federal statutory rate of 21.0% for these periods and the Company’s overall effective tax rate of 0.0% were related to the effects of deferred state income taxes, stock-based compensation, research and development credits, nondeductible transaction costs and the valuation allowance recorded against the full amount of its net deferred tax assets.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The Company has recorded a full valuation allowance against its net deferred tax assets as of March 31, 2021 and March 31, 2020 since management believes that based on the earnings history of the Company, it is more likely than not that the benefits of these assets will not be realized.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2021 and 2020, basic and diluted net loss per share attributable to common stockholders is presented in conformity with the two-class method. Net loss attributable to common stockholders was not allocated to the redeemable convertible preferred stock, as holders of the redeemable convertible preferred stock did not have a contractual obligation to share in losses.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During the three months ended March 31, 2021 and 2020, the net loss attributable to common stockholders was equivalent to the Company’s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121" w:right="33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and comprehensive loss. The following table sets forth the computation of basic net loss per share attributable to common stockholders (in thousands, except for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405"/>
        </w:trPr>
        <w:tc>
          <w:tcPr>
            <w:tcW w:w="8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Class A shares outstanding used in computing allocation of net loss attributable to common</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 average Class B shares on an as converted to Class A basis used in computing allocation of net loss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net loss attributable to common stockholders for basic: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A common stockholders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used in computing net loss per share attributable to Class B common stockholders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 attributable to Class 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Basic net loss per share attributable to Class B</w:t>
            </w:r>
          </w:p>
        </w:tc>
        <w:tc>
          <w:tcPr>
            <w:tcW w:w="3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Diluted net loss per share is computed based on the weighted-average number of shares of common stock, including the dilutive effect of common stock equivalents, outstanding. Basic net loss per share is the same as diluted net loss per share for the three months ended March 31, 2020 as the inclusion of potentially dilutive shares would have been anti-dilutive.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 months ended March 31, 2021, the Company’s diluted net loss per share of Class A common stock assumed the conversion of all Class B common stock into Class A common stock in accordance with the if-converted method. For the three months ended March 31, 2021, the calculation of diluted net loss per share of Class B common stock did not differ from the calculation of basic net loss per share as the inclusion of potentially dilutive shares would have been anti-dilutive. The following table sets forth the computation of diluted net loss per share of Class A common stock for the three months ended March 31, 2021 (in thousands, except for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left="735"/>
              <w:spacing w:after="0"/>
              <w:rPr>
                <w:sz w:val="20"/>
                <w:szCs w:val="20"/>
                <w:color w:val="auto"/>
              </w:rPr>
            </w:pPr>
            <w:r>
              <w:rPr>
                <w:rFonts w:ascii="Arial" w:cs="Arial" w:eastAsia="Arial" w:hAnsi="Arial"/>
                <w:sz w:val="14"/>
                <w:szCs w:val="14"/>
                <w:b w:val="1"/>
                <w:bCs w:val="1"/>
                <w:color w:val="auto"/>
                <w:w w:val="92"/>
              </w:rPr>
              <w:t>Three months ended March 31, 2021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66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Net loss attributable to</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Weighted average shares</w:t>
            </w:r>
          </w:p>
        </w:tc>
        <w:tc>
          <w:tcPr>
            <w:tcW w:w="280" w:type="dxa"/>
            <w:vAlign w:val="bottom"/>
          </w:tcPr>
          <w:p>
            <w:pPr>
              <w:spacing w:after="0"/>
              <w:rPr>
                <w:sz w:val="11"/>
                <w:szCs w:val="11"/>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2"/>
              </w:rPr>
              <w:t>Loss per share</w:t>
            </w: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Class A common stock</w:t>
            </w: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share</w:t>
            </w: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Add: The effect of dilutive potential Class A common stock</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(190,950)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Diluted net loss per share attributable to Class A common stock</w:t>
            </w: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121" w:right="33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summarizes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Class A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Outstanding options to purchase Class B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11,710,025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12,073,090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1,385,204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1,187,383</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13,217,229</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13,382,473</w:t>
            </w: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Company has evaluated subsequent events through June </w:t>
      </w:r>
      <w:r>
        <w:rPr>
          <w:rFonts w:ascii="Arial" w:cs="Arial" w:eastAsia="Arial" w:hAnsi="Arial"/>
          <w:sz w:val="16"/>
          <w:szCs w:val="16"/>
          <w:color w:val="EE2724"/>
        </w:rPr>
        <w:t>10</w:t>
      </w:r>
      <w:r>
        <w:rPr>
          <w:rFonts w:ascii="Arial" w:cs="Arial" w:eastAsia="Arial" w:hAnsi="Arial"/>
          <w:sz w:val="16"/>
          <w:szCs w:val="16"/>
          <w:color w:val="auto"/>
        </w:rPr>
        <w:t>, 2021, the date the condensed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121" w:right="339" w:bottom="1440" w:gutter="0" w:footer="0" w:header="0"/>
        </w:sectPr>
      </w:pPr>
    </w:p>
    <w:bookmarkStart w:id="384" w:name="page385"/>
    <w:bookmarkEnd w:id="384"/>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tcPr>
          <w:p>
            <w:pPr>
              <w:jc w:val="center"/>
              <w:ind w:right="1950"/>
              <w:spacing w:after="0"/>
              <w:rPr>
                <w:sz w:val="20"/>
                <w:szCs w:val="20"/>
                <w:color w:val="auto"/>
              </w:rPr>
            </w:pPr>
            <w:r>
              <w:rPr>
                <w:rFonts w:ascii="Arial" w:cs="Arial" w:eastAsia="Arial" w:hAnsi="Arial"/>
                <w:sz w:val="18"/>
                <w:szCs w:val="18"/>
                <w:b w:val="1"/>
                <w:bCs w:val="1"/>
                <w:color w:val="auto"/>
              </w:rPr>
              <w:t>CM LIFE SCIENCES, INC.</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0" w:type="dxa"/>
            <w:vAlign w:val="bottom"/>
            <w:gridSpan w:val="2"/>
          </w:tcPr>
          <w:p>
            <w:pPr>
              <w:jc w:val="center"/>
              <w:ind w:right="1190"/>
              <w:spacing w:after="0"/>
              <w:rPr>
                <w:sz w:val="20"/>
                <w:szCs w:val="20"/>
                <w:color w:val="auto"/>
              </w:rPr>
            </w:pPr>
            <w:r>
              <w:rPr>
                <w:rFonts w:ascii="Arial" w:cs="Arial" w:eastAsia="Arial" w:hAnsi="Arial"/>
                <w:sz w:val="18"/>
                <w:szCs w:val="18"/>
                <w:b w:val="1"/>
                <w:bCs w:val="1"/>
                <w:color w:val="auto"/>
              </w:rPr>
              <w:t>INDEX TO FINANCIAL STATEMENTS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40" w:type="dxa"/>
            <w:vAlign w:val="bottom"/>
            <w:gridSpan w:val="8"/>
          </w:tcPr>
          <w:p>
            <w:pPr>
              <w:spacing w:after="0"/>
              <w:rPr>
                <w:rFonts w:ascii="Arial" w:cs="Arial" w:eastAsia="Arial" w:hAnsi="Arial"/>
                <w:sz w:val="18"/>
                <w:szCs w:val="18"/>
                <w:color w:val="0000FF"/>
              </w:rPr>
            </w:pPr>
            <w:hyperlink w:anchor="page385">
              <w:r>
                <w:rPr>
                  <w:rFonts w:ascii="Arial" w:cs="Arial" w:eastAsia="Arial" w:hAnsi="Arial"/>
                  <w:sz w:val="18"/>
                  <w:szCs w:val="18"/>
                  <w:color w:val="0000FF"/>
                </w:rPr>
                <w:t>Report of Independent Registered Public Accounting Firm</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385">
              <w:r>
                <w:rPr>
                  <w:rFonts w:ascii="Arial" w:cs="Arial" w:eastAsia="Arial" w:hAnsi="Arial"/>
                  <w:sz w:val="18"/>
                  <w:szCs w:val="18"/>
                  <w:color w:val="0000FF"/>
                  <w:w w:val="86"/>
                </w:rPr>
                <w:t>F-63</w:t>
              </w:r>
            </w:hyperlink>
          </w:p>
        </w:tc>
        <w:tc>
          <w:tcPr>
            <w:tcW w:w="0" w:type="dxa"/>
            <w:vAlign w:val="bottom"/>
          </w:tcPr>
          <w:p>
            <w:pPr>
              <w:spacing w:after="0"/>
              <w:rPr>
                <w:sz w:val="1"/>
                <w:szCs w:val="1"/>
                <w:color w:val="auto"/>
              </w:rPr>
            </w:pPr>
          </w:p>
        </w:tc>
      </w:tr>
      <w:tr>
        <w:trPr>
          <w:trHeight w:val="453"/>
        </w:trPr>
        <w:tc>
          <w:tcPr>
            <w:tcW w:w="4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Financial Statement as of March 31, 2021:</w:t>
            </w:r>
          </w:p>
        </w:tc>
        <w:tc>
          <w:tcPr>
            <w:tcW w:w="4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20" w:type="dxa"/>
            <w:vAlign w:val="bottom"/>
            <w:vMerge w:val="restart"/>
          </w:tcPr>
          <w:p>
            <w:pPr>
              <w:spacing w:after="0"/>
              <w:rPr>
                <w:rFonts w:ascii="Arial" w:cs="Arial" w:eastAsia="Arial" w:hAnsi="Arial"/>
                <w:sz w:val="18"/>
                <w:szCs w:val="18"/>
                <w:color w:val="0000FF"/>
                <w:w w:val="85"/>
              </w:rPr>
            </w:pPr>
            <w:hyperlink w:anchor="page387">
              <w:r>
                <w:rPr>
                  <w:rFonts w:ascii="Arial" w:cs="Arial" w:eastAsia="Arial" w:hAnsi="Arial"/>
                  <w:sz w:val="18"/>
                  <w:szCs w:val="18"/>
                  <w:color w:val="0000FF"/>
                  <w:w w:val="85"/>
                </w:rPr>
                <w:t>Balance Sheet</w:t>
              </w:r>
            </w:hyperlink>
          </w:p>
        </w:tc>
        <w:tc>
          <w:tcPr>
            <w:tcW w:w="7900" w:type="dxa"/>
            <w:vAlign w:val="bottom"/>
            <w:gridSpan w:val="6"/>
            <w:vMerge w:val="restart"/>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Borders>
              <w:bottom w:val="single" w:sz="8" w:color="0000FF"/>
            </w:tcBorders>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64</w:t>
              </w:r>
            </w:hyperlink>
          </w:p>
        </w:tc>
        <w:tc>
          <w:tcPr>
            <w:tcW w:w="0" w:type="dxa"/>
            <w:vAlign w:val="bottom"/>
          </w:tcPr>
          <w:p>
            <w:pPr>
              <w:spacing w:after="0"/>
              <w:rPr>
                <w:sz w:val="1"/>
                <w:szCs w:val="1"/>
                <w:color w:val="auto"/>
              </w:rPr>
            </w:pPr>
          </w:p>
        </w:tc>
      </w:tr>
      <w:tr>
        <w:trPr>
          <w:trHeight w:val="174"/>
        </w:trPr>
        <w:tc>
          <w:tcPr>
            <w:tcW w:w="120" w:type="dxa"/>
            <w:vAlign w:val="bottom"/>
          </w:tcPr>
          <w:p>
            <w:pPr>
              <w:spacing w:after="0"/>
              <w:rPr>
                <w:sz w:val="14"/>
                <w:szCs w:val="14"/>
                <w:color w:val="auto"/>
              </w:rPr>
            </w:pPr>
          </w:p>
        </w:tc>
        <w:tc>
          <w:tcPr>
            <w:tcW w:w="1020" w:type="dxa"/>
            <w:vAlign w:val="bottom"/>
            <w:tcBorders>
              <w:bottom w:val="single" w:sz="8" w:color="0000FF"/>
            </w:tcBorders>
            <w:vMerge w:val="continue"/>
          </w:tcPr>
          <w:p>
            <w:pPr>
              <w:spacing w:after="0"/>
              <w:rPr>
                <w:sz w:val="14"/>
                <w:szCs w:val="14"/>
                <w:color w:val="auto"/>
              </w:rPr>
            </w:pPr>
          </w:p>
        </w:tc>
        <w:tc>
          <w:tcPr>
            <w:tcW w:w="7900" w:type="dxa"/>
            <w:vAlign w:val="bottom"/>
            <w:gridSpan w:val="6"/>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w:t>
              </w:r>
            </w:hyperlink>
            <w:hyperlink w:anchor="page387">
              <w:r>
                <w:rPr>
                  <w:rFonts w:ascii="Arial" w:cs="Arial" w:eastAsia="Arial" w:hAnsi="Arial"/>
                  <w:sz w:val="18"/>
                  <w:szCs w:val="18"/>
                  <w:color w:val="0000FF"/>
                  <w:w w:val="86"/>
                </w:rPr>
                <w:t>65</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7">
              <w:r>
                <w:rPr>
                  <w:rFonts w:ascii="Arial" w:cs="Arial" w:eastAsia="Arial" w:hAnsi="Arial"/>
                  <w:sz w:val="18"/>
                  <w:szCs w:val="18"/>
                  <w:color w:val="0000FF"/>
                </w:rPr>
                <w:t>Statement of Operations</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w:t>
              </w:r>
            </w:hyperlink>
            <w:hyperlink w:anchor="page388">
              <w:r>
                <w:rPr>
                  <w:rFonts w:ascii="Arial" w:cs="Arial" w:eastAsia="Arial" w:hAnsi="Arial"/>
                  <w:sz w:val="18"/>
                  <w:szCs w:val="18"/>
                  <w:color w:val="0000FF"/>
                  <w:w w:val="86"/>
                </w:rPr>
                <w:t>66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88">
              <w:r>
                <w:rPr>
                  <w:rFonts w:ascii="Arial" w:cs="Arial" w:eastAsia="Arial" w:hAnsi="Arial"/>
                  <w:sz w:val="18"/>
                  <w:szCs w:val="18"/>
                  <w:color w:val="0000FF"/>
                </w:rPr>
                <w:t>Statement of Changes in Stockholders’ Equity</w:t>
              </w:r>
            </w:hyperlink>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vMerge w:val="restart"/>
          </w:tcPr>
          <w:p>
            <w:pPr>
              <w:spacing w:after="0"/>
              <w:rPr>
                <w:sz w:val="14"/>
                <w:szCs w:val="14"/>
                <w:color w:val="auto"/>
              </w:rPr>
            </w:pPr>
          </w:p>
        </w:tc>
        <w:tc>
          <w:tcPr>
            <w:tcW w:w="340" w:type="dxa"/>
            <w:vAlign w:val="bottom"/>
            <w:vMerge w:val="restart"/>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w:t>
              </w:r>
            </w:hyperlink>
            <w:hyperlink w:anchor="page389">
              <w:r>
                <w:rPr>
                  <w:rFonts w:ascii="Arial" w:cs="Arial" w:eastAsia="Arial" w:hAnsi="Arial"/>
                  <w:sz w:val="18"/>
                  <w:szCs w:val="18"/>
                  <w:color w:val="0000FF"/>
                  <w:w w:val="86"/>
                </w:rPr>
                <w:t>67</w:t>
              </w:r>
            </w:hyperlink>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1800" w:type="dxa"/>
            <w:vAlign w:val="bottom"/>
            <w:tcBorders>
              <w:top w:val="single" w:sz="8" w:color="0000FF"/>
              <w:bottom w:val="single" w:sz="8" w:color="0000FF"/>
            </w:tcBorders>
            <w:gridSpan w:val="3"/>
            <w:vMerge w:val="restart"/>
          </w:tcPr>
          <w:p>
            <w:pPr>
              <w:spacing w:after="0"/>
              <w:rPr>
                <w:rFonts w:ascii="Arial" w:cs="Arial" w:eastAsia="Arial" w:hAnsi="Arial"/>
                <w:sz w:val="18"/>
                <w:szCs w:val="18"/>
                <w:color w:val="0000FF"/>
                <w:w w:val="88"/>
              </w:rPr>
            </w:pPr>
            <w:hyperlink w:anchor="page389">
              <w:r>
                <w:rPr>
                  <w:rFonts w:ascii="Arial" w:cs="Arial" w:eastAsia="Arial" w:hAnsi="Arial"/>
                  <w:sz w:val="18"/>
                  <w:szCs w:val="18"/>
                  <w:color w:val="0000FF"/>
                  <w:w w:val="88"/>
                </w:rPr>
                <w:t>Statement of Cash Flows</w:t>
              </w:r>
            </w:hyperlink>
          </w:p>
        </w:tc>
        <w:tc>
          <w:tcPr>
            <w:tcW w:w="1520" w:type="dxa"/>
            <w:vAlign w:val="bottom"/>
            <w:tcBorders>
              <w:top w:val="single" w:sz="8" w:color="0000FF"/>
              <w:bottom w:val="single" w:sz="8" w:color="0000FF"/>
            </w:tcBorders>
            <w:gridSpan w:val="2"/>
            <w:vMerge w:val="restart"/>
          </w:tcPr>
          <w:p>
            <w:pPr>
              <w:spacing w:after="0"/>
              <w:rPr>
                <w:sz w:val="19"/>
                <w:szCs w:val="19"/>
                <w:color w:val="auto"/>
              </w:rPr>
            </w:pPr>
          </w:p>
        </w:tc>
        <w:tc>
          <w:tcPr>
            <w:tcW w:w="5600" w:type="dxa"/>
            <w:vAlign w:val="bottom"/>
            <w:gridSpan w:val="2"/>
            <w:vMerge w:val="restart"/>
          </w:tcPr>
          <w:p>
            <w:pPr>
              <w:spacing w:after="0"/>
              <w:rPr>
                <w:sz w:val="19"/>
                <w:szCs w:val="19"/>
                <w:color w:val="auto"/>
              </w:rPr>
            </w:pPr>
          </w:p>
        </w:tc>
        <w:tc>
          <w:tcPr>
            <w:tcW w:w="1820" w:type="dxa"/>
            <w:vAlign w:val="bottom"/>
            <w:vMerge w:val="continue"/>
          </w:tcPr>
          <w:p>
            <w:pPr>
              <w:spacing w:after="0"/>
              <w:rPr>
                <w:sz w:val="19"/>
                <w:szCs w:val="19"/>
                <w:color w:val="auto"/>
              </w:rPr>
            </w:pPr>
          </w:p>
        </w:tc>
        <w:tc>
          <w:tcPr>
            <w:tcW w:w="340" w:type="dxa"/>
            <w:vAlign w:val="bottom"/>
            <w:tcBorders>
              <w:bottom w:val="single" w:sz="8" w:color="0000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800" w:type="dxa"/>
            <w:vAlign w:val="bottom"/>
            <w:tcBorders>
              <w:bottom w:val="single" w:sz="8" w:color="0000FF"/>
            </w:tcBorders>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2160" w:type="dxa"/>
            <w:vAlign w:val="bottom"/>
            <w:gridSpan w:val="2"/>
            <w:vMerge w:val="restart"/>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w:t>
              </w:r>
            </w:hyperlink>
            <w:hyperlink w:anchor="page390">
              <w:r>
                <w:rPr>
                  <w:rFonts w:ascii="Arial" w:cs="Arial" w:eastAsia="Arial" w:hAnsi="Arial"/>
                  <w:sz w:val="18"/>
                  <w:szCs w:val="18"/>
                  <w:color w:val="0000FF"/>
                  <w:w w:val="86"/>
                </w:rPr>
                <w:t>68</w:t>
              </w:r>
            </w:hyperlink>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920" w:type="dxa"/>
            <w:vAlign w:val="bottom"/>
            <w:gridSpan w:val="7"/>
            <w:vMerge w:val="restart"/>
          </w:tcPr>
          <w:p>
            <w:pPr>
              <w:spacing w:after="0"/>
              <w:rPr>
                <w:rFonts w:ascii="Arial" w:cs="Arial" w:eastAsia="Arial" w:hAnsi="Arial"/>
                <w:sz w:val="18"/>
                <w:szCs w:val="18"/>
                <w:color w:val="0000FF"/>
              </w:rPr>
            </w:pPr>
            <w:hyperlink w:anchor="page390">
              <w:r>
                <w:rPr>
                  <w:rFonts w:ascii="Arial" w:cs="Arial" w:eastAsia="Arial" w:hAnsi="Arial"/>
                  <w:sz w:val="18"/>
                  <w:szCs w:val="18"/>
                  <w:color w:val="0000FF"/>
                </w:rPr>
                <w:t>Notes to Financial Statements</w:t>
              </w:r>
            </w:hyperlink>
          </w:p>
        </w:tc>
        <w:tc>
          <w:tcPr>
            <w:tcW w:w="2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920" w:type="dxa"/>
            <w:vAlign w:val="bottom"/>
            <w:gridSpan w:val="7"/>
            <w:vMerge w:val="continue"/>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9040" w:type="dxa"/>
            <w:vAlign w:val="bottom"/>
            <w:gridSpan w:val="8"/>
          </w:tcPr>
          <w:p>
            <w:pPr>
              <w:spacing w:after="0"/>
              <w:rPr>
                <w:sz w:val="20"/>
                <w:szCs w:val="20"/>
                <w:color w:val="auto"/>
              </w:rPr>
            </w:pPr>
            <w:r>
              <w:rPr>
                <w:rFonts w:ascii="Arial" w:cs="Arial" w:eastAsia="Arial" w:hAnsi="Arial"/>
                <w:sz w:val="18"/>
                <w:szCs w:val="18"/>
                <w:color w:val="auto"/>
              </w:rPr>
              <w:t>Financial Statement as of December 31, 2020</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Balance Sheet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F-82</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5">
              <w:r>
                <w:rPr>
                  <w:rFonts w:ascii="Arial" w:cs="Arial" w:eastAsia="Arial" w:hAnsi="Arial"/>
                  <w:sz w:val="18"/>
                  <w:szCs w:val="18"/>
                  <w:color w:val="0000FF"/>
                </w:rPr>
                <w:t xml:space="preserve">Statement of Operations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5">
              <w:r>
                <w:rPr>
                  <w:rFonts w:ascii="Arial" w:cs="Arial" w:eastAsia="Arial" w:hAnsi="Arial"/>
                  <w:sz w:val="18"/>
                  <w:szCs w:val="18"/>
                  <w:color w:val="0000FF"/>
                  <w:w w:val="86"/>
                </w:rPr>
                <w:t>F-83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6">
              <w:r>
                <w:rPr>
                  <w:rFonts w:ascii="Arial" w:cs="Arial" w:eastAsia="Arial" w:hAnsi="Arial"/>
                  <w:sz w:val="18"/>
                  <w:szCs w:val="18"/>
                  <w:color w:val="0000FF"/>
                </w:rPr>
                <w:t xml:space="preserve">Statement of Changes in Stockholders’ Equity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2160" w:type="dxa"/>
            <w:vAlign w:val="bottom"/>
            <w:gridSpan w:val="2"/>
          </w:tcPr>
          <w:p>
            <w:pPr>
              <w:ind w:left="1820"/>
              <w:spacing w:after="0"/>
              <w:rPr>
                <w:rFonts w:ascii="Arial" w:cs="Arial" w:eastAsia="Arial" w:hAnsi="Arial"/>
                <w:sz w:val="18"/>
                <w:szCs w:val="18"/>
                <w:color w:val="0000FF"/>
                <w:w w:val="86"/>
              </w:rPr>
            </w:pPr>
            <w:hyperlink w:anchor="page406">
              <w:r>
                <w:rPr>
                  <w:rFonts w:ascii="Arial" w:cs="Arial" w:eastAsia="Arial" w:hAnsi="Arial"/>
                  <w:sz w:val="18"/>
                  <w:szCs w:val="18"/>
                  <w:color w:val="0000FF"/>
                  <w:w w:val="86"/>
                </w:rPr>
                <w:t>F-84</w:t>
              </w:r>
            </w:hyperlink>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3320" w:type="dxa"/>
            <w:vAlign w:val="bottom"/>
            <w:tcBorders>
              <w:top w:val="single" w:sz="8" w:color="0000FF"/>
            </w:tcBorders>
            <w:gridSpan w:val="5"/>
          </w:tcPr>
          <w:p>
            <w:pPr>
              <w:spacing w:after="0"/>
              <w:rPr>
                <w:rFonts w:ascii="Arial" w:cs="Arial" w:eastAsia="Arial" w:hAnsi="Arial"/>
                <w:sz w:val="18"/>
                <w:szCs w:val="18"/>
                <w:color w:val="0000FF"/>
              </w:rPr>
            </w:pPr>
            <w:hyperlink w:anchor="page407">
              <w:r>
                <w:rPr>
                  <w:rFonts w:ascii="Arial" w:cs="Arial" w:eastAsia="Arial" w:hAnsi="Arial"/>
                  <w:sz w:val="18"/>
                  <w:szCs w:val="18"/>
                  <w:color w:val="0000FF"/>
                </w:rPr>
                <w:t xml:space="preserve">Statement of Cash Flows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w:t>
            </w:r>
          </w:p>
        </w:tc>
        <w:tc>
          <w:tcPr>
            <w:tcW w:w="560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Borders>
              <w:top w:val="single" w:sz="8" w:color="0000FF"/>
            </w:tcBorders>
          </w:tcPr>
          <w:p>
            <w:pPr>
              <w:spacing w:after="0"/>
              <w:rPr>
                <w:rFonts w:ascii="Arial" w:cs="Arial" w:eastAsia="Arial" w:hAnsi="Arial"/>
                <w:sz w:val="18"/>
                <w:szCs w:val="18"/>
                <w:color w:val="0000FF"/>
                <w:w w:val="86"/>
              </w:rPr>
            </w:pPr>
            <w:hyperlink w:anchor="page407">
              <w:r>
                <w:rPr>
                  <w:rFonts w:ascii="Arial" w:cs="Arial" w:eastAsia="Arial" w:hAnsi="Arial"/>
                  <w:sz w:val="18"/>
                  <w:szCs w:val="18"/>
                  <w:color w:val="0000FF"/>
                  <w:w w:val="86"/>
                </w:rPr>
                <w:t>F-85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8920" w:type="dxa"/>
            <w:vAlign w:val="bottom"/>
            <w:gridSpan w:val="7"/>
          </w:tcPr>
          <w:p>
            <w:pPr>
              <w:spacing w:after="0"/>
              <w:rPr>
                <w:rFonts w:ascii="Arial" w:cs="Arial" w:eastAsia="Arial" w:hAnsi="Arial"/>
                <w:sz w:val="18"/>
                <w:szCs w:val="18"/>
                <w:color w:val="0000FF"/>
              </w:rPr>
            </w:pPr>
            <w:hyperlink w:anchor="page408">
              <w:r>
                <w:rPr>
                  <w:rFonts w:ascii="Arial" w:cs="Arial" w:eastAsia="Arial" w:hAnsi="Arial"/>
                  <w:sz w:val="18"/>
                  <w:szCs w:val="18"/>
                  <w:color w:val="0000FF"/>
                </w:rPr>
                <w:t>Notes to Financial Statements</w:t>
              </w:r>
            </w:hyperlink>
          </w:p>
        </w:tc>
        <w:tc>
          <w:tcPr>
            <w:tcW w:w="2160" w:type="dxa"/>
            <w:vAlign w:val="bottom"/>
            <w:gridSpan w:val="2"/>
          </w:tcPr>
          <w:p>
            <w:pPr>
              <w:ind w:left="1820"/>
              <w:spacing w:after="0"/>
              <w:rPr>
                <w:rFonts w:ascii="Arial" w:cs="Arial" w:eastAsia="Arial" w:hAnsi="Arial"/>
                <w:sz w:val="18"/>
                <w:szCs w:val="18"/>
                <w:color w:val="0000FF"/>
                <w:w w:val="86"/>
              </w:rPr>
            </w:pPr>
            <w:hyperlink w:anchor="page408">
              <w:r>
                <w:rPr>
                  <w:rFonts w:ascii="Arial" w:cs="Arial" w:eastAsia="Arial" w:hAnsi="Arial"/>
                  <w:sz w:val="18"/>
                  <w:szCs w:val="18"/>
                  <w:color w:val="0000FF"/>
                  <w:w w:val="86"/>
                </w:rPr>
                <w:t>F-86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00"/>
          </w:cols>
          <w:pgMar w:left="340" w:top="1440" w:right="359" w:bottom="1440" w:gutter="0" w:footer="0" w:header="0"/>
        </w:sectPr>
      </w:pPr>
    </w:p>
    <w:bookmarkStart w:id="385" w:name="page386"/>
    <w:bookmarkEnd w:id="385"/>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CM Life Sciences,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CM Life Sciences, Inc. (the “Company”) as of December 31, 2020, the related statements of operations, changes in stockholders’ equity and cash flows for the period from July 10,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July 10, 2020 (inception) through December 31, 2020,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Restatement of Financial Statements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93"/>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442,774,870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9"/>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143,948,085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36"/>
        </w:trPr>
        <w:tc>
          <w:tcPr>
            <w:tcW w:w="8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Class A common stock subject to possible redemption, 29,474,795 and 35,321,987 shares at $10.00 per share</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294,747,950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Class A common stock, $0.0001 par value; 380,000,000 shares authorized; 14,800,205 and 8,953,013 shares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issued and outstanding (excluding 29,474,795 and 35,321,987 shares subject to possible redemption) as of</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4"/>
              </w:rPr>
              <w:t>Class B common stock, $0.00001 par value; 20,000,000 shares authorized; 11,068,750 shares issued and</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rPr>
              <w:t>outstanding as of March 31, 2021 and December 31, 2020</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103,376,938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(98,379,521)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443,696,039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1,845,158</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(1,845,158)</w:t>
            </w:r>
          </w:p>
        </w:tc>
      </w:tr>
      <w:tr>
        <w:trPr>
          <w:trHeight w:val="257"/>
        </w:trPr>
        <w:tc>
          <w:tcPr>
            <w:tcW w:w="9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(56,637,684)</w:t>
            </w: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(58,471,923)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share, Class A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11,068,750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(5.28)</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60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89"/>
              </w:rPr>
              <w:t>Class 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Class B</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264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2300" w:type="dxa"/>
            <w:vAlign w:val="bottom"/>
            <w:gridSpan w:val="4"/>
          </w:tcPr>
          <w:p>
            <w:pPr>
              <w:jc w:val="right"/>
              <w:ind w:right="594"/>
              <w:spacing w:after="0" w:line="135"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restart"/>
          </w:tcPr>
          <w:p>
            <w:pPr>
              <w:jc w:val="center"/>
              <w:ind w:right="360"/>
              <w:spacing w:after="0" w:line="122"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4"/>
                <w:szCs w:val="4"/>
                <w:color w:val="auto"/>
              </w:rPr>
            </w:pPr>
          </w:p>
        </w:tc>
        <w:tc>
          <w:tcPr>
            <w:tcW w:w="132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4"/>
                <w:szCs w:val="4"/>
                <w:color w:val="auto"/>
              </w:rPr>
            </w:pPr>
          </w:p>
        </w:tc>
        <w:tc>
          <w:tcPr>
            <w:tcW w:w="1220" w:type="dxa"/>
            <w:vAlign w:val="bottom"/>
            <w:vMerge w:val="restart"/>
          </w:tcPr>
          <w:p>
            <w:pPr>
              <w:jc w:val="center"/>
              <w:ind w:right="118"/>
              <w:spacing w:after="0" w:line="122"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48"/>
        </w:trPr>
        <w:tc>
          <w:tcPr>
            <w:tcW w:w="1680" w:type="dxa"/>
            <w:vAlign w:val="bottom"/>
          </w:tcPr>
          <w:p>
            <w:pPr>
              <w:spacing w:after="0"/>
              <w:rPr>
                <w:sz w:val="4"/>
                <w:szCs w:val="4"/>
                <w:color w:val="auto"/>
              </w:rPr>
            </w:pP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4"/>
                <w:szCs w:val="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3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4"/>
                <w:szCs w:val="4"/>
                <w:color w:val="auto"/>
              </w:rPr>
            </w:pP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6"/>
                <w:szCs w:val="16"/>
                <w:color w:val="auto"/>
              </w:rPr>
            </w:pPr>
          </w:p>
        </w:tc>
        <w:tc>
          <w:tcPr>
            <w:tcW w:w="1220" w:type="dxa"/>
            <w:vAlign w:val="bottom"/>
          </w:tcPr>
          <w:p>
            <w:pPr>
              <w:jc w:val="center"/>
              <w:ind w:right="11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7"/>
        </w:trPr>
        <w:tc>
          <w:tcPr>
            <w:tcW w:w="16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w w:val="92"/>
              </w:rPr>
              <w:t>Balance – January 1,</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8,953,013</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895</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44,905,602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(39,907,599)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Change in value of</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subject to possible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58,471,335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58,471,920</w:t>
            </w: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(58,471,923)</w:t>
            </w:r>
          </w:p>
        </w:tc>
        <w:tc>
          <w:tcPr>
            <w:tcW w:w="0" w:type="dxa"/>
            <w:vAlign w:val="bottom"/>
          </w:tcPr>
          <w:p>
            <w:pPr>
              <w:spacing w:after="0"/>
              <w:rPr>
                <w:sz w:val="1"/>
                <w:szCs w:val="1"/>
                <w:color w:val="auto"/>
              </w:rPr>
            </w:pPr>
          </w:p>
        </w:tc>
      </w:tr>
      <w:tr>
        <w:trPr>
          <w:trHeight w:val="223"/>
        </w:trPr>
        <w:tc>
          <w:tcPr>
            <w:tcW w:w="16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Balance – March 31,</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14,800,205</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1,480</w:t>
            </w: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11,068,750</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1,107</w:t>
            </w:r>
          </w:p>
        </w:tc>
        <w:tc>
          <w:tcPr>
            <w:tcW w:w="100" w:type="dxa"/>
            <w:vAlign w:val="bottom"/>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103,376,937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(98,379,522)</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22"/>
        </w:trPr>
        <w:tc>
          <w:tcPr>
            <w:tcW w:w="1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56,637,684</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w:t>
            </w:r>
          </w:p>
        </w:tc>
      </w:tr>
      <w:tr>
        <w:trPr>
          <w:trHeight w:val="229"/>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1,394,615</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3"/>
        </w:trPr>
        <w:tc>
          <w:tcPr>
            <w:tcW w:w="9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(467,266)</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1,094,681</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627,415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(58,471,923)</w:t>
            </w:r>
          </w:p>
        </w:tc>
      </w:tr>
      <w:tr>
        <w:trPr>
          <w:trHeight w:val="21"/>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1440" w:right="33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10, 2020 (inception)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3.</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4.</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Transaction costs amounted to $24,895,463, consisting of $8,855,000 in cash underwriting fees, $15,496,250 of deferred underwriting fees and $544,213 of other offering costs.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121" w:right="3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121" w:right="339"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3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10-K/A as filed with the SEC on May 5, 2021. The interim results for the three months ended March 31, 2021 are not necessarily indicative of the results to be expected for the year ending December 31, 2021 or for any future interim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320" w:top="121" w:right="3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subject to possible redemption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Class A common stock subject to possible redemption is presented as temporary equity, outside of the stockholders’ equity section of the Company’s condensed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$23,690,692 were charged to stockholders’ equity upon the completion of the Initial Public Offering, and $1,204,771 of offering costs were related to the warrant liability and charged to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320" w:top="121" w:right="3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fair value of the warrants was estimated using a Monte Carlo simulation approach (see Note 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$426,000 and $40,400, which had a full valuation allowance recorded against it of approximately $426,000 and $40,400, respectively.</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no income tax expense. The Company’s effective tax rate for the three months ended March 31, 2021 was approximately 0%, which differs from the expected income tax rate due to the start-up costs (discussed above) which are not currently deductible.</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Common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similar to the two-class method of income (loss) per share. Net income per common share, basic and diluted, for Class A common stock is calculated by dividing the interest income earned on the Trust Account less income and franchise taxes, by the weighted average number of Class A common stock outstanding since original issuance. Net loss per share, basic and diluted, for Class B common stock is calculated by dividing the net loss, adjusted for income attributable to Class A common stock, net of applicable franchise and income taxes, by the weighted average number of Class B common stock outstanding for the period. Class B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320" w:top="121" w:right="339" w:bottom="1440" w:gutter="0" w:footer="0" w:header="0"/>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Three</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6"/>
              </w:rPr>
              <w:t>Months</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9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March 31,</w:t>
            </w:r>
          </w:p>
        </w:tc>
      </w:tr>
      <w:tr>
        <w:trPr>
          <w:trHeight w:val="188"/>
        </w:trPr>
        <w:tc>
          <w:tcPr>
            <w:tcW w:w="9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Numerator: Earnings allocable to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w:t>
            </w:r>
          </w:p>
        </w:tc>
      </w:tr>
      <w:tr>
        <w:trPr>
          <w:trHeight w:val="230"/>
        </w:trPr>
        <w:tc>
          <w:tcPr>
            <w:tcW w:w="9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and Franchise Tax</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w:t>
            </w:r>
          </w:p>
        </w:tc>
      </w:tr>
      <w:tr>
        <w:trPr>
          <w:trHeight w:val="223"/>
        </w:trPr>
        <w:tc>
          <w:tcPr>
            <w:tcW w:w="96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180"/>
              <w:spacing w:after="0"/>
              <w:rPr>
                <w:sz w:val="20"/>
                <w:szCs w:val="20"/>
                <w:color w:val="auto"/>
              </w:rPr>
            </w:pPr>
            <w:r>
              <w:rPr>
                <w:rFonts w:ascii="Arial" w:cs="Arial" w:eastAsia="Arial" w:hAnsi="Arial"/>
                <w:sz w:val="18"/>
                <w:szCs w:val="18"/>
                <w:color w:val="auto"/>
              </w:rPr>
              <w:t>Denominator: Weighted Average Class A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 Basic and Diluted</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9680" w:type="dxa"/>
            <w:vAlign w:val="bottom"/>
          </w:tcPr>
          <w:p>
            <w:pPr>
              <w:ind w:left="180"/>
              <w:spacing w:after="0"/>
              <w:rPr>
                <w:sz w:val="20"/>
                <w:szCs w:val="20"/>
                <w:color w:val="auto"/>
              </w:rPr>
            </w:pPr>
            <w:r>
              <w:rPr>
                <w:rFonts w:ascii="Arial" w:cs="Arial" w:eastAsia="Arial" w:hAnsi="Arial"/>
                <w:sz w:val="18"/>
                <w:szCs w:val="18"/>
                <w:color w:val="auto"/>
              </w:rPr>
              <w:t>Earnings/Basic and Diluted Class A Common Stock</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148"/>
        </w:trPr>
        <w:tc>
          <w:tcPr>
            <w:tcW w:w="9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A and B Common Stock</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minus Net Earnings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9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5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(58,471,923)</w:t>
            </w: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Class A and B Common Stock</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9680" w:type="dxa"/>
            <w:vAlign w:val="bottom"/>
          </w:tcPr>
          <w:p>
            <w:pPr>
              <w:ind w:left="360"/>
              <w:spacing w:after="0"/>
              <w:rPr>
                <w:sz w:val="20"/>
                <w:szCs w:val="20"/>
                <w:color w:val="auto"/>
              </w:rPr>
            </w:pPr>
            <w:r>
              <w:rPr>
                <w:rFonts w:ascii="Arial" w:cs="Arial" w:eastAsia="Arial" w:hAnsi="Arial"/>
                <w:sz w:val="18"/>
                <w:szCs w:val="18"/>
                <w:color w:val="auto"/>
              </w:rPr>
              <w:t>Class A and B Common Stock, Basic and Diluted</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11,068,750</w:t>
            </w: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Loss/Basic and Diluted Class A and B Common Stock</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ASC Topic 820, “Fair Value Measurement,” approximates the carrying amounts represented in the accompanying condensed balance sheets, primarily due to their short-term nature.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 Company had $627,415 in its operating bank accounts and a working capital deficit of $570,566.</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offering costs in exchange for the issuance of the Founder Shares, the loan of up to $300,000 from the Sponsor pursuant to the Note (see Note 5), and the proceeds from the consummation of the Private Placement not held in the Trust Account. The Note was repaid on September 4, 2020. In addition, in order to finance transaction costs in connection with a Business Combination, the Sponsor or an affiliate of the Sponsor, or certain of the Company’s officers and directors may, but are not obligated to, provide the Company Working Capital Loans up to $1,500,000 (see Note 6). As of March 31, 2021, there were no amounts outstanding under any Working Capital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40"/>
          </w:cols>
          <w:pgMar w:left="320" w:top="121" w:right="339" w:bottom="1440" w:gutter="0" w:footer="0" w:header="0"/>
        </w:sectPr>
      </w:pPr>
    </w:p>
    <w:bookmarkStart w:id="396" w:name="page397"/>
    <w:bookmarkEnd w:id="39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7).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 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40"/>
          </w:cols>
          <w:pgMar w:left="320" w:top="121" w:right="3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Purchase Agreement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40"/>
          </w:cols>
          <w:pgMar w:left="320" w:top="121" w:right="3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9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320" w:top="121" w:right="339" w:bottom="1440" w:gutter="0" w:footer="0" w:header="0"/>
        </w:sectPr>
      </w:pPr>
    </w:p>
    <w:bookmarkStart w:id="399" w:name="page400"/>
    <w:bookmarkEnd w:id="39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provided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 Support Agreement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10,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10, 2021, concurrently with the execution of the Merger Agreement, the Company entered into subscription agreements (collectively, the “Subscription Agreements”) with certain investors (collectively, the “PIPE Investors” which include certain existing equity 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March 31, 2021 and December 31, 2020, there were no shares of preferred stock issued or outstanding.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common stock are entitled to one vote for each share. At March 31, 2021 and December 31, 2020, there were 14,800,205 and 8,953,013 shares of Class A common stock issued or outstanding, excluding 29,474,795 and 35,321,987 shares of Class A common stock subject to possible redemption, respectively.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 </w:t>
      </w:r>
      <w:r>
        <w:rPr>
          <w:rFonts w:ascii="Arial" w:cs="Arial" w:eastAsia="Arial" w:hAnsi="Arial"/>
          <w:sz w:val="18"/>
          <w:szCs w:val="18"/>
          <w:color w:val="auto"/>
        </w:rPr>
        <w:t>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11,068,750 shares of Class B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40"/>
          </w:cols>
          <w:pgMar w:left="320" w:top="121" w:right="33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 </w:t>
      </w:r>
      <w:r>
        <w:rPr>
          <w:rFonts w:ascii="Arial" w:cs="Arial" w:eastAsia="Arial" w:hAnsi="Arial"/>
          <w:sz w:val="18"/>
          <w:szCs w:val="18"/>
          <w:color w:val="auto"/>
        </w:rPr>
        <w:t>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21" w:right="339" w:bottom="1440" w:gutter="0" w:footer="0" w:header="0"/>
        </w:sectPr>
      </w:pPr>
    </w:p>
    <w:bookmarkStart w:id="401" w:name="page402"/>
    <w:bookmarkEnd w:id="40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 like)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320" w:top="121" w:right="339" w:bottom="1440" w:gutter="0" w:footer="0" w:header="0"/>
        </w:sectPr>
      </w:pPr>
    </w:p>
    <w:bookmarkStart w:id="402" w:name="page403"/>
    <w:bookmarkEnd w:id="40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initial purchasers or their permitted transferees, the Private Placement Warrants will be redeemable by the Company and exercisable by such holders on the same basis as the Public Warrants.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980" w:hanging="647"/>
        <w:spacing w:after="0" w:line="308" w:lineRule="auto"/>
        <w:rPr>
          <w:sz w:val="20"/>
          <w:szCs w:val="20"/>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3: Unobservable inputs based on our assessment of the assumptions that market participants would use in pricing the asset or liability.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$442,774,870 and $442,763,951 in money market funds which are invested primarily in U.S. Treasury Securities, respectively. During the three months ended March 31, 2021 and the year ended December 31, 2020, the Company did not withdraw any interest income from the Trust Account.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4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w w:val="93"/>
              </w:rPr>
              <w:t>Investments held in Trust Account – U.S. Treasury Securities Money Market Fund</w:t>
            </w:r>
          </w:p>
        </w:tc>
        <w:tc>
          <w:tcPr>
            <w:tcW w:w="1560" w:type="dxa"/>
            <w:vAlign w:val="bottom"/>
          </w:tcPr>
          <w:p>
            <w:pPr>
              <w:jc w:val="right"/>
              <w:ind w:right="65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
              <w:spacing w:after="0"/>
              <w:rPr>
                <w:sz w:val="20"/>
                <w:szCs w:val="20"/>
                <w:color w:val="auto"/>
              </w:rPr>
            </w:pPr>
            <w:r>
              <w:rPr>
                <w:rFonts w:ascii="Arial" w:cs="Arial" w:eastAsia="Arial" w:hAnsi="Arial"/>
                <w:sz w:val="18"/>
                <w:szCs w:val="18"/>
                <w:color w:val="auto"/>
              </w:rPr>
              <w:t>442,774,870</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7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36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60"/>
              <w:spacing w:after="0"/>
              <w:rPr>
                <w:sz w:val="20"/>
                <w:szCs w:val="20"/>
                <w:color w:val="auto"/>
              </w:rPr>
            </w:pPr>
            <w:r>
              <w:rPr>
                <w:rFonts w:ascii="Arial" w:cs="Arial" w:eastAsia="Arial" w:hAnsi="Arial"/>
                <w:sz w:val="18"/>
                <w:szCs w:val="18"/>
                <w:color w:val="auto"/>
              </w:rPr>
              <w:t>Warrant Liability – Public Warrants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76,448,164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40,290,250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Warrant Liability – Private Placement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Warrants were accounted for as liabilities in accordance with ASC 815-40 and are presented within warrant liabilities on the accompanying balance sheets. The warrant liabilities are measured at fair value at inception and on a recurring basis, with changes in fair value presented within the change in fair value of warrant liabilities in the statement of operations. There were no transfers between levels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320" w:top="121" w:right="3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Private Placement Warrants was estimated at March 31, 2021 and December 31, 2020 to be $2.29 and $4.24, respectively, using the modified Black-Scholes option pricing model and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63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11.04</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42.8 %</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5.42</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11.50</w:t>
            </w:r>
          </w:p>
        </w:tc>
      </w:tr>
      <w:tr>
        <w:trPr>
          <w:trHeight w:val="473"/>
        </w:trPr>
        <w:tc>
          <w:tcPr>
            <w:tcW w:w="6360" w:type="dxa"/>
            <w:vAlign w:val="bottom"/>
          </w:tcPr>
          <w:p>
            <w:pPr>
              <w:ind w:left="340"/>
              <w:spacing w:after="0"/>
              <w:rPr>
                <w:sz w:val="20"/>
                <w:szCs w:val="20"/>
                <w:color w:val="auto"/>
              </w:rPr>
            </w:pPr>
            <w:r>
              <w:rPr>
                <w:rFonts w:ascii="Arial" w:cs="Arial" w:eastAsia="Arial" w:hAnsi="Arial"/>
                <w:sz w:val="18"/>
                <w:szCs w:val="18"/>
                <w:color w:val="auto"/>
                <w:w w:val="97"/>
              </w:rPr>
              <w:t>The following table presents the changes in the fair value of warrant liabilities: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9"/>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Private Placement</w:t>
            </w:r>
          </w:p>
        </w:tc>
        <w:tc>
          <w:tcPr>
            <w:tcW w:w="20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Public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95"/>
              <w:spacing w:after="0"/>
              <w:rPr>
                <w:sz w:val="20"/>
                <w:szCs w:val="20"/>
                <w:color w:val="auto"/>
              </w:rPr>
            </w:pPr>
            <w:r>
              <w:rPr>
                <w:rFonts w:ascii="Arial" w:cs="Arial" w:eastAsia="Arial" w:hAnsi="Arial"/>
                <w:sz w:val="14"/>
                <w:szCs w:val="14"/>
                <w:b w:val="1"/>
                <w:bCs w:val="1"/>
                <w:color w:val="auto"/>
              </w:rPr>
              <w:t>Warrant Liabilities</w:t>
            </w:r>
          </w:p>
        </w:tc>
      </w:tr>
      <w:tr>
        <w:trPr>
          <w:trHeight w:val="26"/>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January 1, 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40,290,250</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70,322,418</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16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20,479,768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36,157,914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56,637,682</w:t>
            </w:r>
          </w:p>
        </w:tc>
      </w:tr>
      <w:tr>
        <w:trPr>
          <w:trHeight w:val="27"/>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50,511,936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76,448,164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126,960,100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120" w:firstLine="324"/>
        <w:spacing w:after="0" w:line="438" w:lineRule="auto"/>
        <w:rPr>
          <w:sz w:val="20"/>
          <w:szCs w:val="20"/>
          <w:color w:val="auto"/>
        </w:rPr>
      </w:pPr>
      <w:r>
        <w:rPr>
          <w:rFonts w:ascii="Arial" w:cs="Arial" w:eastAsia="Arial" w:hAnsi="Arial"/>
          <w:sz w:val="18"/>
          <w:szCs w:val="18"/>
          <w:color w:val="auto"/>
        </w:rPr>
        <w:t xml:space="preserve">There were no transfers in or out of Level 3 from other levels in the fair value hierarchy during the three months ended March 31, 2021. </w:t>
      </w:r>
      <w:r>
        <w:rPr>
          <w:rFonts w:ascii="Arial" w:cs="Arial" w:eastAsia="Arial" w:hAnsi="Arial"/>
          <w:sz w:val="18"/>
          <w:szCs w:val="18"/>
          <w:b w:val="1"/>
          <w:bCs w:val="1"/>
          <w:color w:val="auto"/>
        </w:rPr>
        <w:t>NOTE 9. SUBSEQUENT EVENTS</w:t>
      </w:r>
    </w:p>
    <w:p>
      <w:pPr>
        <w:spacing w:after="0" w:line="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121" w:right="339" w:bottom="1440" w:gutter="0" w:footer="0" w:header="0"/>
        </w:sectPr>
      </w:pPr>
    </w:p>
    <w:bookmarkStart w:id="404" w:name="page405"/>
    <w:bookmarkEnd w:id="404"/>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DECEMBER 31, 2020 (As Restated)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1,094,681</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277,031</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1,371,712</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marketable securities held in trust account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442,763,951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15,496,250</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85,915,788</w:t>
            </w:r>
          </w:p>
        </w:tc>
        <w:tc>
          <w:tcPr>
            <w:tcW w:w="0" w:type="dxa"/>
            <w:vAlign w:val="bottom"/>
          </w:tcPr>
          <w:p>
            <w:pPr>
              <w:spacing w:after="0"/>
              <w:rPr>
                <w:sz w:val="1"/>
                <w:szCs w:val="1"/>
                <w:color w:val="auto"/>
              </w:rPr>
            </w:pPr>
          </w:p>
        </w:tc>
      </w:tr>
      <w:tr>
        <w:trPr>
          <w:trHeight w:val="250"/>
        </w:trPr>
        <w:tc>
          <w:tcPr>
            <w:tcW w:w="9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 35,321,987 shares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Class A common stock, $0.0001 par value; 380,000,000 shares authorized; 1,920,771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42,354,229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common stock, $0.0001 par value; 20,000,000 shares authorized; 11,068,750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444,135,663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206,195</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(206,195)</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earned on investments held in Trust Account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(39,907,599)</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income per share, Class A redeemable common stock</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10,633,062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(3.75)</w:t>
            </w:r>
          </w:p>
        </w:tc>
      </w:tr>
      <w:tr>
        <w:trPr>
          <w:trHeight w:val="20"/>
        </w:trPr>
        <w:tc>
          <w:tcPr>
            <w:tcW w:w="9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DECEMBER 31, 2020 (As Restated)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A</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Class B</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 Paid-in</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w w:val="85"/>
              </w:rPr>
              <w:t>Amount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1"/>
              </w:rPr>
              <w:t>Accumulated Deficit</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91"/>
              </w:rPr>
              <w:t>Stockholders’ Equity</w:t>
            </w:r>
          </w:p>
        </w:tc>
        <w:tc>
          <w:tcPr>
            <w:tcW w:w="0" w:type="dxa"/>
            <w:vAlign w:val="bottom"/>
          </w:tcPr>
          <w:p>
            <w:pPr>
              <w:spacing w:after="0"/>
              <w:rPr>
                <w:sz w:val="1"/>
                <w:szCs w:val="1"/>
                <w:color w:val="auto"/>
              </w:rPr>
            </w:pPr>
          </w:p>
        </w:tc>
      </w:tr>
      <w:tr>
        <w:trPr>
          <w:trHeight w:val="121"/>
        </w:trPr>
        <w:tc>
          <w:tcPr>
            <w:tcW w:w="20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Balance – July 10, 2020</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(Inception)</w:t>
            </w:r>
          </w:p>
        </w:tc>
        <w:tc>
          <w:tcPr>
            <w:tcW w:w="260" w:type="dxa"/>
            <w:vAlign w:val="bottom"/>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Issuance of Class B common stock</w:t>
            </w: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160" w:type="dxa"/>
            <w:vAlign w:val="bottom"/>
            <w:gridSpan w:val="3"/>
            <w:vMerge w:val="restart"/>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11,068,750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initial stockholders</w:t>
            </w: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60" w:type="dxa"/>
            <w:vAlign w:val="bottom"/>
            <w:gridSpan w:val="3"/>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Sale of 44,275,000 Units, net of</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44,275,000</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4,427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398,098,047</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398,102,474</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Common stock subject to possible</w:t>
            </w: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320"/>
              <w:spacing w:after="0"/>
              <w:rPr>
                <w:sz w:val="20"/>
                <w:szCs w:val="20"/>
                <w:color w:val="auto"/>
              </w:rPr>
            </w:pPr>
            <w:r>
              <w:rPr>
                <w:rFonts w:ascii="Arial" w:cs="Arial" w:eastAsia="Arial" w:hAnsi="Arial"/>
                <w:sz w:val="14"/>
                <w:szCs w:val="14"/>
                <w:color w:val="auto"/>
                <w:w w:val="94"/>
              </w:rPr>
              <w:t>(353,216,338)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(353,219,870)</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(39,907,599)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(39,907,599)</w:t>
            </w:r>
          </w:p>
        </w:tc>
        <w:tc>
          <w:tcPr>
            <w:tcW w:w="0" w:type="dxa"/>
            <w:vAlign w:val="bottom"/>
          </w:tcPr>
          <w:p>
            <w:pPr>
              <w:spacing w:after="0"/>
              <w:rPr>
                <w:sz w:val="1"/>
                <w:szCs w:val="1"/>
                <w:color w:val="auto"/>
              </w:rPr>
            </w:pPr>
          </w:p>
        </w:tc>
      </w:tr>
      <w:tr>
        <w:trPr>
          <w:trHeight w:val="253"/>
        </w:trPr>
        <w:tc>
          <w:tcPr>
            <w:tcW w:w="20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8,953,013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895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11,068,750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44,905,602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w w:val="93"/>
              </w:rPr>
              <w:t>(39,907,599)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JULY 10, 2020 (INCEPTION) THROUGH DECEMBER 31, 2020 (As Restated)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968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earned on investments held in Trust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38,510,584</w:t>
            </w: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(277,031)</w:t>
            </w:r>
          </w:p>
        </w:tc>
      </w:tr>
      <w:tr>
        <w:trPr>
          <w:trHeight w:val="230"/>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97,120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(386,106)</w:t>
            </w:r>
          </w:p>
        </w:tc>
      </w:tr>
      <w:tr>
        <w:trPr>
          <w:trHeight w:val="250"/>
        </w:trPr>
        <w:tc>
          <w:tcPr>
            <w:tcW w:w="9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of cash into Trust Account</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(442,750,000)</w:t>
            </w:r>
          </w:p>
        </w:tc>
      </w:tr>
      <w:tr>
        <w:trPr>
          <w:trHeight w:val="223"/>
        </w:trPr>
        <w:tc>
          <w:tcPr>
            <w:tcW w:w="968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(442,750,000)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sale of Units, net of underwriting discounts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sale of Private Placement Warrants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promissory note –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Repayment of promissory note – related party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433,895,000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10,855,000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112,837</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(165,081)</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(466,969)</w:t>
      </w:r>
    </w:p>
    <w:p>
      <w:pPr>
        <w:spacing w:after="0" w:line="31" w:lineRule="exact"/>
        <w:rPr>
          <w:sz w:val="20"/>
          <w:szCs w:val="20"/>
          <w:color w:val="auto"/>
        </w:rPr>
      </w:pPr>
    </w:p>
    <w:p>
      <w:pPr>
        <w:ind w:left="568"/>
        <w:spacing w:after="0"/>
        <w:rPr>
          <w:sz w:val="20"/>
          <w:szCs w:val="20"/>
          <w:color w:val="auto"/>
        </w:rPr>
      </w:pPr>
      <w:r>
        <w:rPr>
          <w:rFonts w:ascii="Arial" w:cs="Arial" w:eastAsia="Arial" w:hAnsi="Arial"/>
          <w:sz w:val="17"/>
          <w:szCs w:val="17"/>
          <w:b w:val="1"/>
          <w:bCs w:val="1"/>
          <w:color w:val="auto"/>
        </w:rPr>
        <w:t>444,230,787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944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84" w:lineRule="exact"/>
        <w:rPr>
          <w:sz w:val="20"/>
          <w:szCs w:val="20"/>
          <w:color w:val="auto"/>
        </w:rPr>
      </w:pPr>
    </w:p>
    <w:p>
      <w:pPr>
        <w:jc w:val="right"/>
        <w:ind w:right="80"/>
        <w:spacing w:after="0"/>
        <w:rPr>
          <w:sz w:val="20"/>
          <w:szCs w:val="20"/>
          <w:color w:val="auto"/>
        </w:rPr>
      </w:pPr>
      <w:r>
        <w:rPr>
          <w:rFonts w:ascii="Arial" w:cs="Arial" w:eastAsia="Arial" w:hAnsi="Arial"/>
          <w:sz w:val="18"/>
          <w:szCs w:val="18"/>
          <w:b w:val="1"/>
          <w:bCs w:val="1"/>
          <w:color w:val="auto"/>
        </w:rPr>
        <w:t>1,094,681</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8" w:hanging="748"/>
        <w:spacing w:after="0"/>
        <w:tabs>
          <w:tab w:leader="none" w:pos="748"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1,094,681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9944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financing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380,268,982</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(27,049,112)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Initial classification of warrant liabilities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31,811,834</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underwriting fee payable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15,496,250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color w:val="auto"/>
              </w:rPr>
              <w:t>Offering costs paid directly by Sponsor in consideration for the issuance of Class B common stock</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offering costs through promissory note — related party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52,244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320" w:top="1440" w:right="339" w:bottom="1440" w:gutter="0" w:footer="0" w:header="0"/>
          <w:type w:val="continuous"/>
        </w:sectPr>
      </w:pPr>
    </w:p>
    <w:bookmarkStart w:id="408" w:name="page409"/>
    <w:bookmarkEnd w:id="40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10, 2020 (inception) through December 31, 2020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 2020. On September 4, 2020 the Company consummated the Initial Public Offering of 44,275,000 units (the “Units” and, with respect to the Class A common stock included in the Units sold, the “Public Shares”), which includes the full exercise by the underwriter of its over-allotment option in the amount of 5,775,000 Units, at $10.00 per Unit, generating gross proceeds of $442,750,000 which is described in Note 4.</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7,236,667 warrants (the “Private Placement Warrants”) at a price of $1.50 per Private Placement Warrant in a private placement to CMLS Holdings LLC (the “Sponsor”) and certain of the Company’s independent directors, generating gross proceeds of $10,855,000, which is described in Note 5.</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Transaction costs charged to equity amounted to $24,895,463, consisting of $8,855,000 in cash underwriting fees, $15,496,250 of deferred underwriting fees and $544,213 of other offering costs. Of the total transaction costs of the Initial Public Offering, $1,204,771 is included in transactions costs in the statement of operations and $23,690,693 is included in shareholders’ equity. In addition, as of December 31, 2020, cash of $1,094,681 was held outside of the Trust Account (as defined below) and is available for the payment of offering costs and for working capital purposes.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Following the closing of the Initial Public Offering on September 4, 2020, an amount of $442,750,000 ($10.00 per Unit) from the net proceeds of the sale of the Units in the Initial Public Offering and the sale of the Private Placement Warrants was placed in a trust account (the “Trust Account”) located in the United States and will be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320" w:top="364" w:right="339" w:bottom="1440" w:gutter="0" w:footer="0" w:header="0"/>
        </w:sectPr>
      </w:pPr>
    </w:p>
    <w:bookmarkStart w:id="409" w:name="page410"/>
    <w:bookmarkEnd w:id="40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$10.00 per Public Share, plus any pro rata interest then in the Trust Account, net of taxes payable). There will be no redemption rights upon the completion of a Business Combination with respect to the Company’s warrants.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Second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Initial Public Offering (the “initial stockholders”) have agreed to vote their Founder Shares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redeem 100% of its Public Shares if the Company does not complete a Business Combination within the Combination Period (as defined below) or (ii) with respect to any other material provision relating to stockholders’ rights or pre-business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the Company has not completed a Business Combination by September 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320" w:top="364" w:right="339" w:bottom="1440" w:gutter="0" w:footer="0" w:header="0"/>
        </w:sectPr>
      </w:pPr>
    </w:p>
    <w:bookmarkStart w:id="410" w:name="page411"/>
    <w:bookmarkEnd w:id="41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320" w:top="364" w:right="33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value of the warrants at the end of each reporting period and recognize changes in the fair value from the prior period in the Company’s operating results for the current period. In addition, at the IPO, the Company re-allocated a portion of the IPO transaction costs related to the warrant liabilities, which resulted in additional operating costs that were expensed through the statement of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As Previously</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2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4, 2020 (audited)</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43,462,868</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423,731,850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(43,462,868)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380,268,982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17,856,761</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(12,855,805)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(12,858,486)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48,148,484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423,677,610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(48,148,484)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375,529,126</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5,055,629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22,596,570</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as of December 31, 2020 (audited)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Warrant Liabilities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 Subject to Possible Redemption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423,542,290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(70,322,420)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353,219,870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44,905,602</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(39,715,355)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Period from July 10, 2020 (inception) to September 30, 2020 (unaudited)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16,336,651</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(56,923)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(17,541,422)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(17,598,345)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11,068,750</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6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Period from July 10, 2020 (inception) to December 31, 2020 (audited)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warrant liability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2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1,204,771</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(39,715,354)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320" w:top="364" w:right="33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4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44,275,000</w:t>
            </w:r>
          </w:p>
        </w:tc>
        <w:tc>
          <w:tcPr>
            <w:tcW w:w="3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44,275,000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 Class A 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10,633,062</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10,633,062</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6"/>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September 30,</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(unaudited)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(56,923)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(17,541,422)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(17,598,345)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16,336,651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16,336,651</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(4,685,617)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(4,739,857)</w:t>
            </w:r>
          </w:p>
        </w:tc>
      </w:tr>
      <w:tr>
        <w:trPr>
          <w:trHeight w:val="230"/>
        </w:trPr>
        <w:tc>
          <w:tcPr>
            <w:tcW w:w="6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75"/>
        </w:trPr>
        <w:tc>
          <w:tcPr>
            <w:tcW w:w="6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2"/>
              </w:rPr>
              <w:t>Cash Flow Statement for the Period from July 10, 2020 (inception) to December 31,</w:t>
            </w: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(audited)</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(192,244)</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(39,715,355)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(39,907,599)</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38,510,584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38,510,584</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Allocation of initial public offering costs to warrant liability</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1,204,771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1,204,771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classification of warrant liability</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31,811,834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31,811,834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4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423,731,850</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(43,462,868)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380,268,982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value of common stock subject to possible redemption</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(1,539,252)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(25,509,860)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(27,049,112)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(“U.S. GAAP”) and pursuant to the rules and regulations of the SEC.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320" w:top="364" w:right="339" w:bottom="1440" w:gutter="0" w:footer="0" w:header="0"/>
        </w:sectPr>
      </w:pPr>
    </w:p>
    <w:bookmarkStart w:id="413" w:name="page414"/>
    <w:bookmarkEnd w:id="41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growth company nor an emerging growth company which has opted out of using the extended transition period difficult or impossible because of the potential differences in accounting standards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accounts for its Class A common stock subject to possible redemption in accordance with the guidance in Accounting Standards Codification (“ASC”) Topic 480 “Distinguishing Liabilities from Equity.”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2020, Class A common stock subject to possible redemption is presented as temporary equity, outside of the stockholders’ equity section of the Company’s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underwriting, legal, accounting and other expenses incurred through the Initial Public Offering that are directly related to the Initial Public Offering. Offering costs amounting to $23,690,693 were charged to stockholders’ equity upon the completion of the Initial Public Offering. At the IPO date, $1,204,771 of offering costs were expensed through the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320" w:top="364" w:right="33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common share is computed by dividing net income by the weighted average number of common shares outstanding for the period. The Company has not considered the effect of warrants sold in the Initial Public Offering and private placement to purchase 21,995,000 shares of Class A common stock in the calculation of diluted income per share, since the exercise of the warrants are contingent upon the occurrence of future events and the inclusion of such warrants would be anti-dilutive.</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less income and franchise taxes,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320" w:top="364" w:right="33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For the Period From</w:t>
            </w: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15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July 10, 2020 (inception)</w:t>
            </w:r>
          </w:p>
        </w:tc>
        <w:tc>
          <w:tcPr>
            <w:tcW w:w="0" w:type="dxa"/>
            <w:vAlign w:val="bottom"/>
          </w:tcPr>
          <w:p>
            <w:pPr>
              <w:spacing w:after="0"/>
              <w:rPr>
                <w:sz w:val="1"/>
                <w:szCs w:val="1"/>
                <w:color w:val="auto"/>
              </w:rPr>
            </w:pPr>
          </w:p>
        </w:tc>
      </w:tr>
      <w:tr>
        <w:trPr>
          <w:trHeight w:val="188"/>
        </w:trPr>
        <w:tc>
          <w:tcPr>
            <w:tcW w:w="9680" w:type="dxa"/>
            <w:vAlign w:val="bottom"/>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Through December 31,</w:t>
            </w:r>
          </w:p>
        </w:tc>
        <w:tc>
          <w:tcPr>
            <w:tcW w:w="0" w:type="dxa"/>
            <w:vAlign w:val="bottom"/>
          </w:tcPr>
          <w:p>
            <w:pPr>
              <w:spacing w:after="0"/>
              <w:rPr>
                <w:sz w:val="1"/>
                <w:szCs w:val="1"/>
                <w:color w:val="auto"/>
              </w:rPr>
            </w:pPr>
          </w:p>
        </w:tc>
      </w:tr>
      <w:tr>
        <w:trPr>
          <w:trHeight w:val="183"/>
        </w:trPr>
        <w:tc>
          <w:tcPr>
            <w:tcW w:w="9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Class A Common Stock</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Numerator: Earnings allocable to Redeemable Class A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Income and Franchise Tax</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 Weighted Average Redeemable Class A Common Stock</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Class A Common Stock, Basic and Diluted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44,275,000</w:t>
            </w: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Earnings/Basic and Diluted Redeemable Class A Common Stock</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Non-Redeemable Class A and B Common Stock</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Numerator: Net Income (Loss) minus Redeemable Net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Net Earnings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680" w:type="dxa"/>
            <w:vAlign w:val="bottom"/>
          </w:tcPr>
          <w:p>
            <w:pPr>
              <w:ind w:left="560"/>
              <w:spacing w:after="0"/>
              <w:rPr>
                <w:sz w:val="20"/>
                <w:szCs w:val="20"/>
                <w:color w:val="auto"/>
              </w:rPr>
            </w:pPr>
            <w:r>
              <w:rPr>
                <w:rFonts w:ascii="Arial" w:cs="Arial" w:eastAsia="Arial" w:hAnsi="Arial"/>
                <w:sz w:val="18"/>
                <w:szCs w:val="18"/>
                <w:color w:val="auto"/>
              </w:rPr>
              <w:t>Non-Redeemable Net Loss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(39,907,599)</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460"/>
              <w:spacing w:after="0"/>
              <w:rPr>
                <w:sz w:val="20"/>
                <w:szCs w:val="20"/>
                <w:color w:val="auto"/>
              </w:rPr>
            </w:pPr>
            <w:r>
              <w:rPr>
                <w:rFonts w:ascii="Arial" w:cs="Arial" w:eastAsia="Arial" w:hAnsi="Arial"/>
                <w:sz w:val="18"/>
                <w:szCs w:val="18"/>
                <w:color w:val="auto"/>
              </w:rPr>
              <w:t>Non-Redeemable Class A and B Common Stock, Basic and Diluted</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10,633,062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Loss/Basic and Diluted Non-Redeemable Class A and B Common Stock</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Note: As of December 31, 2020, basic and diluted shares are the same as there are no non-redeemable securities that are dilutive to the Company’s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 primarily due to their short-term nature.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60"/>
        <w:spacing w:after="0"/>
        <w:rPr>
          <w:rFonts w:ascii="Arial" w:cs="Arial" w:eastAsia="Arial" w:hAnsi="Arial"/>
          <w:sz w:val="18"/>
          <w:szCs w:val="18"/>
          <w:color w:val="auto"/>
        </w:rPr>
      </w:pPr>
      <w:r>
        <w:rPr>
          <w:rFonts w:ascii="Arial" w:cs="Arial" w:eastAsia="Arial" w:hAnsi="Arial"/>
          <w:sz w:val="18"/>
          <w:szCs w:val="18"/>
          <w:color w:val="auto"/>
        </w:rPr>
        <w:t>F-93</w:t>
      </w:r>
    </w:p>
    <w:p>
      <w:pPr>
        <w:sectPr>
          <w:pgSz w:w="11900" w:h="16838" w:orient="portrait"/>
          <w:cols w:equalWidth="0" w:num="1">
            <w:col w:w="11240"/>
          </w:cols>
          <w:pgMar w:left="320" w:top="364" w:right="3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hanging="328"/>
        <w:spacing w:after="0" w:line="277" w:lineRule="auto"/>
        <w:tabs>
          <w:tab w:leader="none" w:pos="6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6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INITIAL PUBLIC OFFERING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Pursuant to the Initial Public Offering, the Company sold 44,275,000 Units, which includes the full exercise by the underwriter of its over-allotment option in the amount of 5,775,000 Units, at a purchase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PRIVATE PLACEMENT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and certain of the Company’s independent directors purchased an aggregate of 7,236,667 Private Placement Warrants, at a price of $1.50 per Private Placement Warrant, for an aggregate purchase price of $10,855,000. The Sponsor purchased 6,903,335 Private Placement Warrants, and each of Mr. Islam and Dr. Leproust (and/or one or more entities controlled by them) purchased 166,666 Private Placement Warrants. Each Private Placement Warrant is exercisable to purchase one share of Class A common stock at a price of $11.50 per share, subject to adjustment (see Note 8).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July 2020, the Sponsor paid $25,000 to cover certain offering costs of the Company in consideration for 10,062,500 shares of the Company’s Class B common stock (the “Founder Shares”). In August 2020, the Sponsor transferred 25,000 Founder Shares to each of Munib Islam, Emily Leproust and Nat Turner, certain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320" w:top="364" w:right="3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Company’s independent directors, at their original per-share purchase price, for an aggregate of 75,000 Founder Shares transferred. On September 1, 2020, the Company effected a 1:1.1 stock split of its Class B common stock, resulting in the Sponsor holding an aggregate of 10,993,750 Founder Shares and there being an aggregate of 11,068,750 Founder Shares outstanding. All share and per-share amounts have been retroactively restated to reflect the stock split, The Founder Shares included an aggregate of up to 1,443,750 shares subject to forfeiture by the Sponsor to the extent that the underwriter’s over-allotment was not exercised in full or in part, so that the number of Founder Shares would equal, on an as-converted basis, approximately 20% of the Company’s issued and outstanding shares of common stock after the Initial Public Offering. As a result of the underwriter’s election to fully exercise its over-allotment option, 1,443,750 Founder Shares are no longer subject to forfeiture.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there were no amounts outstanding under the Working Capital Loans.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Pursuant to a registration rights agreement entered into on September 1, 2020, the holders of the Founder Shares, Private Placement Warrants and securities that may be issued upon conversion of Working Capital Loans and forward purchase shares are entitled to registration rights. The holders of these securities will be entitled to make up to three demands, excluding short form demands, that the Company register such securities. In addition,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320" w:top="364" w:right="3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holders have certain “piggy-back” registration rights with respect to registration statements filed subsequent to the completion of a Business Combination.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bear the expenses incurred in connection with the filing of any such registration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 is entitled to a deferred fee of $0.35 per Unit, or $15,496,250 in the aggregate. The deferred fee will become payable to the underwriter from the amounts held in the Trust Account solely in the event that the Company completes a Business Combination, subject to the terms of the underwriting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entered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the Company obtains alternative financing to fund the initial Business Combination and the Clients participate in such financing, the aggregate commitment under the forward purchase agreement will be reduced by the amount of such alternative financing.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 </w:t>
      </w:r>
      <w:r>
        <w:rPr>
          <w:rFonts w:ascii="Arial" w:cs="Arial" w:eastAsia="Arial" w:hAnsi="Arial"/>
          <w:sz w:val="17"/>
          <w:szCs w:val="17"/>
          <w:color w:val="auto"/>
        </w:rPr>
        <w:t>The Company is authorized to issue 380,000,000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8,953,013 shares of Class A common stock issued and outstanding, excluding 29,474,795 shares of Class A common stock subject to possible redemption.</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11,068,750 shares of Class B common stock issued and outstanding.</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320" w:top="364" w:right="3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 LIABILITY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$18.00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Public Warrants:</w:t>
      </w:r>
    </w:p>
    <w:p>
      <w:pPr>
        <w:spacing w:after="0" w:line="157" w:lineRule="exact"/>
        <w:rPr>
          <w:sz w:val="20"/>
          <w:szCs w:val="20"/>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or the 30-day redemption period, to each warrant holder;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Company’s Class A common stock equals or exceeds $18.00 per share (as adjusted for stock splits, stock dividends, reorganizations, recapitalizations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320" w:top="364" w:right="339" w:bottom="1440" w:gutter="0" w:footer="0" w:header="0"/>
        </w:sectPr>
      </w:pPr>
    </w:p>
    <w:bookmarkStart w:id="420" w:name="page421"/>
    <w:bookmarkEnd w:id="420"/>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like) for any 20 trading days within a 30-trading day period ending on the third trading day prior to the date on which the Company sends the notice of redemption to the warrant holders.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Redemption of Warrants When the Price per Share of Class A Common Stock Equals or Exceeds $10.00 — Once the warrants become exercisable,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may redeem the outstanding warrants:</w:t>
      </w:r>
    </w:p>
    <w:p>
      <w:pPr>
        <w:spacing w:after="0" w:line="157" w:lineRule="exact"/>
        <w:rPr>
          <w:sz w:val="20"/>
          <w:szCs w:val="20"/>
          <w:color w:val="auto"/>
        </w:rPr>
      </w:pPr>
    </w:p>
    <w:p>
      <w:pPr>
        <w:ind w:left="660" w:hanging="328"/>
        <w:spacing w:after="0"/>
        <w:tabs>
          <w:tab w:leader="none" w:pos="6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at a price of $0.10 per warrant provided that holders will be able to exercise their warrants prior to redemption and receive that number of shares of Class A common stock determined based on the redemption date and the “fair market value” of the Company’s Class A common stock;</w:t>
      </w:r>
    </w:p>
    <w:p>
      <w:pPr>
        <w:spacing w:after="0" w:line="69" w:lineRule="exact"/>
        <w:rPr>
          <w:rFonts w:ascii="Arial" w:cs="Arial" w:eastAsia="Arial" w:hAnsi="Arial"/>
          <w:sz w:val="16"/>
          <w:szCs w:val="16"/>
          <w:color w:val="auto"/>
        </w:rPr>
      </w:pPr>
    </w:p>
    <w:p>
      <w:pPr>
        <w:ind w:left="700" w:hanging="368"/>
        <w:spacing w:after="0"/>
        <w:tabs>
          <w:tab w:leader="none" w:pos="7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71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Company’s Class A common stock equals or exceeds $10.00 per share (as adjusted for stock splits, stock dividends, reorganizations, recapitalizations and the like) on the trading day prior to the date on which the Company sends the notice of redemption to the warrant holders;</w:t>
      </w:r>
    </w:p>
    <w:p>
      <w:pPr>
        <w:spacing w:after="0" w:line="129"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if, and only if, there is an effective registration statement covering the issuance of the shares of Class A common stock issuable upon exercise of the warrants and a current prospectus relating thereto is available throughout the 30-day period after the written notice of redemption is given.</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1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40"/>
          </w:cols>
          <w:pgMar w:left="320" w:top="364" w:right="33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CM LIFE SCIENCES, INC.</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90"/>
              <w:spacing w:after="0"/>
              <w:rPr>
                <w:sz w:val="20"/>
                <w:szCs w:val="20"/>
                <w:color w:val="auto"/>
              </w:rPr>
            </w:pPr>
            <w:r>
              <w:rPr>
                <w:rFonts w:ascii="Arial" w:cs="Arial" w:eastAsia="Arial" w:hAnsi="Arial"/>
                <w:sz w:val="18"/>
                <w:szCs w:val="18"/>
                <w:b w:val="1"/>
                <w:bCs w:val="1"/>
                <w:color w:val="auto"/>
              </w:rPr>
              <w:t>NOTES TO FINANCIAL STATEMENTS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680" w:type="dxa"/>
            <w:vAlign w:val="bottom"/>
          </w:tcPr>
          <w:p>
            <w:pPr>
              <w:spacing w:after="0"/>
              <w:rPr>
                <w:sz w:val="20"/>
                <w:szCs w:val="20"/>
                <w:color w:val="auto"/>
              </w:rPr>
            </w:pPr>
            <w:r>
              <w:rPr>
                <w:rFonts w:ascii="Arial" w:cs="Arial" w:eastAsia="Arial" w:hAnsi="Arial"/>
                <w:sz w:val="18"/>
                <w:szCs w:val="18"/>
                <w:b w:val="1"/>
                <w:bCs w:val="1"/>
                <w:color w:val="auto"/>
              </w:rPr>
              <w:t>NOTE 10. INCOME TAX</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80" w:type="dxa"/>
            <w:vAlign w:val="bottom"/>
          </w:tcPr>
          <w:p>
            <w:pPr>
              <w:ind w:left="340"/>
              <w:spacing w:after="0"/>
              <w:rPr>
                <w:sz w:val="20"/>
                <w:szCs w:val="20"/>
                <w:color w:val="auto"/>
              </w:rPr>
            </w:pPr>
            <w:r>
              <w:rPr>
                <w:rFonts w:ascii="Arial" w:cs="Arial" w:eastAsia="Arial" w:hAnsi="Arial"/>
                <w:sz w:val="18"/>
                <w:szCs w:val="18"/>
                <w:color w:val="auto"/>
              </w:rPr>
              <w:t>The Company’s net deferred tax assets are as follows: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Net operating loss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Organizational costs/Startup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deferred tax asset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Deferred tax asset, net of allowance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The income tax provision consists of the following:</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6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70"/>
        </w:trPr>
        <w:tc>
          <w:tcPr>
            <w:tcW w:w="9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Pr>
          <w:p>
            <w:pPr>
              <w:ind w:left="24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2020, the Company had a U.S. federal net operating loss carryover of approximately $80,000 available to offset future taxable income.</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July 10, 2020 (inception) through December 31, 2020, the change in the valuation allowance was $40,371.</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2020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State taxes, net of federal tax benefit</w:t>
            </w:r>
          </w:p>
        </w:tc>
        <w:tc>
          <w:tcPr>
            <w:tcW w:w="17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95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1"/>
        </w:trPr>
        <w:tc>
          <w:tcPr>
            <w:tcW w:w="95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40"/>
          </w:cols>
          <w:pgMar w:left="320" w:top="364" w:right="33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38" w:lineRule="exact"/>
        <w:rPr>
          <w:sz w:val="20"/>
          <w:szCs w:val="20"/>
          <w:color w:val="auto"/>
        </w:rPr>
      </w:pPr>
    </w:p>
    <w:p>
      <w:pPr>
        <w:ind w:left="1300" w:hanging="971"/>
        <w:spacing w:after="0" w:line="308" w:lineRule="auto"/>
        <w:tabs>
          <w:tab w:leader="none" w:pos="12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92" w:lineRule="exact"/>
        <w:rPr>
          <w:sz w:val="20"/>
          <w:szCs w:val="20"/>
          <w:color w:val="auto"/>
        </w:rPr>
      </w:pPr>
    </w:p>
    <w:p>
      <w:pPr>
        <w:ind w:left="1300" w:right="20" w:hanging="971"/>
        <w:spacing w:after="0" w:line="277" w:lineRule="auto"/>
        <w:tabs>
          <w:tab w:leader="none" w:pos="12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1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2020, assets held in the Trust Account were comprised of $442,763,951 in money market funds which are invested primarily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During the year ended December 31, 2020, the Company did not withdraw any interest income from the Trust Account.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December 31, 2020 and indicates the fair value hierarchy of the valuation inputs the Company utilized to determine such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gridSpan w:val="2"/>
            <w:vMerge w:val="restart"/>
          </w:tcPr>
          <w:p>
            <w:pPr>
              <w:jc w:val="center"/>
              <w:ind w:left="675"/>
              <w:spacing w:after="0"/>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0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Investments held in Trust Account – U.S. Treasury Securities Money Market Fund</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w w:val="89"/>
              </w:rPr>
              <w:t>442,763,951</w:t>
            </w:r>
          </w:p>
        </w:tc>
        <w:tc>
          <w:tcPr>
            <w:tcW w:w="0" w:type="dxa"/>
            <w:vAlign w:val="bottom"/>
          </w:tcPr>
          <w:p>
            <w:pPr>
              <w:spacing w:after="0"/>
              <w:rPr>
                <w:sz w:val="1"/>
                <w:szCs w:val="1"/>
                <w:color w:val="auto"/>
              </w:rPr>
            </w:pPr>
          </w:p>
        </w:tc>
      </w:tr>
      <w:tr>
        <w:trPr>
          <w:trHeight w:val="270"/>
        </w:trPr>
        <w:tc>
          <w:tcPr>
            <w:tcW w:w="740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 – Public Warrants</w:t>
            </w:r>
          </w:p>
        </w:tc>
        <w:tc>
          <w:tcPr>
            <w:tcW w:w="230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40,290,250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Warrant Liability – Private Placement Warrants</w:t>
            </w:r>
          </w:p>
        </w:tc>
        <w:tc>
          <w:tcPr>
            <w:tcW w:w="2300" w:type="dxa"/>
            <w:vAlign w:val="bottom"/>
          </w:tcPr>
          <w:p>
            <w:pPr>
              <w:jc w:val="center"/>
              <w:ind w:left="775"/>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ind w:left="360"/>
              <w:spacing w:after="0"/>
              <w:rPr>
                <w:sz w:val="20"/>
                <w:szCs w:val="20"/>
                <w:color w:val="auto"/>
              </w:rPr>
            </w:pPr>
            <w:r>
              <w:rPr>
                <w:rFonts w:ascii="Arial" w:cs="Arial" w:eastAsia="Arial" w:hAnsi="Arial"/>
                <w:sz w:val="18"/>
                <w:szCs w:val="18"/>
                <w:color w:val="auto"/>
                <w:w w:val="95"/>
              </w:rPr>
              <w:t>30,032,168</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balance sheet. The warrant liabilities are measured at fair value at inception and on a recurring basis, with changes in fair value presented within change in fair value of warrant liabilities in the statement of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will be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240"/>
          </w:cols>
          <w:pgMar w:left="320" w:top="364" w:right="3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detachment of the warrants from the Units, the close price of the public warrant price will be used as the fair value as of each relevant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ind w:left="340"/>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720" w:type="dxa"/>
            <w:vAlign w:val="bottom"/>
          </w:tcPr>
          <w:p>
            <w:pPr>
              <w:spacing w:after="0"/>
              <w:rPr>
                <w:sz w:val="24"/>
                <w:szCs w:val="24"/>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Private Placement</w:t>
            </w:r>
          </w:p>
        </w:tc>
        <w:tc>
          <w:tcPr>
            <w:tcW w:w="280" w:type="dxa"/>
            <w:vAlign w:val="bottom"/>
          </w:tcPr>
          <w:p>
            <w:pPr>
              <w:spacing w:after="0"/>
              <w:rPr>
                <w:sz w:val="24"/>
                <w:szCs w:val="2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Warrant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July 10, 2020 (inception)</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Initial measurement on September 4, 2020</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10,855,001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20,956,833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31,811,834</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inputs or other assumptions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19,177,167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19,333,417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38,510,584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Fair value as of December 31, 2020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30,032,168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40,290,250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70,322,418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as described below and in Note 2, the Company did not identify any subsequent events that would have required adjustment or disclosure in the financial statements.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10, 2021, the Company announced that it executed an Agreement and Plan of Merger (the “Merger Agreement”) with Mount Sinai Genomics, Inc., a Delaware corporation, d/b/a Sema4 (“Sema4”) and the other parties thereto (the transactions contemplated by the Merger Agreement, including the Merger (as defined below), the “Business Combination”). Specifically, the Company entered into the Merger Agreement with Sema4 and S-IV Sub, Inc., a Delaware corporation incorporated on February 1, 2021 and a direct, wholly-owned subsidiary of the Company (“Merger Sub”). Pursuant to the terms of the Merger Agreement, the Company will acquire Sema4 through the merger of Merger Sub with and into Sema4, with Sema4 surviving as a wholly-owned subsidiary of the Company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Business Combination is expected to close in the second quarter of 2021, following the receipt of the required approval by the Company’s stockholders and the satisfaction of certain other customary closing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effective time of the Merger (the “Effective Time”), each share of Sema4 class B common stock, par value $0.00001 per share (“Sema4 Class B Common Stock”) issued and outstanding as of immediately prior to the Effective Time will be converted into 1/100th of a share of Sema4 class A common stock, par value $0.00001 per share (“Sema4 Class A Common Stock”, together with Sema4 Class B Common Stock, “Sema4 Common Stock”) in accordance with Sema4’s organizational documents.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Immediately thereafter, each share of Sema4 Common Stock and Sema4’s series A-1 preferred stock, series A-2 preferred stock, series B preferred stock and series C preferred stock (collectively, “Sema4 Capital Stock”) issued and outstanding immediately prior to the Effective Time (other than Excluded Shares and Dissenting Shares (each as defined in the Merger Agreement)) will be converted into the right to receive a portion of the total closing merger consideration, with each Sema4 stockholder being entitled to receive the following:</w:t>
      </w:r>
    </w:p>
    <w:p>
      <w:pPr>
        <w:spacing w:after="0" w:line="133" w:lineRule="exact"/>
        <w:rPr>
          <w:sz w:val="20"/>
          <w:szCs w:val="20"/>
          <w:color w:val="auto"/>
        </w:rPr>
      </w:pPr>
    </w:p>
    <w:p>
      <w:pPr>
        <w:jc w:val="both"/>
        <w:ind w:left="660" w:hanging="328"/>
        <w:spacing w:after="0" w:line="263" w:lineRule="auto"/>
        <w:tabs>
          <w:tab w:leader="none" w:pos="65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if such stockholder has made a cash election as set forth and in accordance with the terms of the Merger Agreement, a portion of the specified aggregate amount of cash consideration payable under the terms of the Merger Agreement (such aggregate amount not to exceed $343,000,000) and pursuant to the terms of such stockholder’s cash election; and</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5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 number of shares of common stock, par value $0.0001 per share, of the Company (the “Common Stock”) equal to the quotient of: (i) (A) the product of (x) such stockholder’s total shares of Sema4 Capital Stock multiplied by (y) the per share amount calculated in accordance with the Merger Agreement minus (B) the amount of cash payable to such stockholder pursuant to its cash election, if any, divided by (ii)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40"/>
          </w:cols>
          <w:pgMar w:left="320" w:top="364" w:right="339" w:bottom="1440" w:gutter="0" w:footer="0" w:header="0"/>
        </w:sectPr>
      </w:pPr>
    </w:p>
    <w:bookmarkStart w:id="424" w:name="page425"/>
    <w:bookmarkEnd w:id="42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at the Effective Time, each outstanding option to purchase Sema4 Capital Stock, each outstanding and unsettled restricted stock unit in respect of shares of Sema4 Capital Stock and each outstanding stock appreciation right will be rolled over into options to purchase Common Stock, restricted stock units in respect of Common Stock and stock appreciation rights in respect of Common Stock, all as further set forth in and in accordance with the terms of the Merger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payment of cash, issuance of Common Stock and rollover of other Sema4 equity awards described above as of the Effective Time, in the event that the closing sale price of Common Stock exceeds certain price thresholds for 20 out of any 30 consecutive trading days during the period of time commencing upon the expiration of the lock-up period applicable to the Sponsor under the Letter Agreement, dated as of August 27, 2021, by and among the Company, Sponsor and each of the executive officers and directors of the Company and ending on the second anniversary of the closing of the Merger, an additional number of shares equal to an amount up to an aggregate of 11% of the shares of Common Stock that would have been issuable upon closing of the Merger to the stockholders of the Company if no cash elections were made and the closing cash payment amount under the Merger Agreement was $0.00 (the “Earn-Out Shares”) shall become issuable, in accordance with the terms of the Merger Agreement following the achievement of those certain price thresholds, to the stockholders of Sema4 as of immediately prior to the closing of the Merger;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of directors of Sema4 (or a duly authorized committee thereof) may, prior to the closing of the Merger, allocate a portion of such Earn-Out Shares to be issued to service providers of Sema4 in the form of restricted stock units of the Company.</w:t>
      </w:r>
    </w:p>
    <w:p>
      <w:pPr>
        <w:spacing w:after="0" w:line="13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9, 2021, the Company entered into a Sponsor Support Agreement with the Sponsor and Sema4, whereby Sponsor has agreed to, among other things, (a) vote at any meeting of the stockholders of the Company all of their shares of capital stock of the Company held of record or thereafter acquired in favor of the Stockholder Approvals (as defined in the Merger Agreement), (b) be bound by certain other covenants and agreements related to the Business Combination and (c) be bound by certain transfer restrictions with respect to such securities, prior to the closing of the Business Combination, in each case, on the terms and subject to the conditions set forth in the Sponsor Support Agreement. On February 9, 2021, concurrently with the execution of the Merger Agreement, the Company entered into subscription agreements (collectively, the “Subscription Agreements”) with certain investors (collectively, the “PIPE Investors” which include certain existing equityholders of Sema4), pursuant to, and on the terms and subject to the conditions of which, the PIPE Investors have collectively subscribed for 35,000,000 shares of our common stock for an aggregate purchase price equal to $350,000,000 (the “PIPE Investment”). The PIPE Investment will be consummated immediately prior to the closing of the Sema4 Business Combination.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November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40"/>
          </w:cols>
          <w:pgMar w:left="320" w:top="364" w:right="3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S-IV SUB,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MOUNT SINAI GENOMICS,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9, 2021</w:t>
      </w:r>
    </w:p>
    <w:p>
      <w:pPr>
        <w:sectPr>
          <w:pgSz w:w="11900" w:h="16838" w:orient="portrait"/>
          <w:cols w:equalWidth="0" w:num="1">
            <w:col w:w="9019"/>
          </w:cols>
          <w:pgMar w:left="1440" w:top="364" w:right="1440" w:bottom="1440" w:gutter="0" w:footer="0" w:header="0"/>
        </w:sectPr>
      </w:pPr>
    </w:p>
    <w:bookmarkStart w:id="426" w:name="page427"/>
    <w:bookmarkEnd w:id="426"/>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720" w:type="dxa"/>
            <w:vAlign w:val="bottom"/>
          </w:tcPr>
          <w:p>
            <w:pPr>
              <w:jc w:val="center"/>
              <w:ind w:left="970"/>
              <w:spacing w:after="0"/>
              <w:rPr>
                <w:sz w:val="20"/>
                <w:szCs w:val="20"/>
                <w:color w:val="auto"/>
              </w:rPr>
            </w:pPr>
            <w:r>
              <w:rPr>
                <w:rFonts w:ascii="Arial" w:cs="Arial" w:eastAsia="Arial" w:hAnsi="Arial"/>
                <w:sz w:val="18"/>
                <w:szCs w:val="18"/>
                <w:b w:val="1"/>
                <w:bCs w:val="1"/>
                <w:color w:val="auto"/>
              </w:rPr>
              <w:t>CM LIFE SCIENCES, INC.</w:t>
            </w:r>
          </w:p>
        </w:tc>
        <w:tc>
          <w:tcPr>
            <w:tcW w:w="22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7720" w:type="dxa"/>
            <w:vAlign w:val="bottom"/>
          </w:tcPr>
          <w:p>
            <w:pPr>
              <w:jc w:val="center"/>
              <w:ind w:left="970"/>
              <w:spacing w:after="0"/>
              <w:rPr>
                <w:sz w:val="20"/>
                <w:szCs w:val="20"/>
                <w:color w:val="auto"/>
              </w:rPr>
            </w:pPr>
            <w:r>
              <w:rPr>
                <w:rFonts w:ascii="Arial" w:cs="Arial" w:eastAsia="Arial" w:hAnsi="Arial"/>
                <w:sz w:val="18"/>
                <w:szCs w:val="18"/>
                <w:b w:val="1"/>
                <w:bCs w:val="1"/>
                <w:color w:val="auto"/>
              </w:rPr>
              <w:t>NOTES TO FINANCIAL STATEMENTS</w:t>
            </w:r>
          </w:p>
        </w:tc>
        <w:tc>
          <w:tcPr>
            <w:tcW w:w="228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7720" w:type="dxa"/>
            <w:vAlign w:val="bottom"/>
          </w:tcPr>
          <w:p>
            <w:pPr>
              <w:jc w:val="center"/>
              <w:ind w:left="950"/>
              <w:spacing w:after="0"/>
              <w:rPr>
                <w:sz w:val="20"/>
                <w:szCs w:val="20"/>
                <w:color w:val="auto"/>
              </w:rPr>
            </w:pPr>
            <w:r>
              <w:rPr>
                <w:rFonts w:ascii="Arial" w:cs="Arial" w:eastAsia="Arial" w:hAnsi="Arial"/>
                <w:sz w:val="18"/>
                <w:szCs w:val="18"/>
                <w:b w:val="1"/>
                <w:bCs w:val="1"/>
                <w:color w:val="auto"/>
                <w:w w:val="96"/>
              </w:rPr>
              <w:t>DECEMBER 31, 2020</w:t>
            </w:r>
          </w:p>
        </w:tc>
        <w:tc>
          <w:tcPr>
            <w:tcW w:w="2280" w:type="dxa"/>
            <w:vAlign w:val="bottom"/>
          </w:tcPr>
          <w:p>
            <w:pPr>
              <w:spacing w:after="0"/>
              <w:rPr>
                <w:sz w:val="20"/>
                <w:szCs w:val="20"/>
                <w:color w:val="auto"/>
              </w:rPr>
            </w:pPr>
          </w:p>
        </w:tc>
      </w:tr>
      <w:tr>
        <w:trPr>
          <w:trHeight w:val="432"/>
        </w:trPr>
        <w:tc>
          <w:tcPr>
            <w:tcW w:w="896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 THE 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Financing Certificate</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1.3</w:t>
            </w:r>
          </w:p>
        </w:tc>
        <w:tc>
          <w:tcPr>
            <w:tcW w:w="7720" w:type="dxa"/>
            <w:vAlign w:val="bottom"/>
          </w:tcPr>
          <w:p>
            <w:pPr>
              <w:ind w:left="320"/>
              <w:spacing w:after="0"/>
              <w:rPr>
                <w:sz w:val="20"/>
                <w:szCs w:val="20"/>
                <w:color w:val="auto"/>
              </w:rPr>
            </w:pPr>
            <w:r>
              <w:rPr>
                <w:rFonts w:ascii="Arial" w:cs="Arial" w:eastAsia="Arial" w:hAnsi="Arial"/>
                <w:sz w:val="18"/>
                <w:szCs w:val="18"/>
                <w:color w:val="auto"/>
              </w:rPr>
              <w:t>Closing Documents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Closing Transactions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3</w:t>
            </w:r>
          </w:p>
        </w:tc>
      </w:tr>
      <w:tr>
        <w:trPr>
          <w:trHeight w:val="229"/>
        </w:trPr>
        <w:tc>
          <w:tcPr>
            <w:tcW w:w="896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II 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Effective Time</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Merger</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2.3</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2.4</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Documents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2.5</w:t>
            </w:r>
          </w:p>
        </w:tc>
        <w:tc>
          <w:tcPr>
            <w:tcW w:w="7720" w:type="dxa"/>
            <w:vAlign w:val="bottom"/>
          </w:tcPr>
          <w:p>
            <w:pPr>
              <w:ind w:left="320"/>
              <w:spacing w:after="0"/>
              <w:rPr>
                <w:sz w:val="20"/>
                <w:szCs w:val="20"/>
                <w:color w:val="auto"/>
              </w:rPr>
            </w:pPr>
            <w:r>
              <w:rPr>
                <w:rFonts w:ascii="Arial" w:cs="Arial" w:eastAsia="Arial" w:hAnsi="Arial"/>
                <w:sz w:val="18"/>
                <w:szCs w:val="18"/>
                <w:color w:val="auto"/>
              </w:rPr>
              <w:t>Directors and Officers of the Surviving Corporation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2.6</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2.7</w:t>
            </w:r>
          </w:p>
        </w:tc>
        <w:tc>
          <w:tcPr>
            <w:tcW w:w="7720" w:type="dxa"/>
            <w:vAlign w:val="bottom"/>
          </w:tcPr>
          <w:p>
            <w:pPr>
              <w:ind w:left="320"/>
              <w:spacing w:after="0"/>
              <w:rPr>
                <w:sz w:val="20"/>
                <w:szCs w:val="20"/>
                <w:color w:val="auto"/>
              </w:rPr>
            </w:pPr>
            <w:r>
              <w:rPr>
                <w:rFonts w:ascii="Arial" w:cs="Arial" w:eastAsia="Arial" w:hAnsi="Arial"/>
                <w:sz w:val="18"/>
                <w:szCs w:val="18"/>
                <w:color w:val="auto"/>
              </w:rPr>
              <w:t>Effect of the Merger on the Company Common Stock and Company Preferred Stock</w:t>
            </w:r>
          </w:p>
        </w:tc>
        <w:tc>
          <w:tcPr>
            <w:tcW w:w="2280" w:type="dxa"/>
            <w:vAlign w:val="bottom"/>
          </w:tcPr>
          <w:p>
            <w:pPr>
              <w:ind w:left="1300"/>
              <w:spacing w:after="0"/>
              <w:rPr>
                <w:sz w:val="20"/>
                <w:szCs w:val="20"/>
                <w:color w:val="auto"/>
              </w:rPr>
            </w:pPr>
            <w:r>
              <w:rPr>
                <w:rFonts w:ascii="Arial" w:cs="Arial" w:eastAsia="Arial" w:hAnsi="Arial"/>
                <w:sz w:val="18"/>
                <w:szCs w:val="18"/>
                <w:color w:val="auto"/>
              </w:rPr>
              <w:t>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2.8</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Company Certificates and Disbursement of Closing Consideration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2.9</w:t>
            </w:r>
          </w:p>
        </w:tc>
        <w:tc>
          <w:tcPr>
            <w:tcW w:w="7720" w:type="dxa"/>
            <w:vAlign w:val="bottom"/>
          </w:tcPr>
          <w:p>
            <w:pPr>
              <w:ind w:left="320"/>
              <w:spacing w:after="0"/>
              <w:rPr>
                <w:sz w:val="20"/>
                <w:szCs w:val="20"/>
                <w:color w:val="auto"/>
              </w:rPr>
            </w:pPr>
            <w:r>
              <w:rPr>
                <w:rFonts w:ascii="Arial" w:cs="Arial" w:eastAsia="Arial" w:hAnsi="Arial"/>
                <w:sz w:val="18"/>
                <w:szCs w:val="18"/>
                <w:color w:val="auto"/>
              </w:rPr>
              <w:t>Withholding Taxes</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2.10</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Taking of Necessary Action; Further Action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2.11</w:t>
            </w:r>
          </w:p>
        </w:tc>
        <w:tc>
          <w:tcPr>
            <w:tcW w:w="7720" w:type="dxa"/>
            <w:vAlign w:val="bottom"/>
          </w:tcPr>
          <w:p>
            <w:pPr>
              <w:ind w:left="320"/>
              <w:spacing w:after="0"/>
              <w:rPr>
                <w:sz w:val="20"/>
                <w:szCs w:val="20"/>
                <w:color w:val="auto"/>
              </w:rPr>
            </w:pPr>
            <w:r>
              <w:rPr>
                <w:rFonts w:ascii="Arial" w:cs="Arial" w:eastAsia="Arial" w:hAnsi="Arial"/>
                <w:sz w:val="18"/>
                <w:szCs w:val="18"/>
                <w:color w:val="auto"/>
              </w:rPr>
              <w:t>Tax Treatment of the Merger</w:t>
            </w:r>
          </w:p>
        </w:tc>
        <w:tc>
          <w:tcPr>
            <w:tcW w:w="2280" w:type="dxa"/>
            <w:vAlign w:val="bottom"/>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2.12</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on Company Options,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2.13</w:t>
            </w:r>
          </w:p>
        </w:tc>
        <w:tc>
          <w:tcPr>
            <w:tcW w:w="7720" w:type="dxa"/>
            <w:vAlign w:val="bottom"/>
          </w:tcPr>
          <w:p>
            <w:pPr>
              <w:ind w:left="320"/>
              <w:spacing w:after="0"/>
              <w:rPr>
                <w:sz w:val="20"/>
                <w:szCs w:val="20"/>
                <w:color w:val="auto"/>
              </w:rPr>
            </w:pPr>
            <w:r>
              <w:rPr>
                <w:rFonts w:ascii="Arial" w:cs="Arial" w:eastAsia="Arial" w:hAnsi="Arial"/>
                <w:sz w:val="18"/>
                <w:szCs w:val="18"/>
                <w:color w:val="auto"/>
              </w:rPr>
              <w:t>Dissenting Shares</w:t>
            </w:r>
          </w:p>
        </w:tc>
        <w:tc>
          <w:tcPr>
            <w:tcW w:w="2280" w:type="dxa"/>
            <w:vAlign w:val="bottom"/>
          </w:tcPr>
          <w:p>
            <w:pPr>
              <w:ind w:left="1300"/>
              <w:spacing w:after="0"/>
              <w:rPr>
                <w:sz w:val="20"/>
                <w:szCs w:val="20"/>
                <w:color w:val="auto"/>
              </w:rPr>
            </w:pPr>
            <w:r>
              <w:rPr>
                <w:rFonts w:ascii="Arial" w:cs="Arial" w:eastAsia="Arial" w:hAnsi="Arial"/>
                <w:sz w:val="18"/>
                <w:szCs w:val="18"/>
                <w:color w:val="auto"/>
              </w:rPr>
              <w:t>9</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III EARN OUT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3.2</w:t>
            </w:r>
          </w:p>
        </w:tc>
        <w:tc>
          <w:tcPr>
            <w:tcW w:w="7720" w:type="dxa"/>
            <w:vAlign w:val="bottom"/>
          </w:tcPr>
          <w:p>
            <w:pPr>
              <w:ind w:left="320"/>
              <w:spacing w:after="0"/>
              <w:rPr>
                <w:sz w:val="20"/>
                <w:szCs w:val="20"/>
                <w:color w:val="auto"/>
              </w:rPr>
            </w:pPr>
            <w:r>
              <w:rPr>
                <w:rFonts w:ascii="Arial" w:cs="Arial" w:eastAsia="Arial" w:hAnsi="Arial"/>
                <w:sz w:val="18"/>
                <w:szCs w:val="18"/>
                <w:color w:val="auto"/>
              </w:rPr>
              <w:t>Acceleration Event</w:t>
            </w:r>
          </w:p>
        </w:tc>
        <w:tc>
          <w:tcPr>
            <w:tcW w:w="2280" w:type="dxa"/>
            <w:vAlign w:val="bottom"/>
          </w:tcPr>
          <w:p>
            <w:pPr>
              <w:ind w:left="1300"/>
              <w:spacing w:after="0"/>
              <w:rPr>
                <w:sz w:val="20"/>
                <w:szCs w:val="20"/>
                <w:color w:val="auto"/>
              </w:rPr>
            </w:pPr>
            <w:r>
              <w:rPr>
                <w:rFonts w:ascii="Arial" w:cs="Arial" w:eastAsia="Arial" w:hAnsi="Arial"/>
                <w:sz w:val="18"/>
                <w:szCs w:val="18"/>
                <w:color w:val="auto"/>
              </w:rPr>
              <w:t>10</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Treatment of Earn-Out Shares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10</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3.4</w:t>
            </w:r>
          </w:p>
        </w:tc>
        <w:tc>
          <w:tcPr>
            <w:tcW w:w="7720" w:type="dxa"/>
            <w:vAlign w:val="bottom"/>
          </w:tcPr>
          <w:p>
            <w:pPr>
              <w:ind w:left="320"/>
              <w:spacing w:after="0"/>
              <w:rPr>
                <w:sz w:val="20"/>
                <w:szCs w:val="20"/>
                <w:color w:val="auto"/>
              </w:rPr>
            </w:pPr>
            <w:r>
              <w:rPr>
                <w:rFonts w:ascii="Arial" w:cs="Arial" w:eastAsia="Arial" w:hAnsi="Arial"/>
                <w:sz w:val="18"/>
                <w:szCs w:val="18"/>
                <w:color w:val="auto"/>
              </w:rPr>
              <w:t>Earn-Out Service Providers</w:t>
            </w:r>
          </w:p>
        </w:tc>
        <w:tc>
          <w:tcPr>
            <w:tcW w:w="2280" w:type="dxa"/>
            <w:vAlign w:val="bottom"/>
          </w:tcPr>
          <w:p>
            <w:pPr>
              <w:ind w:left="1300"/>
              <w:spacing w:after="0"/>
              <w:rPr>
                <w:sz w:val="20"/>
                <w:szCs w:val="20"/>
                <w:color w:val="auto"/>
              </w:rPr>
            </w:pPr>
            <w:r>
              <w:rPr>
                <w:rFonts w:ascii="Arial" w:cs="Arial" w:eastAsia="Arial" w:hAnsi="Arial"/>
                <w:sz w:val="18"/>
                <w:szCs w:val="18"/>
                <w:color w:val="auto"/>
              </w:rPr>
              <w:t>11</w:t>
            </w:r>
          </w:p>
        </w:tc>
      </w:tr>
      <w:tr>
        <w:trPr>
          <w:trHeight w:val="230"/>
        </w:trPr>
        <w:tc>
          <w:tcPr>
            <w:tcW w:w="8960" w:type="dxa"/>
            <w:vAlign w:val="bottom"/>
            <w:gridSpan w:val="2"/>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ARTICLE IV REPRESENTATIONS AND WARRANTIES REGARDING THE COMPANY</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Subsidiaries</w:t>
            </w:r>
          </w:p>
        </w:tc>
        <w:tc>
          <w:tcPr>
            <w:tcW w:w="2280" w:type="dxa"/>
            <w:vAlign w:val="bottom"/>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7720" w:type="dxa"/>
            <w:vAlign w:val="bottom"/>
          </w:tcPr>
          <w:p>
            <w:pPr>
              <w:ind w:left="320"/>
              <w:spacing w:after="0"/>
              <w:rPr>
                <w:sz w:val="20"/>
                <w:szCs w:val="20"/>
                <w:color w:val="auto"/>
              </w:rPr>
            </w:pPr>
            <w:r>
              <w:rPr>
                <w:rFonts w:ascii="Arial" w:cs="Arial" w:eastAsia="Arial" w:hAnsi="Arial"/>
                <w:sz w:val="18"/>
                <w:szCs w:val="18"/>
                <w:color w:val="auto"/>
              </w:rPr>
              <w:t>Due Authorization</w:t>
            </w:r>
          </w:p>
        </w:tc>
        <w:tc>
          <w:tcPr>
            <w:tcW w:w="2280" w:type="dxa"/>
            <w:vAlign w:val="bottom"/>
          </w:tcPr>
          <w:p>
            <w:pPr>
              <w:ind w:left="1300"/>
              <w:spacing w:after="0"/>
              <w:rPr>
                <w:sz w:val="20"/>
                <w:szCs w:val="20"/>
                <w:color w:val="auto"/>
              </w:rPr>
            </w:pPr>
            <w:r>
              <w:rPr>
                <w:rFonts w:ascii="Arial" w:cs="Arial" w:eastAsia="Arial" w:hAnsi="Arial"/>
                <w:sz w:val="18"/>
                <w:szCs w:val="18"/>
                <w:color w:val="auto"/>
              </w:rPr>
              <w:t>13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Governmental Consents and Filings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7720" w:type="dxa"/>
            <w:vAlign w:val="bottom"/>
          </w:tcPr>
          <w:p>
            <w:pPr>
              <w:ind w:left="320"/>
              <w:spacing w:after="0"/>
              <w:rPr>
                <w:sz w:val="20"/>
                <w:szCs w:val="20"/>
                <w:color w:val="auto"/>
              </w:rPr>
            </w:pPr>
            <w:r>
              <w:rPr>
                <w:rFonts w:ascii="Arial" w:cs="Arial" w:eastAsia="Arial" w:hAnsi="Arial"/>
                <w:sz w:val="18"/>
                <w:szCs w:val="18"/>
                <w:color w:val="auto"/>
              </w:rPr>
              <w:t>Legal Compliance; Approvals</w:t>
            </w:r>
          </w:p>
        </w:tc>
        <w:tc>
          <w:tcPr>
            <w:tcW w:w="2280" w:type="dxa"/>
            <w:vAlign w:val="bottom"/>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Contracts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4.8</w:t>
            </w:r>
          </w:p>
        </w:tc>
        <w:tc>
          <w:tcPr>
            <w:tcW w:w="772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4.9</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Undisclosed Liabilities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4.10</w:t>
            </w:r>
          </w:p>
        </w:tc>
        <w:tc>
          <w:tcPr>
            <w:tcW w:w="772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280" w:type="dxa"/>
            <w:vAlign w:val="bottom"/>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4.11</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4.12</w:t>
            </w:r>
          </w:p>
        </w:tc>
        <w:tc>
          <w:tcPr>
            <w:tcW w:w="7720" w:type="dxa"/>
            <w:vAlign w:val="bottom"/>
          </w:tcPr>
          <w:p>
            <w:pPr>
              <w:ind w:left="320"/>
              <w:spacing w:after="0"/>
              <w:rPr>
                <w:sz w:val="20"/>
                <w:szCs w:val="20"/>
                <w:color w:val="auto"/>
              </w:rPr>
            </w:pPr>
            <w:r>
              <w:rPr>
                <w:rFonts w:ascii="Arial" w:cs="Arial" w:eastAsia="Arial" w:hAnsi="Arial"/>
                <w:sz w:val="18"/>
                <w:szCs w:val="18"/>
                <w:color w:val="auto"/>
              </w:rPr>
              <w:t>Company Benefit Plans</w:t>
            </w:r>
          </w:p>
        </w:tc>
        <w:tc>
          <w:tcPr>
            <w:tcW w:w="2280" w:type="dxa"/>
            <w:vAlign w:val="bottom"/>
          </w:tcPr>
          <w:p>
            <w:pPr>
              <w:ind w:left="1300"/>
              <w:spacing w:after="0"/>
              <w:rPr>
                <w:sz w:val="20"/>
                <w:szCs w:val="20"/>
                <w:color w:val="auto"/>
              </w:rPr>
            </w:pPr>
            <w:r>
              <w:rPr>
                <w:rFonts w:ascii="Arial" w:cs="Arial" w:eastAsia="Arial" w:hAnsi="Arial"/>
                <w:sz w:val="18"/>
                <w:szCs w:val="18"/>
                <w:color w:val="auto"/>
              </w:rPr>
              <w:t>16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4.13</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 Relations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18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4.14</w:t>
            </w:r>
          </w:p>
        </w:tc>
        <w:tc>
          <w:tcPr>
            <w:tcW w:w="7720" w:type="dxa"/>
            <w:vAlign w:val="bottom"/>
          </w:tcPr>
          <w:p>
            <w:pPr>
              <w:ind w:left="320"/>
              <w:spacing w:after="0"/>
              <w:rPr>
                <w:sz w:val="20"/>
                <w:szCs w:val="20"/>
                <w:color w:val="auto"/>
              </w:rPr>
            </w:pPr>
            <w:r>
              <w:rPr>
                <w:rFonts w:ascii="Arial" w:cs="Arial" w:eastAsia="Arial" w:hAnsi="Arial"/>
                <w:sz w:val="18"/>
                <w:szCs w:val="18"/>
                <w:color w:val="auto"/>
              </w:rPr>
              <w:t>Real Property; Tangible Property</w:t>
            </w:r>
          </w:p>
        </w:tc>
        <w:tc>
          <w:tcPr>
            <w:tcW w:w="2280" w:type="dxa"/>
            <w:vAlign w:val="bottom"/>
          </w:tcPr>
          <w:p>
            <w:pPr>
              <w:ind w:left="1300"/>
              <w:spacing w:after="0"/>
              <w:rPr>
                <w:sz w:val="20"/>
                <w:szCs w:val="20"/>
                <w:color w:val="auto"/>
              </w:rPr>
            </w:pPr>
            <w:r>
              <w:rPr>
                <w:rFonts w:ascii="Arial" w:cs="Arial" w:eastAsia="Arial" w:hAnsi="Arial"/>
                <w:sz w:val="18"/>
                <w:szCs w:val="18"/>
                <w:color w:val="auto"/>
              </w:rPr>
              <w:t>19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4.15</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4.16</w:t>
            </w:r>
          </w:p>
        </w:tc>
        <w:tc>
          <w:tcPr>
            <w:tcW w:w="772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280" w:type="dxa"/>
            <w:vAlign w:val="bottom"/>
          </w:tcPr>
          <w:p>
            <w:pPr>
              <w:ind w:left="1300"/>
              <w:spacing w:after="0"/>
              <w:rPr>
                <w:sz w:val="20"/>
                <w:szCs w:val="20"/>
                <w:color w:val="auto"/>
              </w:rPr>
            </w:pPr>
            <w:r>
              <w:rPr>
                <w:rFonts w:ascii="Arial" w:cs="Arial" w:eastAsia="Arial" w:hAnsi="Arial"/>
                <w:sz w:val="18"/>
                <w:szCs w:val="18"/>
                <w:color w:val="auto"/>
              </w:rPr>
              <w:t>21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4.17</w:t>
            </w:r>
          </w:p>
        </w:tc>
        <w:tc>
          <w:tcPr>
            <w:tcW w:w="7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Third Party Expenses</w:t>
            </w:r>
          </w:p>
        </w:tc>
        <w:tc>
          <w:tcPr>
            <w:tcW w:w="2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364" w:right="3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4.18</w:t>
            </w:r>
          </w:p>
        </w:tc>
        <w:tc>
          <w:tcPr>
            <w:tcW w:w="734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Privacy</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4.20</w:t>
            </w:r>
          </w:p>
        </w:tc>
        <w:tc>
          <w:tcPr>
            <w:tcW w:w="7340" w:type="dxa"/>
            <w:vAlign w:val="bottom"/>
          </w:tcPr>
          <w:p>
            <w:pPr>
              <w:ind w:left="320"/>
              <w:spacing w:after="0"/>
              <w:rPr>
                <w:sz w:val="20"/>
                <w:szCs w:val="20"/>
                <w:color w:val="auto"/>
              </w:rPr>
            </w:pPr>
            <w:r>
              <w:rPr>
                <w:rFonts w:ascii="Arial" w:cs="Arial" w:eastAsia="Arial" w:hAnsi="Arial"/>
                <w:sz w:val="18"/>
                <w:szCs w:val="18"/>
                <w:color w:val="auto"/>
              </w:rPr>
              <w:t>Agreements, Contracts and Commitments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24</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4.22</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Matters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Provided Information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4.24</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Business Practices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Government Grants and Incentives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4.26</w:t>
            </w:r>
          </w:p>
        </w:tc>
        <w:tc>
          <w:tcPr>
            <w:tcW w:w="7340" w:type="dxa"/>
            <w:vAlign w:val="bottom"/>
          </w:tcPr>
          <w:p>
            <w:pPr>
              <w:ind w:left="320"/>
              <w:spacing w:after="0"/>
              <w:rPr>
                <w:sz w:val="20"/>
                <w:szCs w:val="20"/>
                <w:color w:val="auto"/>
              </w:rPr>
            </w:pPr>
            <w:r>
              <w:rPr>
                <w:rFonts w:ascii="Arial" w:cs="Arial" w:eastAsia="Arial" w:hAnsi="Arial"/>
                <w:sz w:val="18"/>
                <w:szCs w:val="18"/>
                <w:color w:val="auto"/>
              </w:rPr>
              <w:t>OIG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4.27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Suppliers and Customers.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27</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4.28</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27</w:t>
            </w:r>
          </w:p>
        </w:tc>
      </w:tr>
      <w:tr>
        <w:trPr>
          <w:trHeight w:val="257"/>
        </w:trPr>
        <w:tc>
          <w:tcPr>
            <w:tcW w:w="8580" w:type="dxa"/>
            <w:vAlign w:val="bottom"/>
            <w:gridSpan w:val="2"/>
            <w:shd w:val="clear" w:color="auto" w:fill="CCEEFF"/>
          </w:tcPr>
          <w:p>
            <w:pPr>
              <w:spacing w:after="0"/>
              <w:rPr>
                <w:sz w:val="22"/>
                <w:szCs w:val="22"/>
                <w:color w:val="auto"/>
              </w:rPr>
            </w:pPr>
          </w:p>
        </w:tc>
        <w:tc>
          <w:tcPr>
            <w:tcW w:w="2660" w:type="dxa"/>
            <w:vAlign w:val="bottom"/>
            <w:shd w:val="clear" w:color="auto" w:fill="CCEEFF"/>
          </w:tcPr>
          <w:p>
            <w:pPr>
              <w:spacing w:after="0"/>
              <w:rPr>
                <w:sz w:val="22"/>
                <w:szCs w:val="22"/>
                <w:color w:val="auto"/>
              </w:rPr>
            </w:pPr>
          </w:p>
        </w:tc>
      </w:tr>
      <w:tr>
        <w:trPr>
          <w:trHeight w:val="229"/>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 REPRESENTATIONS AND WARRANTIES OF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Subsidiaries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29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29</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5.4</w:t>
            </w:r>
          </w:p>
        </w:tc>
        <w:tc>
          <w:tcPr>
            <w:tcW w:w="734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5.6</w:t>
            </w:r>
          </w:p>
        </w:tc>
        <w:tc>
          <w:tcPr>
            <w:tcW w:w="7340" w:type="dxa"/>
            <w:vAlign w:val="bottom"/>
          </w:tcPr>
          <w:p>
            <w:pPr>
              <w:ind w:left="320"/>
              <w:spacing w:after="0"/>
              <w:rPr>
                <w:sz w:val="20"/>
                <w:szCs w:val="20"/>
                <w:color w:val="auto"/>
              </w:rPr>
            </w:pPr>
            <w:r>
              <w:rPr>
                <w:rFonts w:ascii="Arial" w:cs="Arial" w:eastAsia="Arial" w:hAnsi="Arial"/>
                <w:sz w:val="18"/>
                <w:szCs w:val="18"/>
                <w:color w:val="auto"/>
              </w:rPr>
              <w:t>Compliance; Approvals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SEC Reports and Financial Statements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32</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5.8</w:t>
            </w:r>
          </w:p>
        </w:tc>
        <w:tc>
          <w:tcPr>
            <w:tcW w:w="734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5.10</w:t>
            </w:r>
          </w:p>
        </w:tc>
        <w:tc>
          <w:tcPr>
            <w:tcW w:w="7340" w:type="dxa"/>
            <w:vAlign w:val="bottom"/>
          </w:tcPr>
          <w:p>
            <w:pPr>
              <w:ind w:left="320"/>
              <w:spacing w:after="0"/>
              <w:rPr>
                <w:sz w:val="20"/>
                <w:szCs w:val="20"/>
                <w:color w:val="auto"/>
              </w:rPr>
            </w:pPr>
            <w:r>
              <w:rPr>
                <w:rFonts w:ascii="Arial" w:cs="Arial" w:eastAsia="Arial" w:hAnsi="Arial"/>
                <w:sz w:val="18"/>
                <w:szCs w:val="18"/>
                <w:color w:val="auto"/>
              </w:rPr>
              <w:t>Business Activities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Parent Material Contracts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5.12</w:t>
            </w:r>
          </w:p>
        </w:tc>
        <w:tc>
          <w:tcPr>
            <w:tcW w:w="7340" w:type="dxa"/>
            <w:vAlign w:val="bottom"/>
          </w:tcPr>
          <w:p>
            <w:pPr>
              <w:ind w:left="320"/>
              <w:spacing w:after="0"/>
              <w:rPr>
                <w:sz w:val="20"/>
                <w:szCs w:val="20"/>
                <w:color w:val="auto"/>
              </w:rPr>
            </w:pPr>
            <w:r>
              <w:rPr>
                <w:rFonts w:ascii="Arial" w:cs="Arial" w:eastAsia="Arial" w:hAnsi="Arial"/>
                <w:sz w:val="18"/>
                <w:szCs w:val="18"/>
                <w:color w:val="auto"/>
              </w:rPr>
              <w:t>Parent Listing</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5.13</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Amount</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5.14</w:t>
            </w:r>
          </w:p>
        </w:tc>
        <w:tc>
          <w:tcPr>
            <w:tcW w:w="7340" w:type="dxa"/>
            <w:vAlign w:val="bottom"/>
          </w:tcPr>
          <w:p>
            <w:pPr>
              <w:ind w:left="320"/>
              <w:spacing w:after="0"/>
              <w:rPr>
                <w:sz w:val="20"/>
                <w:szCs w:val="20"/>
                <w:color w:val="auto"/>
              </w:rPr>
            </w:pPr>
            <w:r>
              <w:rPr>
                <w:rFonts w:ascii="Arial" w:cs="Arial" w:eastAsia="Arial" w:hAnsi="Arial"/>
                <w:sz w:val="18"/>
                <w:szCs w:val="18"/>
                <w:color w:val="auto"/>
              </w:rPr>
              <w:t>Trust Account</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5.15</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5.16</w:t>
            </w:r>
          </w:p>
        </w:tc>
        <w:tc>
          <w:tcPr>
            <w:tcW w:w="7340" w:type="dxa"/>
            <w:vAlign w:val="bottom"/>
          </w:tcPr>
          <w:p>
            <w:pPr>
              <w:ind w:left="320"/>
              <w:spacing w:after="0"/>
              <w:rPr>
                <w:sz w:val="20"/>
                <w:szCs w:val="20"/>
                <w:color w:val="auto"/>
              </w:rPr>
            </w:pPr>
            <w:r>
              <w:rPr>
                <w:rFonts w:ascii="Arial" w:cs="Arial" w:eastAsia="Arial" w:hAnsi="Arial"/>
                <w:sz w:val="18"/>
                <w:szCs w:val="18"/>
                <w:color w:val="auto"/>
              </w:rPr>
              <w:t>Information Supplied</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5.17</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Employees; Benefit Plans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5.18</w:t>
            </w:r>
          </w:p>
        </w:tc>
        <w:tc>
          <w:tcPr>
            <w:tcW w:w="7340" w:type="dxa"/>
            <w:vAlign w:val="bottom"/>
          </w:tcPr>
          <w:p>
            <w:pPr>
              <w:ind w:left="320"/>
              <w:spacing w:after="0"/>
              <w:rPr>
                <w:sz w:val="20"/>
                <w:szCs w:val="20"/>
                <w:color w:val="auto"/>
              </w:rPr>
            </w:pPr>
            <w:r>
              <w:rPr>
                <w:rFonts w:ascii="Arial" w:cs="Arial" w:eastAsia="Arial" w:hAnsi="Arial"/>
                <w:sz w:val="18"/>
                <w:szCs w:val="18"/>
                <w:color w:val="auto"/>
              </w:rPr>
              <w:t>Board Approval; Stockholder Vote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5.19</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Title to Assets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5.20</w:t>
            </w:r>
          </w:p>
        </w:tc>
        <w:tc>
          <w:tcPr>
            <w:tcW w:w="7340" w:type="dxa"/>
            <w:vAlign w:val="bottom"/>
          </w:tcPr>
          <w:p>
            <w:pPr>
              <w:ind w:left="320"/>
              <w:spacing w:after="0"/>
              <w:rPr>
                <w:sz w:val="20"/>
                <w:szCs w:val="20"/>
                <w:color w:val="auto"/>
              </w:rPr>
            </w:pPr>
            <w:r>
              <w:rPr>
                <w:rFonts w:ascii="Arial" w:cs="Arial" w:eastAsia="Arial" w:hAnsi="Arial"/>
                <w:sz w:val="18"/>
                <w:szCs w:val="18"/>
                <w:color w:val="auto"/>
              </w:rPr>
              <w:t>Affiliate Transactions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5.21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5.22</w:t>
            </w:r>
          </w:p>
        </w:tc>
        <w:tc>
          <w:tcPr>
            <w:tcW w:w="7340" w:type="dxa"/>
            <w:vAlign w:val="bottom"/>
          </w:tcPr>
          <w:p>
            <w:pPr>
              <w:ind w:left="320"/>
              <w:spacing w:after="0"/>
              <w:rPr>
                <w:sz w:val="20"/>
                <w:szCs w:val="20"/>
                <w:color w:val="auto"/>
              </w:rPr>
            </w:pPr>
            <w:r>
              <w:rPr>
                <w:rFonts w:ascii="Arial" w:cs="Arial" w:eastAsia="Arial" w:hAnsi="Arial"/>
                <w:sz w:val="18"/>
                <w:szCs w:val="18"/>
                <w:color w:val="auto"/>
              </w:rPr>
              <w:t>Disclaimer of Other Warranties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36</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 CONDUCT PRIOR TO THE CLOSING DATE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38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Conduct of Business by the Company and the Company Subsidiaries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38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7340" w:type="dxa"/>
            <w:vAlign w:val="bottom"/>
          </w:tcPr>
          <w:p>
            <w:pPr>
              <w:ind w:left="320"/>
              <w:spacing w:after="0"/>
              <w:rPr>
                <w:sz w:val="20"/>
                <w:szCs w:val="20"/>
                <w:color w:val="auto"/>
              </w:rPr>
            </w:pPr>
            <w:r>
              <w:rPr>
                <w:rFonts w:ascii="Arial" w:cs="Arial" w:eastAsia="Arial" w:hAnsi="Arial"/>
                <w:sz w:val="18"/>
                <w:szCs w:val="18"/>
                <w:color w:val="auto"/>
              </w:rPr>
              <w:t>Conduct of Business by Parent and Merger Sub</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40</w:t>
            </w:r>
          </w:p>
        </w:tc>
      </w:tr>
      <w:tr>
        <w:trPr>
          <w:trHeight w:val="270"/>
        </w:trPr>
        <w:tc>
          <w:tcPr>
            <w:tcW w:w="8580" w:type="dxa"/>
            <w:vAlign w:val="bottom"/>
            <w:gridSpan w:val="2"/>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ARTICLE VII ADDITIONAL AGREEMENTS</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42</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w:t>
            </w:r>
          </w:p>
        </w:tc>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Proxy Statement; Special Meeting</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364" w:right="3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7.2</w:t>
            </w:r>
          </w:p>
        </w:tc>
        <w:tc>
          <w:tcPr>
            <w:tcW w:w="7100" w:type="dxa"/>
            <w:vAlign w:val="bottom"/>
          </w:tcPr>
          <w:p>
            <w:pPr>
              <w:ind w:left="320"/>
              <w:spacing w:after="0"/>
              <w:rPr>
                <w:sz w:val="20"/>
                <w:szCs w:val="20"/>
                <w:color w:val="auto"/>
              </w:rPr>
            </w:pPr>
            <w:r>
              <w:rPr>
                <w:rFonts w:ascii="Arial" w:cs="Arial" w:eastAsia="Arial" w:hAnsi="Arial"/>
                <w:sz w:val="18"/>
                <w:szCs w:val="18"/>
                <w:color w:val="auto"/>
              </w:rPr>
              <w:t>Regulatory Approvals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44</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Filings; Press 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44</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7.4</w:t>
            </w:r>
          </w:p>
        </w:tc>
        <w:tc>
          <w:tcPr>
            <w:tcW w:w="7100" w:type="dxa"/>
            <w:vAlign w:val="bottom"/>
          </w:tcPr>
          <w:p>
            <w:pPr>
              <w:ind w:left="320"/>
              <w:spacing w:after="0"/>
              <w:rPr>
                <w:sz w:val="20"/>
                <w:szCs w:val="20"/>
                <w:color w:val="auto"/>
              </w:rPr>
            </w:pPr>
            <w:r>
              <w:rPr>
                <w:rFonts w:ascii="Arial" w:cs="Arial" w:eastAsia="Arial" w:hAnsi="Arial"/>
                <w:sz w:val="18"/>
                <w:szCs w:val="18"/>
                <w:color w:val="auto"/>
              </w:rPr>
              <w:t>Confidentiality; Access to Information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45</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Reasonable Best Efforts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46</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7.6</w:t>
            </w:r>
          </w:p>
        </w:tc>
        <w:tc>
          <w:tcPr>
            <w:tcW w:w="7100" w:type="dxa"/>
            <w:vAlign w:val="bottom"/>
          </w:tcPr>
          <w:p>
            <w:pPr>
              <w:ind w:left="320"/>
              <w:spacing w:after="0"/>
              <w:rPr>
                <w:sz w:val="20"/>
                <w:szCs w:val="20"/>
                <w:color w:val="auto"/>
              </w:rPr>
            </w:pPr>
            <w:r>
              <w:rPr>
                <w:rFonts w:ascii="Arial" w:cs="Arial" w:eastAsia="Arial" w:hAnsi="Arial"/>
                <w:sz w:val="18"/>
                <w:szCs w:val="18"/>
                <w:color w:val="auto"/>
              </w:rPr>
              <w:t>No Parent Securities Transactions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Claim Against 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7.8</w:t>
            </w:r>
          </w:p>
        </w:tc>
        <w:tc>
          <w:tcPr>
            <w:tcW w:w="7100" w:type="dxa"/>
            <w:vAlign w:val="bottom"/>
          </w:tcPr>
          <w:p>
            <w:pPr>
              <w:ind w:left="320"/>
              <w:spacing w:after="0"/>
              <w:rPr>
                <w:sz w:val="20"/>
                <w:szCs w:val="20"/>
                <w:color w:val="auto"/>
              </w:rPr>
            </w:pPr>
            <w:r>
              <w:rPr>
                <w:rFonts w:ascii="Arial" w:cs="Arial" w:eastAsia="Arial" w:hAnsi="Arial"/>
                <w:sz w:val="18"/>
                <w:szCs w:val="18"/>
                <w:color w:val="auto"/>
              </w:rPr>
              <w:t>Disclosure of Certain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Listing</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48</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7.10</w:t>
            </w:r>
          </w:p>
        </w:tc>
        <w:tc>
          <w:tcPr>
            <w:tcW w:w="710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Trust Account</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7.12</w:t>
            </w:r>
          </w:p>
        </w:tc>
        <w:tc>
          <w:tcPr>
            <w:tcW w:w="7100" w:type="dxa"/>
            <w:vAlign w:val="bottom"/>
          </w:tcPr>
          <w:p>
            <w:pPr>
              <w:ind w:left="320"/>
              <w:spacing w:after="0"/>
              <w:rPr>
                <w:sz w:val="20"/>
                <w:szCs w:val="20"/>
                <w:color w:val="auto"/>
              </w:rPr>
            </w:pPr>
            <w:r>
              <w:rPr>
                <w:rFonts w:ascii="Arial" w:cs="Arial" w:eastAsia="Arial" w:hAnsi="Arial"/>
                <w:sz w:val="18"/>
                <w:szCs w:val="18"/>
                <w:color w:val="auto"/>
              </w:rPr>
              <w:t>Directors’ and Officers’ Liability Insurance</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49</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7.13</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[Intentionally Left Blank]</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7.14</w:t>
            </w:r>
          </w:p>
        </w:tc>
        <w:tc>
          <w:tcPr>
            <w:tcW w:w="710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50</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7.15</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Financing Agreements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7.16</w:t>
            </w:r>
          </w:p>
        </w:tc>
        <w:tc>
          <w:tcPr>
            <w:tcW w:w="7100" w:type="dxa"/>
            <w:vAlign w:val="bottom"/>
          </w:tcPr>
          <w:p>
            <w:pPr>
              <w:ind w:left="320"/>
              <w:spacing w:after="0"/>
              <w:rPr>
                <w:sz w:val="20"/>
                <w:szCs w:val="20"/>
                <w:color w:val="auto"/>
              </w:rPr>
            </w:pPr>
            <w:r>
              <w:rPr>
                <w:rFonts w:ascii="Arial" w:cs="Arial" w:eastAsia="Arial" w:hAnsi="Arial"/>
                <w:sz w:val="18"/>
                <w:szCs w:val="18"/>
                <w:color w:val="auto"/>
              </w:rPr>
              <w:t>Section 16 Matters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7.17</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51</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7.18</w:t>
            </w:r>
          </w:p>
        </w:tc>
        <w:tc>
          <w:tcPr>
            <w:tcW w:w="7100" w:type="dxa"/>
            <w:vAlign w:val="bottom"/>
          </w:tcPr>
          <w:p>
            <w:pPr>
              <w:ind w:left="320"/>
              <w:spacing w:after="0"/>
              <w:rPr>
                <w:sz w:val="20"/>
                <w:szCs w:val="20"/>
                <w:color w:val="auto"/>
              </w:rPr>
            </w:pPr>
            <w:r>
              <w:rPr>
                <w:rFonts w:ascii="Arial" w:cs="Arial" w:eastAsia="Arial" w:hAnsi="Arial"/>
                <w:sz w:val="18"/>
                <w:szCs w:val="18"/>
                <w:color w:val="auto"/>
              </w:rPr>
              <w:t>LTIP and ESPP</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51</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7.19</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Release.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52</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2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VIII CONDITIONS TO THE TRANSACTION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8.1</w:t>
            </w:r>
          </w:p>
        </w:tc>
        <w:tc>
          <w:tcPr>
            <w:tcW w:w="7100" w:type="dxa"/>
            <w:vAlign w:val="bottom"/>
          </w:tcPr>
          <w:p>
            <w:pPr>
              <w:ind w:left="320"/>
              <w:spacing w:after="0"/>
              <w:rPr>
                <w:sz w:val="20"/>
                <w:szCs w:val="20"/>
                <w:color w:val="auto"/>
              </w:rPr>
            </w:pPr>
            <w:r>
              <w:rPr>
                <w:rFonts w:ascii="Arial" w:cs="Arial" w:eastAsia="Arial" w:hAnsi="Arial"/>
                <w:sz w:val="18"/>
                <w:szCs w:val="18"/>
                <w:color w:val="auto"/>
              </w:rPr>
              <w:t>Conditions to Obligations of Each Party’s Obligations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Conditions to Obligations of the Company</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8.3</w:t>
            </w:r>
          </w:p>
        </w:tc>
        <w:tc>
          <w:tcPr>
            <w:tcW w:w="7100" w:type="dxa"/>
            <w:vAlign w:val="bottom"/>
          </w:tcPr>
          <w:p>
            <w:pPr>
              <w:ind w:left="320"/>
              <w:spacing w:after="0"/>
              <w:rPr>
                <w:sz w:val="20"/>
                <w:szCs w:val="20"/>
                <w:color w:val="auto"/>
              </w:rPr>
            </w:pPr>
            <w:r>
              <w:rPr>
                <w:rFonts w:ascii="Arial" w:cs="Arial" w:eastAsia="Arial" w:hAnsi="Arial"/>
                <w:sz w:val="18"/>
                <w:szCs w:val="18"/>
                <w:color w:val="auto"/>
              </w:rPr>
              <w:t>Additional Conditions to the Obligations of Parent and Merger Sub</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54</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30"/>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IX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9.1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55</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9.2</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 of Termination; Effect of Termination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55</w:t>
            </w:r>
          </w:p>
        </w:tc>
      </w:tr>
      <w:tr>
        <w:trPr>
          <w:trHeight w:val="270"/>
        </w:trPr>
        <w:tc>
          <w:tcPr>
            <w:tcW w:w="8340" w:type="dxa"/>
            <w:vAlign w:val="bottom"/>
            <w:gridSpan w:val="2"/>
            <w:shd w:val="clear" w:color="auto" w:fill="CCEEFF"/>
          </w:tcPr>
          <w:p>
            <w:pPr>
              <w:spacing w:after="0"/>
              <w:rPr>
                <w:sz w:val="23"/>
                <w:szCs w:val="23"/>
                <w:color w:val="auto"/>
              </w:rPr>
            </w:pPr>
          </w:p>
        </w:tc>
        <w:tc>
          <w:tcPr>
            <w:tcW w:w="2900" w:type="dxa"/>
            <w:vAlign w:val="bottom"/>
            <w:shd w:val="clear" w:color="auto" w:fill="CCEEFF"/>
          </w:tcPr>
          <w:p>
            <w:pPr>
              <w:spacing w:after="0"/>
              <w:rPr>
                <w:sz w:val="23"/>
                <w:szCs w:val="23"/>
                <w:color w:val="auto"/>
              </w:rPr>
            </w:pPr>
          </w:p>
        </w:tc>
      </w:tr>
      <w:tr>
        <w:trPr>
          <w:trHeight w:val="229"/>
        </w:trPr>
        <w:tc>
          <w:tcPr>
            <w:tcW w:w="8340" w:type="dxa"/>
            <w:vAlign w:val="bottom"/>
            <w:gridSpan w:val="2"/>
          </w:tcPr>
          <w:p>
            <w:pPr>
              <w:ind w:left="20"/>
              <w:spacing w:after="0"/>
              <w:rPr>
                <w:sz w:val="20"/>
                <w:szCs w:val="20"/>
                <w:color w:val="auto"/>
              </w:rPr>
            </w:pPr>
            <w:r>
              <w:rPr>
                <w:rFonts w:ascii="Arial" w:cs="Arial" w:eastAsia="Arial" w:hAnsi="Arial"/>
                <w:sz w:val="18"/>
                <w:szCs w:val="18"/>
                <w:color w:val="auto"/>
              </w:rPr>
              <w:t>ARTICLE X NO SURVIVAL</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10.1</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Survival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70"/>
        </w:trPr>
        <w:tc>
          <w:tcPr>
            <w:tcW w:w="8340" w:type="dxa"/>
            <w:vAlign w:val="bottom"/>
            <w:gridSpan w:val="2"/>
          </w:tcPr>
          <w:p>
            <w:pPr>
              <w:spacing w:after="0"/>
              <w:rPr>
                <w:sz w:val="23"/>
                <w:szCs w:val="23"/>
                <w:color w:val="auto"/>
              </w:rPr>
            </w:pPr>
          </w:p>
        </w:tc>
        <w:tc>
          <w:tcPr>
            <w:tcW w:w="2900" w:type="dxa"/>
            <w:vAlign w:val="bottom"/>
          </w:tcPr>
          <w:p>
            <w:pPr>
              <w:spacing w:after="0"/>
              <w:rPr>
                <w:sz w:val="23"/>
                <w:szCs w:val="23"/>
                <w:color w:val="auto"/>
              </w:rPr>
            </w:pPr>
          </w:p>
        </w:tc>
      </w:tr>
      <w:tr>
        <w:trPr>
          <w:trHeight w:val="23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ARTICLE XI GENERAL PROVISIONS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56</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color w:val="auto"/>
              </w:rPr>
              <w:t>Section 11.1</w:t>
            </w:r>
          </w:p>
        </w:tc>
        <w:tc>
          <w:tcPr>
            <w:tcW w:w="7100" w:type="dxa"/>
            <w:vAlign w:val="bottom"/>
          </w:tcPr>
          <w:p>
            <w:pPr>
              <w:ind w:left="32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56</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11.2</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Interpretation</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11.3</w:t>
            </w:r>
          </w:p>
        </w:tc>
        <w:tc>
          <w:tcPr>
            <w:tcW w:w="7100" w:type="dxa"/>
            <w:vAlign w:val="bottom"/>
          </w:tcPr>
          <w:p>
            <w:pPr>
              <w:ind w:left="320"/>
              <w:spacing w:after="0"/>
              <w:rPr>
                <w:sz w:val="20"/>
                <w:szCs w:val="20"/>
                <w:color w:val="auto"/>
              </w:rPr>
            </w:pPr>
            <w:r>
              <w:rPr>
                <w:rFonts w:ascii="Arial" w:cs="Arial" w:eastAsia="Arial" w:hAnsi="Arial"/>
                <w:sz w:val="18"/>
                <w:szCs w:val="18"/>
                <w:color w:val="auto"/>
              </w:rPr>
              <w:t>Counterparts; Electronic Delivery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11.4</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 Third Party Beneficiaries</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57</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11.5</w:t>
            </w:r>
          </w:p>
        </w:tc>
        <w:tc>
          <w:tcPr>
            <w:tcW w:w="710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57</w:t>
            </w:r>
          </w:p>
        </w:tc>
      </w:tr>
      <w:tr>
        <w:trPr>
          <w:trHeight w:val="229"/>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11.6</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Remedies; Specific Performance</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11.7</w:t>
            </w:r>
          </w:p>
        </w:tc>
        <w:tc>
          <w:tcPr>
            <w:tcW w:w="71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11.8</w:t>
            </w: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to Jurisdiction; Waiver of Jury Trial</w:t>
            </w:r>
          </w:p>
        </w:tc>
        <w:tc>
          <w:tcPr>
            <w:tcW w:w="2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58</w:t>
            </w:r>
          </w:p>
        </w:tc>
      </w:tr>
      <w:tr>
        <w:trPr>
          <w:trHeight w:val="230"/>
        </w:trPr>
        <w:tc>
          <w:tcPr>
            <w:tcW w:w="1240" w:type="dxa"/>
            <w:vAlign w:val="bottom"/>
          </w:tcPr>
          <w:p>
            <w:pPr>
              <w:ind w:left="20"/>
              <w:spacing w:after="0"/>
              <w:rPr>
                <w:sz w:val="20"/>
                <w:szCs w:val="20"/>
                <w:color w:val="auto"/>
              </w:rPr>
            </w:pPr>
            <w:r>
              <w:rPr>
                <w:rFonts w:ascii="Arial" w:cs="Arial" w:eastAsia="Arial" w:hAnsi="Arial"/>
                <w:sz w:val="18"/>
                <w:szCs w:val="18"/>
                <w:color w:val="auto"/>
              </w:rPr>
              <w:t>Section 11.9</w:t>
            </w:r>
          </w:p>
        </w:tc>
        <w:tc>
          <w:tcPr>
            <w:tcW w:w="7100" w:type="dxa"/>
            <w:vAlign w:val="bottom"/>
          </w:tcPr>
          <w:p>
            <w:pPr>
              <w:ind w:left="320"/>
              <w:spacing w:after="0"/>
              <w:rPr>
                <w:sz w:val="20"/>
                <w:szCs w:val="20"/>
                <w:color w:val="auto"/>
              </w:rPr>
            </w:pPr>
            <w:r>
              <w:rPr>
                <w:rFonts w:ascii="Arial" w:cs="Arial" w:eastAsia="Arial" w:hAnsi="Arial"/>
                <w:sz w:val="18"/>
                <w:szCs w:val="18"/>
                <w:color w:val="auto"/>
              </w:rPr>
              <w:t>Rules of Construction</w:t>
            </w:r>
          </w:p>
        </w:tc>
        <w:tc>
          <w:tcPr>
            <w:tcW w:w="2900" w:type="dxa"/>
            <w:vAlign w:val="bottom"/>
          </w:tcPr>
          <w:p>
            <w:pPr>
              <w:jc w:val="right"/>
              <w:ind w:right="710"/>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364" w:right="339" w:bottom="1440" w:gutter="0" w:footer="0" w:header="0"/>
        </w:sectPr>
      </w:pPr>
    </w:p>
    <w:bookmarkStart w:id="429" w:name="page430"/>
    <w:bookmarkEnd w:id="429"/>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460" w:type="dxa"/>
            <w:vAlign w:val="bottom"/>
          </w:tcPr>
          <w:p>
            <w:pPr>
              <w:jc w:val="center"/>
              <w:ind w:left="1150"/>
              <w:spacing w:after="0"/>
              <w:rPr>
                <w:sz w:val="20"/>
                <w:szCs w:val="20"/>
                <w:color w:val="auto"/>
              </w:rPr>
            </w:pPr>
            <w:r>
              <w:rPr>
                <w:rFonts w:ascii="Arial" w:cs="Arial" w:eastAsia="Arial" w:hAnsi="Arial"/>
                <w:sz w:val="18"/>
                <w:szCs w:val="18"/>
                <w:b w:val="1"/>
                <w:bCs w:val="1"/>
                <w:color w:val="auto"/>
              </w:rPr>
              <w:t>CM LIFE SCIENCES, INC.</w:t>
            </w:r>
          </w:p>
        </w:tc>
        <w:tc>
          <w:tcPr>
            <w:tcW w:w="25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60" w:type="dxa"/>
            <w:vAlign w:val="bottom"/>
          </w:tcPr>
          <w:p>
            <w:pPr>
              <w:jc w:val="center"/>
              <w:ind w:left="1150"/>
              <w:spacing w:after="0"/>
              <w:rPr>
                <w:sz w:val="20"/>
                <w:szCs w:val="20"/>
                <w:color w:val="auto"/>
              </w:rPr>
            </w:pPr>
            <w:r>
              <w:rPr>
                <w:rFonts w:ascii="Arial" w:cs="Arial" w:eastAsia="Arial" w:hAnsi="Arial"/>
                <w:sz w:val="18"/>
                <w:szCs w:val="18"/>
                <w:b w:val="1"/>
                <w:bCs w:val="1"/>
                <w:color w:val="auto"/>
              </w:rPr>
              <w:t>NOTES TO FINANCIAL STATEMENTS</w:t>
            </w:r>
          </w:p>
        </w:tc>
        <w:tc>
          <w:tcPr>
            <w:tcW w:w="25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60" w:type="dxa"/>
            <w:vAlign w:val="bottom"/>
          </w:tcPr>
          <w:p>
            <w:pPr>
              <w:jc w:val="center"/>
              <w:ind w:left="1130"/>
              <w:spacing w:after="0"/>
              <w:rPr>
                <w:sz w:val="20"/>
                <w:szCs w:val="20"/>
                <w:color w:val="auto"/>
              </w:rPr>
            </w:pPr>
            <w:r>
              <w:rPr>
                <w:rFonts w:ascii="Arial" w:cs="Arial" w:eastAsia="Arial" w:hAnsi="Arial"/>
                <w:sz w:val="18"/>
                <w:szCs w:val="18"/>
                <w:b w:val="1"/>
                <w:bCs w:val="1"/>
                <w:color w:val="auto"/>
                <w:w w:val="96"/>
              </w:rPr>
              <w:t>DECEMBER 31, 2020</w:t>
            </w:r>
          </w:p>
        </w:tc>
        <w:tc>
          <w:tcPr>
            <w:tcW w:w="25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11.10</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Section 11.11</w:t>
            </w:r>
          </w:p>
        </w:tc>
        <w:tc>
          <w:tcPr>
            <w:tcW w:w="7460" w:type="dxa"/>
            <w:vAlign w:val="bottom"/>
          </w:tcPr>
          <w:p>
            <w:pPr>
              <w:ind w:left="280"/>
              <w:spacing w:after="0"/>
              <w:rPr>
                <w:sz w:val="20"/>
                <w:szCs w:val="20"/>
                <w:color w:val="auto"/>
              </w:rPr>
            </w:pPr>
            <w:r>
              <w:rPr>
                <w:rFonts w:ascii="Arial" w:cs="Arial" w:eastAsia="Arial" w:hAnsi="Arial"/>
                <w:sz w:val="18"/>
                <w:szCs w:val="18"/>
                <w:color w:val="auto"/>
              </w:rPr>
              <w:t>Assignment</w:t>
            </w:r>
          </w:p>
        </w:tc>
        <w:tc>
          <w:tcPr>
            <w:tcW w:w="2500" w:type="dxa"/>
            <w:vAlign w:val="bottom"/>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11.12</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Amendment</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11.13</w:t>
            </w:r>
          </w:p>
        </w:tc>
        <w:tc>
          <w:tcPr>
            <w:tcW w:w="7460" w:type="dxa"/>
            <w:vAlign w:val="bottom"/>
          </w:tcPr>
          <w:p>
            <w:pPr>
              <w:ind w:left="280"/>
              <w:spacing w:after="0"/>
              <w:rPr>
                <w:sz w:val="20"/>
                <w:szCs w:val="20"/>
                <w:color w:val="auto"/>
              </w:rPr>
            </w:pPr>
            <w:r>
              <w:rPr>
                <w:rFonts w:ascii="Arial" w:cs="Arial" w:eastAsia="Arial" w:hAnsi="Arial"/>
                <w:sz w:val="18"/>
                <w:szCs w:val="18"/>
                <w:color w:val="auto"/>
              </w:rPr>
              <w:t>Extension; Waiver</w:t>
            </w:r>
          </w:p>
        </w:tc>
        <w:tc>
          <w:tcPr>
            <w:tcW w:w="2500" w:type="dxa"/>
            <w:vAlign w:val="bottom"/>
          </w:tcPr>
          <w:p>
            <w:pPr>
              <w:ind w:left="1520"/>
              <w:spacing w:after="0"/>
              <w:rPr>
                <w:sz w:val="20"/>
                <w:szCs w:val="20"/>
                <w:color w:val="auto"/>
              </w:rPr>
            </w:pPr>
            <w:r>
              <w:rPr>
                <w:rFonts w:ascii="Arial" w:cs="Arial" w:eastAsia="Arial" w:hAnsi="Arial"/>
                <w:sz w:val="18"/>
                <w:szCs w:val="18"/>
                <w:color w:val="auto"/>
              </w:rPr>
              <w:t>59</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11.14</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Recourse</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59</w:t>
            </w: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Section 11.15</w:t>
            </w:r>
          </w:p>
        </w:tc>
        <w:tc>
          <w:tcPr>
            <w:tcW w:w="7460" w:type="dxa"/>
            <w:vAlign w:val="bottom"/>
          </w:tcPr>
          <w:p>
            <w:pPr>
              <w:ind w:left="280"/>
              <w:spacing w:after="0"/>
              <w:rPr>
                <w:sz w:val="20"/>
                <w:szCs w:val="20"/>
                <w:color w:val="auto"/>
              </w:rPr>
            </w:pPr>
            <w:r>
              <w:rPr>
                <w:rFonts w:ascii="Arial" w:cs="Arial" w:eastAsia="Arial" w:hAnsi="Arial"/>
                <w:sz w:val="18"/>
                <w:szCs w:val="18"/>
                <w:color w:val="auto"/>
              </w:rPr>
              <w:t>Legal Representation</w:t>
            </w:r>
          </w:p>
        </w:tc>
        <w:tc>
          <w:tcPr>
            <w:tcW w:w="2500" w:type="dxa"/>
            <w:vAlign w:val="bottom"/>
          </w:tcPr>
          <w:p>
            <w:pPr>
              <w:ind w:left="1520"/>
              <w:spacing w:after="0"/>
              <w:rPr>
                <w:sz w:val="20"/>
                <w:szCs w:val="20"/>
                <w:color w:val="auto"/>
              </w:rPr>
            </w:pPr>
            <w:r>
              <w:rPr>
                <w:rFonts w:ascii="Arial" w:cs="Arial" w:eastAsia="Arial" w:hAnsi="Arial"/>
                <w:sz w:val="18"/>
                <w:szCs w:val="18"/>
                <w:color w:val="auto"/>
              </w:rPr>
              <w:t>60</w:t>
            </w:r>
          </w:p>
        </w:tc>
      </w:tr>
      <w:tr>
        <w:trPr>
          <w:trHeight w:val="23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11.16</w:t>
            </w:r>
          </w:p>
        </w:tc>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Disclosure Letters and Exhibits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61</w:t>
            </w:r>
          </w:p>
        </w:tc>
      </w:tr>
      <w:tr>
        <w:trPr>
          <w:trHeight w:val="283"/>
        </w:trPr>
        <w:tc>
          <w:tcPr>
            <w:tcW w:w="874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Schedule A Defined Terms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A-64</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A Form of Parent Amended and Restated Charter</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A-79</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3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B Form of Parent Amended and Restated Bylaws</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A-85</w:t>
            </w:r>
          </w:p>
        </w:tc>
      </w:tr>
      <w:tr>
        <w:trPr>
          <w:trHeight w:val="229"/>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C Form of LTIP</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A-108</w:t>
            </w:r>
          </w:p>
        </w:tc>
      </w:tr>
      <w:tr>
        <w:trPr>
          <w:trHeight w:val="230"/>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D Form of Employee Stock Purchase Plan</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A-129</w:t>
            </w:r>
          </w:p>
        </w:tc>
      </w:tr>
      <w:tr>
        <w:trPr>
          <w:trHeight w:val="230"/>
        </w:trPr>
        <w:tc>
          <w:tcPr>
            <w:tcW w:w="8740" w:type="dxa"/>
            <w:vAlign w:val="bottom"/>
            <w:gridSpan w:val="2"/>
          </w:tcPr>
          <w:p>
            <w:pPr>
              <w:spacing w:after="0"/>
              <w:rPr>
                <w:sz w:val="19"/>
                <w:szCs w:val="19"/>
                <w:color w:val="auto"/>
              </w:rPr>
            </w:pPr>
          </w:p>
        </w:tc>
        <w:tc>
          <w:tcPr>
            <w:tcW w:w="2500" w:type="dxa"/>
            <w:vAlign w:val="bottom"/>
          </w:tcPr>
          <w:p>
            <w:pPr>
              <w:spacing w:after="0"/>
              <w:rPr>
                <w:sz w:val="19"/>
                <w:szCs w:val="19"/>
                <w:color w:val="auto"/>
              </w:rPr>
            </w:pPr>
          </w:p>
        </w:tc>
      </w:tr>
      <w:tr>
        <w:trPr>
          <w:trHeight w:val="229"/>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Exhibit E Form of Amended and Restated Registration Rights Agreement</w:t>
            </w:r>
          </w:p>
        </w:tc>
        <w:tc>
          <w:tcPr>
            <w:tcW w:w="250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A-141</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364" w:right="339" w:bottom="1440" w:gutter="0" w:footer="0" w:header="0"/>
        </w:sectPr>
      </w:pPr>
    </w:p>
    <w:bookmarkStart w:id="430" w:name="page431"/>
    <w:bookmarkEnd w:id="430"/>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THIS AGREEMENT AND PLAN OF MERGER </w:t>
      </w:r>
      <w:r>
        <w:rPr>
          <w:rFonts w:ascii="Arial" w:cs="Arial" w:eastAsia="Arial" w:hAnsi="Arial"/>
          <w:sz w:val="18"/>
          <w:szCs w:val="18"/>
          <w:color w:val="auto"/>
        </w:rPr>
        <w:t>is made and entered into as of February 9, 2021, by and among CM Life Sciences,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S-IV Sub, Inc., a Delaware corporation and a direct, wholly-owned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and Mount Sinai Genomics, Inc., a Delaware corporation, d/b/a Sema4 (the “</w:t>
      </w:r>
      <w:r>
        <w:rPr>
          <w:rFonts w:ascii="Arial" w:cs="Arial" w:eastAsia="Arial" w:hAnsi="Arial"/>
          <w:sz w:val="18"/>
          <w:szCs w:val="18"/>
          <w:u w:val="single" w:color="auto"/>
          <w:color w:val="auto"/>
        </w:rPr>
        <w:t>Company</w:t>
      </w:r>
      <w:r>
        <w:rPr>
          <w:rFonts w:ascii="Arial" w:cs="Arial" w:eastAsia="Arial" w:hAnsi="Arial"/>
          <w:sz w:val="18"/>
          <w:szCs w:val="18"/>
          <w:color w:val="auto"/>
        </w:rPr>
        <w:t>”). Each of the Company, Parent and Merger Sub shall individually be referred to herein as a “Party”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The term “Agreement” as used herein refers to this Agreement and Plan of Merger, as the same may be amended from time to time, and all schedules, exhibits and annexes hereto (including the Company Disclosure Letter and the Parent Disclosure Letter, as defined herein). Defined terms used in this Agreement are listed alphabetically in Schedule A, together with the section and, if applicable, subsection in which the definition of each such term is located.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Parent is a blank check company incorporated in Delaware for the purpose of effecting a merger, capital stock exchange, asset</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stock purchase, reorganization or similar business combination with one or more businesses.</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terms and subject to the conditions of this Agreement and in accordance with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other applicable Legal Requirements (collectively, as applicable based on context, the “</w:t>
      </w:r>
      <w:r>
        <w:rPr>
          <w:rFonts w:ascii="Arial" w:cs="Arial" w:eastAsia="Arial" w:hAnsi="Arial"/>
          <w:sz w:val="18"/>
          <w:szCs w:val="18"/>
          <w:u w:val="single" w:color="auto"/>
          <w:color w:val="auto"/>
        </w:rPr>
        <w:t>Applicable Legal Requirements</w:t>
      </w:r>
      <w:r>
        <w:rPr>
          <w:rFonts w:ascii="Arial" w:cs="Arial" w:eastAsia="Arial" w:hAnsi="Arial"/>
          <w:sz w:val="18"/>
          <w:szCs w:val="18"/>
          <w:color w:val="auto"/>
        </w:rPr>
        <w:t>”), the Parties intend to enter into a business combination transaction by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being the surviving corporation of the Merger (the Company, in its capacity as the surviving corporation of the Merger, is sometimes referred to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2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(and for purposes of any applicable state or local tax Legal Requirements that follows the U.S.</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income tax treatment), each of the Parties intends that the Merger will constitute a transaction that qualifies as a “reorganization” within the meaning of Section 368(a) of the Code and any comparable provision of state or local tax Legal Requirements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and that this Agreement be, and hereby is, adopted as a “plan of reorganization” for the purposes of Section 368 of the Code and Treasury Regulations Section 1.368-2(g).</w:t>
      </w:r>
    </w:p>
    <w:p>
      <w:pPr>
        <w:spacing w:after="0" w:line="1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has unanimously: (a) determined that it is in the best interests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and declared it advisable, to enter into this Agreement providing for the Merger in accordance with the DGCL; (b) approved this Agreement and the Transactions, including the Merger in accordance with the DGCL, on the terms and subject to the conditions of this Agreement; and (c) adopted a resolution recommending the plan of merger set forth in this Agreement be adopted by the stockholders of the Company.</w:t>
      </w:r>
    </w:p>
    <w:p>
      <w:pPr>
        <w:spacing w:after="0" w:line="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following execution of this Agreement, the Company shall to seek to obtain and deliver to Parent as promptly as practicable, and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no later than 24 hours following execution of this Agreement (the “</w:t>
      </w:r>
      <w:r>
        <w:rPr>
          <w:rFonts w:ascii="Arial" w:cs="Arial" w:eastAsia="Arial" w:hAnsi="Arial"/>
          <w:sz w:val="18"/>
          <w:szCs w:val="18"/>
          <w:u w:val="single" w:color="auto"/>
          <w:color w:val="auto"/>
        </w:rPr>
        <w:t>Company Stockholder Approval Deadline</w:t>
      </w:r>
      <w:r>
        <w:rPr>
          <w:rFonts w:ascii="Arial" w:cs="Arial" w:eastAsia="Arial" w:hAnsi="Arial"/>
          <w:sz w:val="18"/>
          <w:szCs w:val="18"/>
          <w:color w:val="auto"/>
        </w:rPr>
        <w:t>”): (a) a written consent of the stockholders of the Company (the “</w:t>
      </w:r>
      <w:r>
        <w:rPr>
          <w:rFonts w:ascii="Arial" w:cs="Arial" w:eastAsia="Arial" w:hAnsi="Arial"/>
          <w:sz w:val="18"/>
          <w:szCs w:val="18"/>
          <w:u w:val="single" w:color="auto"/>
          <w:color w:val="auto"/>
        </w:rPr>
        <w:t>Stockholder Consent and Joinder</w:t>
      </w:r>
      <w:r>
        <w:rPr>
          <w:rFonts w:ascii="Arial" w:cs="Arial" w:eastAsia="Arial" w:hAnsi="Arial"/>
          <w:sz w:val="18"/>
          <w:szCs w:val="18"/>
          <w:color w:val="auto"/>
        </w:rPr>
        <w:t>”), pursuant to which the requisite number of stockholders of the Company required to approve and adopt this Agreement, the Merger and the other Transactions under the Company Charter and the DGCL (the “</w:t>
      </w:r>
      <w:r>
        <w:rPr>
          <w:rFonts w:ascii="Arial" w:cs="Arial" w:eastAsia="Arial" w:hAnsi="Arial"/>
          <w:sz w:val="18"/>
          <w:szCs w:val="18"/>
          <w:u w:val="single" w:color="auto"/>
          <w:color w:val="auto"/>
        </w:rPr>
        <w:t>Company Stockholder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w:t>
      </w:r>
      <w:r>
        <w:rPr>
          <w:rFonts w:ascii="Arial" w:cs="Arial" w:eastAsia="Arial" w:hAnsi="Arial"/>
          <w:sz w:val="18"/>
          <w:szCs w:val="18"/>
          <w:color w:val="auto"/>
        </w:rPr>
        <w:t>” and such consenting stockholders of the Company, the “Consenting Stockholders”) will so approve and adopt this Agreement, the Merger and the other Transaction and (b) a lock-up letter agreement (the “</w:t>
      </w:r>
      <w:r>
        <w:rPr>
          <w:rFonts w:ascii="Arial" w:cs="Arial" w:eastAsia="Arial" w:hAnsi="Arial"/>
          <w:sz w:val="18"/>
          <w:szCs w:val="18"/>
          <w:u w:val="single" w:color="auto"/>
          <w:color w:val="auto"/>
        </w:rPr>
        <w:t>Stockholder Lock-Up Agreement</w:t>
      </w:r>
      <w:r>
        <w:rPr>
          <w:rFonts w:ascii="Arial" w:cs="Arial" w:eastAsia="Arial" w:hAnsi="Arial"/>
          <w:sz w:val="18"/>
          <w:szCs w:val="18"/>
          <w:color w:val="auto"/>
        </w:rPr>
        <w:t>”) executed by each Consenting Stockholder, pursuant to which such Consenting Stockholder agrees to certain restrictions on its ability to sell or otherwise dispose of the shares of Parent Class A Stock such Consenting Stockholder receives pursuant to the Merger.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of Parent has unanimously: (a) determined that it is in the best interests of Parent and the stockholders of Parent,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declared it advisable, to enter into this Agreement providing for the Merger in accordance with the DGCL; (b) determined that the fair market value of the Company is equal to at least 80% of the amount held in the Trust Account (excluding any deferred underwriting commissions and taxes payable on interest earned) as of the date hereof; (c) approved this Agreement and the Transactions, including the Merger in accordance with the DGCL, on the terms and subject to the conditions of this Agreement; and (d) adopted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resolution recommending the plan of merger set forth in this Agreement be adopted by the stockholders of Parent (the “</w:t>
      </w:r>
      <w:r>
        <w:rPr>
          <w:rFonts w:ascii="Arial" w:cs="Arial" w:eastAsia="Arial" w:hAnsi="Arial"/>
          <w:sz w:val="17"/>
          <w:szCs w:val="17"/>
          <w:u w:val="single" w:color="auto"/>
          <w:color w:val="auto"/>
        </w:rPr>
        <w:t>Parent Recommendation</w:t>
      </w:r>
      <w:r>
        <w:rPr>
          <w:rFonts w:ascii="Arial" w:cs="Arial" w:eastAsia="Arial" w:hAnsi="Arial"/>
          <w:sz w:val="17"/>
          <w:szCs w:val="17"/>
          <w:color w:val="auto"/>
        </w:rPr>
        <w: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prior to the Closing, Parent shall: (a) subject to obtaining the approval of the Parent Stockholder Matters, adopt the Third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Certificate of Incorporation of Parent (the “</w:t>
      </w:r>
      <w:r>
        <w:rPr>
          <w:rFonts w:ascii="Arial" w:cs="Arial" w:eastAsia="Arial" w:hAnsi="Arial"/>
          <w:sz w:val="17"/>
          <w:szCs w:val="17"/>
          <w:u w:val="single" w:color="auto"/>
          <w:color w:val="auto"/>
        </w:rPr>
        <w:t>Parent A&amp;R Charter</w:t>
      </w:r>
      <w:r>
        <w:rPr>
          <w:rFonts w:ascii="Arial" w:cs="Arial" w:eastAsia="Arial" w:hAnsi="Arial"/>
          <w:sz w:val="17"/>
          <w:szCs w:val="17"/>
          <w:color w:val="auto"/>
        </w:rPr>
        <w:t>”) in the form attached hereto as Exhibit A; (b) amend and restate the existing bylaws of Parent (the “</w:t>
      </w:r>
      <w:r>
        <w:rPr>
          <w:rFonts w:ascii="Arial" w:cs="Arial" w:eastAsia="Arial" w:hAnsi="Arial"/>
          <w:sz w:val="17"/>
          <w:szCs w:val="17"/>
          <w:u w:val="single" w:color="auto"/>
          <w:color w:val="auto"/>
        </w:rPr>
        <w:t>Parent A&amp;R Bylaws</w:t>
      </w:r>
      <w:r>
        <w:rPr>
          <w:rFonts w:ascii="Arial" w:cs="Arial" w:eastAsia="Arial" w:hAnsi="Arial"/>
          <w:sz w:val="17"/>
          <w:szCs w:val="17"/>
          <w:color w:val="auto"/>
        </w:rPr>
        <w:t>”) in the form attached hereto as Exhibit B, (c) adopt an equity incentive plan in the form attached hereto as Exhibit C (as such form may be modified in accordance with Section 7.18) (the “</w:t>
      </w:r>
      <w:r>
        <w:rPr>
          <w:rFonts w:ascii="Arial" w:cs="Arial" w:eastAsia="Arial" w:hAnsi="Arial"/>
          <w:sz w:val="17"/>
          <w:szCs w:val="17"/>
          <w:u w:val="single" w:color="auto"/>
          <w:color w:val="auto"/>
        </w:rPr>
        <w:t>LTIP</w:t>
      </w:r>
      <w:r>
        <w:rPr>
          <w:rFonts w:ascii="Arial" w:cs="Arial" w:eastAsia="Arial" w:hAnsi="Arial"/>
          <w:sz w:val="17"/>
          <w:szCs w:val="17"/>
          <w:color w:val="auto"/>
        </w:rPr>
        <w:t>”) and (d) adopt an employee stock purchase plan in the form attached hereto as Exhibit D (as such form may be modified in accordance with Section 7.18) (the “</w:t>
      </w:r>
      <w:r>
        <w:rPr>
          <w:rFonts w:ascii="Arial" w:cs="Arial" w:eastAsia="Arial" w:hAnsi="Arial"/>
          <w:sz w:val="17"/>
          <w:szCs w:val="17"/>
          <w:u w:val="single" w:color="auto"/>
          <w:color w:val="auto"/>
        </w:rPr>
        <w:t>ESPP</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on or about the date hereof, Parent has obtained commitments from the Equity Financing Investors for equity financing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Subscription Agreements, with such equity financings to be consummated immediately prior to the consummation of the Transactions.</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consummation of the Merger, Parent and the Company Stockholders will enter into an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(the “</w:t>
      </w:r>
      <w:r>
        <w:rPr>
          <w:rFonts w:ascii="Arial" w:cs="Arial" w:eastAsia="Arial" w:hAnsi="Arial"/>
          <w:sz w:val="18"/>
          <w:szCs w:val="18"/>
          <w:u w:val="single" w:color="auto"/>
          <w:color w:val="auto"/>
        </w:rPr>
        <w:t>A&amp;R Registration Rights Agreement</w:t>
      </w:r>
      <w:r>
        <w:rPr>
          <w:rFonts w:ascii="Arial" w:cs="Arial" w:eastAsia="Arial" w:hAnsi="Arial"/>
          <w:sz w:val="18"/>
          <w:szCs w:val="18"/>
          <w:color w:val="auto"/>
        </w:rPr>
        <w:t>”) substantially in the form attached hereto as Exhibit 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condition and inducement to the Company’s willingness to enter into this Agreement, simultaneously with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the Sponsor has executed and delivered to the Company the Sponsor Support Agreement (as defined below) pursuant to which the Sponsor has agreed to, among other things, vote to adopt and approve this Agreement and the other documents contemplated hereby and the transactions contemplated hereby and thereby.</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promises and representations set forth herein,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follows: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CLOSING TRANSACTIONS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 Unless this Agreement shall have been terminated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the consummation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other than the filing of the Certificate of Merger (as defined below), shall take place by electronic exchange of documents and signatures at a time and date to be specified in writing by the Parties, which shall be no later than the third Business Day after the satisfaction or waiver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(other than those conditions that by their nature are to be satisfied at the Closing, but subject to the satisfaction or waiver of those conditions), or at such other time, date and location as the Parties agree in writing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Parties agree that the Closing signatures may be transmitted by email pdf files.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xml:space="preserve"> . Not more than two Business Days prior to the Closing, Parent shall deliver to the Company written notice (the “</w:t>
      </w:r>
      <w:r>
        <w:rPr>
          <w:rFonts w:ascii="Arial" w:cs="Arial" w:eastAsia="Arial" w:hAnsi="Arial"/>
          <w:sz w:val="18"/>
          <w:szCs w:val="18"/>
          <w:u w:val="single" w:color="auto"/>
          <w:color w:val="auto"/>
        </w:rPr>
        <w:t>Parent Financing Certificate</w:t>
      </w:r>
      <w:r>
        <w:rPr>
          <w:rFonts w:ascii="Arial" w:cs="Arial" w:eastAsia="Arial" w:hAnsi="Arial"/>
          <w:sz w:val="18"/>
          <w:szCs w:val="18"/>
          <w:color w:val="auto"/>
        </w:rPr>
        <w:t>”) setting forth: (a) the aggregate amount of cash proceeds that will be required to satisfy any exercise of the Parent Stockholder Redemptions; (b) the amount of Parent Cash and Parent Transaction Costs as of the Closing; (c) the aggregate amount of the equity financing committed to Parent by the Equity Financing Agreements and (d) the number of shares of Parent Class A Stock to be outstanding as of the Closing after giving effect to the Parent Stockholder Redemptions, any forfeitures of shares of Parent Class A Stock by the Sponsor pursuant to the Sponsor Forfeiture Agreement, dated as of the date hereof, between the Parent and the Company, and the issuance of shares of Parent Class A Stock pursuant to the Equity Financing Agreements.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Closing Documents</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At the Closing, Parent or Merger Sub, as applicable, shall deliver to the Company:</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 certified copy of the Parent A&amp;R Charter and the Parent A&amp;R Bylaws;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ind w:left="1560" w:hanging="256"/>
        <w:spacing w:after="0"/>
        <w:tabs>
          <w:tab w:leader="none" w:pos="156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a copy of the A&amp;R Registration Rights Agreement, duly executed by Parent, Sponsor and the other existing parties thereto;</w:t>
      </w:r>
    </w:p>
    <w:p>
      <w:pPr>
        <w:spacing w:after="0" w:line="182" w:lineRule="exact"/>
        <w:rPr>
          <w:rFonts w:ascii="Arial" w:cs="Arial" w:eastAsia="Arial" w:hAnsi="Arial"/>
          <w:sz w:val="17"/>
          <w:szCs w:val="17"/>
          <w:color w:val="auto"/>
        </w:rPr>
      </w:pPr>
    </w:p>
    <w:p>
      <w:pPr>
        <w:ind w:left="660" w:firstLine="644"/>
        <w:spacing w:after="0" w:line="277" w:lineRule="auto"/>
        <w:tabs>
          <w:tab w:leader="none" w:pos="164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copies of resolutions and actions taken by Parent’s and Merger Sub’s board of directors and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623"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written resignations in forms satisfactory to the Company, dated as of the Closing Date and effective as of the Closing executed by the officers and directors of Merger Sub and the officers and directors of Parent who will not retain such positions upon the Closing, as mutually agreed by Parent and the Company;</w:t>
      </w:r>
    </w:p>
    <w:p>
      <w:pPr>
        <w:spacing w:after="0" w:line="129" w:lineRule="exact"/>
        <w:rPr>
          <w:rFonts w:ascii="Arial" w:cs="Arial" w:eastAsia="Arial" w:hAnsi="Arial"/>
          <w:sz w:val="18"/>
          <w:szCs w:val="18"/>
          <w:color w:val="auto"/>
        </w:rPr>
      </w:pPr>
    </w:p>
    <w:p>
      <w:pPr>
        <w:ind w:left="1560" w:hanging="256"/>
        <w:spacing w:after="0"/>
        <w:tabs>
          <w:tab w:leader="none" w:pos="15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 Indemnification Agreements, duly executed by Parent;</w:t>
      </w:r>
    </w:p>
    <w:p>
      <w:pPr>
        <w:spacing w:after="0" w:line="171" w:lineRule="exact"/>
        <w:rPr>
          <w:rFonts w:ascii="Arial" w:cs="Arial" w:eastAsia="Arial" w:hAnsi="Arial"/>
          <w:sz w:val="18"/>
          <w:szCs w:val="18"/>
          <w:color w:val="auto"/>
        </w:rPr>
      </w:pPr>
    </w:p>
    <w:p>
      <w:pPr>
        <w:ind w:left="1600" w:hanging="296"/>
        <w:spacing w:after="0"/>
        <w:tabs>
          <w:tab w:leader="none" w:pos="1600"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all other documents, instruments or certificates required to be delivered by Parent at or prior to the Closing pursuant to </w:t>
      </w:r>
      <w:r>
        <w:rPr>
          <w:rFonts w:ascii="Arial" w:cs="Arial" w:eastAsia="Arial" w:hAnsi="Arial"/>
          <w:sz w:val="16"/>
          <w:szCs w:val="16"/>
          <w:u w:val="single" w:color="auto"/>
          <w:color w:val="auto"/>
        </w:rPr>
        <w:t>Section 8.2</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900" w:hanging="244"/>
        <w:spacing w:after="0"/>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At the Closing, the Company shall deliver to Parent:</w:t>
      </w:r>
    </w:p>
    <w:p>
      <w:pPr>
        <w:spacing w:after="0" w:line="171" w:lineRule="exact"/>
        <w:rPr>
          <w:rFonts w:ascii="Arial" w:cs="Arial" w:eastAsia="Arial" w:hAnsi="Arial"/>
          <w:sz w:val="18"/>
          <w:szCs w:val="18"/>
          <w:color w:val="auto"/>
        </w:rPr>
      </w:pPr>
    </w:p>
    <w:p>
      <w:pPr>
        <w:ind w:left="1520" w:hanging="216"/>
        <w:spacing w:after="0"/>
        <w:tabs>
          <w:tab w:leader="none" w:pos="15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171" w:lineRule="exact"/>
        <w:rPr>
          <w:rFonts w:ascii="Arial" w:cs="Arial" w:eastAsia="Arial" w:hAnsi="Arial"/>
          <w:sz w:val="18"/>
          <w:szCs w:val="18"/>
          <w:color w:val="auto"/>
        </w:rPr>
      </w:pPr>
    </w:p>
    <w:p>
      <w:pPr>
        <w:ind w:left="1560" w:hanging="256"/>
        <w:spacing w:after="0"/>
        <w:tabs>
          <w:tab w:leader="none" w:pos="156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copy of the A&amp;R Registration Rights Agreement, duly executed by the Consenting Stockholders;</w:t>
      </w:r>
    </w:p>
    <w:p>
      <w:pPr>
        <w:spacing w:after="0" w:line="171" w:lineRule="exact"/>
        <w:rPr>
          <w:rFonts w:ascii="Arial" w:cs="Arial" w:eastAsia="Arial" w:hAnsi="Arial"/>
          <w:sz w:val="18"/>
          <w:szCs w:val="18"/>
          <w:color w:val="auto"/>
        </w:rPr>
      </w:pPr>
    </w:p>
    <w:p>
      <w:pPr>
        <w:ind w:left="1620" w:hanging="316"/>
        <w:spacing w:after="0"/>
        <w:tabs>
          <w:tab w:leader="none" w:pos="16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 copy of the Sponsor Agreement, duly executed by the Company;</w:t>
      </w:r>
    </w:p>
    <w:p>
      <w:pPr>
        <w:spacing w:after="0" w:line="171" w:lineRule="exact"/>
        <w:rPr>
          <w:rFonts w:ascii="Arial" w:cs="Arial" w:eastAsia="Arial" w:hAnsi="Arial"/>
          <w:sz w:val="18"/>
          <w:szCs w:val="18"/>
          <w:color w:val="auto"/>
        </w:rPr>
      </w:pPr>
    </w:p>
    <w:p>
      <w:pPr>
        <w:ind w:left="660" w:firstLine="644"/>
        <w:spacing w:after="0" w:line="277" w:lineRule="auto"/>
        <w:tabs>
          <w:tab w:leader="none" w:pos="162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copies of resolutions and actions taken by the Company’s board of directors and the Company Stockholders in connection with the approval of this Agreement and the Transactions;</w:t>
      </w:r>
    </w:p>
    <w:p>
      <w:pPr>
        <w:spacing w:after="0" w:line="116" w:lineRule="exact"/>
        <w:rPr>
          <w:rFonts w:ascii="Arial" w:cs="Arial" w:eastAsia="Arial" w:hAnsi="Arial"/>
          <w:sz w:val="18"/>
          <w:szCs w:val="18"/>
          <w:color w:val="auto"/>
        </w:rPr>
      </w:pPr>
    </w:p>
    <w:p>
      <w:pPr>
        <w:jc w:val="both"/>
        <w:ind w:left="660" w:firstLine="644"/>
        <w:spacing w:after="0" w:line="270" w:lineRule="auto"/>
        <w:tabs>
          <w:tab w:leader="none" w:pos="159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 xml:space="preserve">a schedule reflecting: (A) the calculation of the Closing Available Cash, Closing Available Excess Cash, Closing Cash Payment Amount and the Closing Number of Securities, in each case, based upon the amounts contained in the Parent Financing Certificate; (B) the calculation, as of the Closing, of the Aggregate Company Share Amount, Total Outstanding Company Shares, each Company Stockholder’s Total Stockholder Outstanding Shares, the Per Share Amount and the Earn-Out Total Outstanding Shares; (C) each Company Stockholder’s Cash Cap (if any), Cash Pro Rata Share (expressed as both a dollar amount and percentage), Cash Pro Rata Share Excess Percentage, Cash Pro Rata Share Excess Amount and Stockholder Cash Payment Amount; (D) the portion of the Closing Number of Securities issuable to each Company Stockholder at Closing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and (E) each Company Stockholder’s Earn-Out Pro Rata Share of the Earn-Out Shares to be issued upon the occurrence of each Triggering Event in accordance with Article III, based on the Earn-Out Total Outstanding Shares and Earn-Out RSUs as of the Closing; and</w:t>
      </w:r>
    </w:p>
    <w:p>
      <w:pPr>
        <w:spacing w:after="0" w:line="126" w:lineRule="exact"/>
        <w:rPr>
          <w:rFonts w:ascii="Arial" w:cs="Arial" w:eastAsia="Arial" w:hAnsi="Arial"/>
          <w:sz w:val="17"/>
          <w:szCs w:val="17"/>
          <w:color w:val="auto"/>
        </w:rPr>
      </w:pPr>
    </w:p>
    <w:p>
      <w:pPr>
        <w:ind w:left="1600" w:hanging="296"/>
        <w:spacing w:after="0"/>
        <w:tabs>
          <w:tab w:leader="none" w:pos="160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all other documents, instruments or certificates required to be delivered by the Company at or prior to the Closing pursuant to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8.3.</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Closing Transactions</w:t>
      </w:r>
      <w:r>
        <w:rPr>
          <w:rFonts w:ascii="Arial" w:cs="Arial" w:eastAsia="Arial" w:hAnsi="Arial"/>
          <w:sz w:val="18"/>
          <w:szCs w:val="18"/>
          <w:color w:val="auto"/>
        </w:rPr>
        <w:t>. At the Closing and on the Closing Date, the Parties shall cause the consummation of the following transactions in the following order, upon the terms and subject to the conditions of this Agreement:</w:t>
      </w:r>
    </w:p>
    <w:p>
      <w:pPr>
        <w:spacing w:after="0" w:line="116" w:lineRule="exact"/>
        <w:rPr>
          <w:sz w:val="20"/>
          <w:szCs w:val="20"/>
          <w:color w:val="auto"/>
        </w:rPr>
      </w:pPr>
    </w:p>
    <w:p>
      <w:pPr>
        <w:ind w:firstLine="656"/>
        <w:spacing w:after="0" w:line="277" w:lineRule="auto"/>
        <w:tabs>
          <w:tab w:leader="none" w:pos="93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Parent shall make any payments in the aggregate amount of cash proceeds that will be required to satisfy any exercise of the Parent Stockholder Redemptions.</w:t>
      </w:r>
    </w:p>
    <w:p>
      <w:pPr>
        <w:spacing w:after="0" w:line="116" w:lineRule="exact"/>
        <w:rPr>
          <w:rFonts w:ascii="Arial" w:cs="Arial" w:eastAsia="Arial" w:hAnsi="Arial"/>
          <w:sz w:val="18"/>
          <w:szCs w:val="18"/>
          <w:color w:val="auto"/>
        </w:rPr>
      </w:pPr>
    </w:p>
    <w:p>
      <w:pPr>
        <w:ind w:right="20" w:firstLine="656"/>
        <w:spacing w:after="0" w:line="277" w:lineRule="auto"/>
        <w:tabs>
          <w:tab w:leader="none" w:pos="91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Parent shall pay, or cause to be paid, all Parent Transaction Costs and Company Transaction Costs to the applicable payees, to the extent not paid prior to the Closing.</w:t>
      </w:r>
    </w:p>
    <w:p>
      <w:pPr>
        <w:spacing w:after="0" w:line="116" w:lineRule="exact"/>
        <w:rPr>
          <w:rFonts w:ascii="Arial" w:cs="Arial" w:eastAsia="Arial" w:hAnsi="Arial"/>
          <w:sz w:val="18"/>
          <w:szCs w:val="18"/>
          <w:color w:val="auto"/>
        </w:rPr>
      </w:pPr>
    </w:p>
    <w:p>
      <w:pPr>
        <w:ind w:right="20" w:firstLine="656"/>
        <w:spacing w:after="0" w:line="277" w:lineRule="auto"/>
        <w:tabs>
          <w:tab w:leader="none" w:pos="901"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certificate of merger with respect to the Merger shall be prepared and executed in accordance with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ind w:left="920" w:hanging="264"/>
        <w:spacing w:after="0"/>
        <w:tabs>
          <w:tab w:leader="none" w:pos="9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Parent shall contribute to the Company an amount equal to or greater than the Company’s Required Funds.</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Parent shall deposit (or cause to be deposited) with the Exchange Agent the Closing Cash Payment Amount and the Closing Number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MERGER</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terms and subject to the conditions of this Agreement, on the Closing Date the Company and Merger Sub shall cause the Merger to be consummated by filing the Certificate of Merger with the Secretary of State of the State of Delaware, in accordance with the applicable provisions of the DGCL (the time of such filing, or such later time as may be agreed in writing by the Company and Parent and specified in the Certificate of Merger,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upon the terms and subject to the conditions of this Agreement and in accordance with the applicable provisions of the DGCL, Merger Sub and the Company shall consummate the Merger, pursuant to which Merger Sub shall be merged with and into the Company, following which the separate corporate existence of Merger Sub shall cease and the Company shall continue as the Surviving Corporation after the Merger and as a direct, wholly-owned subsidiary of Parent.</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Corporation, which shall include the assumption by the Surviving Corporation of any and all agreements, covenants, duties and obligations of Merger Sub and the Company set forth in this Agreement to be performed after the Effective Time.</w:t>
      </w:r>
    </w:p>
    <w:p>
      <w:pPr>
        <w:spacing w:after="0" w:line="13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Governing Document</w:t>
      </w:r>
      <w:r>
        <w:rPr>
          <w:rFonts w:ascii="Arial" w:cs="Arial" w:eastAsia="Arial" w:hAnsi="Arial"/>
          <w:sz w:val="16"/>
          <w:szCs w:val="16"/>
          <w:color w:val="auto"/>
        </w:rPr>
        <w:t>s. Subject to Section 7.12, at the Effective Time, the certificate of incorporation and bylaws of the Surviving Corporation shall be amended to read the same as the certificate of incorporation and bylaws of Merger Sub as in effect immediately prior to the Effective Time, except that the name of the Surviving Corporation shall be the name determined by the Company (and reasonably acceptable to Parent).</w:t>
      </w:r>
    </w:p>
    <w:p>
      <w:pPr>
        <w:spacing w:after="0" w:line="9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Directors and Officers of the Surviving Corporation</w:t>
      </w:r>
      <w:r>
        <w:rPr>
          <w:rFonts w:ascii="Arial" w:cs="Arial" w:eastAsia="Arial" w:hAnsi="Arial"/>
          <w:sz w:val="17"/>
          <w:szCs w:val="17"/>
          <w:color w:val="auto"/>
        </w:rPr>
        <w:t>. Immediately after the Effective Time, the board of directors and executive officers of the Surviving Corporation shall be the board of directors and executive officers of the Company as of immediately prior to the Effective Time.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w:t>
      </w:r>
    </w:p>
    <w:p>
      <w:pPr>
        <w:spacing w:after="0" w:line="171" w:lineRule="exact"/>
        <w:rPr>
          <w:sz w:val="20"/>
          <w:szCs w:val="20"/>
          <w:color w:val="auto"/>
        </w:rPr>
      </w:pPr>
    </w:p>
    <w:p>
      <w:pPr>
        <w:ind w:left="900" w:hanging="244"/>
        <w:spacing w:after="0"/>
        <w:tabs>
          <w:tab w:leader="none" w:pos="90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Upon the terms and subject to the conditions of this Agreement, the aggregate consideration to be paid to the Company Stockholders shall be:</w:t>
      </w:r>
    </w:p>
    <w:p>
      <w:pPr>
        <w:spacing w:after="0" w:line="46" w:lineRule="exact"/>
        <w:rPr>
          <w:rFonts w:ascii="Arial" w:cs="Arial" w:eastAsia="Arial" w:hAnsi="Arial"/>
          <w:sz w:val="16"/>
          <w:szCs w:val="16"/>
          <w:color w:val="auto"/>
        </w:rPr>
      </w:pPr>
    </w:p>
    <w:p>
      <w:pPr>
        <w:ind w:firstLine="8"/>
        <w:spacing w:after="0" w:line="260" w:lineRule="auto"/>
        <w:tabs>
          <w:tab w:leader="none" w:pos="23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Closing Merger Consideration; and (ii) the contingent right to receive the Earn-Out Shares following the Closing in accordance with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Total Consideration</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firstLine="656"/>
        <w:spacing w:after="0" w:line="277" w:lineRule="auto"/>
        <w:tabs>
          <w:tab w:leader="none" w:pos="92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Closing Merger Consideration shall be paid or issued, as applicable, in the form of: (i) an amount in cash equal to the Closing Cash Payment Amount; and (ii) the Closing Number of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Company Common Stock and Company Preferred Stoc</w:t>
      </w:r>
      <w:r>
        <w:rPr>
          <w:rFonts w:ascii="Arial" w:cs="Arial" w:eastAsia="Arial" w:hAnsi="Arial"/>
          <w:sz w:val="18"/>
          <w:szCs w:val="18"/>
          <w:color w:val="auto"/>
        </w:rPr>
        <w:t>k.</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Upon the terms and subject to the conditions of this Agreement, at the Effective Time, by virtue of the Merger and without any further action on the part of Parent, Merger Sub, the Company, the Company Stockholders or the holders of any of the securities of Parent, the following shall occur:</w:t>
      </w:r>
    </w:p>
    <w:p>
      <w:pPr>
        <w:spacing w:after="0" w:line="92" w:lineRule="exact"/>
        <w:rPr>
          <w:sz w:val="20"/>
          <w:szCs w:val="20"/>
          <w:color w:val="auto"/>
        </w:rPr>
      </w:pPr>
    </w:p>
    <w:p>
      <w:pPr>
        <w:jc w:val="both"/>
        <w:ind w:firstLine="332"/>
        <w:spacing w:after="0" w:line="263" w:lineRule="auto"/>
        <w:tabs>
          <w:tab w:leader="none" w:pos="57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Each share of Class B Common Stock issued and outstanding immediately prior to the Effective Time will be converted into 1/100th of a share of Class A Common Stock in accordance with the Company Organizational Documents. Immediately thereafter, each share of Company Common Stock and Company Preferred Stock (other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than Excluded Shares and Dissenting Shares) issued and outstanding immediately prior to the Effective Time will be cancelled and automatically deemed for all purposes to represent the right to receive a portion of the Total Consideration, with each Company Stockholder being entitled to receive:</w:t>
      </w:r>
    </w:p>
    <w:p>
      <w:pPr>
        <w:spacing w:after="0" w:line="70" w:lineRule="exact"/>
        <w:rPr>
          <w:sz w:val="20"/>
          <w:szCs w:val="20"/>
          <w:color w:val="auto"/>
        </w:rPr>
      </w:pPr>
    </w:p>
    <w:p>
      <w:pPr>
        <w:jc w:val="both"/>
        <w:ind w:left="660" w:firstLine="644"/>
        <w:spacing w:after="0" w:line="257" w:lineRule="auto"/>
        <w:tabs>
          <w:tab w:leader="none" w:pos="153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such Company Stockholder has made a Cash Election, such Company Stockholder’s Cash Pro Rata Share of the Closing Available Cash and, if applicable, such Company Stockholder’s Cash Pro Rata Share Excess Amount of the Closing Available Excess Cash (such aggregate amount in cash, the “</w:t>
      </w:r>
      <w:r>
        <w:rPr>
          <w:rFonts w:ascii="Arial" w:cs="Arial" w:eastAsia="Arial" w:hAnsi="Arial"/>
          <w:sz w:val="18"/>
          <w:szCs w:val="18"/>
          <w:u w:val="single" w:color="auto"/>
          <w:color w:val="auto"/>
        </w:rPr>
        <w:t>Stockholder Cash Payment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 Company Stockholder’s Stockholder Cash Payment Amount exceed an amount equal to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w:t>
      </w:r>
    </w:p>
    <w:p>
      <w:pPr>
        <w:spacing w:after="0" w:line="133" w:lineRule="exact"/>
        <w:rPr>
          <w:rFonts w:ascii="Arial" w:cs="Arial" w:eastAsia="Arial" w:hAnsi="Arial"/>
          <w:sz w:val="18"/>
          <w:szCs w:val="18"/>
          <w:color w:val="auto"/>
        </w:rPr>
      </w:pPr>
    </w:p>
    <w:p>
      <w:pPr>
        <w:jc w:val="both"/>
        <w:ind w:left="660" w:right="20" w:firstLine="644"/>
        <w:spacing w:after="0" w:line="263" w:lineRule="auto"/>
        <w:tabs>
          <w:tab w:leader="none" w:pos="158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 number of shares of Parent Class A Stock equal to the quotient of: (A) (1) the product of (x) such Company Stockholder’s Total Stockholder Outstanding Shares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(y) the Per Share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(2) such Company Stockholder’s Stockholder Cash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 and</w:t>
      </w:r>
    </w:p>
    <w:p>
      <w:pPr>
        <w:spacing w:after="0" w:line="129" w:lineRule="exact"/>
        <w:rPr>
          <w:rFonts w:ascii="Arial" w:cs="Arial" w:eastAsia="Arial" w:hAnsi="Arial"/>
          <w:sz w:val="18"/>
          <w:szCs w:val="18"/>
          <w:color w:val="auto"/>
        </w:rPr>
      </w:pPr>
    </w:p>
    <w:p>
      <w:pPr>
        <w:ind w:left="1620" w:hanging="316"/>
        <w:spacing w:after="0"/>
        <w:tabs>
          <w:tab w:leader="none" w:pos="16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its Earn-Out Pro Rata Share of any Earn-Out Shares in accordance with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subject to adjustment in accordance with </w:t>
      </w:r>
      <w:r>
        <w:rPr>
          <w:rFonts w:ascii="Arial" w:cs="Arial" w:eastAsia="Arial" w:hAnsi="Arial"/>
          <w:sz w:val="16"/>
          <w:szCs w:val="16"/>
          <w:u w:val="single" w:color="auto"/>
          <w:color w:val="auto"/>
        </w:rPr>
        <w:t>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2.7(e)</w:t>
      </w:r>
      <w:r>
        <w:rPr>
          <w:rFonts w:ascii="Arial" w:cs="Arial" w:eastAsia="Arial" w:hAnsi="Arial"/>
          <w:sz w:val="18"/>
          <w:szCs w:val="18"/>
          <w:color w:val="auto"/>
        </w:rPr>
        <w:t>;</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each case, without interest, upon surrender of stock certificates representing all of such Company Stockholder’s Company Common Stock and Company Preferred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and delivery of the other documents required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As of the Effective Time, each Company Stockholder shall cease to have any other rights in and to the Company or Surviving Corporation, and each Certificate relating to the ownership of shares of Company Common Stock and Company Preferred Stock (other than Excluded Shares) shall thereafter represent only the right to receive the applicable portion of the Total Consideration.</w:t>
      </w:r>
    </w:p>
    <w:p>
      <w:pPr>
        <w:spacing w:after="0" w:line="134" w:lineRule="exact"/>
        <w:rPr>
          <w:sz w:val="20"/>
          <w:szCs w:val="20"/>
          <w:color w:val="auto"/>
        </w:rPr>
      </w:pPr>
    </w:p>
    <w:p>
      <w:pPr>
        <w:ind w:right="20" w:firstLine="656"/>
        <w:spacing w:after="0" w:line="308" w:lineRule="auto"/>
        <w:tabs>
          <w:tab w:leader="none" w:pos="92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fraction of a share of Parent Class A Stock will be issued by virtue of the Merger. Any fractional shares that would otherwise be issued will be rounded down to the nearest whole share of Parent Class A Stock.</w:t>
      </w:r>
    </w:p>
    <w:p>
      <w:pPr>
        <w:spacing w:after="0" w:line="92" w:lineRule="exact"/>
        <w:rPr>
          <w:rFonts w:ascii="Arial" w:cs="Arial" w:eastAsia="Arial" w:hAnsi="Arial"/>
          <w:sz w:val="17"/>
          <w:szCs w:val="17"/>
          <w:color w:val="auto"/>
        </w:rPr>
      </w:pPr>
    </w:p>
    <w:p>
      <w:pPr>
        <w:jc w:val="both"/>
        <w:ind w:firstLine="656"/>
        <w:spacing w:after="0" w:line="257" w:lineRule="auto"/>
        <w:tabs>
          <w:tab w:leader="none" w:pos="91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issued and outstanding share of common stock of Merger Sub shall be converted into and become one validly issued, fully paid and nonassessable share of common stock, par value $0.01 per share, of the Surviving Corporation, which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share of Company Common Stock and Company Preferred Stock held in the Company’s treasury or owned by Parent, Merger Sub or the Company immediately prior to the Effective Time (each an “</w:t>
      </w:r>
      <w:r>
        <w:rPr>
          <w:rFonts w:ascii="Arial" w:cs="Arial" w:eastAsia="Arial" w:hAnsi="Arial"/>
          <w:sz w:val="18"/>
          <w:szCs w:val="18"/>
          <w:u w:val="single" w:color="auto"/>
          <w:color w:val="auto"/>
        </w:rPr>
        <w:t>Excluded Share</w:t>
      </w:r>
      <w:r>
        <w:rPr>
          <w:rFonts w:ascii="Arial" w:cs="Arial" w:eastAsia="Arial" w:hAnsi="Arial"/>
          <w:sz w:val="18"/>
          <w:szCs w:val="18"/>
          <w:color w:val="auto"/>
        </w:rPr>
        <w:t>”), shall be cancelled and no consideration shall be paid or payable with respect thereto.</w:t>
      </w:r>
    </w:p>
    <w:p>
      <w:pPr>
        <w:spacing w:after="0" w:line="129" w:lineRule="exact"/>
        <w:rPr>
          <w:rFonts w:ascii="Arial" w:cs="Arial" w:eastAsia="Arial" w:hAnsi="Arial"/>
          <w:sz w:val="18"/>
          <w:szCs w:val="18"/>
          <w:color w:val="auto"/>
        </w:rPr>
      </w:pPr>
    </w:p>
    <w:p>
      <w:pPr>
        <w:jc w:val="both"/>
        <w:ind w:firstLine="656"/>
        <w:spacing w:after="0" w:line="296" w:lineRule="auto"/>
        <w:tabs>
          <w:tab w:leader="none" w:pos="894"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numbers of shares of Parent Class A Stock that the Company Stockholders are entitled to receive as a result of the Merger, and each other amount contained herein which is based upon the number of shares of Parent Class A Stock, and as otherwise contemplated by this Agreement shall be adjusted to reflect appropriately the effect of any stock split, split-up, reverse stock split, stock dividend or distribution (including any dividend or distribution of securities convertible into Parent Class A Stock), extraordinary cash dividend, reorganization, recapitalization, reclassification, combination, exchange of shares or other like change with respect to Parent Class A Stock occurring on or after the date hereof and prior to the Closing.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Surrender of Company Certificates and Disbursement of Closing Consideration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90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Subject to this Section 2.8, at the Effective Time, Parent shall deliver, or cause to be delivered to each Company Stockholder portion of the Total Consideration to which such Company Stockholder is entitled pursuant to clauses (i) and (ii) of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ind w:firstLine="656"/>
        <w:spacing w:after="0" w:line="257" w:lineRule="auto"/>
        <w:tabs>
          <w:tab w:leader="none" w:pos="92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Prior to the Effective Time, unless otherwise agreed by the Parties, Parent shall appoint a commercial bank or trust company reasonably acceptable to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purpose of exchanging Certificates for each Company Stockholder’s portion of the Closing Consideration. Not less than thirty (30) days prior to the anticipated Effective Time, the Company shall provide an election form for the Cash Election in a form mutually acceptable to Parent and the Company to each Company Stockholder that has not previously submitted a Cash Election or confirmed in writing to the Company that it will not be making a Cash Election.</w:t>
      </w:r>
    </w:p>
    <w:p>
      <w:pPr>
        <w:spacing w:after="0" w:line="133" w:lineRule="exact"/>
        <w:rPr>
          <w:rFonts w:ascii="Arial" w:cs="Arial" w:eastAsia="Arial" w:hAnsi="Arial"/>
          <w:sz w:val="18"/>
          <w:szCs w:val="18"/>
          <w:color w:val="auto"/>
        </w:rPr>
      </w:pPr>
    </w:p>
    <w:p>
      <w:pPr>
        <w:jc w:val="both"/>
        <w:ind w:firstLine="656"/>
        <w:spacing w:after="0" w:line="301" w:lineRule="auto"/>
        <w:tabs>
          <w:tab w:leader="none" w:pos="88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At the Effective Time, Parent shall deposit with the Exchange Agent the aggregate amount of the cash portion of the Closing Consideration and make available the aggregate amount of the equity portion of the Closing Consideration. Such cash and equity deposited with the Exchange Agent shall be referred to in this Agreement as the “Exchange Fund”. At the Effective Time, Parent shall deliver irrevocable instructions to the Exchange Agent to deliver the Closing Consideration out of the Exchange Fund in the manner it is contemplated to be issued or paid pursuant to this Article II.</w:t>
      </w:r>
    </w:p>
    <w:p>
      <w:pPr>
        <w:spacing w:after="0" w:line="103" w:lineRule="exact"/>
        <w:rPr>
          <w:rFonts w:ascii="Arial" w:cs="Arial" w:eastAsia="Arial" w:hAnsi="Arial"/>
          <w:sz w:val="16"/>
          <w:szCs w:val="16"/>
          <w:color w:val="auto"/>
        </w:rPr>
      </w:pPr>
    </w:p>
    <w:p>
      <w:pPr>
        <w:jc w:val="both"/>
        <w:ind w:firstLine="656"/>
        <w:spacing w:after="0" w:line="284" w:lineRule="auto"/>
        <w:tabs>
          <w:tab w:leader="none" w:pos="91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(and in any event within five Business Days thereafter), the Exchange Agent shall mail to each Company Stockholder who has not already received the Surrender Documentation (other than holders of Excluded Shares and Dissenting Shares): (i) a letter of transmittal in customary form specifying that delivery shall be effected, and risk of loss and title to the Certificates shall pass, only upon delivery of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to the Exchange Agent (the “</w:t>
      </w:r>
      <w:r>
        <w:rPr>
          <w:rFonts w:ascii="Arial" w:cs="Arial" w:eastAsia="Arial" w:hAnsi="Arial"/>
          <w:sz w:val="16"/>
          <w:szCs w:val="16"/>
          <w:u w:val="single" w:color="auto"/>
          <w:color w:val="auto"/>
        </w:rPr>
        <w:t>Surrender Documentation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Exchange Agent shall not be required to deliver the Surrender Documentation to any Company Stockholder that has delivered its Surrender Documentation with respect to such Company Stockholder’s Certificates to the Exchange Agent at least two Business Days prior to the Closing Date. Upon surrender of a Certificate (or affidavit of loss in lieu of the Certificate as provided in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to the Exchange Agent in accordance with the terms of the Surrender Documentation, the Exchange Agent will deliver to the holder of such Certificate in exchange therefor such holder’s portion of the Closing Consideration in accordance with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hereof, with: (A) any cash portion of the Closing Consideration being delivered via wire transfer of immediately available funds in accordance with instructions provided by such Company Stockholder in the letter of transmittal; and (B) the equity portion of the Closing Consideration being delivered via book-entry issuance (or at the written election of any Company Stockholder, in certificated form), in each case, less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holder of such Certificate delivers to the Exchange Agent the Surrender Documentation with respect to such Company Stockholder’s Certificates at least two Business Days prior to the Closing Date, the Exchange Agent shall deliver to the holder of such Certificate in exchange therefor such holder’s portion of the Closing Consideration covered by such Surrender Documentation in accordance with clauses (A) and (B) of this sentence on the Closing Date or as promptly as practicable thereafter. The Certificate so surrendered shall forthwith be cancelled. Until so surrendered, each Certificate shall represent after the Effective Time for all purposes only the right to receive the applicable portion of the Total Consideration attributable to such Certificate. No interest will be paid or accrued on any amount payable upon due surrender of the Certificates. In the event of a transfer of ownership of shares of Company Common Stock or Company Preferred Stock that is not registered in the transfer records of the Company, the applicable portion of the Total Consideration to be delivered upon due surrender of the Certificate may be issued to such transferee if the Certificate formerly representing such shares of Company Common Stock or Company Preferred Stock is presented to the Exchange Agent, accompanied by all documents required to evidence and effect such transfer and to evidence that any applicable stock transfer Taxes have been paid or are not applicable.</w:t>
      </w:r>
    </w:p>
    <w:p>
      <w:pPr>
        <w:spacing w:after="0" w:line="338" w:lineRule="exact"/>
        <w:rPr>
          <w:rFonts w:ascii="Arial" w:cs="Arial" w:eastAsia="Arial" w:hAnsi="Arial"/>
          <w:sz w:val="16"/>
          <w:szCs w:val="16"/>
          <w:color w:val="auto"/>
        </w:rPr>
      </w:pPr>
    </w:p>
    <w:p>
      <w:pPr>
        <w:jc w:val="both"/>
        <w:ind w:firstLine="656"/>
        <w:spacing w:after="0" w:line="301" w:lineRule="auto"/>
        <w:tabs>
          <w:tab w:leader="none" w:pos="89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there shall be no transfers on the stock transfer books of the Company of the shares of Company Common Stock or Company Preferred Stock that were outstanding immediately prior to the Effective Time. If, after the Effective Time, any Certificate is presented to the Surviving Corporation, Parent or the Exchange Agent for transfer, it shall be cancelled and deemed exchanged for (without interest and after giving effect to any required Tax withholdings as provided in </w:t>
      </w:r>
      <w:r>
        <w:rPr>
          <w:rFonts w:ascii="Arial" w:cs="Arial" w:eastAsia="Arial" w:hAnsi="Arial"/>
          <w:sz w:val="16"/>
          <w:szCs w:val="16"/>
          <w:u w:val="single" w:color="auto"/>
          <w:color w:val="auto"/>
        </w:rPr>
        <w:t>Section 2.9</w:t>
      </w:r>
      <w:r>
        <w:rPr>
          <w:rFonts w:ascii="Arial" w:cs="Arial" w:eastAsia="Arial" w:hAnsi="Arial"/>
          <w:sz w:val="16"/>
          <w:szCs w:val="16"/>
          <w:color w:val="auto"/>
        </w:rPr>
        <w:t>) the portion of the Total Consideration represented by such Certificate.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ind w:firstLine="656"/>
        <w:spacing w:after="0" w:line="272" w:lineRule="auto"/>
        <w:tabs>
          <w:tab w:leader="none" w:pos="866"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(including the proceeds of any investments of the Exchange Fund) that remains unclaimed by the Company Stockholders for 180 days after the Effective Time shall be delivered to the Surviving Corporation. Any Company Stockholder who has not theretofore complied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thereafter look only to the Surviving Corporation for payment of their respective portion of the Total Consideration (after giving effect to any required Tax withholdings as provided in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upon due surrender of its Certificates (or affidavits of loss in lieu of the Certificates as provided in </w:t>
      </w:r>
      <w:r>
        <w:rPr>
          <w:rFonts w:ascii="Arial" w:cs="Arial" w:eastAsia="Arial" w:hAnsi="Arial"/>
          <w:sz w:val="17"/>
          <w:szCs w:val="17"/>
          <w:u w:val="single" w:color="auto"/>
          <w:color w:val="auto"/>
        </w:rPr>
        <w:t>Section 2.8(g)</w:t>
      </w:r>
      <w:r>
        <w:rPr>
          <w:rFonts w:ascii="Arial" w:cs="Arial" w:eastAsia="Arial" w:hAnsi="Arial"/>
          <w:sz w:val="17"/>
          <w:szCs w:val="17"/>
          <w:color w:val="auto"/>
        </w:rPr>
        <w:t>), without any interest thereon. Notwithstanding the foregoing, none of the Surviving Corporation, Parent, the Exchange Agent or any other Person shall be liable to any former Company Stockholder for any amount properly delivered to a public official pursuant to applicable abandoned property, escheat or similar Legal Requirements.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In the event any Certificate shall have been lost, stolen or destroyed: (i) upon the making of an affidavit of that fact by the Person claiming such Certificate to be lost, stolen or destroyed; and (ii) if required by Parent, the posting by such Person of a bond in customary amount and upon such terms as may be required by Parent as indemnity against any claim that may be made against it or the Surviving Corporation with respect to such Certificate, the Exchange Agent will issue the portion of the Total Consideration attributable to such Certificate (after giving effect to any required Tax withholdings as provided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Notwithstanding anything in this Agreement to the contrary, Parent, Merger Sub, the Company, the Surviving Corporation, the Exchange Agent and their Affiliates shall be entitled to deduct and withhold from the consideration otherwise payable pursuant to this Agreement, any amount required to be deducted and withheld with respect to the making of such payment under Applicable Legal Requirements;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Parent, Merger Sub, any of their respective Affiliates, or any party acting on their behalf determines that any payment to the Company Stockholders hereunder is subject to deduction and/or withholding, then Parent shall provide notice to the Company as soon as reasonably practicable after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parties shall use commercially reasonable efforts to minimize any such deduction and/or withholding. To the extent that amounts are so withheld and paid over to the appropriate Governmental Entity, such withheld amounts shall be treated for all purposes of this Agreement as having been paid to the Person in respect of which such deduction and withholding was made. Any amounts so withheld shall be timely remitted to the applicable Governmental Entity.</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Taking of Necessary Action; Further Action</w:t>
      </w:r>
      <w:r>
        <w:rPr>
          <w:rFonts w:ascii="Arial" w:cs="Arial" w:eastAsia="Arial" w:hAnsi="Arial"/>
          <w:sz w:val="17"/>
          <w:szCs w:val="17"/>
          <w:color w:val="auto"/>
        </w:rPr>
        <w:t>. If, at any time after the Effective Time, any further action is necessary or desirable to carry out the purposes of this Agreement and to vest the Surviving Corporation following the Merger with full right, title and possession to all assets, property, rights, privileges, powers and franchises of the Company and Merger Sub, the officers and directors or members, as applicable, (or their designees) of the Company and Merger Sub are fully authorized in the name of their respective corporations or otherwise to take, and will take, all such lawful and necessary action, so long as such action is not inconsistent with this Agreement.</w:t>
      </w:r>
    </w:p>
    <w:p>
      <w:pPr>
        <w:spacing w:after="0" w:line="1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Tax Treatment of the Merger</w:t>
      </w:r>
      <w:r>
        <w:rPr>
          <w:rFonts w:ascii="Arial" w:cs="Arial" w:eastAsia="Arial" w:hAnsi="Arial"/>
          <w:sz w:val="17"/>
          <w:szCs w:val="17"/>
          <w:color w:val="auto"/>
        </w:rPr>
        <w:t>. For U.S. federal income tax purposes (and for purposes of any applicable state or local Tax that follows the U.S. federal income tax treatment), the Parties will prepare and file all Tax Returns consistent with the treatment of the Merger as a reorganization within the meaning of Section 368(a) of the Code (or comparable provision of state and local Tax Legal Requirement) and will not take any inconsistent position on any Tax Return or during the course of any audit, litigation or other proceeding with respect to Taxes, except as otherwise required by Applicable Legal Requirements (in the case of Parent, the Company or Surviving Entity, as determined by Parent in good faith).</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Effect on Company Options,Company RSUs and Company SARs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5" w:lineRule="auto"/>
        <w:tabs>
          <w:tab w:leader="none" w:pos="91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Company Option that is outstanding as of immediately prior to the Effective Time shall be assumed by Parent and converted into an option to purchase shares of Parent Class A Stock upon substantially the same terms and conditions as are in effect with respect to such Company Option immediately prior to the Effective Time, including with respect to vesting, exercisability and termination-related provisions (each, a “</w:t>
      </w:r>
      <w:r>
        <w:rPr>
          <w:rFonts w:ascii="Arial" w:cs="Arial" w:eastAsia="Arial" w:hAnsi="Arial"/>
          <w:sz w:val="18"/>
          <w:szCs w:val="18"/>
          <w:u w:val="single" w:color="auto"/>
          <w:color w:val="auto"/>
        </w:rPr>
        <w:t>Parent Option</w:t>
      </w:r>
      <w:r>
        <w:rPr>
          <w:rFonts w:ascii="Arial" w:cs="Arial" w:eastAsia="Arial" w:hAnsi="Arial"/>
          <w:sz w:val="18"/>
          <w:szCs w:val="18"/>
          <w:color w:val="auto"/>
        </w:rPr>
        <w:t xml:space="preserve">”) except that (a) such Parent Option shall provide the right to purchase that whole number of shares of Parent Class A Stock (rounded down to the nearest whole share) equal to the number of shares of Company Common Stock subject to such Company Option as of immediately prior to the Effective Time, </w:t>
      </w: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the Option Exchange Ratio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applicable to such Company Option, and (b) the exercise price per share for each such Parent Option shall be equal to the exercise price per share of such Company Option in effect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Option Exchange Ratio applicable to such Company Option (the exercise price per share, as so determined, being rounded up to the nearest full cent);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conversion of the Company Options will be made in a manner consistent with Treasury Regulation Section 1.424-1, such that such conversion will not constitute a “modification” of such Company Options for purposes of Section 409A or Section 424 of the Code.</w:t>
      </w:r>
    </w:p>
    <w:p>
      <w:pPr>
        <w:spacing w:after="0" w:line="134" w:lineRule="exact"/>
        <w:rPr>
          <w:sz w:val="20"/>
          <w:szCs w:val="20"/>
          <w:color w:val="auto"/>
        </w:rPr>
      </w:pPr>
    </w:p>
    <w:p>
      <w:pPr>
        <w:jc w:val="both"/>
        <w:ind w:firstLine="656"/>
        <w:spacing w:after="0" w:line="272" w:lineRule="auto"/>
        <w:tabs>
          <w:tab w:leader="none" w:pos="932" w:val="left"/>
        </w:tabs>
        <w:numPr>
          <w:ilvl w:val="1"/>
          <w:numId w:val="283"/>
        </w:numPr>
        <w:rPr>
          <w:rFonts w:ascii="Arial" w:cs="Arial" w:eastAsia="Arial" w:hAnsi="Arial"/>
          <w:sz w:val="17"/>
          <w:szCs w:val="17"/>
          <w:color w:val="auto"/>
        </w:rPr>
      </w:pPr>
      <w:r>
        <w:rPr>
          <w:rFonts w:ascii="Arial" w:cs="Arial" w:eastAsia="Arial" w:hAnsi="Arial"/>
          <w:sz w:val="17"/>
          <w:szCs w:val="17"/>
          <w:color w:val="auto"/>
        </w:rPr>
        <w:t>Each Company RSU that is outstanding as of immediately prior to the Effective Time shall be assumed by Parent and converted into a restricted stock unit representing the opportunity to be issued shares of Parent Class A Stock upon substantially the same terms and conditions as are in effect with respect to such Company RSU immediately prior to the Effective Time, including with respect to vesting and termination-related provisions (each, a “</w:t>
      </w:r>
      <w:r>
        <w:rPr>
          <w:rFonts w:ascii="Arial" w:cs="Arial" w:eastAsia="Arial" w:hAnsi="Arial"/>
          <w:sz w:val="17"/>
          <w:szCs w:val="17"/>
          <w:u w:val="single" w:color="auto"/>
          <w:color w:val="auto"/>
        </w:rPr>
        <w:t>Parent RSU</w:t>
      </w:r>
      <w:r>
        <w:rPr>
          <w:rFonts w:ascii="Arial" w:cs="Arial" w:eastAsia="Arial" w:hAnsi="Arial"/>
          <w:sz w:val="17"/>
          <w:szCs w:val="17"/>
          <w:color w:val="auto"/>
        </w:rPr>
        <w:t xml:space="preserve">”) except that such Parent RSU shall provide opportunity to be issued that whole number of shares of Parent Class A Stock (rounded to the nearest whole share) equal to the number of Shares of Company Common Stock subject to such Company RSU as of immediately prior to the Effective Time,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RSU Exchange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conversion of the Company RSUs will be made in a manner consistent with the requirements of Section 409A of the Code and the applicable regulations promulgated thereunder.</w:t>
      </w:r>
    </w:p>
    <w:p>
      <w:pPr>
        <w:spacing w:after="0" w:line="123" w:lineRule="exact"/>
        <w:rPr>
          <w:rFonts w:ascii="Arial" w:cs="Arial" w:eastAsia="Arial" w:hAnsi="Arial"/>
          <w:sz w:val="17"/>
          <w:szCs w:val="17"/>
          <w:color w:val="auto"/>
        </w:rPr>
      </w:pPr>
    </w:p>
    <w:p>
      <w:pPr>
        <w:jc w:val="both"/>
        <w:ind w:firstLine="656"/>
        <w:spacing w:after="0" w:line="269" w:lineRule="auto"/>
        <w:tabs>
          <w:tab w:leader="none" w:pos="893" w:val="left"/>
        </w:tabs>
        <w:numPr>
          <w:ilvl w:val="1"/>
          <w:numId w:val="283"/>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each Company SAR that is outstanding as of immediately prior to the Effective Time shall be assumed by Parent and converted into a stock appreciation right with respect to shares of Parent Class A Stock upon substantially the same terms and conditions as are in effect with respect to such Company SAR immediately prior to the Effective Time, including with respect to vesting, exercisability, payment terms and termination-related provisions (each, a “</w:t>
      </w:r>
      <w:r>
        <w:rPr>
          <w:rFonts w:ascii="Arial" w:cs="Arial" w:eastAsia="Arial" w:hAnsi="Arial"/>
          <w:sz w:val="17"/>
          <w:szCs w:val="17"/>
          <w:u w:val="single" w:color="auto"/>
          <w:color w:val="auto"/>
        </w:rPr>
        <w:t>Parent SAR</w:t>
      </w:r>
      <w:r>
        <w:rPr>
          <w:rFonts w:ascii="Arial" w:cs="Arial" w:eastAsia="Arial" w:hAnsi="Arial"/>
          <w:sz w:val="17"/>
          <w:szCs w:val="17"/>
          <w:color w:val="auto"/>
        </w:rPr>
        <w:t xml:space="preserve">”) except that (i) such Parent SAR shall be based on that whole number of shares of Parent Class A Stock (rounded down to the nearest whole share) equal to the number of shares of Company Common Stock subject to such Company SAR as of immediately prior to the Effective Time, multiplied by the SAR Exchange Ratio, and (ii) the base amount per share for each such Parent SAR shall be equal to the base amount per share of such Company SAR in effect immediately prior to the Effective Time, divided by the SAR Exchange Ratio (the base amount per share, as so determined, being rounded up to the nearest full cent);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conversion of the Company SARs will be made in a manner consistent with Treasury Regulation Section 1.424-1, such that such conversion will not constitute a “modification” of such Company SARs for purposes of Section 409A or Section 424 of the Code. For the avoidance of doubt, the foregoing </w:t>
      </w:r>
      <w:r>
        <w:rPr>
          <w:rFonts w:ascii="Arial" w:cs="Arial" w:eastAsia="Arial" w:hAnsi="Arial"/>
          <w:sz w:val="17"/>
          <w:szCs w:val="17"/>
          <w:u w:val="single" w:color="auto"/>
          <w:color w:val="auto"/>
        </w:rPr>
        <w:t>Section 2.12(c)</w:t>
      </w:r>
      <w:r>
        <w:rPr>
          <w:rFonts w:ascii="Arial" w:cs="Arial" w:eastAsia="Arial" w:hAnsi="Arial"/>
          <w:sz w:val="17"/>
          <w:szCs w:val="17"/>
          <w:color w:val="auto"/>
        </w:rPr>
        <w:t xml:space="preserve"> shall not apply to any Company SAR that is deemed by the Company to be exercised in connection with the Closing.</w:t>
      </w:r>
    </w:p>
    <w:p>
      <w:pPr>
        <w:spacing w:after="0" w:line="127" w:lineRule="exact"/>
        <w:rPr>
          <w:rFonts w:ascii="Arial" w:cs="Arial" w:eastAsia="Arial" w:hAnsi="Arial"/>
          <w:sz w:val="17"/>
          <w:szCs w:val="17"/>
          <w:color w:val="auto"/>
        </w:rPr>
      </w:pPr>
    </w:p>
    <w:p>
      <w:pPr>
        <w:jc w:val="both"/>
        <w:ind w:firstLine="656"/>
        <w:spacing w:after="0" w:line="286" w:lineRule="auto"/>
        <w:tabs>
          <w:tab w:leader="none" w:pos="912"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Company RSUs and Company SARs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in accordance with the Company Incentive Plan and the applicable award agreements and to ensure that no Parent Option may be exercised prior to the effective date of an applicable Form S-8 (or other applicable form, including Form S-1 or Form S-3) of Parent. The board of directors of the Company shall amend the Company Incentive Plan and take all other necessary actions, effective as of immediately prior to the Closing, in order to</w:t>
      </w:r>
    </w:p>
    <w:p>
      <w:pPr>
        <w:spacing w:after="0" w:line="1" w:lineRule="exact"/>
        <w:rPr>
          <w:rFonts w:ascii="Arial" w:cs="Arial" w:eastAsia="Arial" w:hAnsi="Arial"/>
          <w:sz w:val="16"/>
          <w:szCs w:val="16"/>
          <w:color w:val="auto"/>
        </w:rPr>
      </w:pPr>
    </w:p>
    <w:p>
      <w:pPr>
        <w:jc w:val="both"/>
        <w:ind w:firstLine="8"/>
        <w:spacing w:after="0" w:line="252" w:lineRule="auto"/>
        <w:tabs>
          <w:tab w:leader="none" w:pos="23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provide that the unallocated share reserve remaining under the Company Incentive Plan as of the Closing Date (including any shares subsequently returned to such share reserve as a result of the termination of awards issued under the Company Stock Plan) shall be included in the share reserve under the LTIP, in accordance with the terms thereof, and (ii) provide that no new Company Options, Company RSUs or Company SARs will be granted under the Company Incentive Plan following the Closing. Prior to the Effective Time, the Company shall deliver to each holder of a Company Option, Company RSU or Company SAR a notice, in a form reasonably acceptable to Parent, setting forth the effect of the Merger on such holder’s Company Options, Company RSUs and Company SARs and describing the treatment of such Company Options, Company RSUs and Company RSUs in accordance with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firstLine="656"/>
        <w:spacing w:after="0" w:line="255" w:lineRule="auto"/>
        <w:tabs>
          <w:tab w:leader="none" w:pos="91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Parent shall take all actions that are necessary for the assumption and conversion of the Company Options, Company RSUs and Company SARs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If registration of the Parent Options, Parent RSUs or Parent SARs is required under the Securities Act, Parent shall file, as promptly as practicable after the date that is sixty (60) days after the Form 8-K announcing the Closing is filed (or any such earlier date permitted by Applicable Legal Requirements), a registration statement on Form S-8 with respect to such Parent Options, Parent RSUs and Parent SARs, and shall use its commercially reasonable efforts to maintain the effectiveness of such registration statement for so long as the applicable Parent Options, Parent RSUs and Parent SARs remain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such registration of the shares of Parent Class A Common Stock issuable thereunder continues to be required.</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Dissenting Shares</w:t>
      </w:r>
      <w:r>
        <w:rPr>
          <w:rFonts w:ascii="Arial" w:cs="Arial" w:eastAsia="Arial" w:hAnsi="Arial"/>
          <w:sz w:val="17"/>
          <w:szCs w:val="17"/>
          <w:color w:val="auto"/>
        </w:rPr>
        <w:t>. Notwithstanding anything in this Agreement to the contrary, shares of Company Common Stock or Company Preferred Stock outstanding immediately prior to the Effective Time and held by a Company Stockholder who has not voted in favor of the Merger or consented thereto in writing or by electronic transmissions and has properly demanded appraisal for such shares in accordance with, and who complies in all respects with, Section 262 of the DGCL (such shares,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shall not be converted into the right to receive the Merger Consideration and shall instead represent the right to receive payment of the fair value of such Dissenting Shares in accordance with and to the extent provided by Section 262 of the DGCL. At the Effective Time, (i) all Dissenting Shares shall be cancelled, extinguished and cease to exist and (ii) the holders of Dissenting Shares shall be entitled to only such rights as may be granted to him, her or it under the DGCL. If any such Company Stockholder fails to perfect or otherwise waives, withdraws or loses such Company Stockholder’s right to appraisal under Section 262 of the DGCL or a court of competent jurisdiction shall determine such holder is not entitled to the relief provided by Section 262 of the DGCL, then the right of such holder to be paid the fair value of such Dissenting Shares under Section 262 of the DGCL shall cease and such Dissenting Shares shall be deemed to have been converted, as of the Effective Time, into and shall only represent the right to receive the Merger Consideration upon the surrender of such shares in accordance with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Company shall give Parent reasonably prompt notice of any demands received by the Company for appraisal of shares of Company Common Stock or Company Preferred Stock, attempted withdrawals of such demands and any other instruments served pursuant to the DGCL and received by the Company relating to rights to be paid the fair value of Dissenting Shares, and Parent shall have the right to participate in and direct all negotiations and proceedings with respect to such demands. Prior to the Effective Time, the Company shall not, except with the prior written consent of Parent (such consent not to be unreasonably withheld, conditioned or delayed), make any payment with respect to, or settle or compromise or offer to settle or compromise, any such demands or waive any failure to timely deliver a written demand for appraisal or otherwise comply with the provisions under Section 262 of the DGCL, or agree or commit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EARN OUT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Issuance of Earn-Out Shares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1" w:lineRule="auto"/>
        <w:tabs>
          <w:tab w:leader="none" w:pos="93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Following the Closing, and as additional consideration for the Merger and the other Transactions, within five Business Days after the occurrence of a Triggering Event,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following shares of Parent Class A Stock (which shall be equitably adjusted for stock splits, reverse stock splits, stock dividends, reorganizations, recapitalizations, reclassifications, combination, exchange of shares or other like change or transaction with respect to Parent Class A Stock occurring on or after the Closing, the “</w:t>
      </w:r>
      <w:r>
        <w:rPr>
          <w:rFonts w:ascii="Arial" w:cs="Arial" w:eastAsia="Arial" w:hAnsi="Arial"/>
          <w:sz w:val="17"/>
          <w:szCs w:val="17"/>
          <w:u w:val="single" w:color="auto"/>
          <w:color w:val="auto"/>
        </w:rPr>
        <w:t>Earn-Out Shares</w:t>
      </w:r>
      <w:r>
        <w:rPr>
          <w:rFonts w:ascii="Arial" w:cs="Arial" w:eastAsia="Arial" w:hAnsi="Arial"/>
          <w:sz w:val="17"/>
          <w:szCs w:val="17"/>
          <w:color w:val="auto"/>
        </w:rPr>
        <w:t xml:space="preserve">”), upon the terms and subject to the conditions set forth in this Agreement and the other Transaction Agreements and, in the case of the Earn-Out Service Providers, subject to the additional requirements set forth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the applicable Earn-Out Award Agreement:</w:t>
      </w:r>
    </w:p>
    <w:p>
      <w:pPr>
        <w:spacing w:after="0" w:line="124" w:lineRule="exact"/>
        <w:rPr>
          <w:rFonts w:ascii="Arial" w:cs="Arial" w:eastAsia="Arial" w:hAnsi="Arial"/>
          <w:sz w:val="17"/>
          <w:szCs w:val="17"/>
          <w:color w:val="auto"/>
        </w:rPr>
      </w:pPr>
    </w:p>
    <w:p>
      <w:pPr>
        <w:ind w:left="660" w:firstLine="644"/>
        <w:spacing w:after="0" w:line="277" w:lineRule="auto"/>
        <w:tabs>
          <w:tab w:leader="none" w:pos="152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upon the occurrence of Triggering Event I, a one-time issuance of a number of Earn-Out Shares equal to 3.66% of the Earn-Out Total Outstanding Shares;</w:t>
      </w:r>
    </w:p>
    <w:p>
      <w:pPr>
        <w:spacing w:after="0" w:line="116" w:lineRule="exact"/>
        <w:rPr>
          <w:rFonts w:ascii="Arial" w:cs="Arial" w:eastAsia="Arial" w:hAnsi="Arial"/>
          <w:sz w:val="18"/>
          <w:szCs w:val="18"/>
          <w:color w:val="auto"/>
        </w:rPr>
      </w:pPr>
    </w:p>
    <w:p>
      <w:pPr>
        <w:ind w:left="660" w:firstLine="644"/>
        <w:spacing w:after="0" w:line="277" w:lineRule="auto"/>
        <w:tabs>
          <w:tab w:leader="none" w:pos="1573" w:val="left"/>
        </w:tabs>
        <w:numPr>
          <w:ilvl w:val="1"/>
          <w:numId w:val="285"/>
        </w:numPr>
        <w:rPr>
          <w:rFonts w:ascii="Arial" w:cs="Arial" w:eastAsia="Arial" w:hAnsi="Arial"/>
          <w:sz w:val="18"/>
          <w:szCs w:val="18"/>
          <w:color w:val="auto"/>
        </w:rPr>
      </w:pPr>
      <w:r>
        <w:rPr>
          <w:rFonts w:ascii="Arial" w:cs="Arial" w:eastAsia="Arial" w:hAnsi="Arial"/>
          <w:sz w:val="18"/>
          <w:szCs w:val="18"/>
          <w:color w:val="auto"/>
        </w:rPr>
        <w:t>upon the occurrence of Triggering Event 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right="20" w:firstLine="644"/>
        <w:spacing w:after="0" w:line="277" w:lineRule="auto"/>
        <w:tabs>
          <w:tab w:leader="none" w:pos="1636" w:val="left"/>
        </w:tabs>
        <w:numPr>
          <w:ilvl w:val="1"/>
          <w:numId w:val="285"/>
        </w:numPr>
        <w:rPr>
          <w:rFonts w:ascii="Arial" w:cs="Arial" w:eastAsia="Arial" w:hAnsi="Arial"/>
          <w:sz w:val="18"/>
          <w:szCs w:val="18"/>
          <w:color w:val="auto"/>
        </w:rPr>
      </w:pPr>
      <w:r>
        <w:rPr>
          <w:rFonts w:ascii="Arial" w:cs="Arial" w:eastAsia="Arial" w:hAnsi="Arial"/>
          <w:sz w:val="18"/>
          <w:szCs w:val="18"/>
          <w:color w:val="auto"/>
        </w:rPr>
        <w:t>upon the occurrence of Triggering Event III, a one-time issuance of a number of Earn-Out Shares equal to 3.67% of the Earn-Out Total Outstanding Shares; and</w:t>
      </w:r>
    </w:p>
    <w:p>
      <w:pPr>
        <w:spacing w:after="0" w:line="116" w:lineRule="exact"/>
        <w:rPr>
          <w:rFonts w:ascii="Arial" w:cs="Arial" w:eastAsia="Arial" w:hAnsi="Arial"/>
          <w:sz w:val="18"/>
          <w:szCs w:val="18"/>
          <w:color w:val="auto"/>
        </w:rPr>
      </w:pPr>
    </w:p>
    <w:p>
      <w:pPr>
        <w:ind w:left="660" w:firstLine="644"/>
        <w:spacing w:after="0" w:line="277" w:lineRule="auto"/>
        <w:tabs>
          <w:tab w:leader="none" w:pos="16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upon the last day of any calendar year in which an Earn-Out Forfeiture occurs, a one-time issuance of a number of Earn-Out Shares equal to the Forfeiture Pool as in effect as of such date.</w:t>
      </w:r>
    </w:p>
    <w:p>
      <w:pPr>
        <w:spacing w:after="0" w:line="116"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For the avoidance of doubt, the Company Stockholders and the Earn-Out Service Providers shall be entitled to receive Earn-Out Shares upon the occurrence of each Triggering Event (and, in the case of the Earn-Out Service Providers, subject to the additional requirements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applicable Earn-Out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Triggering Event shall only occur once, if at all, and in no event shall the Company Stockholders and the Earn-Out Service Providers, in the aggregate, be entitled to receive more than an aggregate number of Earn-Out Shares equal to 11% of the Earn-Out Total Outstanding Shares.</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Acceleration Event</w:t>
      </w:r>
      <w:r>
        <w:rPr>
          <w:rFonts w:ascii="Arial" w:cs="Arial" w:eastAsia="Arial" w:hAnsi="Arial"/>
          <w:sz w:val="17"/>
          <w:szCs w:val="17"/>
          <w:color w:val="auto"/>
        </w:rPr>
        <w:t>. If, during the Earn-Out Period, there is a Change of Control that will result in the holders of Parent Class A Stock receiving a per share price equal to or in excess of the applicable Common Share Price required in connection with a given Triggering Event (an “</w:t>
      </w:r>
      <w:r>
        <w:rPr>
          <w:rFonts w:ascii="Arial" w:cs="Arial" w:eastAsia="Arial" w:hAnsi="Arial"/>
          <w:sz w:val="17"/>
          <w:szCs w:val="17"/>
          <w:u w:val="single" w:color="auto"/>
          <w:color w:val="auto"/>
        </w:rPr>
        <w:t>Acceleration Event</w:t>
      </w:r>
      <w:r>
        <w:rPr>
          <w:rFonts w:ascii="Arial" w:cs="Arial" w:eastAsia="Arial" w:hAnsi="Arial"/>
          <w:sz w:val="17"/>
          <w:szCs w:val="17"/>
          <w:color w:val="auto"/>
        </w:rPr>
        <w:t>”), then immediately prior to the consummation of such Change of Control (the “</w:t>
      </w:r>
      <w:r>
        <w:rPr>
          <w:rFonts w:ascii="Arial" w:cs="Arial" w:eastAsia="Arial" w:hAnsi="Arial"/>
          <w:sz w:val="17"/>
          <w:szCs w:val="17"/>
          <w:u w:val="single" w:color="auto"/>
          <w:color w:val="auto"/>
        </w:rPr>
        <w:t>Accelerated Vesting Date</w:t>
      </w:r>
      <w:r>
        <w:rPr>
          <w:rFonts w:ascii="Arial" w:cs="Arial" w:eastAsia="Arial" w:hAnsi="Arial"/>
          <w:sz w:val="17"/>
          <w:szCs w:val="17"/>
          <w:color w:val="auto"/>
        </w:rPr>
        <w:t>”): (a) any such Triggering Event that has not previously occurred shall be deemed to have occurred; and (b) Parent shall issue the applicable Earn-Out Shares (including any Earn-Out Shares accumulated in the Forfeiture Pool as of the Accelerated Vesting Date) to the Company Stockholders and Earn-Out Service Providers (in accordance with their respective Earn-Out Pro Rata Share and, in the case of Earn-Out Service Providers, if and to the extent required in accordance with the applicable Earn-Out Award Agreement), and the recipients of such issued Earn-Out Shares shall be eligible to participate with respect thereto in such Change of Control. If there is a Change in Control following the Earn-Out Period, then immediately prior to the consummation of such Change in Control, Parent shall issue the Earn-Out Shares then-accumulated in the Forfeiture Pool, if any, to the Company Stockholders and Earn-Out Service Providers (in accordance with their respective Earn-Out Pro Rata Share and, in the case of the Earn-Out Service Providers, if and to the extent required in accordance with the applicable Earn-Out Award Agreement), and the recipients of such issued Earn-Out Shares shall be eligible to participate with respect thereto in such Change of Control.</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Tax Treatment of Earn-Out Shares</w:t>
      </w:r>
      <w:r>
        <w:rPr>
          <w:rFonts w:ascii="Arial" w:cs="Arial" w:eastAsia="Arial" w:hAnsi="Arial"/>
          <w:sz w:val="18"/>
          <w:szCs w:val="18"/>
          <w:color w:val="auto"/>
        </w:rPr>
        <w:t xml:space="preserve">. Any issuance of Earn-Out Shares to Company Stockholders, including any issuance of Earn-Out Shares made upon the occurrence of an Acceleration Event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shall be treated as an adjustment to the Total Consideration by the Parties for Tax purposes, unless otherwise required by Tax law and is intended to comply with and shall be effected in accordance with Rev. Proc. 84-42, 1984-1 C.B. 521.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Earn-Out Service Providers</w:t>
      </w:r>
      <w:r>
        <w:rPr>
          <w:rFonts w:ascii="Arial" w:cs="Arial" w:eastAsia="Arial" w:hAnsi="Arial"/>
          <w:sz w:val="16"/>
          <w:szCs w:val="16"/>
          <w:color w:val="auto"/>
        </w:rPr>
        <w:t>. The terms of the issuance of the Earn-Out Shares underlying an award of Earn-Out RSUs to the Earn-Out Service Providers shall be set forth in a written agreement between the Company and such Earn-Out Service Provider (each, an “</w:t>
      </w:r>
      <w:r>
        <w:rPr>
          <w:rFonts w:ascii="Arial" w:cs="Arial" w:eastAsia="Arial" w:hAnsi="Arial"/>
          <w:sz w:val="16"/>
          <w:szCs w:val="16"/>
          <w:u w:val="single" w:color="auto"/>
          <w:color w:val="auto"/>
        </w:rPr>
        <w:t>Earn Out Award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in a form reasonably acceptable to Parent, which may provide that the Earn-Out Shares that would otherwise become issuable to an Earn-Out Service Provider pursuant to Section 3.1(a)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w:t>
      </w:r>
      <w:r>
        <w:rPr>
          <w:rFonts w:ascii="Arial" w:cs="Arial" w:eastAsia="Arial" w:hAnsi="Arial"/>
          <w:sz w:val="16"/>
          <w:szCs w:val="16"/>
          <w:u w:val="single" w:color="auto"/>
          <w:color w:val="auto"/>
        </w:rPr>
        <w:t>Earn-Out Forfeiture</w:t>
      </w:r>
      <w:r>
        <w:rPr>
          <w:rFonts w:ascii="Arial" w:cs="Arial" w:eastAsia="Arial" w:hAnsi="Arial"/>
          <w:sz w:val="16"/>
          <w:szCs w:val="16"/>
          <w:color w:val="auto"/>
        </w:rPr>
        <w:t>”), such Earn-Out Service Provider shall be deemed to have forfeited his or her right to receive the applicable Earn-Out Shares for no consideration. Any such Earn-Out Shares that are so forfeited shall accumulate in a “</w:t>
      </w:r>
      <w:r>
        <w:rPr>
          <w:rFonts w:ascii="Arial" w:cs="Arial" w:eastAsia="Arial" w:hAnsi="Arial"/>
          <w:sz w:val="16"/>
          <w:szCs w:val="16"/>
          <w:u w:val="single" w:color="auto"/>
          <w:color w:val="auto"/>
        </w:rPr>
        <w:t>Forfeiture Pool</w:t>
      </w:r>
      <w:r>
        <w:rPr>
          <w:rFonts w:ascii="Arial" w:cs="Arial" w:eastAsia="Arial" w:hAnsi="Arial"/>
          <w:sz w:val="16"/>
          <w:szCs w:val="16"/>
          <w:color w:val="auto"/>
        </w:rPr>
        <w:t xml:space="preserve">” and shall be issued in accordance with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3.2</w:t>
      </w:r>
      <w:r>
        <w:rPr>
          <w:rFonts w:ascii="Arial" w:cs="Arial" w:eastAsia="Arial" w:hAnsi="Arial"/>
          <w:sz w:val="16"/>
          <w:szCs w:val="16"/>
          <w:color w:val="auto"/>
        </w:rPr>
        <w:t>, as applicable. The delivery of Earn-Out Shares underlying the Earn-Out RSUs shall be subject to the payment of any applicable Tax withholdings and compliance with any applicable requirements of the securities and other laws.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REGARDING THE COMPANY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as set forth in the letter dated as of the date of this Agreement delivered by the Company to Parent and Merger Sub prior to or in connection with the execution and delivery of this Agreement (the “</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the Company hereby represents and warrants to Parent and Merger Sub as of the date hereof and as of the Closing Date as follows:</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is a corporation duly incorporated, validly existing and in good standing under the Legal Requirements of the State of Delaware and has all requisite corporate power and authority to own, lease and operate its assets and properties and to carry on its business as it is now being conducted, except as would not be material to the Group Companies, taken as a whole. The Company is duly licensed or qualified to do business in each jurisdiction in which the ownership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 Complete and correct copies of the certificate of incorporation and by-laws (or other comparable governing instruments with different names) (collectively referred to herein as “</w:t>
      </w:r>
      <w:r>
        <w:rPr>
          <w:rFonts w:ascii="Arial" w:cs="Arial" w:eastAsia="Arial" w:hAnsi="Arial"/>
          <w:sz w:val="18"/>
          <w:szCs w:val="18"/>
          <w:u w:val="single" w:color="auto"/>
          <w:color w:val="auto"/>
        </w:rPr>
        <w:t>Charter Documents</w:t>
      </w:r>
      <w:r>
        <w:rPr>
          <w:rFonts w:ascii="Arial" w:cs="Arial" w:eastAsia="Arial" w:hAnsi="Arial"/>
          <w:sz w:val="18"/>
          <w:szCs w:val="18"/>
          <w:color w:val="auto"/>
        </w:rPr>
        <w:t>”) of the Company as amended and currently in effect, have been made available to Parent or its representatives.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905"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The Company’s direct and indirect Subsidiaries, together with their jurisdiction of incorporation or organization, as applicable, are listed on </w:t>
      </w:r>
      <w:r>
        <w:rPr>
          <w:rFonts w:ascii="Arial" w:cs="Arial" w:eastAsia="Arial" w:hAnsi="Arial"/>
          <w:sz w:val="17"/>
          <w:szCs w:val="17"/>
          <w:u w:val="single" w:color="auto"/>
          <w:color w:val="auto"/>
        </w:rPr>
        <w:t>Schedule 4.2(a)</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Each Company Subsidiary has been duly formed or organized and is validly existing under the Legal Requirements of its respective jurisdiction of incorporation or organization and has the requisite power and authority to own, lease and operate its assets and properties and to conduct its business as now being conducted, except where the failure to be so formed, organized or existing, or to have such power and authority, would not, individually or in the aggregate, reasonably be expected to be material to the Group Companies, taken as a whole. The Company has previously provided to Parent or its representatives true and complete copies of the Charter Documents of the Company Subsidiaries, as amended and currently in effect.</w:t>
      </w:r>
    </w:p>
    <w:p>
      <w:pPr>
        <w:spacing w:after="0" w:line="123" w:lineRule="exact"/>
        <w:rPr>
          <w:rFonts w:ascii="Arial" w:cs="Arial" w:eastAsia="Arial" w:hAnsi="Arial"/>
          <w:sz w:val="17"/>
          <w:szCs w:val="17"/>
          <w:color w:val="auto"/>
        </w:rPr>
      </w:pPr>
    </w:p>
    <w:p>
      <w:pPr>
        <w:jc w:val="both"/>
        <w:ind w:firstLine="656"/>
        <w:spacing w:after="0" w:line="275" w:lineRule="auto"/>
        <w:tabs>
          <w:tab w:leader="none" w:pos="90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4.2(b)</w:t>
      </w:r>
      <w:r>
        <w:rPr>
          <w:rFonts w:ascii="Arial" w:cs="Arial" w:eastAsia="Arial" w:hAnsi="Arial"/>
          <w:sz w:val="17"/>
          <w:szCs w:val="17"/>
          <w:color w:val="auto"/>
        </w:rPr>
        <w:t xml:space="preserve"> of the Company Disclosure Letter, each Company Subsidiary is duly licensed or qualified to do business and, where applicable, is in good standing as a foreign corporation (or other entity, if applicable) in each jurisdiction in which it is conducting business, or the operation, ownership or leasing of its property or the character of its activities is such as to require it to be so licensed or qualified, except where the failure to be so licensed or qualified or in good standing would not, individually or in the aggregate, reasonably be expected to prevent, materially delay or materially impair the ability of the Company to consummate the Transactions or have a Company Material Adverse Effect.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8" w:lineRule="auto"/>
        <w:tabs>
          <w:tab w:leader="none" w:pos="90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2,500,000 shares of Class A Common Stock, of which one share is issued and outstanding as of the date of this Agreement; (ii) 15,000,000 shares of Class B Common Stock, of which 549,965 shares are issued and outstanding as of the date of this Agreement; (iii) 444,373 shares of Series A-1 Preferred Stock, par value $0.00001, of the Company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of which 447,373 shares are issued and outstanding as of the date of this Agreement; (iv) 522,267 shares of Series A-2 Preferred Stock, par value $0.00001, of the Company (“</w:t>
      </w:r>
      <w:r>
        <w:rPr>
          <w:rFonts w:ascii="Arial" w:cs="Arial" w:eastAsia="Arial" w:hAnsi="Arial"/>
          <w:sz w:val="16"/>
          <w:szCs w:val="16"/>
          <w:u w:val="single" w:color="auto"/>
          <w:color w:val="auto"/>
        </w:rPr>
        <w:t>Series A-2 Preferred Stock</w:t>
      </w:r>
      <w:r>
        <w:rPr>
          <w:rFonts w:ascii="Arial" w:cs="Arial" w:eastAsia="Arial" w:hAnsi="Arial"/>
          <w:sz w:val="16"/>
          <w:szCs w:val="16"/>
          <w:color w:val="auto"/>
        </w:rPr>
        <w:t>”), of which 401,347 shares are issued and outstanding as of the date of this Agreement; (v) 338,663 shares of Series B Preferred Stock, par value $0.00001, of the Company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of which 338,663 shares are issued and outstanding as of the date of this Agreement; and (vi) 197,824 shares of Series C Preferred Stock, par value $0.00001, of the Company (“</w:t>
      </w:r>
      <w:r>
        <w:rPr>
          <w:rFonts w:ascii="Arial" w:cs="Arial" w:eastAsia="Arial" w:hAnsi="Arial"/>
          <w:sz w:val="16"/>
          <w:szCs w:val="16"/>
          <w:u w:val="single" w:color="auto"/>
          <w:color w:val="auto"/>
        </w:rPr>
        <w:t>Series C Preferred Stock</w:t>
      </w:r>
      <w:r>
        <w:rPr>
          <w:rFonts w:ascii="Arial" w:cs="Arial" w:eastAsia="Arial" w:hAnsi="Arial"/>
          <w:sz w:val="16"/>
          <w:szCs w:val="16"/>
          <w:color w:val="auto"/>
        </w:rPr>
        <w:t>” and, together with the Series A-1 Preferred Stock, Series A-2 Preferred Stock and Series B Preferred Stock,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of which 197,821 shares are issued and outstanding as of the date of this Agreement. All of the issued and outstanding shares of Company Common Stock and Company Preferred Stock have been duly authorized and validly issued and are fully paid and nonassessable and have not been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issued in violation of any preemptive or similar rights. Each share of Company Common Stock and Company Preferred Stock has been issued in compliance in all material respects with: (A) Applicable Legal Requirements; and (B) the Company’s Charter Documents. </w:t>
      </w:r>
      <w:r>
        <w:rPr>
          <w:rFonts w:ascii="Arial" w:cs="Arial" w:eastAsia="Arial" w:hAnsi="Arial"/>
          <w:sz w:val="18"/>
          <w:szCs w:val="18"/>
          <w:u w:val="single" w:color="auto"/>
          <w:color w:val="auto"/>
        </w:rPr>
        <w:t>Schedule 4.3(a)</w:t>
      </w:r>
      <w:r>
        <w:rPr>
          <w:rFonts w:ascii="Arial" w:cs="Arial" w:eastAsia="Arial" w:hAnsi="Arial"/>
          <w:sz w:val="18"/>
          <w:szCs w:val="18"/>
          <w:color w:val="auto"/>
        </w:rPr>
        <w:t xml:space="preserve"> of the Company Disclosure Letter contains a true and correct list of all Company Common Stock and Company Preferred Stock owned by each Company Stockholder, and the respective class(es) thereof.</w:t>
      </w:r>
    </w:p>
    <w:p>
      <w:pPr>
        <w:spacing w:after="0" w:line="133" w:lineRule="exact"/>
        <w:rPr>
          <w:sz w:val="20"/>
          <w:szCs w:val="20"/>
          <w:color w:val="auto"/>
        </w:rPr>
      </w:pPr>
    </w:p>
    <w:p>
      <w:pPr>
        <w:jc w:val="both"/>
        <w:ind w:firstLine="656"/>
        <w:spacing w:after="0" w:line="269" w:lineRule="auto"/>
        <w:tabs>
          <w:tab w:leader="none" w:pos="909"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 has previously provided to Parent a list, dated as of February 6, 2021, that is true and correct as of such date, setting forth the name of each holder of any Company Option granted under the Company Incentive Plan, the number of Company Options held by each holder, the class of shares underlying such Company Options and the applicable exercise price. Other than the Company Incentive Plan there are no stock appreciation, phantom stock, stock-based performance unit, profit participation, restricted stock, restricted stock unit or other equity-based compensation award or similar rights with respect to the Company. The Company has not granted any outstanding options, warrants, rights or other securities convertible into or exchangeable or exercisable for shares of the Company Common Stock or Company Preferred Stock, or any other commitments or agreements providing for the issuance of additional shares, the sale of treasury shares, or for the repurchase or redemption of shares of Company Common Stock or Company Preferred Stock, and there are no agreements of any kind which may obligate the Company to issue, purchase, register for sale, redeem or otherwise acquire any of its capital stock. Except for this Agreement, there are no registration rights, and there is no voting trust, proxy, rights plan, anti-takeover plan or other agreements or understandings with respect to the shares of Company Common Stock or Company Preferred Stock. No Company RSUs are outstanding as of the date of this Agreement.</w:t>
      </w:r>
    </w:p>
    <w:p>
      <w:pPr>
        <w:spacing w:after="0" w:line="127" w:lineRule="exact"/>
        <w:rPr>
          <w:rFonts w:ascii="Arial" w:cs="Arial" w:eastAsia="Arial" w:hAnsi="Arial"/>
          <w:sz w:val="17"/>
          <w:szCs w:val="17"/>
          <w:color w:val="auto"/>
        </w:rPr>
      </w:pPr>
    </w:p>
    <w:p>
      <w:pPr>
        <w:jc w:val="both"/>
        <w:ind w:firstLine="656"/>
        <w:spacing w:after="0" w:line="286" w:lineRule="auto"/>
        <w:tabs>
          <w:tab w:leader="none" w:pos="897"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The outstanding shares of capital stock (or other equity interests) of each of the Company Subsidiaries have been duly authorized and validly issued and (if applicable) are fully paid and nonassessable (where such concepts are applicable) and have not been issued in violation of any preemptive or similar rights. The Company or one or more of its wholly owned Subsidiaries own of record and beneficially all the issued and outstanding shares of capital stock (or other equity interests) of such Company Subsidiaries free and clear of any Liens other than (i) as may be set forth on </w:t>
      </w:r>
      <w:r>
        <w:rPr>
          <w:rFonts w:ascii="Arial" w:cs="Arial" w:eastAsia="Arial" w:hAnsi="Arial"/>
          <w:sz w:val="16"/>
          <w:szCs w:val="16"/>
          <w:u w:val="single" w:color="auto"/>
          <w:color w:val="auto"/>
        </w:rPr>
        <w:t>Schedule 4.3(c)</w:t>
      </w:r>
      <w:r>
        <w:rPr>
          <w:rFonts w:ascii="Arial" w:cs="Arial" w:eastAsia="Arial" w:hAnsi="Arial"/>
          <w:sz w:val="16"/>
          <w:szCs w:val="16"/>
          <w:color w:val="auto"/>
        </w:rPr>
        <w:t xml:space="preserve">; (ii) for any restrictions on sales of securities under applicable securities laws; and (iii) Permitted Liens. There are no outstanding options, warrants, rights or other securities convertible into or exercisable or exchangeable for any shares of capital stock (or other equity interests) of such Company Subsidiaries, any other commitments or agreements providing for the issuance of additional shares (or other equity interests), the sale of treasury shares, or for the repurchase or redemption of such Company Subsidiaries’ shares of capital stock (or other equity interests), or any agreements of any kind which may obligate any Company Subsidiary to issue, purchase, register for sale, redeem or otherwise acquire any of its shares of capital stock (or other equity interests). Except for the equity interests of the Company Subsidiaries set forth on </w:t>
      </w:r>
      <w:r>
        <w:rPr>
          <w:rFonts w:ascii="Arial" w:cs="Arial" w:eastAsia="Arial" w:hAnsi="Arial"/>
          <w:sz w:val="16"/>
          <w:szCs w:val="16"/>
          <w:u w:val="single" w:color="auto"/>
          <w:color w:val="auto"/>
        </w:rPr>
        <w:t>Schedule 4.2(a)</w:t>
      </w:r>
      <w:r>
        <w:rPr>
          <w:rFonts w:ascii="Arial" w:cs="Arial" w:eastAsia="Arial" w:hAnsi="Arial"/>
          <w:sz w:val="16"/>
          <w:szCs w:val="16"/>
          <w:color w:val="auto"/>
        </w:rPr>
        <w:t xml:space="preserve"> of the Company Disclosure Letter and as otherwise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4.3(c)</w:t>
      </w:r>
      <w:r>
        <w:rPr>
          <w:rFonts w:ascii="Arial" w:cs="Arial" w:eastAsia="Arial" w:hAnsi="Arial"/>
          <w:sz w:val="16"/>
          <w:szCs w:val="16"/>
          <w:color w:val="auto"/>
        </w:rPr>
        <w:t xml:space="preserve"> of the Company Disclosure Letter, neither the Company nor any of the Company Subsidiaries owns,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16"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Except as provided for in this Agreement, as a result of the consummation of the Transactions, no shares of capital stock, warrants, options or other securities of the Company are issuable and no rights in connection with any shares, warrants, options or other securities of the Company accelerate or otherwise become triggered (whether as to vesting, exercisability, convertibility or otherwise).</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Due Authorization</w:t>
      </w:r>
      <w:r>
        <w:rPr>
          <w:rFonts w:ascii="Arial" w:cs="Arial" w:eastAsia="Arial" w:hAnsi="Arial"/>
          <w:sz w:val="17"/>
          <w:szCs w:val="17"/>
          <w:color w:val="auto"/>
        </w:rPr>
        <w:t xml:space="preserve">. The Company has all requisite corporate power and authority to: (a) execute, deliver and perform this Agreement and the other Transaction Agreements to which it is a party; and (b) carry out the Company’s obligations hereunder and thereunder and to consummate the Transactions (including the Merger), in each case, subject to the consents, approvals, authorizations and other requirements described in </w:t>
      </w:r>
      <w:r>
        <w:rPr>
          <w:rFonts w:ascii="Arial" w:cs="Arial" w:eastAsia="Arial" w:hAnsi="Arial"/>
          <w:sz w:val="17"/>
          <w:szCs w:val="17"/>
          <w:u w:val="single" w:color="auto"/>
          <w:color w:val="auto"/>
        </w:rPr>
        <w:t>Section 4.5</w:t>
      </w:r>
      <w:r>
        <w:rPr>
          <w:rFonts w:ascii="Arial" w:cs="Arial" w:eastAsia="Arial" w:hAnsi="Arial"/>
          <w:sz w:val="17"/>
          <w:szCs w:val="17"/>
          <w:color w:val="auto"/>
        </w:rPr>
        <w:t>. The execution and delivery by the Company of this Agreement and the other Transaction Agreements to which it is a party and the consummation by the Company of the Transactions (including the Merger) have been, or in the case of any Transaction Agreements to be executed at or in connection with the Closing, will be duly and validly authorized by all requisite action, including approval by the board of directors of the Company and, following receipt of the Company Stockholder Approval, the Company Stockholders as required by the DGCL, and no other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corporate proceeding on the part of the Company is necessary to authorize this Agreement. This Agreement and the other Transaction Agreements to which it is a party have been duly and validly executed and delivered by the Company and (assuming this Agreement constitutes a legal, valid and binding obligation of each of Parent and Merger Sub) constitute or will constitute the legal, valid and binding obligation of the Company, enforceable against the Company in accordance with their terms, subject to applicable bankruptcy, insolvency, fraudulent conveyance, reorganization, moratorium and similar laws affecting creditors’ rights generally and subject, as to enforceability, to general principles of equity (collectively, the “</w:t>
      </w:r>
      <w:r>
        <w:rPr>
          <w:rFonts w:ascii="Arial" w:cs="Arial" w:eastAsia="Arial" w:hAnsi="Arial"/>
          <w:sz w:val="16"/>
          <w:szCs w:val="16"/>
          <w:u w:val="single" w:color="auto"/>
          <w:color w:val="auto"/>
        </w:rPr>
        <w:t>Remedies Exception</w:t>
      </w:r>
      <w:r>
        <w:rPr>
          <w:rFonts w:ascii="Arial" w:cs="Arial" w:eastAsia="Arial" w:hAnsi="Arial"/>
          <w:sz w:val="16"/>
          <w:szCs w:val="16"/>
          <w:color w:val="auto"/>
        </w:rPr>
        <w: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Governmental Consents and Filings</w:t>
      </w:r>
      <w:r>
        <w:rPr>
          <w:rFonts w:ascii="Arial" w:cs="Arial" w:eastAsia="Arial" w:hAnsi="Arial"/>
          <w:sz w:val="18"/>
          <w:szCs w:val="18"/>
          <w:color w:val="auto"/>
        </w:rPr>
        <w:t xml:space="preserve"> .</w:t>
      </w:r>
    </w:p>
    <w:p>
      <w:pPr>
        <w:spacing w:after="0" w:line="171" w:lineRule="exact"/>
        <w:rPr>
          <w:sz w:val="20"/>
          <w:szCs w:val="20"/>
          <w:color w:val="auto"/>
        </w:rPr>
      </w:pPr>
    </w:p>
    <w:p>
      <w:pPr>
        <w:jc w:val="both"/>
        <w:ind w:firstLine="656"/>
        <w:spacing w:after="0" w:line="287" w:lineRule="auto"/>
        <w:tabs>
          <w:tab w:leader="none" w:pos="90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of the Company Disclosure Letter, subject to the receipt of the consents, approvals, authorizations and other requirements set forth in </w:t>
      </w:r>
      <w:r>
        <w:rPr>
          <w:rFonts w:ascii="Arial" w:cs="Arial" w:eastAsia="Arial" w:hAnsi="Arial"/>
          <w:sz w:val="16"/>
          <w:szCs w:val="16"/>
          <w:u w:val="single" w:color="auto"/>
          <w:color w:val="auto"/>
        </w:rPr>
        <w:t>Section 4.5(b)</w:t>
      </w:r>
      <w:r>
        <w:rPr>
          <w:rFonts w:ascii="Arial" w:cs="Arial" w:eastAsia="Arial" w:hAnsi="Arial"/>
          <w:sz w:val="16"/>
          <w:szCs w:val="16"/>
          <w:color w:val="auto"/>
        </w:rPr>
        <w:t>, the execution, delivery and performance of this Agreement (including the consummation by the Company of the Transactions) and the other Transaction Agreements to which the Company is a party by the Company do not and will not: (i) violate any provision of, or result in the breach of, any Applicable Legal Requirement to which any of the Group Companies is subject or by which any property or asset of any of the Group Companies is bound; (ii) conflict with or violate the Charter Documents of any of the Group Companies; (iii) violate any provision of or result in a breach, default or acceleration of, require a consent under, or create any right to payment under any Company Material Contract or Material Current Government Contract, or terminate or result in the termination of any Company Material Contract or Material Current Government Contract, or result in the creation of any Lien under any Company Material Contract or Material Current Government Contract upon any of the properties or assets of any of the Group Companies, or constitute an event which, after notice or lapse of time or both, would result in any such violation, breach, default, acceleration, termination or creation of a Lien; or (iv) result in a violation or revocation of any required Approvals, except to the extent that the occurrence of any of the foregoing items set forth in clauses (iii) or (iv) would not, individually or in the aggregate, reasonably be expected to prevent, materially delay or materially impair the ability of the Company to consummate the Transactions or have a Company Material Adverse Effect.</w:t>
      </w:r>
    </w:p>
    <w:p>
      <w:pPr>
        <w:spacing w:after="0" w:line="113" w:lineRule="exact"/>
        <w:rPr>
          <w:rFonts w:ascii="Arial" w:cs="Arial" w:eastAsia="Arial" w:hAnsi="Arial"/>
          <w:sz w:val="16"/>
          <w:szCs w:val="16"/>
          <w:color w:val="auto"/>
        </w:rPr>
      </w:pPr>
    </w:p>
    <w:p>
      <w:pPr>
        <w:jc w:val="both"/>
        <w:ind w:firstLine="656"/>
        <w:spacing w:after="0" w:line="291" w:lineRule="auto"/>
        <w:tabs>
          <w:tab w:leader="none" w:pos="89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Assuming the truth and completeness of the representations and warranties of Parent contained in this Agreement, no consent, notice, approval or authorization of, or designation, declaration or filing with, any Governmental Entity is required on the part of the Company with respect to the Company’s execution, delivery or performance of this Agreement, any of the other Transaction Agreements to which it is a party or the consummation by the Company of the Transactions (including the Merger), except for: (i) applicable requirements of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xml:space="preserve">”) or any similar foreign law; (ii) any consents, notices, approvals, authorizations, designations, declarations or filings, the absence of which would not reasonably be expected to have a Company Material Adverse Effect; (iii) compliance with any applicable requirements of the securities laws; (iv) as otherwise disclosed on </w:t>
      </w:r>
      <w:r>
        <w:rPr>
          <w:rFonts w:ascii="Arial" w:cs="Arial" w:eastAsia="Arial" w:hAnsi="Arial"/>
          <w:sz w:val="16"/>
          <w:szCs w:val="16"/>
          <w:u w:val="single" w:color="auto"/>
          <w:color w:val="auto"/>
        </w:rPr>
        <w:t>Schedule 4.5(b)</w:t>
      </w:r>
      <w:r>
        <w:rPr>
          <w:rFonts w:ascii="Arial" w:cs="Arial" w:eastAsia="Arial" w:hAnsi="Arial"/>
          <w:sz w:val="16"/>
          <w:szCs w:val="16"/>
          <w:color w:val="auto"/>
        </w:rPr>
        <w:t>; and (v) the filing of the Certificate of Merger in accordance with the DGCL.</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Legal Compliance; Approvals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2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of the Group Companies has during the past three years complied with, and is not currently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Group Companies, taken as a whole. No written, or to the Knowledge of the Company, oral notice of non-compliance with any Applicable Legal Requirements has been received during the past three years by any of the Group Companies.</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Group Company is in possession of all franchises, grants, authorizations, licenses, permits, consents, certificates, approvals and orders from Governmental Entities (“</w:t>
      </w:r>
      <w:r>
        <w:rPr>
          <w:rFonts w:ascii="Arial" w:cs="Arial" w:eastAsia="Arial" w:hAnsi="Arial"/>
          <w:sz w:val="18"/>
          <w:szCs w:val="18"/>
          <w:u w:val="single" w:color="auto"/>
          <w:color w:val="auto"/>
        </w:rPr>
        <w:t>Approvals</w:t>
      </w:r>
      <w:r>
        <w:rPr>
          <w:rFonts w:ascii="Arial" w:cs="Arial" w:eastAsia="Arial" w:hAnsi="Arial"/>
          <w:sz w:val="18"/>
          <w:szCs w:val="18"/>
          <w:color w:val="auto"/>
        </w:rPr>
        <w:t>”) necessary to own, lease and operate the properties it purports to own, operate or lease and to carry on its business as it is now being conducted, except where the failure to have such Approvals would not, individually or in the aggregate, reasonably be expected to be material to the Group Companies, taken as a whole.</w:t>
      </w:r>
    </w:p>
    <w:p>
      <w:pPr>
        <w:spacing w:after="0" w:line="1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4.7</w:t>
      </w:r>
      <w:r>
        <w:rPr>
          <w:rFonts w:ascii="Arial" w:cs="Arial" w:eastAsia="Arial" w:hAnsi="Arial"/>
          <w:sz w:val="18"/>
          <w:szCs w:val="18"/>
          <w:color w:val="auto"/>
        </w:rPr>
        <w:t xml:space="preserve"> of the Company Disclosure Letter sets forth a list of each Current Government Contract in existence as of the date hereof that involves aggregate payments to the Company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40"/>
          </w:cols>
          <w:pgMar w:left="320" w:top="1440" w:right="339" w:bottom="1440" w:gutter="0" w:footer="0" w:header="0"/>
        </w:sectPr>
      </w:pPr>
    </w:p>
    <w:bookmarkStart w:id="444" w:name="page445"/>
    <w:bookmarkEnd w:id="444"/>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 Company Subsidiaries that are reasonably expected to be in excess of $250,000 (each, a “</w:t>
      </w:r>
      <w:r>
        <w:rPr>
          <w:rFonts w:ascii="Arial" w:cs="Arial" w:eastAsia="Arial" w:hAnsi="Arial"/>
          <w:sz w:val="18"/>
          <w:szCs w:val="18"/>
          <w:u w:val="single" w:color="auto"/>
          <w:color w:val="auto"/>
        </w:rPr>
        <w:t>Material Current Government Contract</w:t>
      </w:r>
      <w:r>
        <w:rPr>
          <w:rFonts w:ascii="Arial" w:cs="Arial" w:eastAsia="Arial" w:hAnsi="Arial"/>
          <w:sz w:val="18"/>
          <w:szCs w:val="18"/>
          <w:color w:val="auto"/>
        </w:rPr>
        <w:t>”). Each Current Government Contract was legally awarded to the Company or a Company Subsidiary, as applicable. Each Current Government Contract: (i) is a legal, valid binding obligation of the Company or such Company Subsidiary, as applicable; and (ii) is in full force and effect and enforceable against the Company or such Company Subsidiary, as applicable, in accordance with its terms.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2" w:lineRule="auto"/>
        <w:tabs>
          <w:tab w:leader="none" w:pos="896"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Company has previously provided to Parent: (i) the audited balance sheets and statements of operations and comprehensive loss, changes in equity and cash flows of the Company for the twelve- month periods ended December 31, 2019 and 2018 together with the auditor’s reports thereon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an unaudited balance sheet and statements of operations and comprehensive loss and cash flows of the Company as of and for the 11-month period ended November 30, 2021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present fairly, in all material respects, the financial position and results of operations of the Company as of the dates and for the periods indicated in such Financial Statements in conformity with GAAP (except in the case of the Interim Financial Statements for the absence of footnotes and other presentation items and for normal year-end adjustments).</w:t>
      </w:r>
    </w:p>
    <w:p>
      <w:pPr>
        <w:spacing w:after="0" w:line="123" w:lineRule="exact"/>
        <w:rPr>
          <w:rFonts w:ascii="Arial" w:cs="Arial" w:eastAsia="Arial" w:hAnsi="Arial"/>
          <w:sz w:val="17"/>
          <w:szCs w:val="17"/>
          <w:color w:val="auto"/>
        </w:rPr>
      </w:pPr>
    </w:p>
    <w:p>
      <w:pPr>
        <w:jc w:val="both"/>
        <w:ind w:firstLine="656"/>
        <w:spacing w:after="0" w:line="263" w:lineRule="auto"/>
        <w:tabs>
          <w:tab w:leader="none" w:pos="9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Company has established and maintained a system of internal controls. To the Knowledge of the Company, such internal controls are sufficient to provide reasonable assurance regarding the reliability of the Company’s financial reporting and the preparation of the Company’s financial statements for external purposes in accordance with GAAP.</w:t>
      </w:r>
    </w:p>
    <w:p>
      <w:pPr>
        <w:spacing w:after="0" w:line="129" w:lineRule="exact"/>
        <w:rPr>
          <w:rFonts w:ascii="Arial" w:cs="Arial" w:eastAsia="Arial" w:hAnsi="Arial"/>
          <w:sz w:val="18"/>
          <w:szCs w:val="18"/>
          <w:color w:val="auto"/>
        </w:rPr>
      </w:pPr>
    </w:p>
    <w:p>
      <w:pPr>
        <w:ind w:firstLine="656"/>
        <w:spacing w:after="0" w:line="277" w:lineRule="auto"/>
        <w:tabs>
          <w:tab w:leader="none" w:pos="8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are no outstanding loans or other extensions of credit made by the Company to any executive officer (as defined in Rule 3b-7 under the Exchange Act) or director of the Company.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is no liability, debt or obligation (absolute, accrued, contingent or otherwise) of any of the Group Companies of a type required to be reflected or reserved for on a balance sheet prepared in accordance with GAAP, except for liabilities, debts and obligations: (a) provided for in, or otherwise reflected or reserved for on the Financial Statements or disclosed in the notes thereto; (b) that have arisen since the date of the most recent balance sheet included in the Financial Statements in the ordinary course of the operation of business of the Group Companies; (c) incurred in connection with the transactions contemplated by this Agreement; or (d) which would not, individually or in the aggregate, reasonably be expected to have a Company Material Adverse Effect.</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contemplated by this Agreement, since August 27, 2020 through the date of this Agreement, except as required to respond to Pandemic Measures, each of the Group Companies has conducted its business in the ordinary course consistent with past practice and there has not been: (a) any Company Material Adverse Effect; (b) any purchase, redemption or other acquisition by the Company of any of the shares of Company Common Stock, Company Preferred Stock or any other securities of the Company or any options, warrants, calls or rights to acquire any such Company Common Stock, Company Preferred Stock or other securities, other than pursuant to the terms of a Company Option; (c) any split, combination or reclassification of any of the shares of Company Common Stock or Company Preferred Stock; (d) any material change by the Company in its accounting methods, principles or practices, except as required by concurrent changes in GAAP or Applicable Legal Requirements; (e) any change in the auditors of the Company; (f) any issuance of shares of Company Common Stock or Company Preferred Stock, other than in connection with the exercise of a Company Option or Company SAR; (g) any revaluation by the Company of any of its assets, including any sale of assets of the Company other than with respect to sales in the ordinary course of business; or (h) any action taken or agreed upon by any of the Group Companies that would be prohibited by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(other than clauses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to the extent related to the foregoing clauses, </w:t>
      </w:r>
      <w:r>
        <w:rPr>
          <w:rFonts w:ascii="Arial" w:cs="Arial" w:eastAsia="Arial" w:hAnsi="Arial"/>
          <w:sz w:val="17"/>
          <w:szCs w:val="17"/>
          <w:u w:val="single" w:color="auto"/>
          <w:color w:val="auto"/>
        </w:rPr>
        <w:t>(p)</w:t>
      </w:r>
      <w:r>
        <w:rPr>
          <w:rFonts w:ascii="Arial" w:cs="Arial" w:eastAsia="Arial" w:hAnsi="Arial"/>
          <w:sz w:val="17"/>
          <w:szCs w:val="17"/>
          <w:color w:val="auto"/>
        </w:rPr>
        <w:t xml:space="preserve"> thereof) if such action were taken on or after the date hereof without the consent of Parent.</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of the Company Disclosure Letter or as would not be material to the Group Companies, taken as a whole, as of the date hereof, there are: (a) no pending or, to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Knowledge of the Company, threatened in writing, Legal Proceedings against any of the Group Companies or any of its properties or assets, or any of the directors or officers of any of the Group Companies with regard to their actions as such; (b) to the Knowledge of the Company, other than with respect to audits, examinations or investigations in the ordinary course of business conducted by a Governmental Entity pursuant to a Current Government Contract, no pending or threatened in writing, audits, examinations or investigations by any Governmental Entity against any of the Group Companies with regard to their actions as such; (c) no pending or threatened in writing Legal Proceedings by any of the Group Companies against any third party; (d) no settlements or similar agreements that imposes any material ongoing obligations or restrictions on any of the Group Companies; and (e) no Orders imposed or, to the Knowledge of the Company, threatened to be imposed upon any of the Group Companies or any of their respective properties or assets, or any of the directors or officers of any of the Group Companies with regard to their actions as such.</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7" w:lineRule="auto"/>
        <w:tabs>
          <w:tab w:leader="none" w:pos="933"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sets forth a complete list of each material Company Benefit Plan, including all employment contracts or offer letters unless any such arrangement is in a form substantially similar to a form of employment contract or offer letter identified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(which schedule includes a general description of groups of employees that has entered into agreements on such forms).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xml:space="preserve">” means each “employee benefit plan” (within the meaning of Section 3(3) of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 not subject to ERISA, whether formal or informal, oral or written, which any Group Company sponsors or maintains for the benefit of its current or former employees, individuals who provide services and are compensated as individual independent contractors or directors, or with respect to which any Group Company has any direct or indirect present or future liability (including on account of its affiliation with an ERISA Affiliate). Notwithstanding anything to the contrary herein, in the case of any representation or warranty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concerning an employee benefit plan that is a Company Benefit Plan on account of the Company’s affiliation with an ERISA Affiliate, such representation and warranty is made to the Knowledge of the Company.</w:t>
      </w:r>
    </w:p>
    <w:p>
      <w:pPr>
        <w:spacing w:after="0" w:line="113" w:lineRule="exact"/>
        <w:rPr>
          <w:rFonts w:ascii="Arial" w:cs="Arial" w:eastAsia="Arial" w:hAnsi="Arial"/>
          <w:sz w:val="16"/>
          <w:szCs w:val="16"/>
          <w:color w:val="auto"/>
        </w:rPr>
      </w:pPr>
    </w:p>
    <w:p>
      <w:pPr>
        <w:jc w:val="both"/>
        <w:ind w:firstLine="656"/>
        <w:spacing w:after="0" w:line="291" w:lineRule="auto"/>
        <w:tabs>
          <w:tab w:leader="none" w:pos="90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With respect to each Company Benefit Plan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the Company has made available to Parent or its representatives copies of, as applicable: (i) such Company Benefit Plan, or the applicable form listed on </w:t>
      </w:r>
      <w:r>
        <w:rPr>
          <w:rFonts w:ascii="Arial" w:cs="Arial" w:eastAsia="Arial" w:hAnsi="Arial"/>
          <w:sz w:val="16"/>
          <w:szCs w:val="16"/>
          <w:u w:val="single" w:color="auto"/>
          <w:color w:val="auto"/>
        </w:rPr>
        <w:t>Schedule 4.12(a)</w:t>
      </w:r>
      <w:r>
        <w:rPr>
          <w:rFonts w:ascii="Arial" w:cs="Arial" w:eastAsia="Arial" w:hAnsi="Arial"/>
          <w:sz w:val="16"/>
          <w:szCs w:val="16"/>
          <w:color w:val="auto"/>
        </w:rPr>
        <w:t xml:space="preserve"> of the Company Disclosure Letter, and any trust agreement relating to such plan; (ii) the most recent summary plan description for such Company Benefit Plan for which such summary plan description is required; (iii) the most recent annual report on Form 5500 and all attachments thereto filed with the Internal Revenue Service with respect to such Company Benefit Plan (if applicable); (iv) the most audited financial statements, and actuarial or other valuation reports; (v) the most recent determination or opinion letter, if any, issued by the Internal Revenue Service with respect to such Company Benefit Plan; and (vi) any material non-routine correspondence with any Governmental Entity regarding any Company Benefit Plan during the past three years.</w:t>
      </w:r>
    </w:p>
    <w:p>
      <w:pPr>
        <w:spacing w:after="0" w:line="112" w:lineRule="exact"/>
        <w:rPr>
          <w:rFonts w:ascii="Arial" w:cs="Arial" w:eastAsia="Arial" w:hAnsi="Arial"/>
          <w:sz w:val="16"/>
          <w:szCs w:val="16"/>
          <w:color w:val="auto"/>
        </w:rPr>
      </w:pPr>
    </w:p>
    <w:p>
      <w:pPr>
        <w:ind w:left="900" w:hanging="244"/>
        <w:spacing w:after="0"/>
        <w:tabs>
          <w:tab w:leader="none" w:pos="90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Group Companies, taken as a whole:</w:t>
      </w:r>
    </w:p>
    <w:p>
      <w:pPr>
        <w:spacing w:after="0" w:line="182" w:lineRule="exact"/>
        <w:rPr>
          <w:rFonts w:ascii="Arial" w:cs="Arial" w:eastAsia="Arial" w:hAnsi="Arial"/>
          <w:sz w:val="17"/>
          <w:szCs w:val="17"/>
          <w:color w:val="auto"/>
        </w:rPr>
      </w:pPr>
    </w:p>
    <w:p>
      <w:pPr>
        <w:ind w:left="660" w:firstLine="644"/>
        <w:spacing w:after="0" w:line="277" w:lineRule="auto"/>
        <w:tabs>
          <w:tab w:leader="none" w:pos="154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each Company Benefit Plan has been administered in accordance with its terms and all Applicable Legal Requirements, including ERISA and the Code;</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292"/>
        </w:numPr>
        <w:rPr>
          <w:rFonts w:ascii="Arial" w:cs="Arial" w:eastAsia="Arial" w:hAnsi="Arial"/>
          <w:sz w:val="17"/>
          <w:szCs w:val="17"/>
          <w:color w:val="auto"/>
        </w:rPr>
      </w:pPr>
      <w:r>
        <w:rPr>
          <w:rFonts w:ascii="Arial" w:cs="Arial" w:eastAsia="Arial" w:hAnsi="Arial"/>
          <w:sz w:val="17"/>
          <w:szCs w:val="17"/>
          <w:color w:val="auto"/>
        </w:rPr>
        <w:t>all contributions required to be made with respect to any Company Benefit Plan on or before the date hereof have been made;</w:t>
      </w:r>
    </w:p>
    <w:p>
      <w:pPr>
        <w:spacing w:after="0" w:line="182" w:lineRule="exact"/>
        <w:rPr>
          <w:rFonts w:ascii="Arial" w:cs="Arial" w:eastAsia="Arial" w:hAnsi="Arial"/>
          <w:sz w:val="17"/>
          <w:szCs w:val="17"/>
          <w:color w:val="auto"/>
        </w:rPr>
      </w:pPr>
    </w:p>
    <w:p>
      <w:pPr>
        <w:ind w:left="660" w:firstLine="644"/>
        <w:spacing w:after="0" w:line="277" w:lineRule="auto"/>
        <w:tabs>
          <w:tab w:leader="none" w:pos="162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 non-exempt “prohibited transaction” (within the meaning of Section 406 of ERISA and Section 4975 of the Code) has occurred or is reasonably expected to occur with respect to any Company Benefit Plan;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44" w:lineRule="exact"/>
        <w:rPr>
          <w:sz w:val="20"/>
          <w:szCs w:val="20"/>
          <w:color w:val="auto"/>
        </w:rPr>
      </w:pPr>
    </w:p>
    <w:p>
      <w:pPr>
        <w:jc w:val="both"/>
        <w:ind w:firstLine="1304"/>
        <w:spacing w:after="0" w:line="259" w:lineRule="auto"/>
        <w:tabs>
          <w:tab w:leader="none" w:pos="1616" w:val="left"/>
        </w:tabs>
        <w:numPr>
          <w:ilvl w:val="2"/>
          <w:numId w:val="293"/>
        </w:numPr>
        <w:rPr>
          <w:rFonts w:ascii="Arial" w:cs="Arial" w:eastAsia="Arial" w:hAnsi="Arial"/>
          <w:sz w:val="18"/>
          <w:szCs w:val="18"/>
          <w:color w:val="auto"/>
        </w:rPr>
      </w:pPr>
      <w:r>
        <w:rPr>
          <w:rFonts w:ascii="Arial" w:cs="Arial" w:eastAsia="Arial" w:hAnsi="Arial"/>
          <w:sz w:val="18"/>
          <w:szCs w:val="18"/>
          <w:color w:val="auto"/>
        </w:rPr>
        <w:t>with respect to any Company Benefit Plan no actions, suits, claims (other than routine claims for benefits in the ordinary course), audits, inquiries, proceedings or lawsuits are pending, or, to the Knowledge of the Company, threatened against any Company Benefit Plan, the assets of any of the trusts under such plans or the plan sponsor or administrator, or against any fiduciary of any Employee Benefit Plan with respect to the operation thereof; and</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556" w:val="left"/>
        </w:tabs>
        <w:numPr>
          <w:ilvl w:val="2"/>
          <w:numId w:val="293"/>
        </w:numPr>
        <w:rPr>
          <w:rFonts w:ascii="Arial" w:cs="Arial" w:eastAsia="Arial" w:hAnsi="Arial"/>
          <w:sz w:val="18"/>
          <w:szCs w:val="18"/>
          <w:color w:val="auto"/>
        </w:rPr>
      </w:pPr>
      <w:r>
        <w:rPr>
          <w:rFonts w:ascii="Arial" w:cs="Arial" w:eastAsia="Arial" w:hAnsi="Arial"/>
          <w:sz w:val="18"/>
          <w:szCs w:val="18"/>
          <w:color w:val="auto"/>
        </w:rPr>
        <w:t>no event has occurred, and to the Knowledge of the Company, no condition exists that would, by reason of the Company’s affiliation with any of its ERISA Affiliates, subject any Group Company to any material tax, fine, lien, penalty or other liability imposed by ERISA, the Code or other Legal Requirements</w:t>
      </w:r>
    </w:p>
    <w:p>
      <w:pPr>
        <w:spacing w:after="0" w:line="129" w:lineRule="exact"/>
        <w:rPr>
          <w:rFonts w:ascii="Arial" w:cs="Arial" w:eastAsia="Arial" w:hAnsi="Arial"/>
          <w:sz w:val="18"/>
          <w:szCs w:val="18"/>
          <w:color w:val="auto"/>
        </w:rPr>
      </w:pPr>
    </w:p>
    <w:p>
      <w:pPr>
        <w:jc w:val="both"/>
        <w:ind w:firstLine="656"/>
        <w:spacing w:after="0" w:line="257" w:lineRule="auto"/>
        <w:tabs>
          <w:tab w:leader="none" w:pos="90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Each Company Benefit Plan which is intended to be qualified within the meaning of Section 401(a) of the Code: (A) has received a favorable determination or opinion letter as to its qualification; or (B) has been established under a standardized master and prototype or volume submitter plan for which a current favorable Internal Revenue Service advisory letter or opinion letter has been obtained by the plan sponsor and is valid as to the adopting employer, and nothing has occurred and no circumstances exist that would reasonably be expected to result in the loss of the qualification of such plan under Section 401(a) of the Code.</w:t>
      </w:r>
    </w:p>
    <w:p>
      <w:pPr>
        <w:spacing w:after="0" w:line="133" w:lineRule="exact"/>
        <w:rPr>
          <w:rFonts w:ascii="Arial" w:cs="Arial" w:eastAsia="Arial" w:hAnsi="Arial"/>
          <w:sz w:val="18"/>
          <w:szCs w:val="18"/>
          <w:color w:val="auto"/>
        </w:rPr>
      </w:pPr>
    </w:p>
    <w:p>
      <w:pPr>
        <w:jc w:val="both"/>
        <w:ind w:firstLine="656"/>
        <w:spacing w:after="0" w:line="284" w:lineRule="auto"/>
        <w:tabs>
          <w:tab w:leader="none" w:pos="89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Group Companies, taken as a whole, (i) no Company Benefit Plan covered by Title IV of ERISA, Section 412 of the Code or Section 302 of ERISA (a “</w:t>
      </w:r>
      <w:r>
        <w:rPr>
          <w:rFonts w:ascii="Arial" w:cs="Arial" w:eastAsia="Arial" w:hAnsi="Arial"/>
          <w:sz w:val="16"/>
          <w:szCs w:val="16"/>
          <w:u w:val="single" w:color="auto"/>
          <w:color w:val="auto"/>
        </w:rPr>
        <w:t>Pension Plan</w:t>
      </w:r>
      <w:r>
        <w:rPr>
          <w:rFonts w:ascii="Arial" w:cs="Arial" w:eastAsia="Arial" w:hAnsi="Arial"/>
          <w:sz w:val="16"/>
          <w:szCs w:val="16"/>
          <w:color w:val="auto"/>
        </w:rPr>
        <w:t>”) has been terminated and no proceedings have been instituted to terminate or appoint a trustee to administer any such plan; (ii) no Pension Plan has failed to satisfy the minimum funding standard within the meaning of Section 412 of the Code or Section 302 of ERISA, or obtained a waiver of any minimum funding standard or an extension of any amortization period under Section 412 of the Code or Section 302 or 304 of ERISA; (iii) no Pension Plan is, or is expected to be, considered an at-risk plan within the meaning of Section 430 of the Code or Section 303 of ERISA; (iv) neither the Company, any of its Subsidiaries, or any of their respective ERISA Affiliates has incurred any unsatisfied withdrawal liability to any “multiemployer plan” within the meaning of Section (3)</w:t>
      </w:r>
    </w:p>
    <w:p>
      <w:pPr>
        <w:spacing w:after="0" w:line="2" w:lineRule="exact"/>
        <w:rPr>
          <w:rFonts w:ascii="Arial" w:cs="Arial" w:eastAsia="Arial" w:hAnsi="Arial"/>
          <w:sz w:val="16"/>
          <w:szCs w:val="16"/>
          <w:color w:val="auto"/>
        </w:rPr>
      </w:pPr>
    </w:p>
    <w:p>
      <w:pPr>
        <w:jc w:val="both"/>
        <w:ind w:firstLine="8"/>
        <w:spacing w:after="0" w:line="270" w:lineRule="auto"/>
        <w:tabs>
          <w:tab w:leader="none" w:pos="36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of ERISA (“</w:t>
      </w:r>
      <w:r>
        <w:rPr>
          <w:rFonts w:ascii="Arial" w:cs="Arial" w:eastAsia="Arial" w:hAnsi="Arial"/>
          <w:sz w:val="17"/>
          <w:szCs w:val="17"/>
          <w:u w:val="single" w:color="auto"/>
          <w:color w:val="auto"/>
        </w:rPr>
        <w:t>Multiemployer Plan</w:t>
      </w:r>
      <w:r>
        <w:rPr>
          <w:rFonts w:ascii="Arial" w:cs="Arial" w:eastAsia="Arial" w:hAnsi="Arial"/>
          <w:sz w:val="17"/>
          <w:szCs w:val="17"/>
          <w:color w:val="auto"/>
        </w:rPr>
        <w:t>”) and the aggregate liabilities of the Company and its Subsidiaries to all Multiemployer Plans in the event of a complete withdrawal therefrom, as of the close of the most recent fiscal year of each Multiemployer Plan ended prior to the date hereof, would not, individually or in the aggregate, reasonably be expected to be material to the Group Companies, taken as a whole and (v) to the Knowledge of the Company, no Multiemployer Plan is in endangered or critical status under Section 432 of the Code or Section 305 of ERISA. No Group Company nor any of their respective ERISA Affiliates has, within the past six years, sponsored, contributed to, been obligated to contribute to, or has any current or contingent liability in respect of a “multiple employer welfare arrangement” within the meaning of Section 3(40) of ERISA</w:t>
      </w:r>
    </w:p>
    <w:p>
      <w:pPr>
        <w:spacing w:after="0" w:line="124" w:lineRule="exact"/>
        <w:rPr>
          <w:rFonts w:ascii="Arial" w:cs="Arial" w:eastAsia="Arial" w:hAnsi="Arial"/>
          <w:sz w:val="17"/>
          <w:szCs w:val="17"/>
          <w:color w:val="auto"/>
        </w:rPr>
      </w:pPr>
    </w:p>
    <w:p>
      <w:pPr>
        <w:jc w:val="both"/>
        <w:ind w:firstLine="656"/>
        <w:spacing w:after="0" w:line="259" w:lineRule="auto"/>
        <w:tabs>
          <w:tab w:leader="none" w:pos="88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Group Companies, taken as a whole, with respect to the Company Benefit Plans or their administrators or fiduciaries: (i) no actions, suits or claims (other than routine claims for benefits in the ordinary course) are pending or, to the Knowledge of the Company, threatened; and (ii) no facts or circumstances exist that would reasonably be expected to give rise to any such actions, suits or claims.</w:t>
      </w:r>
    </w:p>
    <w:p>
      <w:pPr>
        <w:spacing w:after="0" w:line="132" w:lineRule="exact"/>
        <w:rPr>
          <w:rFonts w:ascii="Arial" w:cs="Arial" w:eastAsia="Arial" w:hAnsi="Arial"/>
          <w:sz w:val="18"/>
          <w:szCs w:val="18"/>
          <w:color w:val="auto"/>
        </w:rPr>
      </w:pPr>
    </w:p>
    <w:p>
      <w:pPr>
        <w:jc w:val="both"/>
        <w:ind w:firstLine="656"/>
        <w:spacing w:after="0" w:line="259" w:lineRule="auto"/>
        <w:tabs>
          <w:tab w:leader="none" w:pos="916" w:val="left"/>
        </w:tabs>
        <w:numPr>
          <w:ilvl w:val="1"/>
          <w:numId w:val="295"/>
        </w:numPr>
        <w:rPr>
          <w:rFonts w:ascii="Arial" w:cs="Arial" w:eastAsia="Arial" w:hAnsi="Arial"/>
          <w:sz w:val="18"/>
          <w:szCs w:val="18"/>
          <w:color w:val="auto"/>
        </w:rPr>
      </w:pPr>
      <w:r>
        <w:rPr>
          <w:rFonts w:ascii="Arial" w:cs="Arial" w:eastAsia="Arial" w:hAnsi="Arial"/>
          <w:sz w:val="18"/>
          <w:szCs w:val="18"/>
          <w:color w:val="auto"/>
        </w:rPr>
        <w:t>None of the Company Benefit Plans provides for, and the Group Companies have no liability in respect of, post-retiree or post-employment health, welfare or life insurance benefits or coverage for any participant or any beneficiary of a participant, except as may be required under the Consolidated Omnibus Budget Reconciliation Act of 1985, as amended, or similar state or other Legal Requirements and at the sole expense of such participant or the participant’s beneficiary.</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(i) 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jc w:val="both"/>
        <w:ind w:firstLine="656"/>
        <w:spacing w:after="0" w:line="255" w:lineRule="auto"/>
        <w:tabs>
          <w:tab w:leader="none" w:pos="87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either alone or in connection with any other event(s): (i) result in any payment or benefit becoming due to any current or former employee, contractor or director of the Group Companies or under any Company Benefit Plan; (ii) increase any amount of compensation or benefits otherwise payable to any current or former employee, contractor or director of the Group Companies or under any Company Benefit Plan; (iii) result in the acceleration of the time of payment, funding or vesting of any benefits to any current or former employee, contractor or director of the Group Companies or under any Company Benefit Plan; or (iv) result in any limit on the right to merge, amend or terminate any Company Benefit Plan.</w:t>
      </w:r>
    </w:p>
    <w:p>
      <w:pPr>
        <w:spacing w:after="0" w:line="138" w:lineRule="exact"/>
        <w:rPr>
          <w:rFonts w:ascii="Arial" w:cs="Arial" w:eastAsia="Arial" w:hAnsi="Arial"/>
          <w:sz w:val="18"/>
          <w:szCs w:val="18"/>
          <w:color w:val="auto"/>
        </w:rPr>
      </w:pPr>
    </w:p>
    <w:p>
      <w:pPr>
        <w:jc w:val="both"/>
        <w:ind w:firstLine="656"/>
        <w:spacing w:after="0" w:line="263" w:lineRule="auto"/>
        <w:tabs>
          <w:tab w:leader="none" w:pos="87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shall, either alone or in connection with any other event(s), give rise to any “excess parachute payment” as defined in Section 280G(b)(1) of the Code or any excise tax owing under Section 4999 of the Code.</w:t>
      </w:r>
    </w:p>
    <w:p>
      <w:pPr>
        <w:spacing w:after="0" w:line="129"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Company maintains no obligations to gross-up or reimburse any individual for any tax or related interest or penalties incurred by such individual, including under Sections 409A or 4999 of the Code or otherwise.</w:t>
      </w:r>
    </w:p>
    <w:p>
      <w:pPr>
        <w:spacing w:after="0" w:line="116" w:lineRule="exact"/>
        <w:rPr>
          <w:rFonts w:ascii="Arial" w:cs="Arial" w:eastAsia="Arial" w:hAnsi="Arial"/>
          <w:sz w:val="18"/>
          <w:szCs w:val="18"/>
          <w:color w:val="auto"/>
        </w:rPr>
      </w:pPr>
    </w:p>
    <w:p>
      <w:pPr>
        <w:ind w:firstLine="656"/>
        <w:spacing w:after="0" w:line="277" w:lineRule="auto"/>
        <w:tabs>
          <w:tab w:leader="none" w:pos="87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Each Company Benefit Plan which is a “nonqualified deferred compensation plan” subject to Section 409A of the Code has been established, operated and maintained in compliance with Section 409A of the Code in all material respects.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Labor Relations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89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Company has made available to the Parent a complete list of all employees of the Group Companies as of the date of this Agreement and, as applicable, their classification as exempt or non-exempt under the Fair Labor Standards Act, employer, title and/or job description, job location (city and state) and base compensation and any bonuses paid with respect to the 2020 fiscal year. As of the date of this Agreement, all employees of the Group Companies are legally permitted to be employed by the Group Companies in the jurisdiction in which such employees are employed in their current job capacities.</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297"/>
        </w:numPr>
        <w:rPr>
          <w:rFonts w:ascii="Arial" w:cs="Arial" w:eastAsia="Arial" w:hAnsi="Arial"/>
          <w:sz w:val="17"/>
          <w:szCs w:val="17"/>
          <w:color w:val="auto"/>
        </w:rPr>
      </w:pPr>
      <w:r>
        <w:rPr>
          <w:rFonts w:ascii="Arial" w:cs="Arial" w:eastAsia="Arial" w:hAnsi="Arial"/>
          <w:sz w:val="17"/>
          <w:szCs w:val="17"/>
          <w:color w:val="auto"/>
        </w:rPr>
        <w:t>No Group Company is a party to or negotiating any collective bargaining agreement with respect to employees of any Group Company.</w:t>
      </w:r>
    </w:p>
    <w:p>
      <w:pPr>
        <w:spacing w:after="0" w:line="182" w:lineRule="exact"/>
        <w:rPr>
          <w:rFonts w:ascii="Arial" w:cs="Arial" w:eastAsia="Arial" w:hAnsi="Arial"/>
          <w:sz w:val="17"/>
          <w:szCs w:val="17"/>
          <w:color w:val="auto"/>
        </w:rPr>
      </w:pPr>
    </w:p>
    <w:p>
      <w:pPr>
        <w:jc w:val="both"/>
        <w:ind w:firstLine="656"/>
        <w:spacing w:after="0" w:line="284" w:lineRule="auto"/>
        <w:tabs>
          <w:tab w:leader="none" w:pos="89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 there have been no strikes, work stoppages, slowdowns, lockouts, arbitrations, or material grievances or other labor disputes (including unfair labor practice charges, grievances, or complaints) pending, or, to the Knowledge of the Company, threatened against or involving any Group Company. Since the January 1, 2018, (i) no labor union or other labor organization, or group of employees of any Group Company, has made a written demand for recognition or certification with respect to any employees of any Group Company, and there are no representation or certification proceedings presently pending or, to the Knowledge of the Company, threatened to be brought or filed with the National Labor Relations Board or any similar labor relations tribunal or authority,</w:t>
      </w:r>
    </w:p>
    <w:p>
      <w:pPr>
        <w:spacing w:after="0" w:line="4" w:lineRule="exact"/>
        <w:rPr>
          <w:rFonts w:ascii="Arial" w:cs="Arial" w:eastAsia="Arial" w:hAnsi="Arial"/>
          <w:sz w:val="16"/>
          <w:szCs w:val="16"/>
          <w:color w:val="auto"/>
        </w:rPr>
      </w:pPr>
    </w:p>
    <w:p>
      <w:pPr>
        <w:jc w:val="both"/>
        <w:ind w:firstLine="8"/>
        <w:spacing w:after="0" w:line="255" w:lineRule="auto"/>
        <w:tabs>
          <w:tab w:leader="none" w:pos="28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the Knowledge of the Company, there have been no pending or threatened union organizing activities with respect to employees of any Group Company, and (iii) there has been no actual or, to the Knowledge of the Company, threatened, material unfair labor practice charges against any Group Company.</w:t>
      </w:r>
    </w:p>
    <w:p>
      <w:pPr>
        <w:spacing w:after="0" w:line="135" w:lineRule="exact"/>
        <w:rPr>
          <w:rFonts w:ascii="Arial" w:cs="Arial" w:eastAsia="Arial" w:hAnsi="Arial"/>
          <w:sz w:val="18"/>
          <w:szCs w:val="18"/>
          <w:color w:val="auto"/>
        </w:rPr>
      </w:pPr>
    </w:p>
    <w:p>
      <w:pPr>
        <w:jc w:val="both"/>
        <w:ind w:firstLine="656"/>
        <w:spacing w:after="0" w:line="257" w:lineRule="auto"/>
        <w:tabs>
          <w:tab w:leader="none" w:pos="896"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As of the date hereof, there are no, and since January 1, 2018 through the date hereof, there has been no, complaints, charges or claims against the Company pending or, to Knowledge of the Company, threatened before any Governmental Entity based on, arising out of, in connection with or otherwise relating to the employment, termination of employment or failure to employ by any Group Company, of any individual, except for those complaints, charges or claims which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jc w:val="both"/>
        <w:ind w:firstLine="656"/>
        <w:spacing w:after="0" w:line="279" w:lineRule="auto"/>
        <w:tabs>
          <w:tab w:leader="none" w:pos="895" w:val="left"/>
        </w:tabs>
        <w:numPr>
          <w:ilvl w:val="1"/>
          <w:numId w:val="298"/>
        </w:numPr>
        <w:rPr>
          <w:rFonts w:ascii="Arial" w:cs="Arial" w:eastAsia="Arial" w:hAnsi="Arial"/>
          <w:sz w:val="17"/>
          <w:szCs w:val="17"/>
          <w:color w:val="auto"/>
        </w:rPr>
      </w:pPr>
      <w:r>
        <w:rPr>
          <w:rFonts w:ascii="Arial" w:cs="Arial" w:eastAsia="Arial" w:hAnsi="Arial"/>
          <w:sz w:val="17"/>
          <w:szCs w:val="17"/>
          <w:color w:val="auto"/>
        </w:rPr>
        <w:t>The Group Companies are, and since January 1, 2018 through the date hereof, have been, in compliance in all material respects with all Legal Requirements relating to the employment of labor, including all such Legal Requirements relating to wages (including minimum wage and overtime), hours or work, child labor, discrimination, civil rights, withholdings and deductions, classification and payment of employees, independent contractors, and consultants, employment equity, the federal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similar state or local “mass layoff” or “plant closing” Legal Requirement, collective bargaining, occupational health and safety, workers’ compensation, and immigration, except for instances of noncompliance which would not, individually or in the aggregate, reasonably be expected to be material to the Group Companies, taken as a whole. There has been no “mass layoff” or “plant closing” (as defined by WARN) with respect to the Group Companies within the six months prior to the date of this Agreement and no such events are reasonably expected to occur prior to Closing.</w:t>
      </w:r>
    </w:p>
    <w:p>
      <w:pPr>
        <w:spacing w:after="0" w:line="117" w:lineRule="exact"/>
        <w:rPr>
          <w:sz w:val="20"/>
          <w:szCs w:val="20"/>
          <w:color w:val="auto"/>
        </w:rPr>
      </w:pPr>
    </w:p>
    <w:p>
      <w:pPr>
        <w:ind w:left="880" w:hanging="224"/>
        <w:spacing w:after="0"/>
        <w:tabs>
          <w:tab w:leader="none" w:pos="880"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88" w:lineRule="auto"/>
        <w:tabs>
          <w:tab w:leader="none" w:pos="22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each of the Group Companies has withheld all amounts required by Law or by agreement to be withheld from the wages, salaries and other payments that have become due and payable to employees; (ii) no Group Company has been liable for any arrears of wages, compensation or related Taxes, penalties, or other sums with respect to its employees; (iii) each of the Group Companies has paid in full to all employees and individual independent contractors all wages, salaries, commissions, bonuses and other compensation due and payable to or on behalf of such employees and such individual independent contractors; and (iv) to the Knowledge of the Company, each individual who since January 1, 2018 has provided or is providing services to any Group Company, and has been classified as (y) an independent contractor, consultant, leased employee, or other non-employee service provider, or (z) an exempt employee, has been properly classified as such under all Applicable Legal Requirements relating to wage and hour and Tax.</w:t>
      </w:r>
    </w:p>
    <w:p>
      <w:pPr>
        <w:spacing w:after="0" w:line="114" w:lineRule="exact"/>
        <w:rPr>
          <w:rFonts w:ascii="Arial" w:cs="Arial" w:eastAsia="Arial" w:hAnsi="Arial"/>
          <w:sz w:val="16"/>
          <w:szCs w:val="16"/>
          <w:color w:val="auto"/>
        </w:rPr>
      </w:pPr>
    </w:p>
    <w:p>
      <w:pPr>
        <w:jc w:val="both"/>
        <w:ind w:firstLine="656"/>
        <w:spacing w:after="0" w:line="257" w:lineRule="auto"/>
        <w:tabs>
          <w:tab w:leader="none" w:pos="94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During the three years ending on the date hereof, there have been no material employment discrimination or employment harassment allegations raised, brought, threatened, or settled relating to any appointed officer or director of any Group Company involving or relating to his or her services provided to the Group Companies. The policies and practices of the Group Companies comply in all material respects with all federal, state, and local Laws concerning employment discrimination and employment harassment, except as would not, individually or in the aggregate, reasonably be expected to be material to the Group Companies, taken as a whole.</w:t>
      </w:r>
    </w:p>
    <w:p>
      <w:pPr>
        <w:spacing w:after="0" w:line="133" w:lineRule="exact"/>
        <w:rPr>
          <w:rFonts w:ascii="Arial" w:cs="Arial" w:eastAsia="Arial" w:hAnsi="Arial"/>
          <w:sz w:val="18"/>
          <w:szCs w:val="18"/>
          <w:color w:val="auto"/>
        </w:rPr>
      </w:pPr>
    </w:p>
    <w:p>
      <w:pPr>
        <w:ind w:left="920" w:hanging="264"/>
        <w:spacing w:after="0"/>
        <w:tabs>
          <w:tab w:leader="none" w:pos="92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Except as would not reasonably be expected to result in material Liabilities to the Group Companies, taken as a whole, since January 1, 2018,</w:t>
      </w:r>
    </w:p>
    <w:p>
      <w:pPr>
        <w:spacing w:after="0" w:line="46" w:lineRule="exact"/>
        <w:rPr>
          <w:rFonts w:ascii="Arial" w:cs="Arial" w:eastAsia="Arial" w:hAnsi="Arial"/>
          <w:sz w:val="16"/>
          <w:szCs w:val="16"/>
          <w:color w:val="auto"/>
        </w:rPr>
      </w:pPr>
    </w:p>
    <w:p>
      <w:pPr>
        <w:jc w:val="both"/>
        <w:ind w:firstLine="8"/>
        <w:spacing w:after="0" w:line="253" w:lineRule="auto"/>
        <w:tabs>
          <w:tab w:leader="none" w:pos="23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Group Company has been party to any proceeding, order, dispute, or claim involving any joint employer or co-employer causes of action by any individual who was employed or engaged by a third party and providing services to any Group Company; and (ii) no Group Company has been deemed to be, or to the Knowledge of the Company alleged to be, in a joint-employment, co-employment, or similar relationship with any third party, with respect to any of the Group Company’s employees or individual independent contractors.</w:t>
      </w:r>
    </w:p>
    <w:p>
      <w:pPr>
        <w:spacing w:after="0" w:line="138" w:lineRule="exact"/>
        <w:rPr>
          <w:rFonts w:ascii="Arial" w:cs="Arial" w:eastAsia="Arial" w:hAnsi="Arial"/>
          <w:sz w:val="18"/>
          <w:szCs w:val="18"/>
          <w:color w:val="auto"/>
        </w:rPr>
      </w:pPr>
    </w:p>
    <w:p>
      <w:pPr>
        <w:jc w:val="both"/>
        <w:ind w:firstLine="656"/>
        <w:spacing w:after="0" w:line="263" w:lineRule="auto"/>
        <w:tabs>
          <w:tab w:leader="none" w:pos="90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other Transaction Agreements and the performance of this Agreement and the Transactions do not require the Company to seek or obtain any consent, engage in consultation with, or issue any notice to any unions or labor organizations.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Real Property; Tangible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3" w:lineRule="auto"/>
        <w:tabs>
          <w:tab w:leader="none" w:pos="892"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of the Company Disclosure Letter lists, as of the date of this Agreement, all real property owned by the Group Companies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The Company or one of the Company Subsidiaries has good and marketable fee simple title to all Owned Real Property, subject only to any Permitted Liens.</w:t>
      </w:r>
    </w:p>
    <w:p>
      <w:pPr>
        <w:spacing w:after="0" w:line="129" w:lineRule="exact"/>
        <w:rPr>
          <w:rFonts w:ascii="Arial" w:cs="Arial" w:eastAsia="Arial" w:hAnsi="Arial"/>
          <w:sz w:val="18"/>
          <w:szCs w:val="18"/>
          <w:color w:val="auto"/>
        </w:rPr>
      </w:pPr>
    </w:p>
    <w:p>
      <w:pPr>
        <w:jc w:val="both"/>
        <w:ind w:firstLine="656"/>
        <w:spacing w:after="0" w:line="271" w:lineRule="auto"/>
        <w:tabs>
          <w:tab w:leader="none" w:pos="916"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Schedule 4.14(b)</w:t>
      </w:r>
      <w:r>
        <w:rPr>
          <w:rFonts w:ascii="Arial" w:cs="Arial" w:eastAsia="Arial" w:hAnsi="Arial"/>
          <w:sz w:val="17"/>
          <w:szCs w:val="17"/>
          <w:color w:val="auto"/>
        </w:rPr>
        <w:t xml:space="preserve"> of the Company Disclosure Letter lists, as of the date of this Agreement, all material real property leased by the Group Companies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Company or one of the Company Subsidiaries has a valid, binding and enforceable leasehold estate in, and enjoys peaceful and undisturbed possession of, all Leased Real Property and each of the leases, lease guarantees, agreements and documents related to any Leased Real Property, including all amendments, terminations and modifications thereof (collectively, the “</w:t>
      </w:r>
      <w:r>
        <w:rPr>
          <w:rFonts w:ascii="Arial" w:cs="Arial" w:eastAsia="Arial" w:hAnsi="Arial"/>
          <w:sz w:val="17"/>
          <w:szCs w:val="17"/>
          <w:u w:val="single" w:color="auto"/>
          <w:color w:val="auto"/>
        </w:rPr>
        <w:t>Company Real Property Leases</w:t>
      </w:r>
      <w:r>
        <w:rPr>
          <w:rFonts w:ascii="Arial" w:cs="Arial" w:eastAsia="Arial" w:hAnsi="Arial"/>
          <w:sz w:val="17"/>
          <w:szCs w:val="17"/>
          <w:color w:val="auto"/>
        </w:rPr>
        <w:t>”), is in full force and effect. The Company has made available to Parent true, correct and complete copies of all material Company Real Property Leases. None of the Group Companies is in breach of or default under any Company Real Property Lease, and, to the Knowledge of the Company, no event has occurred and no circumstance exists which, if not remedied, and whether with or without notice or the passage of time or both, would result in such a breach or default, except for such breaches or defaults as would not individually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in the aggregate, reasonably be expected to be material to the Group Companies, taken as a whole. None of the Group Companies has received written notice from, or given any written notice to, any lessor of such Leased Real Property of, nor is there any default, event or circumstance that, with notice or lapse of time, or both, would constitute a default by the party that is the lessee or lessor of such Leased Real Property. No party to any Company Real Property Lease has exercised any termination rights with respect thereto.</w:t>
      </w:r>
    </w:p>
    <w:p>
      <w:pPr>
        <w:spacing w:after="0" w:line="133" w:lineRule="exact"/>
        <w:rPr>
          <w:sz w:val="20"/>
          <w:szCs w:val="20"/>
          <w:color w:val="auto"/>
        </w:rPr>
      </w:pPr>
    </w:p>
    <w:p>
      <w:pPr>
        <w:jc w:val="both"/>
        <w:ind w:firstLine="656"/>
        <w:spacing w:after="0" w:line="271" w:lineRule="auto"/>
        <w:tabs>
          <w:tab w:leader="none" w:pos="89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and has good and marketable title to, or a valid leasehold interest in or right to use, all of its material tangible assets or personal property, free and clear of all Liens other than: (i) Permitted Liens; and (ii) the rights of lessors under any leases. The material tangible assets or personal property (together with the Intellectual Property rights and contractual rights) of the Group Companies, or to which is has access pursuant to a formal written arrangement with ISMMS: (A) constitute all of the assets, rights and properties that are necessary for the operation of the businesses of the Group Companies as they are now conducted, and taken together, are adequate and sufficient for the operation of the businesses of the Group Companies as currently conducted; and (B) have been maintained in all material respects in accordance with generally applicable accepted industry practice, are in good working order and condition, except for ordinary wear and tear and as would not, individually or in the aggregate, reasonably be expected to be material to the business of the Group Companies, taken as a whole.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7"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All material Tax Returns required to be filed by (or with respect to) the Group Companies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91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Group Companies have paid all material amounts of their Taxes which are due and payable. All material Taxes incurred but not yet due and payable (i) for periods covered by the Financial Statements have been accrued and adequately disclosed on the Financial Statements of the Group Companies in accordance with GAAP, and (ii) for periods not covered by the Financial Statements have been accrued on the books and records of the Group Companies.</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2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Group Companies have complied in all material respects with all Applicable Legal Requirements relating to the withholding and remittance of all material amounts of Taxes and all material amounts of Taxes required by Applicable Legal Requirements to be withheld by the Group Companies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75" w:lineRule="auto"/>
        <w:tabs>
          <w:tab w:leader="none" w:pos="92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No deficiency for any material amount of Taxes has been asserted or assessed by any Governmental Entity in writing against any Group Company (nor to the Knowledge of the Company is there any), which deficiency has not been paid, resolved, or being contested in good faith in appropriate Legal Proceedings and for which sufficient reserves have been established on the Financial Statements in accordance with GAAP. No material audit or other proceeding by any Governmental Entity is currently pending or threatened in writing against any Group Company with respect to any Taxes due from such entities (and, to the Knowledge of the Company, no such audit is pending or contemplated).</w:t>
      </w:r>
    </w:p>
    <w:p>
      <w:pPr>
        <w:spacing w:after="0" w:line="122" w:lineRule="exact"/>
        <w:rPr>
          <w:rFonts w:ascii="Arial" w:cs="Arial" w:eastAsia="Arial" w:hAnsi="Arial"/>
          <w:sz w:val="17"/>
          <w:szCs w:val="17"/>
          <w:color w:val="auto"/>
        </w:rPr>
      </w:pPr>
    </w:p>
    <w:p>
      <w:pPr>
        <w:ind w:left="900" w:hanging="244"/>
        <w:spacing w:after="0"/>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the assets of the Group Companies.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884"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There are no Tax indemnification agreements or Tax sharing agreements under which any Group Company could be liable after the Closing Date for the Tax liability of any Person other than one or more of the Group Companies, except for customary agreements or arrangements with customers, vendors, lessors, lenders and the like or other similar agreements, in each case, that do not relate primarily to Taxes.</w:t>
      </w:r>
    </w:p>
    <w:p>
      <w:pPr>
        <w:spacing w:after="0" w:line="111" w:lineRule="exact"/>
        <w:rPr>
          <w:rFonts w:ascii="Arial" w:cs="Arial" w:eastAsia="Arial" w:hAnsi="Arial"/>
          <w:sz w:val="17"/>
          <w:szCs w:val="17"/>
          <w:color w:val="auto"/>
        </w:rPr>
      </w:pPr>
    </w:p>
    <w:p>
      <w:pPr>
        <w:ind w:firstLine="656"/>
        <w:spacing w:after="0" w:line="277" w:lineRule="auto"/>
        <w:tabs>
          <w:tab w:leader="none" w:pos="93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None of the Group Companies has constituted either a “distributing corporation” or a “controlled corporation” in a distribution of stock intended to qualify for tax-free treatment under Section 355 of the Code in the past two years.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40"/>
          </w:cols>
          <w:pgMar w:left="320" w:top="1440" w:right="339" w:bottom="1440" w:gutter="0" w:footer="0" w:header="0"/>
        </w:sectPr>
      </w:pPr>
    </w:p>
    <w:bookmarkStart w:id="450" w:name="page451"/>
    <w:bookmarkEnd w:id="450"/>
    <w:p>
      <w:pPr>
        <w:spacing w:after="0" w:line="144" w:lineRule="exact"/>
        <w:rPr>
          <w:sz w:val="20"/>
          <w:szCs w:val="20"/>
          <w:color w:val="auto"/>
        </w:rPr>
      </w:pPr>
    </w:p>
    <w:p>
      <w:pPr>
        <w:ind w:left="920" w:hanging="264"/>
        <w:spacing w:after="0"/>
        <w:tabs>
          <w:tab w:leader="none" w:pos="9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None of the Group Companies has entered into a “listed transaction” within the meaning of Treasury Regulation Section 1.6011-4(b).</w:t>
      </w:r>
    </w:p>
    <w:p>
      <w:pPr>
        <w:spacing w:after="0" w:line="182" w:lineRule="exact"/>
        <w:rPr>
          <w:rFonts w:ascii="Arial" w:cs="Arial" w:eastAsia="Arial" w:hAnsi="Arial"/>
          <w:sz w:val="17"/>
          <w:szCs w:val="17"/>
          <w:color w:val="auto"/>
        </w:rPr>
      </w:pPr>
    </w:p>
    <w:p>
      <w:pPr>
        <w:jc w:val="both"/>
        <w:ind w:firstLine="656"/>
        <w:spacing w:after="0" w:line="259" w:lineRule="auto"/>
        <w:tabs>
          <w:tab w:leader="none" w:pos="86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Group Company: (i) has any liability for the Taxes of another Person (other than another Group Company) pursuant to Treasury Regulation Section 1.1502-6 (or any similar provision of state, local or foreign Tax Legal Requirement) or as a transferee or a successor; or (ii) has ever been a member of an affiliated, consolidated, combined or unitary group filing for U.S. federal, state or local income Tax purposes, other than a group the common parent of which was and is the Company (or another Group Company).</w:t>
      </w:r>
    </w:p>
    <w:p>
      <w:pPr>
        <w:spacing w:after="0" w:line="132" w:lineRule="exact"/>
        <w:rPr>
          <w:rFonts w:ascii="Arial" w:cs="Arial" w:eastAsia="Arial" w:hAnsi="Arial"/>
          <w:sz w:val="18"/>
          <w:szCs w:val="18"/>
          <w:color w:val="auto"/>
        </w:rPr>
      </w:pPr>
    </w:p>
    <w:p>
      <w:pPr>
        <w:jc w:val="both"/>
        <w:ind w:firstLine="656"/>
        <w:spacing w:after="0" w:line="263" w:lineRule="auto"/>
        <w:tabs>
          <w:tab w:leader="none" w:pos="87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Group Company has consented to waive or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Group Company has a permanent establishment in any country other than the country of its organization or has been subject to income Tax in a jurisdiction outside the country of its organization, in each case, where it is required to file a material income Tax Return and does not file such Tax Return.</w:t>
      </w:r>
    </w:p>
    <w:p>
      <w:pPr>
        <w:spacing w:after="0" w:line="129" w:lineRule="exact"/>
        <w:rPr>
          <w:rFonts w:ascii="Arial" w:cs="Arial" w:eastAsia="Arial" w:hAnsi="Arial"/>
          <w:sz w:val="18"/>
          <w:szCs w:val="18"/>
          <w:color w:val="auto"/>
        </w:rPr>
      </w:pPr>
    </w:p>
    <w:p>
      <w:pPr>
        <w:jc w:val="both"/>
        <w:ind w:firstLine="656"/>
        <w:spacing w:after="0" w:line="270" w:lineRule="auto"/>
        <w:tabs>
          <w:tab w:leader="none" w:pos="863"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(ii) any change in method of accounting on or prior to the Closing, including by reason of the application of Section 481 of the Code (or any analogous provision of state, local or foreign Tax Legal Requirements); (iii) other than in the ordinary course of business a prepaid amount received or deferred revenue recognized on or prior to the Closing; (iv) any intercompany transaction or excess loss account described in the Treasury Regulations under Section 1502 (or any corresponding or similar provision of state or local Tax Legal Requirements) that occurred or existed prior to the Closing; (v) any closing agreement pursuant to Section 7121 of the Code or any similar provision of state, local or foreign Tax Legal Requirements entered into prior to the Closing; or (vi) an inclusion under Section 965 of the Code.</w:t>
      </w:r>
    </w:p>
    <w:p>
      <w:pPr>
        <w:spacing w:after="0" w:line="126" w:lineRule="exact"/>
        <w:rPr>
          <w:rFonts w:ascii="Arial" w:cs="Arial" w:eastAsia="Arial" w:hAnsi="Arial"/>
          <w:sz w:val="17"/>
          <w:szCs w:val="17"/>
          <w:color w:val="auto"/>
        </w:rPr>
      </w:pPr>
    </w:p>
    <w:p>
      <w:pPr>
        <w:ind w:firstLine="656"/>
        <w:spacing w:after="0" w:line="277" w:lineRule="auto"/>
        <w:tabs>
          <w:tab w:leader="none" w:pos="95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is not, and has not been at any time during the five (5) year period ending on the Closing Date, a “United States real property holding corporation” within the meaning of Section 897(c)(2) of the Code.</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0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claim has been made in writing (nor to the Knowledge of the Company is any such claim pending or contemplated) by any Governmental Entity in a jurisdiction in which any Group Company does not file Tax Returns that is or may be subject to taxation by, or required to file Tax Returns in, that jurisdiction.</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Each of the Group Companies is, and for the past three years, in compliance with all Environmental Laws, except for any such instance of non-compliance that would not reasonably be expected to be material to the Group Companies taken as a whole. The Group Companies have obtained, hold, are, and for the past three years have been, in material compliance with all permits required under applicable Environmental Laws to permit the Group Companies to operate their assets in a manner in which they are now operated and maintained and to conduct the business of the Group Companies as currently conducted, except where the absence of, or failure to be in material compliance with, any such permit would not reasonably be expected to be material to the Group Companies, taken as a whole. Except as set forth on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of the Company Disclosure Letter, there are no written claims or notices of violation pending or, to the Knowledge of the Company, threatened in writing against any of the Group Companies alleging violations of or liability under any Environmental Law, except for any such claim or notice that would not reasonably be expected to be material to the Group Companies. Neither the Group Companies nor, to the Knowledge of the Company, any other Person has disposed of or released any Hazardous Material at, on or under the any facility currently or formerly owned or operated by any of the Group Companies or any third- party site, in each case in a manner that would be reasonably likely to give rise to a material liability of the Group Companies for investigation costs, cleanup costs, response costs, corrective action costs, personal injury, property damage, natural resources damages or attorney fees under any Environmental Laws. None of the Group Companies has agreed to indemnify any Person or assumed by Contract the liability of any third party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40"/>
          </w:cols>
          <w:pgMar w:left="320" w:top="1440" w:right="339" w:bottom="1440" w:gutter="0" w:footer="0" w:header="0"/>
        </w:sectPr>
      </w:pPr>
    </w:p>
    <w:bookmarkStart w:id="451" w:name="page452"/>
    <w:bookmarkEnd w:id="45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arising under Environmental Law. The Group Companies have made available to Parent copies of all material written environmental reports, audits, assessments, liability analyses, memoranda and studies in the possession of, or conducted by, the Group Companies with respect to compliance or liabilities under Environmental Law.</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Brokers; Third Party Expenses</w:t>
      </w:r>
      <w:r>
        <w:rPr>
          <w:rFonts w:ascii="Arial" w:cs="Arial" w:eastAsia="Arial" w:hAnsi="Arial"/>
          <w:sz w:val="18"/>
          <w:szCs w:val="18"/>
          <w:color w:val="auto"/>
        </w:rPr>
        <w:t>. No broker, finder, investment banker or other Person is entitled to, nor will be entitled to, either directly or indirectly, any brokerage fee, finders’ fee or other similar commission, for which Parent or any of the Group Companies would be liable in connection with the transactions contemplated by this Agreement or the Transactions based upon arrangements made by any of the Group Companies or any of their Affiliates.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Schedule 4.18(a)</w:t>
      </w:r>
      <w:r>
        <w:rPr>
          <w:rFonts w:ascii="Arial" w:cs="Arial" w:eastAsia="Arial" w:hAnsi="Arial"/>
          <w:sz w:val="18"/>
          <w:szCs w:val="18"/>
          <w:color w:val="auto"/>
        </w:rPr>
        <w:t xml:space="preserve"> of the Company Disclosure Letter sets forth a true, correct and complete list, as of the date of this Agreement of each registered Patent and Patent application, registered Trademark and application for Trademark registration, registered Copyright, internet domain name, and material unregistered Trademark which any of the Group Companies has (or purports to have) an ownership interest or an exclusive license or similar exclusive right in any field or territory, whether in the United States or internationally (in each case setting forth the applicable jurisdiction, title, application and registration or serial number and date, and record owner).</w:t>
      </w:r>
    </w:p>
    <w:p>
      <w:pPr>
        <w:spacing w:after="0" w:line="133" w:lineRule="exact"/>
        <w:rPr>
          <w:rFonts w:ascii="Arial" w:cs="Arial" w:eastAsia="Arial" w:hAnsi="Arial"/>
          <w:sz w:val="18"/>
          <w:szCs w:val="18"/>
          <w:color w:val="auto"/>
        </w:rPr>
      </w:pPr>
    </w:p>
    <w:p>
      <w:pPr>
        <w:jc w:val="both"/>
        <w:ind w:firstLine="656"/>
        <w:spacing w:after="0" w:line="259" w:lineRule="auto"/>
        <w:tabs>
          <w:tab w:leader="none" w:pos="926"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or one of the Company Subsidiaries owns, or has the right to use pursuant to a valid license, sublicense, or other written agreement all material Intellectual Property used in or necessary for the conduct and operation of the business of the Group Companies, as presently conducted. The Company or one of its Subsidiaries is the sole and exclusive owner of all right, title and interest in and to all Owned Intellectual Property free and clear of all Liens (other than Permitted Liens).</w:t>
      </w:r>
    </w:p>
    <w:p>
      <w:pPr>
        <w:spacing w:after="0" w:line="132" w:lineRule="exact"/>
        <w:rPr>
          <w:rFonts w:ascii="Arial" w:cs="Arial" w:eastAsia="Arial" w:hAnsi="Arial"/>
          <w:sz w:val="18"/>
          <w:szCs w:val="18"/>
          <w:color w:val="auto"/>
        </w:rPr>
      </w:pPr>
    </w:p>
    <w:p>
      <w:pPr>
        <w:jc w:val="both"/>
        <w:ind w:firstLine="656"/>
        <w:spacing w:after="0" w:line="269" w:lineRule="auto"/>
        <w:tabs>
          <w:tab w:leader="none" w:pos="897"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Group Companies and the conduct and operation of the business of the Group Companies as presently conducted (including the creation, licensing, marketing, importation, offering for sale, sale, or use of the products and services of the business of the Group Companies) have not infringed, misappropriated or otherwise violated, and are not infringing, misappropriating or otherwise violating any Intellectual Property of any Person. None of the Group Companies has received from any Person in the past three years ending on the date hereof any written notice, charge, complaint, claim or other assertion (i) of any infringement, misappropriation or other violation of any Intellectual Property of any Person or (ii) contesting the use, ownership, validity or enforceability of any of the Owned Intellectual Property. To the Knowledge of the Company, no other Person has infringed, misappropriated or violated, or is infringing, misappropriating or violating, any Intellectual Property of any of the Group Companies, and no such claims have been made in writing against any Person by any of the Group Companies in the past three years. None of the material Owned Intellectual Property is subject to any pending or outstanding Order, settlement, consent order or other disposition of dispute that adversely restricts the use, transfer or registration of, or adversely affects the validity or enforceability of, any material Owned Intellectual Property.</w:t>
      </w:r>
    </w:p>
    <w:p>
      <w:pPr>
        <w:spacing w:after="0" w:line="131" w:lineRule="exact"/>
        <w:rPr>
          <w:rFonts w:ascii="Arial" w:cs="Arial" w:eastAsia="Arial" w:hAnsi="Arial"/>
          <w:sz w:val="17"/>
          <w:szCs w:val="17"/>
          <w:color w:val="auto"/>
        </w:rPr>
      </w:pPr>
    </w:p>
    <w:p>
      <w:pPr>
        <w:jc w:val="both"/>
        <w:ind w:firstLine="656"/>
        <w:spacing w:after="0" w:line="271" w:lineRule="auto"/>
        <w:tabs>
          <w:tab w:leader="none" w:pos="93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To the Knowledge of the Company, no past or present director, officer or employee of any of the Group Companies owns (or has any ownership interest, in or to) any material Owned Intellectual Property. Each of the present employees, consultants and independent contractors of the Group Companies who are engaged in creating or developing for or on behalf of such Group Company any material Owned Intellectual Property in the course of such Person’s employment or engagement has executed and delivered a written agreement, pursuant to which such Person has: (i) agreed to hold all confidential information of such Group Company in confidence both during and after such Person’s employment or retention, as applicable; and (ii) presently assigned to such Group Company all of such Person’s rights, title and interest in and to all Owned Intellectual Property created or developed for such Group Company in the course of such Person’s employment or retention thereby. To the Knowledge of the Company, there is no material uncured breach by any such Person with respect to material Owned Intellectual Property under any such agreement.</w:t>
      </w:r>
    </w:p>
    <w:p>
      <w:pPr>
        <w:spacing w:after="0" w:line="124" w:lineRule="exact"/>
        <w:rPr>
          <w:rFonts w:ascii="Arial" w:cs="Arial" w:eastAsia="Arial" w:hAnsi="Arial"/>
          <w:sz w:val="17"/>
          <w:szCs w:val="17"/>
          <w:color w:val="auto"/>
        </w:rPr>
      </w:pPr>
    </w:p>
    <w:p>
      <w:pPr>
        <w:jc w:val="both"/>
        <w:ind w:firstLine="656"/>
        <w:spacing w:after="0" w:line="311" w:lineRule="auto"/>
        <w:tabs>
          <w:tab w:leader="none" w:pos="89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of the Group Companies, as applicable, has taken commercially reasonable steps to maintain the secrecy, confidentiality and value of all material Trade Secrets constituting Owned Intellectual Property and all material Trade Secrets of any Person to whom any Group Company has a contractual confidentiality obligation with respect to such Trade Secrets. No Trade Secret that is material to the business of the Group Companies has been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40"/>
          </w:cols>
          <w:pgMar w:left="320" w:top="1440" w:right="339" w:bottom="1440" w:gutter="0" w:footer="0" w:header="0"/>
        </w:sectPr>
      </w:pPr>
    </w:p>
    <w:bookmarkStart w:id="452" w:name="page453"/>
    <w:bookmarkEnd w:id="452"/>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authorized to be disclosed, or, to the Knowledge of the Company, has been disclosed to any other Person, other than (i) as subject to a written agreement restricting the disclosure and use of such Trade Secret or (ii) as requested by a Governmental Entity in connection with an audit conducted by a Governmental Entity in the ordinary course of business. No source code constituting material Owned Intellectual Property has been delivered, licensed or made available by any Group Company to, or accessed by, any escrow agent or other Person, other than employees or contractors of such Group Company subject to written agreements restricting the disclosure and use of such source code.</w:t>
      </w:r>
    </w:p>
    <w:p>
      <w:pPr>
        <w:spacing w:after="0" w:line="122" w:lineRule="exact"/>
        <w:rPr>
          <w:sz w:val="20"/>
          <w:szCs w:val="20"/>
          <w:color w:val="auto"/>
        </w:rPr>
      </w:pPr>
    </w:p>
    <w:p>
      <w:pPr>
        <w:jc w:val="both"/>
        <w:ind w:firstLine="656"/>
        <w:spacing w:after="0" w:line="284" w:lineRule="auto"/>
        <w:tabs>
          <w:tab w:leader="none" w:pos="873" w:val="left"/>
        </w:tabs>
        <w:numPr>
          <w:ilvl w:val="1"/>
          <w:numId w:val="307"/>
        </w:numPr>
        <w:rPr>
          <w:rFonts w:ascii="Arial" w:cs="Arial" w:eastAsia="Arial" w:hAnsi="Arial"/>
          <w:sz w:val="16"/>
          <w:szCs w:val="16"/>
          <w:color w:val="auto"/>
        </w:rPr>
      </w:pPr>
      <w:r>
        <w:rPr>
          <w:rFonts w:ascii="Arial" w:cs="Arial" w:eastAsia="Arial" w:hAnsi="Arial"/>
          <w:sz w:val="16"/>
          <w:szCs w:val="16"/>
          <w:color w:val="auto"/>
        </w:rPr>
        <w:t>No open source software is or has been included, incorporated or embedded in, linked to, combined, made available or distributed with, or used in the development, maintenance, operation, delivery or provision of any computer software constituting services or products currently offered by the Group Companies, in each case, in a manner that requires or obligates any Group Company to: (i) disclose, contribute, distribute, license or otherwise make available to any Person (including the open source community) any source code constituting material Owned Intellectual Property; (ii) license any computer software constituting material Owned Intellectual Property for making modifications or derivative works; (iii) disclose, contribute, distribute, license or otherwise make available to any Person any computer software constituting material Owned Intellectual Property for no or nominal charge; or</w:t>
      </w:r>
    </w:p>
    <w:p>
      <w:pPr>
        <w:spacing w:after="0" w:line="4" w:lineRule="exact"/>
        <w:rPr>
          <w:rFonts w:ascii="Arial" w:cs="Arial" w:eastAsia="Arial" w:hAnsi="Arial"/>
          <w:sz w:val="16"/>
          <w:szCs w:val="16"/>
          <w:color w:val="auto"/>
        </w:rPr>
      </w:pPr>
    </w:p>
    <w:p>
      <w:pPr>
        <w:ind w:firstLine="8"/>
        <w:spacing w:after="0" w:line="290" w:lineRule="auto"/>
        <w:tabs>
          <w:tab w:leader="none" w:pos="331" w:val="left"/>
        </w:tabs>
        <w:numPr>
          <w:ilvl w:val="0"/>
          <w:numId w:val="308"/>
        </w:numPr>
        <w:rPr>
          <w:rFonts w:ascii="Arial" w:cs="Arial" w:eastAsia="Arial" w:hAnsi="Arial"/>
          <w:sz w:val="17"/>
          <w:szCs w:val="17"/>
          <w:color w:val="auto"/>
        </w:rPr>
      </w:pPr>
      <w:r>
        <w:rPr>
          <w:rFonts w:ascii="Arial" w:cs="Arial" w:eastAsia="Arial" w:hAnsi="Arial"/>
          <w:sz w:val="17"/>
          <w:szCs w:val="17"/>
          <w:color w:val="auto"/>
        </w:rPr>
        <w:t>grant a license to, or refrain from asserting or enforcing any of, its Patents. Each Group Company is in material compliance with the terms and conditions of all relevant licenses for material open source software used in the services and products currently offered by the Group Companies.</w:t>
      </w:r>
    </w:p>
    <w:p>
      <w:pPr>
        <w:spacing w:after="0" w:line="107" w:lineRule="exact"/>
        <w:rPr>
          <w:rFonts w:ascii="Arial" w:cs="Arial" w:eastAsia="Arial" w:hAnsi="Arial"/>
          <w:sz w:val="17"/>
          <w:szCs w:val="17"/>
          <w:color w:val="auto"/>
        </w:rPr>
      </w:pPr>
    </w:p>
    <w:p>
      <w:pPr>
        <w:jc w:val="both"/>
        <w:ind w:firstLine="656"/>
        <w:spacing w:after="0" w:line="257" w:lineRule="auto"/>
        <w:tabs>
          <w:tab w:leader="none" w:pos="90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 Governmental Entity has any: (i) ownership interest or exclusive license in or to any material Owned Intellectual Property; (ii) “unlimited rights” (as defined in 48 C.F.R. § 52.227-14 and in 48 C.F.R. § 252.227-7013(a)) in or to any of the software constituting material Owned Intellectual Property; or (iii) “march in rights” (pursuant to 35 U.S.C. § 203) in or to any Patents constituting material Owned Intellectual Property. To the Knowledge of the Company, no funding, facilities or personnel of any Governmental Entity were used, directly or indirectly, to develop or create, in whole or in part, any material Owned Intellectual Property.</w:t>
      </w:r>
    </w:p>
    <w:p>
      <w:pPr>
        <w:spacing w:after="0" w:line="133" w:lineRule="exact"/>
        <w:rPr>
          <w:rFonts w:ascii="Arial" w:cs="Arial" w:eastAsia="Arial" w:hAnsi="Arial"/>
          <w:sz w:val="18"/>
          <w:szCs w:val="18"/>
          <w:color w:val="auto"/>
        </w:rPr>
      </w:pPr>
    </w:p>
    <w:p>
      <w:pPr>
        <w:jc w:val="both"/>
        <w:ind w:firstLine="656"/>
        <w:spacing w:after="0" w:line="269" w:lineRule="auto"/>
        <w:tabs>
          <w:tab w:leader="none" w:pos="902"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or has a valid right to access and use pursuant to a written agreement all Company IT Systems. The Company IT Systems: (i) are adequate in all material respects for the operation and conduct of the business of the Group Companies as currently conducted; and (ii) to the Knowledge of the Company, do not contain any viruses, worms, Trojan horses, bugs, faults or other devices, errors, contaminants or effects that (A) materially disrupt or adversely affect the functionality of the Company IT Systems, except as disclosed in their documentation or (B) enable or assist any Person to access without authorization any Company IT Systems. During the past three years, there has been no unauthorized access to or breach or violation of any Company IT Systems, except for any of the foregoing that were resolved without material cost or liability or the duty to notify any Person as required under Privacy Laws. In the last two years, there have been no material failures, material breakdowns, material data loss, material outages, material unscheduled downtime or other material adverse events affecting any such Company IT Systems that have caused or could reasonably be expected to result in the material disruption of or material interruption in or to the use of such Company IT Systems or the conduct and operation of the business of the Group Companies.</w:t>
      </w:r>
    </w:p>
    <w:p>
      <w:pPr>
        <w:spacing w:after="0" w:line="131" w:lineRule="exact"/>
        <w:rPr>
          <w:rFonts w:ascii="Arial" w:cs="Arial" w:eastAsia="Arial" w:hAnsi="Arial"/>
          <w:sz w:val="17"/>
          <w:szCs w:val="17"/>
          <w:color w:val="auto"/>
        </w:rPr>
      </w:pPr>
    </w:p>
    <w:p>
      <w:pPr>
        <w:jc w:val="both"/>
        <w:ind w:firstLine="656"/>
        <w:spacing w:after="0" w:line="255" w:lineRule="auto"/>
        <w:tabs>
          <w:tab w:leader="none" w:pos="86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(either alone or in combination with any other event) will result in the: (i) loss or impairment of, or any Lien (other than a Permitted Lien) on, any material Owned Intellectual Property or material Licensed Intellectual Property; (ii) release, disclosure or delivery of any source code constituting material Owned Intellectual Property to any Person; (iii) grant, assignment or transfer to any other Person of any license or other right or interest under, to or in any material Owned Intellectual Property; or (iv) payment of any additional consideration to, or the reduction of any payments from, any Person with respect to any material Owned Intellectual Property or material Licensed Intellectual Property.</w:t>
      </w:r>
    </w:p>
    <w:p>
      <w:pPr>
        <w:spacing w:after="0" w:line="138" w:lineRule="exact"/>
        <w:rPr>
          <w:rFonts w:ascii="Arial" w:cs="Arial" w:eastAsia="Arial" w:hAnsi="Arial"/>
          <w:sz w:val="18"/>
          <w:szCs w:val="18"/>
          <w:color w:val="auto"/>
        </w:rPr>
      </w:pPr>
    </w:p>
    <w:p>
      <w:pPr>
        <w:ind w:firstLine="656"/>
        <w:spacing w:after="0" w:line="277" w:lineRule="auto"/>
        <w:tabs>
          <w:tab w:leader="none" w:pos="867" w:val="left"/>
        </w:tabs>
        <w:numPr>
          <w:ilvl w:val="1"/>
          <w:numId w:val="308"/>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contains the sole and exclusive representations and warranties of the Group Companies with respect to Intellectual Property and other proprietary rights matters.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40"/>
          </w:cols>
          <w:pgMar w:left="320" w:top="1440" w:right="339" w:bottom="1440" w:gutter="0" w:footer="0" w:header="0"/>
        </w:sectPr>
      </w:pPr>
    </w:p>
    <w:bookmarkStart w:id="453" w:name="page454"/>
    <w:bookmarkEnd w:id="453"/>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Privacy &amp; Cybersecurity; HIPAA Compliance</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3" w:lineRule="auto"/>
        <w:tabs>
          <w:tab w:leader="none" w:pos="905"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Group Companies have at all times during the past three years materially complied with: (i) all applicable Privacy Laws; (ii) all of the Group Companies’ written policies and notices regarding Personal Information (“</w:t>
      </w:r>
      <w:r>
        <w:rPr>
          <w:rFonts w:ascii="Arial" w:cs="Arial" w:eastAsia="Arial" w:hAnsi="Arial"/>
          <w:sz w:val="18"/>
          <w:szCs w:val="18"/>
          <w:u w:val="single" w:color="auto"/>
          <w:color w:val="auto"/>
        </w:rPr>
        <w:t>Group Companies’ Privacy Notices</w:t>
      </w:r>
      <w:r>
        <w:rPr>
          <w:rFonts w:ascii="Arial" w:cs="Arial" w:eastAsia="Arial" w:hAnsi="Arial"/>
          <w:sz w:val="18"/>
          <w:szCs w:val="18"/>
          <w:color w:val="auto"/>
        </w:rPr>
        <w:t>”); (iii) all of the Group Companies’ material contractual obligations regarding the storing, processing or handling of Personal Information; and (iv) all self-regulatory guidelines (including of any applicable foreign jurisdiction) that the Company has accepted in writing relating to data privacy, data protection and data security, including with respect to the collection, processing, receipt, security, storage, transmission, transfer (including cross-border transfers), disclosure, destruction and use of Personal Information. None of the Group Companies has received in the five years prior to the date of this Agreement any written notice of any material claims (including written notice from third parties acting on its or their behalf), investigations, inquiries, actions or been charged with, the material violation of, any Privacy Laws. To the Knowledge of the Company, none of the Group Companies’ Privacy Notices have contained any material omissions or been misleading or deceptive.</w:t>
      </w:r>
    </w:p>
    <w:p>
      <w:pPr>
        <w:spacing w:after="0" w:line="142" w:lineRule="exact"/>
        <w:rPr>
          <w:rFonts w:ascii="Arial" w:cs="Arial" w:eastAsia="Arial" w:hAnsi="Arial"/>
          <w:sz w:val="18"/>
          <w:szCs w:val="18"/>
          <w:color w:val="auto"/>
        </w:rPr>
      </w:pPr>
    </w:p>
    <w:p>
      <w:pPr>
        <w:jc w:val="both"/>
        <w:ind w:firstLine="656"/>
        <w:spacing w:after="0" w:line="259" w:lineRule="auto"/>
        <w:tabs>
          <w:tab w:leader="none" w:pos="91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of the Group Companies during the past three years has implemented and maintained in all material respects commercially reasonable security regarding the confidentiality, integrity and availability of Company IT Systems and the data thereon, including measures to protect Personal Information and other confidential, proprietary business data in its possession or under its control against loss, theft, misuse or unauthorized access, use, modification or disclosure.</w:t>
      </w:r>
    </w:p>
    <w:p>
      <w:pPr>
        <w:spacing w:after="0" w:line="132" w:lineRule="exact"/>
        <w:rPr>
          <w:rFonts w:ascii="Arial" w:cs="Arial" w:eastAsia="Arial" w:hAnsi="Arial"/>
          <w:sz w:val="18"/>
          <w:szCs w:val="18"/>
          <w:color w:val="auto"/>
        </w:rPr>
      </w:pPr>
    </w:p>
    <w:p>
      <w:pPr>
        <w:jc w:val="both"/>
        <w:ind w:firstLine="656"/>
        <w:spacing w:after="0" w:line="269" w:lineRule="auto"/>
        <w:tabs>
          <w:tab w:leader="none" w:pos="9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During the past three years, there have been no material breaches, security incidents, misuse of or unauthorized access to or disclosure of any Personal Information and other confidential proprietary business data in the possession or control of any of the Group Companies or collected, used or processed by or on behalf of the Group Companies. None of the Group Companies have provided or been legally or contractually required to provide any notices to any Person in connection with an unauthorized disclosure of Personal Information in the last three years. During the past three years, the Group Companies have implemented reasonable disaster recovery and business continuity plans, and taken actions materially consistent with such plans, to the extent required, to safeguard the data and Personal Information in its possession or control. The Company has conducted commercially reasonable data security testing or audits at reasonable and appropriate intervals and has resolved or remediated any material data security issues or vulnerabilities identified. Neither the Group Companies nor any third party acting at the direction or authorization of such Group Companies has paid: (i) any perpetrator of any data breach incident or cyber-attack; or (ii) any third party with actual or alleged information about a data breach incident or cyber-attack, pursuant to a request for payment from or on behalf of such perpetrator or other third party.</w:t>
      </w:r>
    </w:p>
    <w:p>
      <w:pPr>
        <w:spacing w:after="0" w:line="131" w:lineRule="exact"/>
        <w:rPr>
          <w:rFonts w:ascii="Arial" w:cs="Arial" w:eastAsia="Arial" w:hAnsi="Arial"/>
          <w:sz w:val="17"/>
          <w:szCs w:val="17"/>
          <w:color w:val="auto"/>
        </w:rPr>
      </w:pPr>
    </w:p>
    <w:p>
      <w:pPr>
        <w:ind w:right="20" w:firstLine="656"/>
        <w:spacing w:after="0" w:line="308" w:lineRule="auto"/>
        <w:tabs>
          <w:tab w:leader="none" w:pos="93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Group Companies have developed and have implemented policies and procedures, systems, and training programs, as appropriate, designed to ensure material compliance with HIPAA’s privacy, security, breach notification, and standard transactions regulations.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4.20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9" w:lineRule="auto"/>
        <w:tabs>
          <w:tab w:leader="none" w:pos="90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of the Company Disclosure Letter sets forth a true, correct and complete list of each Company Material Contract (as defined below) that is in effect as of the date of this Agreement.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of the Group Companies shall mean (x) each Company IP Contract, (y) each Company Real Property Lease and (z) each of the following Contracts to which any of the Group Companies is a party:</w:t>
      </w:r>
    </w:p>
    <w:p>
      <w:pPr>
        <w:spacing w:after="0" w:line="132" w:lineRule="exact"/>
        <w:rPr>
          <w:rFonts w:ascii="Arial" w:cs="Arial" w:eastAsia="Arial" w:hAnsi="Arial"/>
          <w:sz w:val="18"/>
          <w:szCs w:val="18"/>
          <w:color w:val="auto"/>
        </w:rPr>
      </w:pPr>
    </w:p>
    <w:p>
      <w:pPr>
        <w:jc w:val="both"/>
        <w:ind w:left="660" w:right="20" w:firstLine="644"/>
        <w:spacing w:after="0" w:line="279" w:lineRule="auto"/>
        <w:tabs>
          <w:tab w:leader="none" w:pos="1528" w:val="left"/>
        </w:tabs>
        <w:numPr>
          <w:ilvl w:val="1"/>
          <w:numId w:val="310"/>
        </w:numPr>
        <w:rPr>
          <w:rFonts w:ascii="Arial" w:cs="Arial" w:eastAsia="Arial" w:hAnsi="Arial"/>
          <w:sz w:val="17"/>
          <w:szCs w:val="17"/>
          <w:color w:val="auto"/>
        </w:rPr>
      </w:pPr>
      <w:r>
        <w:rPr>
          <w:rFonts w:ascii="Arial" w:cs="Arial" w:eastAsia="Arial" w:hAnsi="Arial"/>
          <w:sz w:val="17"/>
          <w:szCs w:val="17"/>
          <w:color w:val="auto"/>
        </w:rPr>
        <w:t>Each Contract continuing over a period of more than 12 months from the date thereof, not terminable by the Company upon 60 days’ or less notice without liability or penalty (other than (A) agreements for the provision of Company’s products or services and (B) purchase orders with suppliers or customers, in each case (A) and (B), entered into in the ordinary course of business) that the Company reasonably anticipates will involve annual payments or consideration furnished by or to any of the Group Companies of more than $250,000;</w:t>
      </w:r>
    </w:p>
    <w:p>
      <w:pPr>
        <w:spacing w:after="0" w:line="117" w:lineRule="exact"/>
        <w:rPr>
          <w:rFonts w:ascii="Arial" w:cs="Arial" w:eastAsia="Arial" w:hAnsi="Arial"/>
          <w:sz w:val="17"/>
          <w:szCs w:val="17"/>
          <w:color w:val="auto"/>
        </w:rPr>
      </w:pPr>
    </w:p>
    <w:p>
      <w:pPr>
        <w:ind w:left="660" w:firstLine="644"/>
        <w:spacing w:after="0" w:line="277" w:lineRule="auto"/>
        <w:tabs>
          <w:tab w:leader="none" w:pos="1583"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Each note, debenture, other evidence of indebtedness, guarantee, loan, credit or financing agreement or instrument or other contract for money borrowed by any of the Group Companies from a third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44"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party, in each case, having an outstanding principal amount in excess of $250,000, but excluding guarantees of performance under Government Contracts entered into in the ordinary course of business;</w:t>
      </w:r>
    </w:p>
    <w:p>
      <w:pPr>
        <w:spacing w:after="0" w:line="116" w:lineRule="exact"/>
        <w:rPr>
          <w:sz w:val="20"/>
          <w:szCs w:val="20"/>
          <w:color w:val="auto"/>
        </w:rPr>
      </w:pPr>
    </w:p>
    <w:p>
      <w:pPr>
        <w:jc w:val="both"/>
        <w:ind w:left="660" w:firstLine="644"/>
        <w:spacing w:after="0" w:line="259" w:lineRule="auto"/>
        <w:tabs>
          <w:tab w:leader="none" w:pos="1623"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Contract for the acquisition of any Person or any business division thereof or the disposition of any material assets of any of the Group Companies (other than in the ordinary course of business), in each case, whether by merger, purchase or sale of stock or assets or otherwise (other than Contracts for the purchase or sale of inventory or supplies entered into in the ordinary course of business) occurring in the last five years;</w:t>
      </w:r>
    </w:p>
    <w:p>
      <w:pPr>
        <w:spacing w:after="0" w:line="132" w:lineRule="exact"/>
        <w:rPr>
          <w:rFonts w:ascii="Arial" w:cs="Arial" w:eastAsia="Arial" w:hAnsi="Arial"/>
          <w:sz w:val="18"/>
          <w:szCs w:val="18"/>
          <w:color w:val="auto"/>
        </w:rPr>
      </w:pPr>
    </w:p>
    <w:p>
      <w:pPr>
        <w:ind w:left="660" w:firstLine="644"/>
        <w:spacing w:after="0" w:line="277" w:lineRule="auto"/>
        <w:tabs>
          <w:tab w:leader="none" w:pos="163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obligation to make payments, contingent or otherwise, arising out of the prior acquisition of the business, assets or stock of other Persons;</w:t>
      </w:r>
    </w:p>
    <w:p>
      <w:pPr>
        <w:spacing w:after="0" w:line="116" w:lineRule="exact"/>
        <w:rPr>
          <w:rFonts w:ascii="Arial" w:cs="Arial" w:eastAsia="Arial" w:hAnsi="Arial"/>
          <w:sz w:val="18"/>
          <w:szCs w:val="18"/>
          <w:color w:val="auto"/>
        </w:rPr>
      </w:pPr>
    </w:p>
    <w:p>
      <w:pPr>
        <w:ind w:left="1560" w:hanging="256"/>
        <w:spacing w:after="0"/>
        <w:tabs>
          <w:tab w:leader="none" w:pos="15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collective bargaining agreement with any labor union;</w:t>
      </w:r>
    </w:p>
    <w:p>
      <w:pPr>
        <w:spacing w:after="0" w:line="171" w:lineRule="exact"/>
        <w:rPr>
          <w:rFonts w:ascii="Arial" w:cs="Arial" w:eastAsia="Arial" w:hAnsi="Arial"/>
          <w:sz w:val="18"/>
          <w:szCs w:val="18"/>
          <w:color w:val="auto"/>
        </w:rPr>
      </w:pPr>
    </w:p>
    <w:p>
      <w:pPr>
        <w:jc w:val="both"/>
        <w:ind w:left="660" w:firstLine="644"/>
        <w:spacing w:after="0" w:line="259" w:lineRule="auto"/>
        <w:tabs>
          <w:tab w:leader="none" w:pos="1621"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employment or consulting (with respect to an individual, independent contractor) Contract providing for annual base salary or consulting fee payments in excess of $200,000, excluding any such employment, consulting, or management Contract that either: (A) is terminable by the Company or the applicable Company Subsidiary at will; or (B) provides for severance, notice and/or garden leave obligations of 90 days or less or such longer period as is required by Applicable Legal Requirements;</w:t>
      </w:r>
    </w:p>
    <w:p>
      <w:pPr>
        <w:spacing w:after="0" w:line="132" w:lineRule="exact"/>
        <w:rPr>
          <w:rFonts w:ascii="Arial" w:cs="Arial" w:eastAsia="Arial" w:hAnsi="Arial"/>
          <w:sz w:val="18"/>
          <w:szCs w:val="18"/>
          <w:color w:val="auto"/>
        </w:rPr>
      </w:pPr>
    </w:p>
    <w:p>
      <w:pPr>
        <w:jc w:val="both"/>
        <w:ind w:left="660" w:firstLine="644"/>
        <w:spacing w:after="0" w:line="263" w:lineRule="auto"/>
        <w:tabs>
          <w:tab w:leader="none" w:pos="167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lease, rental agreement, installment and conditional sale agreement, or other Contract that, in each case, (A) provides for the ownership of, leasing of, title to, use of, or any leasehold or other interest in any personal property; and (B) involves annual payments in excess of $250,000;</w:t>
      </w:r>
    </w:p>
    <w:p>
      <w:pPr>
        <w:spacing w:after="0" w:line="129" w:lineRule="exact"/>
        <w:rPr>
          <w:rFonts w:ascii="Arial" w:cs="Arial" w:eastAsia="Arial" w:hAnsi="Arial"/>
          <w:sz w:val="18"/>
          <w:szCs w:val="18"/>
          <w:color w:val="auto"/>
        </w:rPr>
      </w:pPr>
    </w:p>
    <w:p>
      <w:pPr>
        <w:ind w:left="660" w:firstLine="644"/>
        <w:spacing w:after="0" w:line="277" w:lineRule="auto"/>
        <w:tabs>
          <w:tab w:leader="none" w:pos="1727"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joint venture Contract, partnership agreement or limited liability company agreement with a third party (in each case, other than with respect to wholly owned Company Subsidiaries);</w:t>
      </w:r>
    </w:p>
    <w:p>
      <w:pPr>
        <w:spacing w:after="0" w:line="116" w:lineRule="exact"/>
        <w:rPr>
          <w:rFonts w:ascii="Arial" w:cs="Arial" w:eastAsia="Arial" w:hAnsi="Arial"/>
          <w:sz w:val="18"/>
          <w:szCs w:val="18"/>
          <w:color w:val="auto"/>
        </w:rPr>
      </w:pPr>
    </w:p>
    <w:p>
      <w:pPr>
        <w:jc w:val="both"/>
        <w:ind w:left="660" w:firstLine="644"/>
        <w:spacing w:after="0" w:line="279" w:lineRule="auto"/>
        <w:tabs>
          <w:tab w:leader="none" w:pos="164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Each Contract other than teaming agreements entered into in connection with the pursuit of a specific Government Contract or subcontract thereto or customary non-disclosure agreements that purports to limit or contains covenants expressly limiting in any material respect the freedom of any of the Group Companies to: (A) compete with any Person in a product line or line of business, (B) otherwise develop, market, sell, distribute or otherwise exploit any service or products; or (C) operate in any geographic area;</w:t>
      </w:r>
    </w:p>
    <w:p>
      <w:pPr>
        <w:spacing w:after="0" w:line="117" w:lineRule="exact"/>
        <w:rPr>
          <w:rFonts w:ascii="Arial" w:cs="Arial" w:eastAsia="Arial" w:hAnsi="Arial"/>
          <w:sz w:val="17"/>
          <w:szCs w:val="17"/>
          <w:color w:val="auto"/>
        </w:rPr>
      </w:pPr>
    </w:p>
    <w:p>
      <w:pPr>
        <w:jc w:val="both"/>
        <w:ind w:left="660" w:firstLine="644"/>
        <w:spacing w:after="0" w:line="263" w:lineRule="auto"/>
        <w:tabs>
          <w:tab w:leader="none" w:pos="1581"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Contract (other than those made in the ordinary course of business): (A) providing for the grant of any preferential rights to purchase or lease any material asset (other than any services or products) of the Group Companies; or (B) providing for any right (exclusive or non-exclusive) to sell or distribute any material product or service of any of the Group Companies;</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1626"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Contract pursuant to which any of the Group Companies licenses material Intellectual Property from a third party, other than click-wrap, shrink-wrap and off-the-shelf software licenses, and any other software licenses that are available on standard terms to the public generally with license, maintenance, support and other fees less than $50,000 per year; and</w:t>
      </w:r>
    </w:p>
    <w:p>
      <w:pPr>
        <w:spacing w:after="0" w:line="129" w:lineRule="exact"/>
        <w:rPr>
          <w:rFonts w:ascii="Arial" w:cs="Arial" w:eastAsia="Arial" w:hAnsi="Arial"/>
          <w:sz w:val="18"/>
          <w:szCs w:val="18"/>
          <w:color w:val="auto"/>
        </w:rPr>
      </w:pPr>
    </w:p>
    <w:p>
      <w:pPr>
        <w:ind w:left="660" w:firstLine="644"/>
        <w:spacing w:after="0" w:line="277" w:lineRule="auto"/>
        <w:tabs>
          <w:tab w:leader="none" w:pos="1678"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obligation to register any Company Common Stock, Company Preferred Stock or other securities of the Company with any Governmental Entity.</w:t>
      </w:r>
    </w:p>
    <w:p>
      <w:pPr>
        <w:spacing w:after="0" w:line="116" w:lineRule="exact"/>
        <w:rPr>
          <w:rFonts w:ascii="Arial" w:cs="Arial" w:eastAsia="Arial" w:hAnsi="Arial"/>
          <w:sz w:val="18"/>
          <w:szCs w:val="18"/>
          <w:color w:val="auto"/>
        </w:rPr>
      </w:pPr>
    </w:p>
    <w:p>
      <w:pPr>
        <w:jc w:val="both"/>
        <w:ind w:firstLine="656"/>
        <w:spacing w:after="0" w:line="272" w:lineRule="auto"/>
        <w:tabs>
          <w:tab w:leader="none" w:pos="907"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All Company Material Contracts are: (i) in full force and effect, subject to the Remedies Exception; and (ii) represent the valid and binding obligations of the Company or one of the Company Subsidiaries party thereto and, to the Knowledge of the Company, represent the valid and binding obligations of the other parties thereto. True, correct and complete copies of all Company Material Contracts have been made available to Parent. None of the Group Companies nor, to the Knowledge of the Company, any other party thereto, is in breach of or default under, and no event has occurred which with notice or lapse of time or both would become a breach of or default under, any of the Company Material Contracts, and no party to any Company Material Contract has given any written or, to the Knowledge of the Company, oral, claim or notice of any such breach, default or event, which individually or in the aggregate, would be reasonably likely to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4.21</w:t>
      </w:r>
      <w:r>
        <w:rPr>
          <w:rFonts w:ascii="Arial" w:cs="Arial" w:eastAsia="Arial" w:hAnsi="Arial"/>
          <w:sz w:val="18"/>
          <w:szCs w:val="18"/>
          <w:color w:val="auto"/>
        </w:rPr>
        <w:t xml:space="preserve"> of the Company Disclosure Letter contains a list of all material policies of property, fire and casualty, product liability, workers’ compensation, and other forms of insurance held by, or for the benefit of, the Group Companies as of the date of this Agreement (collectively, the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which policies are in full force and effect as of the date of this Agreement. True and complete copies of the Insurance Policies (or, to the extent such policies are not available, policy binders) have been made available to Parent or its representatives. As of the date of this Agreement, none of the Group Companies has received any written notice from any insurer under any of the Insurance Policies, canceling, terminating or materially adversely amending any such policy or denying renewal of coverage thereunder and all premiums on such insurance policies due and payable as of the date of this Agreement have been paid. As of the date of this Agreement, there is no pending material claim by any Group Company against any insurance carrier for which coverage has been denied or disputed by the applicable insurance carrier (other than a customary reservation of rights notice).</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4.22 </w:t>
      </w:r>
      <w:r>
        <w:rPr>
          <w:rFonts w:ascii="Arial" w:cs="Arial" w:eastAsia="Arial" w:hAnsi="Arial"/>
          <w:sz w:val="17"/>
          <w:szCs w:val="17"/>
          <w:u w:val="single" w:color="auto"/>
          <w:color w:val="auto"/>
        </w:rPr>
        <w:t>Affiliate Matters</w:t>
      </w:r>
      <w:r>
        <w:rPr>
          <w:rFonts w:ascii="Arial" w:cs="Arial" w:eastAsia="Arial" w:hAnsi="Arial"/>
          <w:sz w:val="17"/>
          <w:szCs w:val="17"/>
          <w:color w:val="auto"/>
        </w:rPr>
        <w:t xml:space="preserve">. Except: (a) the Company Benefit Plans; (b) Contracts relating to labor and employment matters set forth on </w:t>
      </w:r>
      <w:r>
        <w:rPr>
          <w:rFonts w:ascii="Arial" w:cs="Arial" w:eastAsia="Arial" w:hAnsi="Arial"/>
          <w:sz w:val="17"/>
          <w:szCs w:val="17"/>
          <w:u w:val="single" w:color="auto"/>
          <w:color w:val="auto"/>
        </w:rPr>
        <w:t>Schedule 4.13</w:t>
      </w:r>
      <w:r>
        <w:rPr>
          <w:rFonts w:ascii="Arial" w:cs="Arial" w:eastAsia="Arial" w:hAnsi="Arial"/>
          <w:sz w:val="17"/>
          <w:szCs w:val="17"/>
          <w:color w:val="auto"/>
        </w:rPr>
        <w:t xml:space="preserve"> of the Company Disclosure Letter; and (c) Contracts between or among the Group Companies, none of the Group Companies is party to any Contract with any: (i) present or former officer, director, employee or Company Stockholder or a member of his or her immediate family of any of the Group Companies; or (ii) Affiliate of the Company (other than commercial contracts on arms-length terms). To the Knowledge of the Company, no present or former officer, director, employee, Company Stockholder or holder of derivative securities of the Company (each, an “</w:t>
      </w:r>
      <w:r>
        <w:rPr>
          <w:rFonts w:ascii="Arial" w:cs="Arial" w:eastAsia="Arial" w:hAnsi="Arial"/>
          <w:sz w:val="17"/>
          <w:szCs w:val="17"/>
          <w:u w:val="single" w:color="auto"/>
          <w:color w:val="auto"/>
        </w:rPr>
        <w:t>Insider</w:t>
      </w:r>
      <w:r>
        <w:rPr>
          <w:rFonts w:ascii="Arial" w:cs="Arial" w:eastAsia="Arial" w:hAnsi="Arial"/>
          <w:sz w:val="17"/>
          <w:szCs w:val="17"/>
          <w:color w:val="auto"/>
        </w:rPr>
        <w:t>”) or any member of an Insider’s immediate family is, directly or indirectly, interested in any Contract with any of the Group Companies (other than such Contracts as relate to any such Person’s ownership of Company Common Stock, Company Preferred Stock or other securities of the Company or such Person’s employment or consulting arrangements with the Group Companies or commercial contracts on arms-length terms).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Certain Provided Information</w:t>
      </w:r>
      <w:r>
        <w:rPr>
          <w:rFonts w:ascii="Arial" w:cs="Arial" w:eastAsia="Arial" w:hAnsi="Arial"/>
          <w:sz w:val="18"/>
          <w:szCs w:val="18"/>
          <w:color w:val="auto"/>
        </w:rPr>
        <w:t>. The information relating to the Group Companies supplied by the Company for inclusion in the Proxy Statement will not, as of the date on which the Proxy Statement (or any amendment or supplement thereto) is first distributed to holders of Parent Class A Stock or at the time of the Special Meeting, contain any untrue statement of a material fact or omit to state a material fact required to be stated therein or necessary to make the statements contained therein, in light of the circumstances under which they were made, not misleading. Notwithstanding the foregoing, the Company makes no representation, warranty or covenant with respect to statements made or incorporated by reference therein based on information supplied by Parent or Merger Sub for inclusion or incorporation by reference in the Proxy Statement or any Parent SEC Reports or Additional Parent SEC Reports.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4.24 </w:t>
      </w:r>
      <w:r>
        <w:rPr>
          <w:rFonts w:ascii="Arial" w:cs="Arial" w:eastAsia="Arial" w:hAnsi="Arial"/>
          <w:sz w:val="18"/>
          <w:szCs w:val="18"/>
          <w:u w:val="single" w:color="auto"/>
          <w:color w:val="auto"/>
        </w:rPr>
        <w:t>Absence of Certain Business Practices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95" w:val="left"/>
        </w:tabs>
        <w:numPr>
          <w:ilvl w:val="0"/>
          <w:numId w:val="313"/>
        </w:numPr>
        <w:rPr>
          <w:rFonts w:ascii="Arial" w:cs="Arial" w:eastAsia="Arial" w:hAnsi="Arial"/>
          <w:sz w:val="16"/>
          <w:szCs w:val="16"/>
          <w:color w:val="auto"/>
        </w:rPr>
      </w:pPr>
      <w:r>
        <w:rPr>
          <w:rFonts w:ascii="Arial" w:cs="Arial" w:eastAsia="Arial" w:hAnsi="Arial"/>
          <w:sz w:val="16"/>
          <w:szCs w:val="16"/>
          <w:color w:val="auto"/>
        </w:rPr>
        <w:t>For the past three years: (i) the Group Companies and their respective directors and officers (in their capacities as such) and, to the Knowledge of the Company, their respective employees or agents (in their capacities as such) have been in material compliance with all applicable Specified Business Conduct Laws; and (ii) none of the Group Companies has: (A) received written notice, inquiry or internal or external allegation of or made a voluntary, mandatory or directed disclosure to any Governmental Entity relating to any actual or potential violation of any Specified Business Conduct Law; or (B) been a party to or the subject of any pending or, to the Knowledge of the Company, threatened in writing Legal Proceeding or, to the Knowledge of the Company, investigation by or before any Governmental Entity related to any actual or potential violation of any Specified Business Conduct Law.</w:t>
      </w:r>
    </w:p>
    <w:p>
      <w:pPr>
        <w:spacing w:after="0" w:line="110" w:lineRule="exact"/>
        <w:rPr>
          <w:rFonts w:ascii="Arial" w:cs="Arial" w:eastAsia="Arial" w:hAnsi="Arial"/>
          <w:sz w:val="16"/>
          <w:szCs w:val="16"/>
          <w:color w:val="auto"/>
        </w:rPr>
      </w:pPr>
    </w:p>
    <w:p>
      <w:pPr>
        <w:jc w:val="both"/>
        <w:ind w:firstLine="656"/>
        <w:spacing w:after="0" w:line="263" w:lineRule="auto"/>
        <w:tabs>
          <w:tab w:leader="none" w:pos="90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None of the Group Companies, nor any of their respective directors or officers, nor to the Knowledge of the Company, any of their respective employees or agents is the subject or target of any sanctions or the target of restrictive export controls administered by the U.S. government, the United Nations Security Council, Her Majesty’s Treasury of the United Kingdom, or the European Union.</w:t>
      </w:r>
    </w:p>
    <w:p>
      <w:pPr>
        <w:spacing w:after="0" w:line="129" w:lineRule="exact"/>
        <w:rPr>
          <w:rFonts w:ascii="Arial" w:cs="Arial" w:eastAsia="Arial" w:hAnsi="Arial"/>
          <w:sz w:val="18"/>
          <w:szCs w:val="18"/>
          <w:color w:val="auto"/>
        </w:rPr>
      </w:pPr>
    </w:p>
    <w:p>
      <w:pPr>
        <w:jc w:val="both"/>
        <w:ind w:firstLine="656"/>
        <w:spacing w:after="0" w:line="279" w:lineRule="auto"/>
        <w:tabs>
          <w:tab w:leader="none" w:pos="91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None of the Group Companies, their respective directors or officers, or, to the Knowledge of the Company, their respective employees or agents is a person who is, or is owned or controlled by a person who is, the subject or target of any economic or financial sanctions or is located, organized or resident in a country or territory that is the subject of sanctions administered or enforced by OFAC, the U.S. Department of State, the United Nations Security Council, the European Union, Her Majesty’s Treasury, or other relevant sanctions authority, including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currently, Crimea, Cuba, Iran, North Korea, and Syria). None of the Group Companies’ products are identified or described on the Commerce Control List of the EAR or otherwise controlled for export.</w:t>
      </w:r>
    </w:p>
    <w:p>
      <w:pPr>
        <w:spacing w:after="0" w:line="116" w:lineRule="exact"/>
        <w:rPr>
          <w:sz w:val="20"/>
          <w:szCs w:val="20"/>
          <w:color w:val="auto"/>
        </w:rPr>
      </w:pPr>
    </w:p>
    <w:p>
      <w:pPr>
        <w:jc w:val="both"/>
        <w:ind w:firstLine="656"/>
        <w:spacing w:after="0" w:line="296" w:lineRule="auto"/>
        <w:tabs>
          <w:tab w:leader="none" w:pos="913" w:val="left"/>
        </w:tabs>
        <w:numPr>
          <w:ilvl w:val="0"/>
          <w:numId w:val="314"/>
        </w:numPr>
        <w:rPr>
          <w:rFonts w:ascii="Arial" w:cs="Arial" w:eastAsia="Arial" w:hAnsi="Arial"/>
          <w:sz w:val="16"/>
          <w:szCs w:val="16"/>
          <w:color w:val="auto"/>
        </w:rPr>
      </w:pPr>
      <w:r>
        <w:rPr>
          <w:rFonts w:ascii="Arial" w:cs="Arial" w:eastAsia="Arial" w:hAnsi="Arial"/>
          <w:sz w:val="16"/>
          <w:szCs w:val="16"/>
          <w:color w:val="auto"/>
        </w:rPr>
        <w:t>None of the Group Companies, their respective directors or officers (in their capacities as such), or, to the Knowledge of the Company, their respective employees or agents (in their capacities as such) is subject to any pending Legal Proceeding by any Governmental Entity, and, to the Knowledge of the Company, no such Legal Proceeding is threatened in writing, alleging that any of the Group Companies or such Person has offered, made or received on behalf of any of the Group Companies any illegal payment of any kind, directly or indirectly, including payments, gifts or gratuities, to any Person, including any United States federal, state, local or foreign government officeholder, official, employee or agent or any candidate therefor.</w:t>
      </w:r>
    </w:p>
    <w:p>
      <w:pPr>
        <w:spacing w:after="0" w:line="10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Government Grants and Incentives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provides a complete list of all pending and outstanding grants, incentives, benefits, qualifications and subsidies from any Governmental Entity granted to the Company or any of its Subsidiaries (collectively, “</w:t>
      </w:r>
      <w:r>
        <w:rPr>
          <w:rFonts w:ascii="Arial" w:cs="Arial" w:eastAsia="Arial" w:hAnsi="Arial"/>
          <w:sz w:val="16"/>
          <w:szCs w:val="16"/>
          <w:u w:val="single" w:color="auto"/>
          <w:color w:val="auto"/>
        </w:rPr>
        <w:t>Government Grants</w:t>
      </w:r>
      <w:r>
        <w:rPr>
          <w:rFonts w:ascii="Arial" w:cs="Arial" w:eastAsia="Arial" w:hAnsi="Arial"/>
          <w:sz w:val="16"/>
          <w:szCs w:val="16"/>
          <w:color w:val="auto"/>
        </w:rPr>
        <w:t xml:space="preserve">”). The Group Companies do not have any obligation whatsoever with respect to royalties or other payments relating to, arising out of or in connection with the Government Grants identified or required to be identified in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of the Company Disclosure Letter. The Group Companies are in material compliance with all of the terms, conditions and requirements of their respective Government Grants and have duly fulfilled all the undertakings relating thereto. None of the Group Companies or their agents, contractors, vendors, or licensors has developed any material Owned Intellectual Property through the application of any financing made available by any Government Grants, and no material Owned Intellectual Property is subject to any assignment, grant-back, license or other right of any Governmental Entity as a result of any Government Grants.</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4.26 </w:t>
      </w:r>
      <w:r>
        <w:rPr>
          <w:rFonts w:ascii="Arial" w:cs="Arial" w:eastAsia="Arial" w:hAnsi="Arial"/>
          <w:sz w:val="18"/>
          <w:szCs w:val="18"/>
          <w:u w:val="single" w:color="auto"/>
          <w:color w:val="auto"/>
        </w:rPr>
        <w:t>OIG</w:t>
      </w:r>
      <w:r>
        <w:rPr>
          <w:rFonts w:ascii="Arial" w:cs="Arial" w:eastAsia="Arial" w:hAnsi="Arial"/>
          <w:sz w:val="18"/>
          <w:szCs w:val="18"/>
          <w:color w:val="auto"/>
        </w:rPr>
        <w:t>. None of the employees of the Group Companies are included on the List of Excluded Individuals/Entities maintained by the Office of Inspector General of the United States Department of Health and Human Services.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4.27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7" w:lineRule="auto"/>
        <w:tabs>
          <w:tab w:leader="none" w:pos="90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Schedule 4.27(a)</w:t>
      </w:r>
      <w:r>
        <w:rPr>
          <w:rFonts w:ascii="Arial" w:cs="Arial" w:eastAsia="Arial" w:hAnsi="Arial"/>
          <w:sz w:val="18"/>
          <w:szCs w:val="18"/>
          <w:color w:val="auto"/>
        </w:rPr>
        <w:t xml:space="preserve"> lists the 20 largest customers (by revenue) of the Group Companies, during the 12-month period ending on December 31, 2020 (each, a “</w:t>
      </w:r>
      <w:r>
        <w:rPr>
          <w:rFonts w:ascii="Arial" w:cs="Arial" w:eastAsia="Arial" w:hAnsi="Arial"/>
          <w:sz w:val="18"/>
          <w:szCs w:val="18"/>
          <w:u w:val="single" w:color="auto"/>
          <w:color w:val="auto"/>
        </w:rPr>
        <w:t>Top Customer</w:t>
      </w:r>
      <w:r>
        <w:rPr>
          <w:rFonts w:ascii="Arial" w:cs="Arial" w:eastAsia="Arial" w:hAnsi="Arial"/>
          <w:sz w:val="18"/>
          <w:szCs w:val="18"/>
          <w:color w:val="auto"/>
        </w:rPr>
        <w:t>”). Since the commencement of such 12-month period until the date of this Agreement, (i) no Top Customer has terminated, or otherwise materially and adversely modified, its relationship with the Group Companies, and (ii) none of the Group Companies has received written notice from any Top Customer notifying any of the Group Companies that such Top Customer intends to terminate, or otherwise materially and adversely modify its relationship with the Group Companies.</w:t>
      </w:r>
    </w:p>
    <w:p>
      <w:pPr>
        <w:spacing w:after="0" w:line="133" w:lineRule="exact"/>
        <w:rPr>
          <w:rFonts w:ascii="Arial" w:cs="Arial" w:eastAsia="Arial" w:hAnsi="Arial"/>
          <w:sz w:val="18"/>
          <w:szCs w:val="18"/>
          <w:color w:val="auto"/>
        </w:rPr>
      </w:pPr>
    </w:p>
    <w:p>
      <w:pPr>
        <w:jc w:val="both"/>
        <w:ind w:firstLine="656"/>
        <w:spacing w:after="0" w:line="275" w:lineRule="auto"/>
        <w:tabs>
          <w:tab w:leader="none" w:pos="916"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Schedule 4.27(b)</w:t>
      </w:r>
      <w:r>
        <w:rPr>
          <w:rFonts w:ascii="Arial" w:cs="Arial" w:eastAsia="Arial" w:hAnsi="Arial"/>
          <w:sz w:val="17"/>
          <w:szCs w:val="17"/>
          <w:color w:val="auto"/>
        </w:rPr>
        <w:t xml:space="preserve"> lists the 20 largest suppliers (by amounts paid/payable to such suppliers) of the Group Companies, during the 12-month period ending on December 31, 2020 (each, a “</w:t>
      </w:r>
      <w:r>
        <w:rPr>
          <w:rFonts w:ascii="Arial" w:cs="Arial" w:eastAsia="Arial" w:hAnsi="Arial"/>
          <w:sz w:val="17"/>
          <w:szCs w:val="17"/>
          <w:u w:val="single" w:color="auto"/>
          <w:color w:val="auto"/>
        </w:rPr>
        <w:t>Top Supplier</w:t>
      </w:r>
      <w:r>
        <w:rPr>
          <w:rFonts w:ascii="Arial" w:cs="Arial" w:eastAsia="Arial" w:hAnsi="Arial"/>
          <w:sz w:val="17"/>
          <w:szCs w:val="17"/>
          <w:color w:val="auto"/>
        </w:rPr>
        <w:t>”). Since the commencement of such 12-month period until the date of this Agreement, (i) no such Top Supplier has terminated, or otherwise materially and adversely modified, its relationship with the Group Companies and (ii) none of the Group Companies has received written notice from any such Top Supplier notifying any of the Group Companies that such Top Supplier intends to terminate, or otherwise materially and adversely modify, its relationship with the Group Companies.</w:t>
      </w:r>
    </w:p>
    <w:p>
      <w:pPr>
        <w:spacing w:after="0" w:line="1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4.28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THE COMPANY HEREBY ACKNOWLEDGES THAT, EXCEPT AS EXPRESSLY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NONE OF PARENT, MERGER SUB, OR ANY OF THEIR RESPECTIVE AFFILIATES OR REPRESENTATIVES HAS MADE, IS MAKING, OR SHALL BE DEEMED TO MAKE ANY REPRESENTATION OR WARRANTY WHATSOEVER, EXPRESS OR IMPLIED, AT LAW OR IN EQUITY, TO THE COMPANY, ANY OF ITS AFFILIATES OR REPRESENTATIVES OR ANY OTHER PERSON, WITH RESPECT TO PARENT, MERGER SUB, OR ANY OF THEIR RESPECTIVE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PARENT, MERGER SUB, OR ANY OF THEIR RESPECTIVE AFFILIATES OR REPRESENTATIVES SHALL BE DEEMED TO MAKE TO THE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COMPANY, COMPANY STOCKHOLDERS, OR THEIR RESPECTIVE AFFILIATES OR REPRESENTATIVES ANY REPRESENTATION OR WARRANTY OTHER THAN AS EXPRESSLY MADE BY PARENT AND MERGER SUB TO THE COMPANY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(b) NONE OF PARENT, MERGER SUB, OR ANY OF THEIR RESPECTIVE AFFILIATES OR REPRESENTATIVES, HAS MADE, IS MAKING, OR SHALL BE DEEMED TO MAKE TO THE COMPANY, COMPANY STOCKHOLDERS, OR THEIR RESPECTIVE AFFILIATES OR REPRESENTATIVES OR ANY OTHER PERSON ANY REPRESENTATION OR WARRANTY, EXPRESS OR IMPLIED, WITH RESPECT TO: (i) THE INFORMATION DISTRIBUTED OR MADE AVAILABLE TO THEM BY OR ON BEHALF OF PARENT OR MERGER SUB IN CONNECTION WITH THIS AGREEMENT AND THE TRANSACTIONS; (ii) ANY MANAGEMENT PRESENTATION, CONFIDENTIAL INFORMATION MEMORANDUM OR SIMILAR DOCUMENT; OR (iii) ANY FINANCIAL PROJECTION, FORECAST, ESTIMATE, BUDGET OR SIMILAR ITEM RELATING TO PARENT, MERGER SUB, OR ANY OF THEIR BUSINESS, ASSETS, LIABILITIES, PROPERTIES, FINANCIAL CONDITION, RESULTS OF OPERATIONS AND PROJECTED OPERATIONS OF THE FOREGOING. THE COMPANY HEREBY ACKNOWLEDGES THAT IT HAS NOT RELIED ON ANY PROMISE, REPRESENTATION OR WARRANTY THAT IS NOT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THE COMPANY ACKNOWLEDGES THAT IT HAS CONDUCTED, TO ITS SATISFACTION, AN INDEPENDENT INVESTIGATION AND VERIFICATION OF PARENT, MERGER SUB, AND THE BUSINESS, ASSETS, LIABILITIES, PROPERTIES, FINANCIAL CONDITION, RESULTS OF OPERATIONS AND PROJECTED OPERATIONS OF THE FOREGOING AND, IN MAKING ITS DETERMINATION THE COMPANY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4.28</w:t>
      </w:r>
      <w:r>
        <w:rPr>
          <w:rFonts w:ascii="Arial" w:cs="Arial" w:eastAsia="Arial" w:hAnsi="Arial"/>
          <w:sz w:val="17"/>
          <w:szCs w:val="17"/>
          <w:color w:val="auto"/>
        </w:rPr>
        <w:t xml:space="preserve">, CLAIMS AGAINST PARENT, MERGER SUB, OR ANY OTHER PERSON SHALL NOT BE LIMITED IN ANY RESPECT IN THE EVENT OF INTENTIONAL FRAUD IN THE MAKING OF THE REPRESENTATIONS AND WARRANTIES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BY SUCH PERSON.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 as set forth in the letter dated as of the date of this Agreement and delivered by Parent and Merger Sub to the Company on or prior to the date of this 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and (b) as disclosed in the Parent SEC Reports filed with the SEC prior to the date of this Agreement (to the extent the qualifying nature of such disclosure is readily apparent from the content of such Parent SEC Reports) excluding disclosures referred to in “Forward-Looking Statements”, “Risk Factors” and any other disclosures therein to the extent they are of a predictive or cautionary nature or related to forward-looking statements, Parent and Merger Sub represent and warrant to the Company as of the date hereof and as of the Closing Date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71" w:lineRule="exact"/>
        <w:rPr>
          <w:sz w:val="20"/>
          <w:szCs w:val="20"/>
          <w:color w:val="auto"/>
        </w:rPr>
      </w:pPr>
    </w:p>
    <w:p>
      <w:pPr>
        <w:ind w:right="20" w:firstLine="656"/>
        <w:spacing w:after="0" w:line="342" w:lineRule="auto"/>
        <w:tabs>
          <w:tab w:leader="none" w:pos="9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of Parent and Merger Sub is duly incorporated, validly existing and in good standing under the laws of the State of Delaware, and as of immediately prior to the Closing, will be a company duly organized, validly existing and in good standing under the laws of the State of Delaware.</w:t>
      </w:r>
    </w:p>
    <w:p>
      <w:pPr>
        <w:spacing w:after="0" w:line="69" w:lineRule="exact"/>
        <w:rPr>
          <w:rFonts w:ascii="Arial" w:cs="Arial" w:eastAsia="Arial" w:hAnsi="Arial"/>
          <w:sz w:val="16"/>
          <w:szCs w:val="16"/>
          <w:color w:val="auto"/>
        </w:rPr>
      </w:pPr>
    </w:p>
    <w:p>
      <w:pPr>
        <w:ind w:right="20" w:firstLine="656"/>
        <w:spacing w:after="0" w:line="342" w:lineRule="auto"/>
        <w:tabs>
          <w:tab w:leader="none" w:pos="9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of Parent and Merger Sub has the requisite corporate or limited liability power and authority to own, lease and operate its assets and properties and to carry on its business as it is now being conducted, except as would not be material to Parent and Merger Sub, taken as a whole.</w:t>
      </w:r>
    </w:p>
    <w:p>
      <w:pPr>
        <w:spacing w:after="0" w:line="69" w:lineRule="exact"/>
        <w:rPr>
          <w:rFonts w:ascii="Arial" w:cs="Arial" w:eastAsia="Arial" w:hAnsi="Arial"/>
          <w:sz w:val="16"/>
          <w:szCs w:val="16"/>
          <w:color w:val="auto"/>
        </w:rPr>
      </w:pPr>
    </w:p>
    <w:p>
      <w:pPr>
        <w:ind w:left="900" w:hanging="244"/>
        <w:spacing w:after="0"/>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None of Parent or Merger Sub are in violation of any of the provisions of their respective Charter Documents.</w:t>
      </w:r>
    </w:p>
    <w:p>
      <w:pPr>
        <w:spacing w:after="0" w:line="171" w:lineRule="exact"/>
        <w:rPr>
          <w:rFonts w:ascii="Arial" w:cs="Arial" w:eastAsia="Arial" w:hAnsi="Arial"/>
          <w:sz w:val="18"/>
          <w:szCs w:val="18"/>
          <w:color w:val="auto"/>
        </w:rPr>
      </w:pPr>
    </w:p>
    <w:p>
      <w:pPr>
        <w:jc w:val="both"/>
        <w:ind w:firstLine="656"/>
        <w:spacing w:after="0" w:line="286" w:lineRule="auto"/>
        <w:tabs>
          <w:tab w:leader="none" w:pos="903"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Each of Parent and Merger Sub is duly qualified or licensed to do business as a foreign corporation and is in good standing, in each jurisdiction where the character of the properties owned, leased or operated by it or the nature of its activities makes such qualification or licensing necessary. Each jurisdiction in which Parent and Merger Sub are so qualified or licensed is listed on </w:t>
      </w:r>
      <w:r>
        <w:rPr>
          <w:rFonts w:ascii="Arial" w:cs="Arial" w:eastAsia="Arial" w:hAnsi="Arial"/>
          <w:sz w:val="17"/>
          <w:szCs w:val="17"/>
          <w:u w:val="single" w:color="auto"/>
          <w:color w:val="auto"/>
        </w:rPr>
        <w:t>Schedule 5.1(d)</w:t>
      </w:r>
      <w:r>
        <w:rPr>
          <w:rFonts w:ascii="Arial" w:cs="Arial" w:eastAsia="Arial" w:hAnsi="Arial"/>
          <w:sz w:val="17"/>
          <w:szCs w:val="17"/>
          <w:color w:val="auto"/>
        </w:rPr>
        <w:t xml:space="preserve"> of the Parent Disclosure Letter.</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Parent Subsidiaries</w:t>
      </w:r>
      <w:r>
        <w:rPr>
          <w:rFonts w:ascii="Arial" w:cs="Arial" w:eastAsia="Arial" w:hAnsi="Arial"/>
          <w:sz w:val="17"/>
          <w:szCs w:val="17"/>
          <w:color w:val="auto"/>
        </w:rPr>
        <w:t>. Parent has no direct or indirect Subsidiaries or participations in joint ventures or other entities, and does not own, directly or indirectly, any equity interests or other interests or investments (whether equity or debt) in any Person, whether incorporated or unincorporated, other than Merger Sub. Merger Sub has no assets or properties of any kind, does not now conduct and has never conducted any business, and has and will have at the Closing no obligations or liabilities of any nature whatsoever, except for such obligations as are imposed under this Agreement. Merger Sub is an entity that has been formed solely for the purpose of engaging in the Transactions.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70" w:lineRule="auto"/>
        <w:tabs>
          <w:tab w:leader="none" w:pos="88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As of the date of this Agreement: (i) 380,000,000 Class A common shares of Parent, par value $0.0001 per share (“</w:t>
      </w:r>
      <w:r>
        <w:rPr>
          <w:rFonts w:ascii="Arial" w:cs="Arial" w:eastAsia="Arial" w:hAnsi="Arial"/>
          <w:sz w:val="17"/>
          <w:szCs w:val="17"/>
          <w:u w:val="single" w:color="auto"/>
          <w:color w:val="auto"/>
        </w:rPr>
        <w:t>Parent Class A Stock</w:t>
      </w:r>
      <w:r>
        <w:rPr>
          <w:rFonts w:ascii="Arial" w:cs="Arial" w:eastAsia="Arial" w:hAnsi="Arial"/>
          <w:sz w:val="17"/>
          <w:szCs w:val="17"/>
          <w:color w:val="auto"/>
        </w:rPr>
        <w:t>”), are authorized and 44,275,000 shares of Parent Class A Stock are issued and outstanding; (ii) 20,000,000 Class B common shares of Parent, par value $0.0001 per share (“</w:t>
      </w:r>
      <w:r>
        <w:rPr>
          <w:rFonts w:ascii="Arial" w:cs="Arial" w:eastAsia="Arial" w:hAnsi="Arial"/>
          <w:sz w:val="17"/>
          <w:szCs w:val="17"/>
          <w:u w:val="single" w:color="auto"/>
          <w:color w:val="auto"/>
        </w:rPr>
        <w:t>Parent Class B Stock</w:t>
      </w:r>
      <w:r>
        <w:rPr>
          <w:rFonts w:ascii="Arial" w:cs="Arial" w:eastAsia="Arial" w:hAnsi="Arial"/>
          <w:sz w:val="17"/>
          <w:szCs w:val="17"/>
          <w:color w:val="auto"/>
        </w:rPr>
        <w:t>” and, together with the Parent Class A Stock, the “</w:t>
      </w:r>
      <w:r>
        <w:rPr>
          <w:rFonts w:ascii="Arial" w:cs="Arial" w:eastAsia="Arial" w:hAnsi="Arial"/>
          <w:sz w:val="17"/>
          <w:szCs w:val="17"/>
          <w:u w:val="single" w:color="auto"/>
          <w:color w:val="auto"/>
        </w:rPr>
        <w:t>Parent Shares</w:t>
      </w:r>
      <w:r>
        <w:rPr>
          <w:rFonts w:ascii="Arial" w:cs="Arial" w:eastAsia="Arial" w:hAnsi="Arial"/>
          <w:sz w:val="17"/>
          <w:szCs w:val="17"/>
          <w:color w:val="auto"/>
        </w:rPr>
        <w:t>”), are authorized and 11,068,750 shares of Parent Class B Stock are issued and outstanding; (iii) upon the closing of the transactions contemplated by the Equity Financing Agreements, Parent has committed to issue 35,000,000 shares of Parent Class A Stock to the Equity Financing Investors; (iv) 7,236,667 warrants to purchase one share of Parent Class A Stock (the “</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are outstanding; and (v) 14,758,333 warrants to purchase one share of Parent Class A Stock (the “</w:t>
      </w:r>
      <w:r>
        <w:rPr>
          <w:rFonts w:ascii="Arial" w:cs="Arial" w:eastAsia="Arial" w:hAnsi="Arial"/>
          <w:sz w:val="17"/>
          <w:szCs w:val="17"/>
          <w:u w:val="single" w:color="auto"/>
          <w:color w:val="auto"/>
        </w:rPr>
        <w:t>Public Warrants</w:t>
      </w:r>
      <w:r>
        <w:rPr>
          <w:rFonts w:ascii="Arial" w:cs="Arial" w:eastAsia="Arial" w:hAnsi="Arial"/>
          <w:sz w:val="17"/>
          <w:szCs w:val="17"/>
          <w:color w:val="auto"/>
        </w:rPr>
        <w:t>”, collectively with the Private Placement Warrants, the “</w:t>
      </w:r>
      <w:r>
        <w:rPr>
          <w:rFonts w:ascii="Arial" w:cs="Arial" w:eastAsia="Arial" w:hAnsi="Arial"/>
          <w:sz w:val="17"/>
          <w:szCs w:val="17"/>
          <w:u w:val="single" w:color="auto"/>
          <w:color w:val="auto"/>
        </w:rPr>
        <w:t>Parent Warrants</w:t>
      </w:r>
      <w:r>
        <w:rPr>
          <w:rFonts w:ascii="Arial" w:cs="Arial" w:eastAsia="Arial" w:hAnsi="Arial"/>
          <w:sz w:val="17"/>
          <w:szCs w:val="17"/>
          <w:color w:val="auto"/>
        </w:rPr>
        <w:t>”) are outstanding. All outstanding Parent Class A Stock, Parent Class B Stock, Private Placement Warrants and Public Warrants have been duly authorized, validly issued, fully paid and are non-assessable and are not subject to preemptive rights.</w:t>
      </w:r>
    </w:p>
    <w:p>
      <w:pPr>
        <w:spacing w:after="0" w:line="126" w:lineRule="exact"/>
        <w:rPr>
          <w:rFonts w:ascii="Arial" w:cs="Arial" w:eastAsia="Arial" w:hAnsi="Arial"/>
          <w:sz w:val="17"/>
          <w:szCs w:val="17"/>
          <w:color w:val="auto"/>
        </w:rPr>
      </w:pPr>
    </w:p>
    <w:p>
      <w:pPr>
        <w:jc w:val="both"/>
        <w:ind w:firstLine="656"/>
        <w:spacing w:after="0" w:line="311" w:lineRule="auto"/>
        <w:tabs>
          <w:tab w:leader="none" w:pos="908"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 shares of common stock, par value $0.0001 per share (the “</w:t>
      </w:r>
      <w:r>
        <w:rPr>
          <w:rFonts w:ascii="Arial" w:cs="Arial" w:eastAsia="Arial" w:hAnsi="Arial"/>
          <w:sz w:val="16"/>
          <w:szCs w:val="16"/>
          <w:u w:val="single" w:color="auto"/>
          <w:color w:val="auto"/>
        </w:rPr>
        <w:t>Merger Sub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As of the date hereof, 100 shares of Merger Sub Common Stock are issued and outstanding. All outstanding shares of Merger Sub Common Stock have been duly authorized, validly issued, fully paid and are non-assessable and are not subject to preemptive rights, and are held by Parent.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44" w:lineRule="exact"/>
        <w:rPr>
          <w:sz w:val="20"/>
          <w:szCs w:val="20"/>
          <w:color w:val="auto"/>
        </w:rPr>
      </w:pPr>
    </w:p>
    <w:p>
      <w:pPr>
        <w:jc w:val="both"/>
        <w:ind w:firstLine="656"/>
        <w:spacing w:after="0" w:line="273" w:lineRule="auto"/>
        <w:tabs>
          <w:tab w:leader="none" w:pos="927" w:val="left"/>
        </w:tabs>
        <w:numPr>
          <w:ilvl w:val="1"/>
          <w:numId w:val="318"/>
        </w:numPr>
        <w:rPr>
          <w:rFonts w:ascii="Arial" w:cs="Arial" w:eastAsia="Arial" w:hAnsi="Arial"/>
          <w:sz w:val="17"/>
          <w:szCs w:val="17"/>
          <w:color w:val="auto"/>
        </w:rPr>
      </w:pPr>
      <w:r>
        <w:rPr>
          <w:rFonts w:ascii="Arial" w:cs="Arial" w:eastAsia="Arial" w:hAnsi="Arial"/>
          <w:sz w:val="17"/>
          <w:szCs w:val="17"/>
          <w:color w:val="auto"/>
        </w:rPr>
        <w:t>Except for the Parent Warrants and the Equity Financing Agreements, there are no outstanding options, warrants, rights, convertible or exchangeable securities, “phantom” stock rights, stock appreciation rights, stock-based performance units, commitments or Contracts of any kind to which Parent or Merger Sub is a party or by which any of them is bound obligating Parent or Merger Sub to issue, deliver or sell, or cause to be issued, delivered or sold, additional Parent Shares, Merger Sub Common Stock or any other shares of capital stock or membership interests other interest or participation in, or any security convertible or exercisable for or exchangeable into Parent Shares, Merger Sub Common Stock or any other shares of capital stock or membership interests or other interest or participation in Parent or Merger Sub.</w:t>
      </w:r>
    </w:p>
    <w:p>
      <w:pPr>
        <w:spacing w:after="0" w:line="123" w:lineRule="exact"/>
        <w:rPr>
          <w:rFonts w:ascii="Arial" w:cs="Arial" w:eastAsia="Arial" w:hAnsi="Arial"/>
          <w:sz w:val="17"/>
          <w:szCs w:val="17"/>
          <w:color w:val="auto"/>
        </w:rPr>
      </w:pPr>
    </w:p>
    <w:p>
      <w:pPr>
        <w:ind w:left="920" w:hanging="264"/>
        <w:spacing w:after="0"/>
        <w:tabs>
          <w:tab w:leader="none" w:pos="920" w:val="left"/>
        </w:tabs>
        <w:numPr>
          <w:ilvl w:val="1"/>
          <w:numId w:val="318"/>
        </w:numPr>
        <w:rPr>
          <w:rFonts w:ascii="Arial" w:cs="Arial" w:eastAsia="Arial" w:hAnsi="Arial"/>
          <w:sz w:val="16"/>
          <w:szCs w:val="16"/>
          <w:color w:val="auto"/>
        </w:rPr>
      </w:pPr>
      <w:r>
        <w:rPr>
          <w:rFonts w:ascii="Arial" w:cs="Arial" w:eastAsia="Arial" w:hAnsi="Arial"/>
          <w:sz w:val="16"/>
          <w:szCs w:val="16"/>
          <w:color w:val="auto"/>
        </w:rPr>
        <w:t>Each Parent Share, share of Merger Sub Common Stock and Parent Warrant: (i) has been issued in compliance in all material respects with:</w:t>
      </w:r>
    </w:p>
    <w:p>
      <w:pPr>
        <w:spacing w:after="0" w:line="46" w:lineRule="exact"/>
        <w:rPr>
          <w:rFonts w:ascii="Arial" w:cs="Arial" w:eastAsia="Arial" w:hAnsi="Arial"/>
          <w:sz w:val="16"/>
          <w:szCs w:val="16"/>
          <w:color w:val="auto"/>
        </w:rPr>
      </w:pPr>
    </w:p>
    <w:p>
      <w:pPr>
        <w:jc w:val="both"/>
        <w:ind w:firstLine="8"/>
        <w:spacing w:after="0" w:line="277" w:lineRule="auto"/>
        <w:tabs>
          <w:tab w:leader="none" w:pos="311"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Applicable Legal Requirements; and (B) the Charter Documents of Parent or Merger Sub, as applicable; and (ii) was not issued in violation of any purchase option, call option, right of first refusal, preemptive right, subscription right or any similar right under any Applicable Legal Requirements, the Charter Documents of Parent or Merger Sub, as applicable or any Contract to which any of Parent or Merger Sub is a party or otherwise bound by.</w:t>
      </w:r>
    </w:p>
    <w:p>
      <w:pPr>
        <w:spacing w:after="0" w:line="118" w:lineRule="exact"/>
        <w:rPr>
          <w:rFonts w:ascii="Arial" w:cs="Arial" w:eastAsia="Arial" w:hAnsi="Arial"/>
          <w:sz w:val="17"/>
          <w:szCs w:val="17"/>
          <w:color w:val="auto"/>
        </w:rPr>
      </w:pPr>
    </w:p>
    <w:p>
      <w:pPr>
        <w:ind w:firstLine="656"/>
        <w:spacing w:after="0" w:line="277" w:lineRule="auto"/>
        <w:tabs>
          <w:tab w:leader="none" w:pos="89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All outstanding shares of capital stock of the Subsidiaries of Parent are owned by Parent, or a direct or indirect wholly-owned Subsidiary of Parent, free and clear of all Liens (other than Permitted Liens).</w:t>
      </w:r>
    </w:p>
    <w:p>
      <w:pPr>
        <w:spacing w:after="0" w:line="116" w:lineRule="exact"/>
        <w:rPr>
          <w:rFonts w:ascii="Arial" w:cs="Arial" w:eastAsia="Arial" w:hAnsi="Arial"/>
          <w:sz w:val="18"/>
          <w:szCs w:val="18"/>
          <w:color w:val="auto"/>
        </w:rPr>
      </w:pPr>
    </w:p>
    <w:p>
      <w:pPr>
        <w:jc w:val="both"/>
        <w:ind w:right="20" w:firstLine="656"/>
        <w:spacing w:after="0" w:line="279" w:lineRule="auto"/>
        <w:tabs>
          <w:tab w:leader="none" w:pos="899" w:val="left"/>
        </w:tabs>
        <w:numPr>
          <w:ilvl w:val="1"/>
          <w:numId w:val="319"/>
        </w:numPr>
        <w:rPr>
          <w:rFonts w:ascii="Arial" w:cs="Arial" w:eastAsia="Arial" w:hAnsi="Arial"/>
          <w:sz w:val="17"/>
          <w:szCs w:val="17"/>
          <w:color w:val="auto"/>
        </w:rPr>
      </w:pPr>
      <w:r>
        <w:rPr>
          <w:rFonts w:ascii="Arial" w:cs="Arial" w:eastAsia="Arial" w:hAnsi="Arial"/>
          <w:sz w:val="17"/>
          <w:szCs w:val="17"/>
          <w:color w:val="auto"/>
        </w:rPr>
        <w:t>Subject to approval of the Parent Stockholder Matters, the shares of Parent Class A Stock to be issued by Parent in connection with the Transactions, upon issuance in accordance with the terms of this Agreement will be duly authorized, validly issued, fully paid and nonassessable, and will not be subject to any preemptive rights of any other stockholder of Parent and will be capable of effectively vesting in the Company Stockholders title to all such securities, free and clear of all Liens (other than Liens arising pursuant to applicable securities Legal Requirements).</w:t>
      </w:r>
    </w:p>
    <w:p>
      <w:pPr>
        <w:spacing w:after="0" w:line="117" w:lineRule="exact"/>
        <w:rPr>
          <w:rFonts w:ascii="Arial" w:cs="Arial" w:eastAsia="Arial" w:hAnsi="Arial"/>
          <w:sz w:val="17"/>
          <w:szCs w:val="17"/>
          <w:color w:val="auto"/>
        </w:rPr>
      </w:pPr>
    </w:p>
    <w:p>
      <w:pPr>
        <w:jc w:val="both"/>
        <w:ind w:firstLine="656"/>
        <w:spacing w:after="0" w:line="263" w:lineRule="auto"/>
        <w:tabs>
          <w:tab w:leader="none" w:pos="905"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Each holder of any of Parent Shares initially issued to the Sponsor in connection with Parent’s initial public offering: (i) is obligated to vote all of such Parent Shares in favor of approving the Transactions; and (ii) is not entitled to elect to redeem any of such Parent pursuant to the Parent Organizational Documents.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9" w:val="left"/>
        </w:tabs>
        <w:numPr>
          <w:ilvl w:val="1"/>
          <w:numId w:val="319"/>
        </w:numPr>
        <w:rPr>
          <w:rFonts w:ascii="Arial" w:cs="Arial" w:eastAsia="Arial" w:hAnsi="Arial"/>
          <w:sz w:val="18"/>
          <w:szCs w:val="18"/>
          <w:color w:val="auto"/>
        </w:rPr>
      </w:pPr>
      <w:r>
        <w:rPr>
          <w:rFonts w:ascii="Arial" w:cs="Arial" w:eastAsia="Arial" w:hAnsi="Arial"/>
          <w:sz w:val="18"/>
          <w:szCs w:val="18"/>
          <w:color w:val="auto"/>
        </w:rPr>
        <w:t>Except as set forth in the Parent Organizational Documents and in connection with the Transactions, there are no registration rights, and there is no voting trust, proxy, rights plan, anti-takeover plan or other agreements or understandings to which Parent is a party or by which Parent is bound with respect to any ownership interests of Parent.</w:t>
      </w:r>
    </w:p>
    <w:p>
      <w:pPr>
        <w:spacing w:after="0" w:line="129" w:lineRule="exact"/>
        <w:rPr>
          <w:rFonts w:ascii="Arial" w:cs="Arial" w:eastAsia="Arial" w:hAnsi="Arial"/>
          <w:sz w:val="18"/>
          <w:szCs w:val="18"/>
          <w:color w:val="auto"/>
        </w:rPr>
      </w:pPr>
    </w:p>
    <w:p>
      <w:pPr>
        <w:ind w:left="860" w:hanging="204"/>
        <w:spacing w:after="0"/>
        <w:tabs>
          <w:tab w:leader="none" w:pos="860"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The holders of the Parent Class B Stock have waived any adjustment to the Initial Conversion Ratio (as defined in the Parent Charter).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Authority Relative to this Agreement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69" w:lineRule="auto"/>
        <w:tabs>
          <w:tab w:leader="none" w:pos="92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Each of Parent and Merger Sub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Transactions (including the Merger). The execution and delivery by Parent and Merger Sub of this Agreement and the other Transaction Agreements to which each of them is a party, and the consummation by Parent and Merger Sub of the Transactions (including the Merger) have been duly and validly authorized by all necessary corporate or limited liability company action on the part of each of Parent and Merger Sub, and no other proceedings on the part of Parent or Merger Sub are necessary to authorize this Agreement or the other Transaction Agreements to which each of them is a party or to consummate the transactions contemplated thereby, other than approval of the Parent Stockholder Matters. This Agreement and the other Transaction Agreements to which each of them is a party have been, or in the case of any Transaction Agreements to be executed at or in connection with the Closing, will be duly and validly executed and delivered by Parent and Merger Sub and, assuming the due authorization, execution and delivery thereof by the other Parties, constitute or will constitute the legal and binding obligations of Parent and Merger Sub (as applicable), enforceable against Parent and Merger Sub (as applicable) in accordance with their terms, subject to the Remedies Exception.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40"/>
          </w:cols>
          <w:pgMar w:left="320" w:top="1440" w:right="339" w:bottom="1440" w:gutter="0" w:footer="0" w:header="0"/>
        </w:sectPr>
      </w:pPr>
    </w:p>
    <w:bookmarkStart w:id="460" w:name="page461"/>
    <w:bookmarkEnd w:id="460"/>
    <w:p>
      <w:pPr>
        <w:spacing w:after="0" w:line="144" w:lineRule="exact"/>
        <w:rPr>
          <w:sz w:val="20"/>
          <w:szCs w:val="20"/>
          <w:color w:val="auto"/>
        </w:rPr>
      </w:pPr>
    </w:p>
    <w:p>
      <w:pPr>
        <w:jc w:val="both"/>
        <w:ind w:firstLine="656"/>
        <w:spacing w:after="0" w:line="273" w:lineRule="auto"/>
        <w:tabs>
          <w:tab w:leader="none" w:pos="90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affirmative vote of (i) a majority of the votes cast by the stockholders of Parent present in person or represented by proxy at the Special Meeting and entitled to vote thereon at the Special Meeting shall be required to approve the Parent Stockholder Matters (other than the amendment and restatement of the Parent Organizational Documents) and (ii) holders representing a majority of the outstanding capital stock of Parent entitled to vote thereon at the Special Meeting shall be required to approve the amendment and restatement of the Parent Organizational Documents ((i) and (ii), such approval by the stockholders of Parent, the “</w:t>
      </w:r>
      <w:r>
        <w:rPr>
          <w:rFonts w:ascii="Arial" w:cs="Arial" w:eastAsia="Arial" w:hAnsi="Arial"/>
          <w:sz w:val="17"/>
          <w:szCs w:val="17"/>
          <w:u w:val="single" w:color="auto"/>
          <w:color w:val="auto"/>
        </w:rPr>
        <w:t>Parent Stockholder Approval</w:t>
      </w:r>
      <w:r>
        <w:rPr>
          <w:rFonts w:ascii="Arial" w:cs="Arial" w:eastAsia="Arial" w:hAnsi="Arial"/>
          <w:sz w:val="17"/>
          <w:szCs w:val="17"/>
          <w:color w:val="auto"/>
        </w:rPr>
        <w:t>”). The Parent Stockholder Approval is the only vote of the holders of any class or series of capital stock of Parent required to approve and adopt this Agreement and approve the Transactions.</w:t>
      </w:r>
    </w:p>
    <w:p>
      <w:pPr>
        <w:spacing w:after="0" w:line="123" w:lineRule="exact"/>
        <w:rPr>
          <w:rFonts w:ascii="Arial" w:cs="Arial" w:eastAsia="Arial" w:hAnsi="Arial"/>
          <w:sz w:val="17"/>
          <w:szCs w:val="17"/>
          <w:color w:val="auto"/>
        </w:rPr>
      </w:pPr>
    </w:p>
    <w:p>
      <w:pPr>
        <w:jc w:val="both"/>
        <w:ind w:firstLine="656"/>
        <w:spacing w:after="0" w:line="255" w:lineRule="auto"/>
        <w:tabs>
          <w:tab w:leader="none" w:pos="88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 a meeting duly called and held, the board of directors of Parent has unanimously: (i) determined that it is in the best interests of Parent and the stockholders of Parent, and declared it advisable, to enter into this Agreement providing for the Merger in accordance with the DGCL; (ii) determined that the fair market value of the Company is equal to at least 80% of the amount held in the Trust Account (excluding any deferred underwriting commissions and taxes payable on interest earned) as of the date hereof; (iii) approved this Agreement and the Transactions, including the Merger in accordance with the DGCL, on the terms and subject to the conditions of this Agreement; and (iv) adopted a resolution recommending the plan of merger set forth in this Agreement be adopted by the stockholders of Parent.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0" w:lineRule="auto"/>
        <w:tabs>
          <w:tab w:leader="none" w:pos="90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Neither the execution, delivery nor performance by Parent and Merger Sub of this Agreement or the other Transaction Agreements to which each of them is a party, nor (assuming approval of the Parent Stockholder Matters is obtained) the consummation of the Transactions shall: (i) conflict with or violate their respective Charter Documents; (ii) assuming that the consents, approvals, orders, authorizations, registrations, filings or permits referred to in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are duly and timely obtained or made, conflict with or violate any Applicable Legal Requirements; or (iii) result in any breach of or constitute a default (or an event that with notice or lapse of time or both would become a default) under, or materially impair their respective rights or alter the rights or obligations of any third party under, or give to others any rights of consent, termination, amendment, acceleration or cancellation of, or result in the creation of a Lien (other than any Permitted Lien) on any of the properties or assets of Parent or any of its Subsidiaries pursuant to, any Parent Material Contracts, except, with respect to clause (iii), as would not, individually or in the aggregate, have a Parent Material Adverse Effect.</w:t>
      </w:r>
    </w:p>
    <w:p>
      <w:pPr>
        <w:spacing w:after="0" w:line="111" w:lineRule="exact"/>
        <w:rPr>
          <w:rFonts w:ascii="Arial" w:cs="Arial" w:eastAsia="Arial" w:hAnsi="Arial"/>
          <w:sz w:val="16"/>
          <w:szCs w:val="16"/>
          <w:color w:val="auto"/>
        </w:rPr>
      </w:pPr>
    </w:p>
    <w:p>
      <w:pPr>
        <w:jc w:val="both"/>
        <w:ind w:firstLine="656"/>
        <w:spacing w:after="0" w:line="254" w:lineRule="auto"/>
        <w:tabs>
          <w:tab w:leader="none" w:pos="90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execution and delivery by each of Parent and Merger Sub of this Agreement and the other Transaction Agreements to which it is a party, does not, and the performance of its obligations hereunder and thereunder will not, require any consent, approval, authorization or permit of, or filing with or notification to, any Governmental Entity, except: (i) for the filing of the Certificate of Merger in accordance with the DGCL; (ii) for applicable requirements, if any, of the Securities Act, the Exchange Act, blue sky laws, and the rules and regulations thereunder, and appropriate documents with the relevant authorities of other jurisdictions in which Parent is qualified to do business; (iii) for the filing of any notifications required under the HSR Act and the expiration of the required waiting period thereunder; and (iv) where the failure to obtain such consents, approvals, authorizations or permits, or to make such filings or notifications, would not, individually or in the aggregate, reasonably be expected to have a Parent Material Adverse Effect, or prevent the consummation of the Merger.</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Compliance; Approvals</w:t>
      </w:r>
      <w:r>
        <w:rPr>
          <w:rFonts w:ascii="Arial" w:cs="Arial" w:eastAsia="Arial" w:hAnsi="Arial"/>
          <w:sz w:val="17"/>
          <w:szCs w:val="17"/>
          <w:color w:val="auto"/>
        </w:rPr>
        <w:t>. Since its incorporation or organization, as applicable, each of Parent and Merger Sub has complied in all material respects with and has not been in violation of any Applicable Legal Requirements with respect to the conduct of its business, or the ownership or operation of its business. Since the date of its incorporation or organization, as applicable, to the Knowledge of Parent, no investigation or review by any Governmental Entity with respect to Parent or any of its Subsidiaries has been pending or threatened. No written, or to the Knowledge of Parent, oral notice of non-compliance with any Applicable Legal Requirements has been received by Parent or Merger Sub. Each of Parent and Merger Sub is in possession of all Approvals necessary to own, lease and operate the properties it purports to own, operate or lease and to carry on its business as it is now being conducted, except where the failure to have such Approvals would not, individually or in the aggregate, reasonably be expected to be material to Parent and Merger Sub, taken as a whole.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40"/>
          </w:cols>
          <w:pgMar w:left="320" w:top="1440" w:right="339" w:bottom="1440" w:gutter="0" w:footer="0" w:header="0"/>
        </w:sectPr>
      </w:pPr>
    </w:p>
    <w:bookmarkStart w:id="461" w:name="page462"/>
    <w:bookmarkEnd w:id="46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Parent SEC Reports and Financial Statements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84" w:lineRule="auto"/>
        <w:tabs>
          <w:tab w:leader="none" w:pos="899" w:val="left"/>
        </w:tabs>
        <w:numPr>
          <w:ilvl w:val="0"/>
          <w:numId w:val="323"/>
        </w:numPr>
        <w:rPr>
          <w:rFonts w:ascii="Arial" w:cs="Arial" w:eastAsia="Arial" w:hAnsi="Arial"/>
          <w:sz w:val="16"/>
          <w:szCs w:val="16"/>
          <w:color w:val="auto"/>
        </w:rPr>
      </w:pPr>
      <w:r>
        <w:rPr>
          <w:rFonts w:ascii="Arial" w:cs="Arial" w:eastAsia="Arial" w:hAnsi="Arial"/>
          <w:sz w:val="16"/>
          <w:szCs w:val="16"/>
          <w:color w:val="auto"/>
        </w:rPr>
        <w:t>Parent has filed all forms, reports, schedules, statements and other documents, including any exhibits thereto, required to be filed or furnished by Parent with the SEC under the Exchange Act or the Securities Act since the initial registration of Parent Class A Common Stock to the date of this Agreement, together with any amendments, restatements or supplements thereto (all of the foregoing filed prior to the date of this Agreement,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 Reports</w:t>
      </w:r>
      <w:r>
        <w:rPr>
          <w:rFonts w:ascii="Arial" w:cs="Arial" w:eastAsia="Arial" w:hAnsi="Arial"/>
          <w:sz w:val="16"/>
          <w:szCs w:val="16"/>
          <w:color w:val="auto"/>
        </w:rPr>
        <w:t>”), and will have filed all such forms, reports, schedules, statements and other documents required to be filed subsequent to the date of this Agreement through the Closing Date (the “</w:t>
      </w:r>
      <w:r>
        <w:rPr>
          <w:rFonts w:ascii="Arial" w:cs="Arial" w:eastAsia="Arial" w:hAnsi="Arial"/>
          <w:sz w:val="16"/>
          <w:szCs w:val="16"/>
          <w:u w:val="single" w:color="auto"/>
          <w:color w:val="auto"/>
        </w:rPr>
        <w:t>Additional Parent SEC Reports</w:t>
      </w:r>
      <w:r>
        <w:rPr>
          <w:rFonts w:ascii="Arial" w:cs="Arial" w:eastAsia="Arial" w:hAnsi="Arial"/>
          <w:sz w:val="16"/>
          <w:szCs w:val="16"/>
          <w:color w:val="auto"/>
        </w:rPr>
        <w:t>”). All Parent SEC Reports, Additional Parent SEC Reports, any correspondence from or to the SEC or Nasdaq (other than such correspondence in connection with the initial public offering of Parent) and all certifications and statements required by: (i) Rule 13a-14 or 15d-14 under the Exchange Act; or (ii) 18 U.S.C. § 1350 (Section 906) of the Sarbanes-Oxley Act with respect to any of the foregoing (collectively, the “</w:t>
      </w:r>
      <w:r>
        <w:rPr>
          <w:rFonts w:ascii="Arial" w:cs="Arial" w:eastAsia="Arial" w:hAnsi="Arial"/>
          <w:sz w:val="16"/>
          <w:szCs w:val="16"/>
          <w:u w:val="single" w:color="auto"/>
          <w:color w:val="auto"/>
        </w:rPr>
        <w:t>Certifications</w:t>
      </w:r>
      <w:r>
        <w:rPr>
          <w:rFonts w:ascii="Arial" w:cs="Arial" w:eastAsia="Arial" w:hAnsi="Arial"/>
          <w:sz w:val="16"/>
          <w:szCs w:val="16"/>
          <w:color w:val="auto"/>
        </w:rPr>
        <w:t xml:space="preserve">”) are available on the SEC’s Electronic Data-Gathering, Analysis and Retrieval system (EDGAR) in full without redaction. Parent has heretofore furnished to the Company true and correct copies of all amendments and modifications that have not been filed by Parent with the SEC to all agreements, documents and other instruments that previously had been filed by Parent with the SEC and are currently in effect. The Parent SEC Reports were, and the Additional Parent SEC Reports will be, prepared in accordance with the requirements of the Securities Act, the Exchange Act and the Sarbanes-Oxley Act, as the case may be, and the rules and regulations thereunder. The Parent SEC Reports did not, and the Additional Parent SEC Reports will not, at the time they were or are filed, as the case may be, with the SEC contain any untrue statement of a material fact or omit to state a material fact required to be stated therein or necessary in order to make the statements made therein, in light of the circumstances under which they were made, not misleading. The Certifications are each true and correct. Parent maintains disclosure controls and procedures required by Rule 13a-15(e) or 15d-15(e) under the Exchange Act. Each director and executive officer of Parent has filed with the SEC on a timely basis all statements required with respect to Parent by Section 16(a) of the Exchange Act and the rules and regulations thereunder. As used in this </w:t>
      </w:r>
      <w:r>
        <w:rPr>
          <w:rFonts w:ascii="Arial" w:cs="Arial" w:eastAsia="Arial" w:hAnsi="Arial"/>
          <w:sz w:val="16"/>
          <w:szCs w:val="16"/>
          <w:u w:val="single" w:color="auto"/>
          <w:color w:val="auto"/>
        </w:rPr>
        <w:t>Section 5.7</w:t>
      </w:r>
      <w:r>
        <w:rPr>
          <w:rFonts w:ascii="Arial" w:cs="Arial" w:eastAsia="Arial" w:hAnsi="Arial"/>
          <w:sz w:val="16"/>
          <w:szCs w:val="16"/>
          <w:color w:val="auto"/>
        </w:rPr>
        <w:t>, the term “file” shall be broadly construed to include any manner in which a document or information is furnished, supplied or otherwise made available to the SEC or Nasdaq. None of Parent (including any employee thereof), Merger Sub or Parent’s independent auditors has identified or been made aware of (A) any significant deficiency or material weakness in the system of internal accounting controls utilized by Parent, (B) any fraud, whether or not material, that involves Parent’s management or other employees who have a role in the preparation of financial statements or the internal accounting controls utilized by Parent or (C) any claim or allegation regarding either (A) or (B).</w:t>
      </w:r>
    </w:p>
    <w:p>
      <w:pPr>
        <w:spacing w:after="0" w:line="341" w:lineRule="exact"/>
        <w:rPr>
          <w:rFonts w:ascii="Arial" w:cs="Arial" w:eastAsia="Arial" w:hAnsi="Arial"/>
          <w:sz w:val="16"/>
          <w:szCs w:val="16"/>
          <w:color w:val="auto"/>
        </w:rPr>
      </w:pPr>
    </w:p>
    <w:p>
      <w:pPr>
        <w:jc w:val="both"/>
        <w:ind w:firstLine="656"/>
        <w:spacing w:after="0" w:line="254" w:lineRule="auto"/>
        <w:tabs>
          <w:tab w:leader="none" w:pos="93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financial statements and notes contained or incorporated by reference in the Parent SEC Reports fairly present, and the financial statements and notes to be contained in or to be incorporated by reference in the Additional Parent SEC Reports will fairly present, the financial condition and the results of operations, changes in stockholders’ equity and cash flows of Parent as at the respective dates of, and for the periods referred to, in such financial statements, all in accordance with: (i) GAAP; and (ii) Regulation S-X or Regulation S-K, as applicable, subject, in the case of interim financial statements, to normal recurring year-end adjustments (the effect of which will not, individually or in the aggregate, be material) and the omission of notes to the extent permitted by Regulation S-X or Regulation S-K, as applicable. Parent has no off-balance sheet arrangements that are not disclosed in the Parent SEC Reports. No financial statements other than those of Parent are required by GAAP to be included in the consolidated financial statements of Parent.</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Except as set forth in Parent SEC Reports filed prior to the date of this Agreement, and except as contemplated by this Agreement, since December 31, 2020, there has not been: (a) any Parent Material Adverse Effect; (b) any declaration, setting aside or payment of any dividend on, or other distribution in respect of, any of Parent’s capital stock, or any purchase, redemption or other acquisition by Parent of any of Parent’s capital stock or any other securities of Parent or any options, warrants, calls or rights to acquire any such shares or other securities; (c) any split, combination or reclassification of any of Parent’s capital stock; (d) any material change by Parent in its accounting methods, principles or practices, except as required by concurrent changes in GAAP (or any interpretation thereof) or Applicable Legal Requirements; (e) any change in the auditors of Parent; (f) any revaluation by Parent of any of its assets, including, without limitation, any sale of assets of Parent other than in the ordinary course of business; or (g) any action taken or agreed upon by Parent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40"/>
          </w:cols>
          <w:pgMar w:left="320" w:top="1440" w:right="339" w:bottom="1440" w:gutter="0" w:footer="0" w:header="0"/>
        </w:sectPr>
      </w:pPr>
    </w:p>
    <w:bookmarkStart w:id="462" w:name="page463"/>
    <w:bookmarkEnd w:id="462"/>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of its Subsidiaries that would be prohibited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if such action were taken on or after the date hereof without the consent of the Company.</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are no Legal Proceedings pending or, to the Knowledge of Parent, threatened in writing against or otherwise relating to Parent or any of its Subsidiaries, before any Governmental Entity: (a) challenging or seeking to enjoining, alter or materially delay the Transactions; or (b) that would, individually or in the aggregate, reasonably be expected to be material to Parent.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Business Activities ; Liabilities</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54" w:lineRule="auto"/>
        <w:tabs>
          <w:tab w:leader="none" w:pos="93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Since their respective incorporation, neither Parent, nor Merger Sub has conducted any business activities other than activities: (i) in connection with its organization; or (ii) directed toward the accomplishment of a business combination. Except as set forth in the Parent Organizational Documents, there is no Contract or Order binding upon Parent or Merger Sub or to which any of them is a party which has or could reasonably be expected to have the effect of prohibiting or materially impairing any business practice of it, any acquisition of property by it or the conduct of business by it as currently conducted or as currently contemplated to be conducted (including, in each case, following the Closing). Other than under the Transaction Agreements or pursuant to the performance of its obligations thereunder, neither Parent nor Merger Sub has any material liabilities, debts or obligations (absolute, accrued, contingent or otherwise).</w:t>
      </w:r>
    </w:p>
    <w:p>
      <w:pPr>
        <w:spacing w:after="0" w:line="140" w:lineRule="exact"/>
        <w:rPr>
          <w:rFonts w:ascii="Arial" w:cs="Arial" w:eastAsia="Arial" w:hAnsi="Arial"/>
          <w:sz w:val="18"/>
          <w:szCs w:val="18"/>
          <w:color w:val="auto"/>
        </w:rPr>
      </w:pPr>
    </w:p>
    <w:p>
      <w:pPr>
        <w:jc w:val="both"/>
        <w:ind w:firstLine="656"/>
        <w:spacing w:after="0" w:line="301" w:lineRule="auto"/>
        <w:tabs>
          <w:tab w:leader="none" w:pos="927" w:val="left"/>
        </w:tabs>
        <w:numPr>
          <w:ilvl w:val="0"/>
          <w:numId w:val="324"/>
        </w:numPr>
        <w:rPr>
          <w:rFonts w:ascii="Arial" w:cs="Arial" w:eastAsia="Arial" w:hAnsi="Arial"/>
          <w:sz w:val="16"/>
          <w:szCs w:val="16"/>
          <w:color w:val="auto"/>
        </w:rPr>
      </w:pPr>
      <w:r>
        <w:rPr>
          <w:rFonts w:ascii="Arial" w:cs="Arial" w:eastAsia="Arial" w:hAnsi="Arial"/>
          <w:sz w:val="16"/>
          <w:szCs w:val="16"/>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the Transaction Agreements and the other documents and transactions contemplated hereby and thereby, will have no, assets, liabilities or obligations of any kind or nature whatsoever other than those incident to its formation.</w:t>
      </w:r>
    </w:p>
    <w:p>
      <w:pPr>
        <w:spacing w:after="0" w:line="103" w:lineRule="exact"/>
        <w:rPr>
          <w:rFonts w:ascii="Arial" w:cs="Arial" w:eastAsia="Arial" w:hAnsi="Arial"/>
          <w:sz w:val="16"/>
          <w:szCs w:val="16"/>
          <w:color w:val="auto"/>
        </w:rPr>
      </w:pPr>
    </w:p>
    <w:p>
      <w:pPr>
        <w:jc w:val="both"/>
        <w:ind w:firstLine="656"/>
        <w:spacing w:after="0" w:line="255" w:lineRule="auto"/>
        <w:tabs>
          <w:tab w:leader="none" w:pos="90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Except for this Agreement, the Transaction Agreements, the Transactions and the Parent Material Contracts, Parent has no material interests, rights, obligations or liabilities with respect to, and is not party to, bound by or has its assets or property subject to, in each case whether directly or indirectly, any Parent Material Contract (as defined below) or party to any transaction which is, or would reasonably be interpreted as constituting, a Parent Business Combination. Except for the transactions contemplated by this Agreement, the Transaction Agreements, or the Trust Agreement, Merger Sub does not own or have a right to acquire, directly or indirectly, any interest or investment (whether equity or debt) in any corporation, partnership, joint venture, business, trust or other entity.</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5.11</w:t>
      </w:r>
      <w:r>
        <w:rPr>
          <w:rFonts w:ascii="Arial" w:cs="Arial" w:eastAsia="Arial" w:hAnsi="Arial"/>
          <w:sz w:val="18"/>
          <w:szCs w:val="18"/>
          <w:color w:val="auto"/>
        </w:rPr>
        <w:t xml:space="preserve"> of the Parent Disclosure Letter sets forth a true, correct and complete list of each Contract to which Parent or Merger Sub is party pursuant to which greater than $50,000 is reasonably expected to be due in any single calendar year and pursuant (the “</w:t>
      </w:r>
      <w:r>
        <w:rPr>
          <w:rFonts w:ascii="Arial" w:cs="Arial" w:eastAsia="Arial" w:hAnsi="Arial"/>
          <w:sz w:val="18"/>
          <w:szCs w:val="18"/>
          <w:u w:val="single" w:color="auto"/>
          <w:color w:val="auto"/>
        </w:rPr>
        <w:t>Parent Material Contracts</w:t>
      </w:r>
      <w:r>
        <w:rPr>
          <w:rFonts w:ascii="Arial" w:cs="Arial" w:eastAsia="Arial" w:hAnsi="Arial"/>
          <w:sz w:val="18"/>
          <w:szCs w:val="18"/>
          <w:color w:val="auto"/>
        </w:rPr>
        <w:t>”), other than any such Parent Material Contract that is listed as an exhibit to Parent’s Form S-1 Registration Statement, initially filed with the SEC on August 14, 2020. To the extent Parent or Merger Sub is a party to a Contract that is not a Parent Material Contract, Parent or Merger Sub (as applicable) may terminate such other Contract without post-termination liability or obligation beyond payments owing through the date of termination.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Parent Listing</w:t>
      </w:r>
      <w:r>
        <w:rPr>
          <w:rFonts w:ascii="Arial" w:cs="Arial" w:eastAsia="Arial" w:hAnsi="Arial"/>
          <w:sz w:val="17"/>
          <w:szCs w:val="17"/>
          <w:color w:val="auto"/>
        </w:rPr>
        <w:t>. The issued and outstanding Parent Units are registered pursuant to Section 12(b) of the Exchange Act and are listed for trading on the Nasdaq Capital Market (“</w:t>
      </w:r>
      <w:r>
        <w:rPr>
          <w:rFonts w:ascii="Arial" w:cs="Arial" w:eastAsia="Arial" w:hAnsi="Arial"/>
          <w:sz w:val="17"/>
          <w:szCs w:val="17"/>
          <w:u w:val="single" w:color="auto"/>
          <w:color w:val="auto"/>
        </w:rPr>
        <w:t>Nasdaq</w:t>
      </w:r>
      <w:r>
        <w:rPr>
          <w:rFonts w:ascii="Arial" w:cs="Arial" w:eastAsia="Arial" w:hAnsi="Arial"/>
          <w:sz w:val="17"/>
          <w:szCs w:val="17"/>
          <w:color w:val="auto"/>
        </w:rPr>
        <w:t>”) under the symbol “</w:t>
      </w:r>
      <w:r>
        <w:rPr>
          <w:rFonts w:ascii="Arial" w:cs="Arial" w:eastAsia="Arial" w:hAnsi="Arial"/>
          <w:sz w:val="17"/>
          <w:szCs w:val="17"/>
          <w:u w:val="single" w:color="auto"/>
          <w:color w:val="auto"/>
        </w:rPr>
        <w:t>CMLFU</w:t>
      </w:r>
      <w:r>
        <w:rPr>
          <w:rFonts w:ascii="Arial" w:cs="Arial" w:eastAsia="Arial" w:hAnsi="Arial"/>
          <w:sz w:val="17"/>
          <w:szCs w:val="17"/>
          <w:color w:val="auto"/>
        </w:rPr>
        <w:t>”. The issued and outstanding shares of Parent Class A Stock are registered pursuant to Section 12(b) of the Exchange Act and are listed for trading on Nasdaq under the symbol “</w:t>
      </w:r>
      <w:r>
        <w:rPr>
          <w:rFonts w:ascii="Arial" w:cs="Arial" w:eastAsia="Arial" w:hAnsi="Arial"/>
          <w:sz w:val="17"/>
          <w:szCs w:val="17"/>
          <w:u w:val="single" w:color="auto"/>
          <w:color w:val="auto"/>
        </w:rPr>
        <w:t>CMLF</w:t>
      </w:r>
      <w:r>
        <w:rPr>
          <w:rFonts w:ascii="Arial" w:cs="Arial" w:eastAsia="Arial" w:hAnsi="Arial"/>
          <w:sz w:val="17"/>
          <w:szCs w:val="17"/>
          <w:color w:val="auto"/>
        </w:rPr>
        <w:t>”. The issued and outstanding Public Warrants are registered pursuant to Section 12(b) of the Exchange Act and are listed for trading on Nasdaq under the symbol “</w:t>
      </w:r>
      <w:r>
        <w:rPr>
          <w:rFonts w:ascii="Arial" w:cs="Arial" w:eastAsia="Arial" w:hAnsi="Arial"/>
          <w:sz w:val="17"/>
          <w:szCs w:val="17"/>
          <w:u w:val="single" w:color="auto"/>
          <w:color w:val="auto"/>
        </w:rPr>
        <w:t>CMLFW</w:t>
      </w:r>
      <w:r>
        <w:rPr>
          <w:rFonts w:ascii="Arial" w:cs="Arial" w:eastAsia="Arial" w:hAnsi="Arial"/>
          <w:sz w:val="17"/>
          <w:szCs w:val="17"/>
          <w:color w:val="auto"/>
        </w:rPr>
        <w:t>”. Parent is a member in good standing with Nasdaq. There is no action or proceeding pending or, to the Knowledge of Parent, threatened in writing against Parent by Nasdaq or the SEC with respect to any intention by such entity to deregister the Parent Units, the shares of Parent Class A Stock or Public Warrants or terminate the listing of Parent on Nasdaq. None of Parent or any of its Affiliates has taken any action in an attempt to terminate the registration of the Parent Units, the Parent Class A Stock or Public Warrants under the Exchange Act.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40"/>
          </w:cols>
          <w:pgMar w:left="320" w:top="1440" w:right="339" w:bottom="1440" w:gutter="0" w:footer="0" w:header="0"/>
        </w:sectPr>
      </w:pPr>
    </w:p>
    <w:bookmarkStart w:id="463" w:name="page464"/>
    <w:bookmarkEnd w:id="463"/>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of the Parent Disclosure Letter sets forth a true, accurate and complete list of each of the subscription agreements (the “</w:t>
      </w:r>
      <w:r>
        <w:rPr>
          <w:rFonts w:ascii="Arial" w:cs="Arial" w:eastAsia="Arial" w:hAnsi="Arial"/>
          <w:sz w:val="16"/>
          <w:szCs w:val="16"/>
          <w:u w:val="single" w:color="auto"/>
          <w:color w:val="auto"/>
        </w:rPr>
        <w:t>Equity Financing Agreements</w:t>
      </w:r>
      <w:r>
        <w:rPr>
          <w:rFonts w:ascii="Arial" w:cs="Arial" w:eastAsia="Arial" w:hAnsi="Arial"/>
          <w:sz w:val="16"/>
          <w:szCs w:val="16"/>
          <w:color w:val="auto"/>
        </w:rPr>
        <w:t>”) entered into by Parent with the applicable investors named therein (collectively, the “</w:t>
      </w: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Investors</w:t>
      </w:r>
      <w:r>
        <w:rPr>
          <w:rFonts w:ascii="Arial" w:cs="Arial" w:eastAsia="Arial" w:hAnsi="Arial"/>
          <w:sz w:val="16"/>
          <w:szCs w:val="16"/>
          <w:color w:val="auto"/>
        </w:rPr>
        <w:t>”), pursuant to which the Equity Financing Investors have committed to provide equity financing to Parent in the aggregate amount of $350,000,000 (the “</w:t>
      </w:r>
      <w:r>
        <w:rPr>
          <w:rFonts w:ascii="Arial" w:cs="Arial" w:eastAsia="Arial" w:hAnsi="Arial"/>
          <w:sz w:val="16"/>
          <w:szCs w:val="16"/>
          <w:u w:val="single" w:color="auto"/>
          <w:color w:val="auto"/>
        </w:rPr>
        <w:t>Equity Financing Amount</w:t>
      </w:r>
      <w:r>
        <w:rPr>
          <w:rFonts w:ascii="Arial" w:cs="Arial" w:eastAsia="Arial" w:hAnsi="Arial"/>
          <w:sz w:val="16"/>
          <w:szCs w:val="16"/>
          <w:color w:val="auto"/>
        </w:rPr>
        <w:t>”). The Equity Financing Amount, together with the amount in the Trust Account at the Closing, are in the aggregate sufficient to enable Parent to: (a) pay all cash amounts required to be paid by Parent or its Subsidiaries under or in connection with this Agreement; and (b) pay any and all fees and expenses of or payable by Parent with respect to the Transactions. To Parent’s Knowledge with respect, as of the date hereof, the Equity Financing Agreements are in full force and effect and have not been withdrawn or terminated, or otherwise amended or modified, in any respect, and no withdrawal, termination, amendment or modification is contemplated by Parent. Each Equity Financing Agreement is a legal, valid and binding obligation of Parent and, to Parent’s Knowledge, each Equity Financing Investor. As of the date hereof, Parent does not know of any facts or circumstances that may reasonably be expected to result in any of the conditions set forth in any Equity Financing Agreement not being satisfied, or the Equity Financing Amount not being available to Parent, on the Closing Date. No event has occurred that, with or without notice, lapse of time or both, would constitute a default or breach on the part of Parent under any material term or condition of any Equity Financing Agreement and, as of the date hereof, Parent has no reason to believe that it will be unable to satisfy in all material respects on a timely basis any term or condition of closing to be satisfied by it contained in any Equity Financing Agreement. The Equity Financing Agreements contain all of the conditions precedent (other than the conditions contained in the other Transaction Agreements) to the obligations of the Equity Financing Investor to contribute to Parent the applicable portion of the Equity Financing Amount set forth in the applicable Equity Financing Agreement on the terms therein.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Trust Account</w:t>
      </w:r>
      <w:r>
        <w:rPr>
          <w:rFonts w:ascii="Arial" w:cs="Arial" w:eastAsia="Arial" w:hAnsi="Arial"/>
          <w:sz w:val="18"/>
          <w:szCs w:val="18"/>
          <w:color w:val="auto"/>
        </w:rPr>
        <w:t>.</w:t>
      </w:r>
    </w:p>
    <w:p>
      <w:pPr>
        <w:spacing w:after="0" w:line="171" w:lineRule="exact"/>
        <w:rPr>
          <w:sz w:val="20"/>
          <w:szCs w:val="20"/>
          <w:color w:val="auto"/>
        </w:rPr>
      </w:pPr>
    </w:p>
    <w:p>
      <w:pPr>
        <w:jc w:val="both"/>
        <w:ind w:firstLine="656"/>
        <w:spacing w:after="0" w:line="293" w:lineRule="auto"/>
        <w:tabs>
          <w:tab w:leader="none" w:pos="88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As of January 29, 2021, Parent had $442,767,712.12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maintained and invested pursuant to that certain Investment Management Trust Agreement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effective as of September 1, 2020, by and between Parent and Continental Stock Transfer &amp; Trust Company, a New York corporation (“</w:t>
      </w:r>
      <w:r>
        <w:rPr>
          <w:rFonts w:ascii="Arial" w:cs="Arial" w:eastAsia="Arial" w:hAnsi="Arial"/>
          <w:sz w:val="16"/>
          <w:szCs w:val="16"/>
          <w:u w:val="single" w:color="auto"/>
          <w:color w:val="auto"/>
        </w:rPr>
        <w:t>Continental</w:t>
      </w:r>
      <w:r>
        <w:rPr>
          <w:rFonts w:ascii="Arial" w:cs="Arial" w:eastAsia="Arial" w:hAnsi="Arial"/>
          <w:sz w:val="16"/>
          <w:szCs w:val="16"/>
          <w:color w:val="auto"/>
        </w:rPr>
        <w:t>”) for the benefit of its public stockholders, with such funds invested in United States Government securities or money market funds meeting all of the applicable conditions under Rule 2a-7 promulgated under the Investment Company Act. Other than pursuant to the Trust Agreement and the Equity Financing Agreements, the obligations of Parent under this Agreement are not subject to any conditions regarding Parent’s, its Affiliates’, or any other Person’s ability to obtain financing for the consummation of the Transactions.</w:t>
      </w:r>
    </w:p>
    <w:p>
      <w:pPr>
        <w:spacing w:after="0" w:line="110" w:lineRule="exact"/>
        <w:rPr>
          <w:rFonts w:ascii="Arial" w:cs="Arial" w:eastAsia="Arial" w:hAnsi="Arial"/>
          <w:sz w:val="16"/>
          <w:szCs w:val="16"/>
          <w:color w:val="auto"/>
        </w:rPr>
      </w:pPr>
    </w:p>
    <w:p>
      <w:pPr>
        <w:jc w:val="both"/>
        <w:ind w:firstLine="656"/>
        <w:spacing w:after="0" w:line="286" w:lineRule="auto"/>
        <w:tabs>
          <w:tab w:leader="none" w:pos="91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Trust Agreement has not been amended or modified and is valid and in full force and effect and is enforceable in accordance with its terms, except insofar as enforceability may be limited by applicable bankruptcy, insolvency, reorganization, moratorium or similar laws affecting creditors’ rights generally or by principles governing the availability of equitable remedies. Parent has complied in all material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Continental. There are no separate Contracts, side letters or other understandings (whether written or unwritten, express or implied): (i) between Parent and Continental that would cause the description of the Trust Agreement in the Parent SEC Reports to be inaccurate in any material respect; or (ii) to the Knowledge of Parent, that would entitle any Person (other than stockholders of Parent holding Parent Class A Stock sold in Parent’s initial public offering who shall have elected to redeem their shares of Parent Class A Stock pursuant to Parent’s Charter Documents) to any portion of the proceeds in the Trust Account. Prior to the Closing, none of the funds held in the Trust Account may be released except: (A) to pay income and franchise taxes from any interest income earned in the Trust Account; and (B) to redeem Parent Class A Stock in accordance with the provisions of Parent’s Charter Documents. There are no Legal Proceedings pending or, to the Knowledge of Parent, threatened in writing with respect to the Trust Account. Parent has performed all material obligations required to be performed by it to date under, and is not in default, breach or delinquent in performance or any other respect (claimed or actual) in connection with, the Trust Agreement, and no event has occurred which, with due notice or lapse of time or both, would constitute such a default or breach thereunder. As of the Effective Time, the obligations of Parent to dissolve or liquidate pursuant to Parent’s Charter Documents shall terminate, and as of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40"/>
          </w:cols>
          <w:pgMar w:left="320" w:top="1440" w:right="339" w:bottom="1440" w:gutter="0" w:footer="0" w:header="0"/>
        </w:sectPr>
      </w:pPr>
    </w:p>
    <w:bookmarkStart w:id="464" w:name="page465"/>
    <w:bookmarkEnd w:id="464"/>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Effective Time, Parent shall have no obligation whatsoever pursuant to Parent’s Charter Documents to dissolve and liquidate the assets of Parent by reason of the consummation of the transactions contemplated hereby. To the Knowledge of Parent, following the Effective Time, no stockholder of Parent shall be entitled to receive any amount from the Trust Account except to the extent such stockholder of Parent validly elects to redeem their shares of Parent Class A Stock. As of the date hereof, assuming the accuracy of the representations and warranties of the Company contained herein and the compliance by the Company with its obligations hereunder, neither Parent nor Merger Sub have any reason to believe that any of the conditions to the use of funds in the Trust Account will not be satisfied or funds available in the Trust Account will not be available to Parent and Merger Sub on the Closing Date.</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9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All material Tax Returns required to be filed by Parent have been timely filed (after giving effect to any valid extensions) and all such Tax Returns are true, correct and complete in all material respects.</w:t>
      </w:r>
    </w:p>
    <w:p>
      <w:pPr>
        <w:spacing w:after="0" w:line="116" w:lineRule="exact"/>
        <w:rPr>
          <w:rFonts w:ascii="Arial" w:cs="Arial" w:eastAsia="Arial" w:hAnsi="Arial"/>
          <w:sz w:val="18"/>
          <w:szCs w:val="18"/>
          <w:color w:val="auto"/>
        </w:rPr>
      </w:pPr>
    </w:p>
    <w:p>
      <w:pPr>
        <w:ind w:left="920" w:hanging="264"/>
        <w:spacing w:after="0"/>
        <w:tabs>
          <w:tab w:leader="none" w:pos="9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Parent has paid all material amounts of its Taxes which are due and payable.</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Parent has complied in all material respects with all Applicable Legal Requirements relating to withholding and remittance of all material amounts of Taxes and all material amounts of Taxes required by Applicable Legal Requirements to be withheld by Parent have been withheld and paid over to the appropriate Governmental Entity.</w:t>
      </w:r>
    </w:p>
    <w:p>
      <w:pPr>
        <w:spacing w:after="0" w:line="129" w:lineRule="exact"/>
        <w:rPr>
          <w:rFonts w:ascii="Arial" w:cs="Arial" w:eastAsia="Arial" w:hAnsi="Arial"/>
          <w:sz w:val="18"/>
          <w:szCs w:val="18"/>
          <w:color w:val="auto"/>
        </w:rPr>
      </w:pPr>
    </w:p>
    <w:p>
      <w:pPr>
        <w:jc w:val="both"/>
        <w:ind w:firstLine="656"/>
        <w:spacing w:after="0" w:line="263" w:lineRule="auto"/>
        <w:tabs>
          <w:tab w:leader="none" w:pos="90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deficiency for any material amount of Taxes has been asserted or assessed by any Governmental Entity in writing against Parent (nor to the Knowledge of Parent is there any), which deficiency has not been paid or resolved. No material audit or other proceeding by any Governmental Entity is currently pending or threatened in writing against Parent with respect to any Taxes due from Parent.</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There are no Tax indemnification agreements or Tax sharing agreements under which Parent could be liable after the Closing Date for the Tax liability of any Person other than Parent or Merger Sub, except for customary agreements or arrangements with customers, vendors, lessors, lenders and the like or other similar agreements, in each case, that do not relate primarily to Taxes.</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8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Parent has not consented to extend the time in which any material Tax may be assessed or collected by any Governmental Entity (other than pursuant to extensions of time to file Tax Returns obtained in the ordinary course of business), which extension is still in effect and no written request for any such waiver or extension is currently pending.</w:t>
      </w:r>
    </w:p>
    <w:p>
      <w:pPr>
        <w:spacing w:after="0" w:line="129" w:lineRule="exact"/>
        <w:rPr>
          <w:rFonts w:ascii="Arial" w:cs="Arial" w:eastAsia="Arial" w:hAnsi="Arial"/>
          <w:sz w:val="18"/>
          <w:szCs w:val="18"/>
          <w:color w:val="auto"/>
        </w:rPr>
      </w:pPr>
    </w:p>
    <w:p>
      <w:pPr>
        <w:jc w:val="both"/>
        <w:ind w:firstLine="656"/>
        <w:spacing w:after="0" w:line="273" w:lineRule="auto"/>
        <w:tabs>
          <w:tab w:leader="none" w:pos="909" w:val="left"/>
        </w:tabs>
        <w:numPr>
          <w:ilvl w:val="0"/>
          <w:numId w:val="326"/>
        </w:numPr>
        <w:rPr>
          <w:rFonts w:ascii="Arial" w:cs="Arial" w:eastAsia="Arial" w:hAnsi="Arial"/>
          <w:sz w:val="17"/>
          <w:szCs w:val="17"/>
          <w:color w:val="auto"/>
        </w:rPr>
      </w:pPr>
      <w:r>
        <w:rPr>
          <w:rFonts w:ascii="Arial" w:cs="Arial" w:eastAsia="Arial" w:hAnsi="Arial"/>
          <w:sz w:val="17"/>
          <w:szCs w:val="17"/>
          <w:color w:val="auto"/>
        </w:rPr>
        <w:t>Parent will not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prior to the Closing; (ii) any change in method of accounting on or prior to the Closing, including by reason of the application of Section 481 of the Code (or any analogous provision of state, local or foreign Tax Legal Requirements); or (iii) any closing agreement pursuant to Section 7121 of the Code or any similar provision of state, local or foreign Tax Legal Requirements entered into prior to the Closing.</w:t>
      </w:r>
    </w:p>
    <w:p>
      <w:pPr>
        <w:spacing w:after="0" w:line="123" w:lineRule="exact"/>
        <w:rPr>
          <w:rFonts w:ascii="Arial" w:cs="Arial" w:eastAsia="Arial" w:hAnsi="Arial"/>
          <w:sz w:val="17"/>
          <w:szCs w:val="17"/>
          <w:color w:val="auto"/>
        </w:rPr>
      </w:pPr>
    </w:p>
    <w:p>
      <w:pPr>
        <w:ind w:left="900" w:hanging="244"/>
        <w:spacing w:after="0"/>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There are no liens for material amounts of Taxes (other than Permitted Liens) upon any of Parent’s assets.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Parent for inclusion or incorporation by reference in the Proxy Statement will, at the date mailed to stockholders of Parent or at the time of the Special Meeting, contain any untrue statement of a material fact or omit to state any material fact required to be stated therein or necessary in order to make the statements therein, in light of the circumstances under which they are made, not misleading. Notwithstanding the foregoing, Parent makes no representation, warranty or covenant with respect to: (a) statements made or incorporated by reference therein based on information supplied by the Company or the Company Subsidiaries for inclusion or incorporation by reference in the Proxy Statement; or (b) any projections or forecasts included in the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40"/>
          </w:cols>
          <w:pgMar w:left="320" w:top="1440" w:right="339" w:bottom="1440" w:gutter="0" w:footer="0" w:header="0"/>
        </w:sectPr>
      </w:pPr>
    </w:p>
    <w:bookmarkStart w:id="465" w:name="page466"/>
    <w:bookmarkEnd w:id="465"/>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Employees; Benefit Plans</w:t>
      </w:r>
      <w:r>
        <w:rPr>
          <w:rFonts w:ascii="Arial" w:cs="Arial" w:eastAsia="Arial" w:hAnsi="Arial"/>
          <w:sz w:val="16"/>
          <w:szCs w:val="16"/>
          <w:color w:val="auto"/>
        </w:rPr>
        <w:t>. Other than any former officers or as described in the Parent SEC Reports, Parent has never had any employees. Other than reimbursement of any out-of-pocket expenses incurred by Parent’s officers and directors in connection with activities on Parent’s behalf in an aggregate amount not in excess of the amount of cash held by Parent outside of the Trust Account, Parent has no unsatisfied material liability with respect to any employee. Parent does not currently maintain or have any direct liability under any benefit plan, and neither the execution and delivery of this Agreement or the other Transaction Agreements nor the consummation of the Transactions will, either alone or in connection with any other event:</w:t>
      </w:r>
    </w:p>
    <w:p>
      <w:pPr>
        <w:spacing w:after="0" w:line="2" w:lineRule="exact"/>
        <w:rPr>
          <w:sz w:val="20"/>
          <w:szCs w:val="20"/>
          <w:color w:val="auto"/>
        </w:rPr>
      </w:pPr>
    </w:p>
    <w:p>
      <w:pPr>
        <w:jc w:val="both"/>
        <w:ind w:firstLine="8"/>
        <w:spacing w:after="0" w:line="255" w:lineRule="auto"/>
        <w:tabs>
          <w:tab w:leader="none" w:pos="2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result in any payment (including severance, unemployment compensation, golden parachute, bonus or otherwise) becoming due to any director, officer or employee of Parent; (b) result in the acceleration of the time of payment or vesting of any such benefits; or (c) give rise to any “excess parachute payment” as defined in Section 280G(b)(1) of the Code or any excise tax owing under Section 4999 of the Code.</w:t>
      </w:r>
    </w:p>
    <w:p>
      <w:pPr>
        <w:spacing w:after="0" w:line="13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Board Approval; Stockholder Vote</w:t>
      </w:r>
      <w:r>
        <w:rPr>
          <w:rFonts w:ascii="Arial" w:cs="Arial" w:eastAsia="Arial" w:hAnsi="Arial"/>
          <w:sz w:val="16"/>
          <w:szCs w:val="16"/>
          <w:color w:val="auto"/>
        </w:rPr>
        <w:t>. The board of directors of Parent and Merger Sub (including any required committee or subgroup of the board of directors of Parent or Merger Sub, as applicable), as of the date of this Agreement, unanimously: (a) approved and declared the advisability of this Agreement, the other Transaction Agreements and the consummation of the Transactions; and (b) determined that the consummation of the Transactions is in the best interest of, as applicable, the stockholders of Parent or Merger Sub (as applicable). Other than the approval of the Parent Stockholder Matters, no other corporate proceedings on the part of Parent are necessary to approve the consummation of the Transactions.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Title to Assets</w:t>
      </w:r>
      <w:r>
        <w:rPr>
          <w:rFonts w:ascii="Arial" w:cs="Arial" w:eastAsia="Arial" w:hAnsi="Arial"/>
          <w:sz w:val="18"/>
          <w:szCs w:val="18"/>
          <w:color w:val="auto"/>
        </w:rPr>
        <w:t>. Subject to the restrictions on use of the Trust Account set forth in the Trust Agreement, Parent owns good and marketable title to, or holds a valid leasehold interest in, or a valid license to use, all of the assets used by Parent in the operation of its business and which are material to Parent, free and clear of any Liens (other than Permitted Liens).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Except as described in the Parent SEC Reports, no Contract between Parent, on the one hand, and any of the present or former directors, officers, employees, stockholders or warrant holders or Affiliates of Parent (or an immediate family member of any of the foregoing), on the other hand, will continue in effect following the Closing, other than any such Contract that is not material to Parent.</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Brokers</w:t>
      </w:r>
      <w:r>
        <w:rPr>
          <w:rFonts w:ascii="Arial" w:cs="Arial" w:eastAsia="Arial" w:hAnsi="Arial"/>
          <w:sz w:val="18"/>
          <w:szCs w:val="18"/>
          <w:color w:val="auto"/>
        </w:rPr>
        <w:t>. Other than fees or commissions for which Parent will be solely responsible, none of Parent, Merger Sub, or any of their respective Affiliates, including Sponsor, has any liability or obligation to pay, or is entitled to receive, any fees or commissions to any broker, finder or agent with respect to the Transactions.</w:t>
      </w:r>
    </w:p>
    <w:p>
      <w:pPr>
        <w:spacing w:after="0" w:line="13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Disclaimer of Other Warranties</w:t>
      </w:r>
      <w:r>
        <w:rPr>
          <w:rFonts w:ascii="Arial" w:cs="Arial" w:eastAsia="Arial" w:hAnsi="Arial"/>
          <w:sz w:val="18"/>
          <w:szCs w:val="18"/>
          <w:color w:val="auto"/>
        </w:rPr>
        <w:t xml:space="preserve">. PARENT AND MERGER SUB HEREBY ACKNOWLEDGE THAT, (x) NONE OF ISMMS OR ANY OTHER MSHS ENTITY, OR (y) EXCEPT AS EXPRESSLY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NONE OF THE COMPANY, ANY OF ITS SUBSIDIARIES OR ANY OF THEIR RESPECTIVE AFFILIATES OR REPRESENTATIVES HAS MADE, IS MAKING, OR SHALL BE DEEMED TO MAKE ANY REPRESENTATION OR WARRANTY WHATSOEVER, EXPRESS OR IMPLIED, AT LAW OR IN EQUITY, TO PARENT, MERGER SUB, ANY OF THEIR RESPECTIVE AFFILIATES OR REPRESENTATIVES OR ANY OTHER PERSON, WITH RESPECT TO THE COMPANY STOCKHOLDERS (OR ANY HOLDER OF DERIVATIVE SECURITIES OF THE COMPANY), ANY OF THE GROUP COMPANIES OR ANY OF THE DIRECTORS, OFFICERS, EMPLOYEES, BUSINESSES, ASSETS OR PROPERTIES OF THE FOREGOING, OR OTHERWISE, INCLUDING ANY REPRESENTATION OR WARRANTY AS TO MERCHANTABILITY, FITNESS FOR A PARTICULAR PURPOSE, FUTURE RESULTS, PROPOSED BUSINESSES OR FUTURE PLANS. WITHOUT LIMITING THE FOREGOING AND NOTWITHSTANDING ANYTHING TO THE CONTRARY: (a) NONE OF ISMMS OR ANY OTHER MSHS ENTITY OR THE COMPANY, ANY OF ITS SUBSIDIARIES OR ANY OF THEIR RESPECTIVE AFFILIATES OR REPRESENTATIVES SHALL BE DEEMED TO MAKE TO PARENT, MERGER SUB, OR THEIR RESPECTIVE AFFILIATES OR REPRESENTATIVES ANY REPRESENTATION OR WARRANTY WHATSOEVER OTHER THAN SOLELY IN THE CASE OF THE COMPANY AS EXPRESSLY MADE BY THE COMPANY TO PARENT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AND (b) NONE OF THE COMPANY NOR ANY OF ITS SUBSIDIARIES, NOR THEIR RESPECTIVE AFFILIATES OR REPRESENTATIVES, HAS MADE, IS MAKING, OR SHALL BE DEEMED TO MAKE TO PARENT, MERGER SUB, OR THEIR RESPECTIVE AFFILIATES OR REPRESENTATIVES OR ANY OTHER PERSON ANY REPRESENTATION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OR WARRANTY, EXPRESS OR IMPLIED, WITH RESPECT TO: (i) THE INFORMATION DISTRIBUTED OR MADE AVAILABLE TO PARENT OR ITS REPRESENTATIVES BY OR ON BEHALF OF THE COMPANY IN CONNECTION WITH THIS AGREEMENT AND THE TRANSACTIONS; (ii) ANY MANAGEMENT PRESENTATION, CONFIDENTIAL INFORMATION MEMORANDUM OR SIMILAR DOCUMENT; OR (iii) ANY FINANCIAL PROJECTION, FORECAST, ESTIMATE, BUDGET OR SIMILAR ITEM RELATING TO THE COMPANY, ANY OF ITS SUBSIDIARIES AND/OR THE BUSINESS, ASSETS, LIABILITIES, PROPERTIES, FINANCIAL CONDITION, RESULTS OF OPERATIONS AND PROJECTED OPERATIONS OF THE FOREGOING. EACH OF PARENT AND MERGER SUB HEREBY ACKNOWLEDGES THAT IT HAS NOT RELIED ON ANY PROMISE, REPRESENTATION OR WARRANTY THAT IS NOT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EACH OF PARENT AND MERGER SUB ACKNOWLEDGES THAT IT HAS CONDUCTED, TO ITS SATISFACTION, AN INDEPENDENT INVESTIGATION AND VERIFICATION OF THE COMPANY, ITS SUBSIDIARIES AND THE BUSINESS, ASSETS, LIABILITIES, PROPERTIES, FINANCIAL CONDITION, RESULTS OF OPERATIONS AND PROJECTED OPERATIONS OF THE FOREGOING AND, IN MAKING ITS DETERMINATION TO PROCEED WITH THE TRANSACTIONS, EACH OF PARENT AND MERGER SUB HAS RELIED ON THE RESULTS OF ITS OWN INDEPENDENT INVESTIGATION AND VERIFICATION, IN ADDITION TO THE REPRESENTATIONS AND WARRANTIES OF THE COMPANY EXPRESSLY AND SPECIFICALLY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NOTWITHSTANDING ANYTHING TO THE CONTRARY IN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CLAIMS AGAINST THE COMPANY OR ANY OTHER PERSON SHALL NOT BE LIMITED IN ANY RESPECT IN THE EVENT OF INTENTIONAL FRAUD IN THE MAKING THE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BY SUCH PERSON. PARENT AND MERGER SUB HEREBY ACKNOWLEDGE THAT: (A) ISSMS DOES NOT CONTROL OR DIRECT THE BUSINESS OF THE COMPANY AND DOES NOT HAVE OR EXERCISE THE POWER TO DIRECT OR CAUSE THE DIRECTION OF THE MANAGEMENT OR POLICIES OF THE COMPANY; (B) THAT ANY OFFICER OF THE COMPANY WHO MAY ALSO HOLD A POSITION WITH ISMMS ACTS SOLELY AT THE DIRECTION AND INSTRUCTION OF THE COMPANY IN HIS/HER CAPACITY AS AN OFFICER OF THE COMPANY AND THAT ISMMS DOES NOT DIRECT OR INSTRUCT THE ACTIONS OF SUCH OFFICER OF THE COMPANY IN SUCH CAPACITY; AND (C) THAT TO THE EXTENT THAT ANY REPRESENTATION OR WARRANTY OF THE COMPANY IS MADE “TO THE KNOWLEDGE” OF THE COMPANY AND THE KNOWLEDGE OF AN OFFICER OF THE COMPANY IS IMPUTED TO THE COMPANY FOR SUCH PURPOSE, AND TO THE EXTENT THAT SUCH OFFICER MAY ALSO HOLD A POSITION WITH ISMMS, THE KNOWLEDGE OF SUCH OFFICER FOR PURPOSES OF SUCH REPRESENTATION OR WARRANTY IS LIMITED TO THE KNOWLEDGE OF SUCH OFFICER IN HIS/HER CAPACITY AS AN OFFICER OF THE COMPANY AND NOT IN THE CAPACITY OF SUCH OFFICER IN HIS/HER POSITION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40"/>
          </w:cols>
          <w:pgMar w:left="320" w:top="1440" w:right="339" w:bottom="1440" w:gutter="0" w:footer="0" w:header="0"/>
        </w:sectPr>
      </w:pPr>
    </w:p>
    <w:bookmarkStart w:id="467" w:name="page468"/>
    <w:bookmarkEnd w:id="467"/>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CONDUCT PRIOR TO THE CLOSING DATE</w:t>
      </w:r>
    </w:p>
    <w:p>
      <w:pPr>
        <w:spacing w:after="0" w:line="1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Conduct of Business by the Company and the Company Subsidiaries</w:t>
      </w:r>
      <w:r>
        <w:rPr>
          <w:rFonts w:ascii="Arial" w:cs="Arial" w:eastAsia="Arial" w:hAnsi="Arial"/>
          <w:sz w:val="16"/>
          <w:szCs w:val="16"/>
          <w:color w:val="auto"/>
        </w:rPr>
        <w:t xml:space="preserve">. During the period from the date of this Agreement and continuing until the earlier of the termination of this Agreement pursuant to its terms or the Closing, the Company shall, and shall cause the Company Subsidiaries to, use its commercially reasonable efforts to carry on its business in the ordinary course, except: (a) to the extent that Parent shall otherwise consent in writing (such consent not to be unreasonably withheld, conditioned or delayed); (b) as expressly contemplated by this Agreement or the Company Disclosure Letter or (c) as may be required by Applicable Legal Requirements (including Pandemic Measures). Without limiting the generality of the foregoing, except as required or expressly permitted by the terms of this Agreement,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Company Disclosure Letter, or as required by Applicable Legal Requirements (including Pandemic Measures), without the prior written consent of Parent (such consent not to be unreasonably withheld, conditioned or delayed), during the period from the date of this Agreement and continuing until the earlier of the termination of this Agreement pursuant to its terms or the Closing, the Company shall not, and shall cause the Company Subsidiaries not to, do any of the following:</w:t>
      </w:r>
    </w:p>
    <w:p>
      <w:pPr>
        <w:spacing w:after="0" w:line="112" w:lineRule="exact"/>
        <w:rPr>
          <w:sz w:val="20"/>
          <w:szCs w:val="20"/>
          <w:color w:val="auto"/>
        </w:rPr>
      </w:pPr>
    </w:p>
    <w:p>
      <w:pPr>
        <w:jc w:val="both"/>
        <w:ind w:firstLine="656"/>
        <w:spacing w:after="0" w:line="269" w:lineRule="auto"/>
        <w:tabs>
          <w:tab w:leader="none" w:pos="90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except as otherwise required by any existing Company Benefit Plan, this Agreement or Applicable Legal Requirements: (i) increase or grant any increase in the compensation, bonus, fringe or other benefits of, or pay, grant or promise any bonus to, any current or former employee, director or independent contractor except for any such Person with an annual base salary or wage rate of less than $350,000 in the ordinary course of business; (ii) grant or pay any severance or change in control pay or benefits to, or otherwise increase the severance or change in control pay or benefits of, any current or former employee, director or independent contractor; (iii) enter into, amend (other than immaterial amendments) or terminate any Company Benefit Plan or any employee benefit plan, policy, program, agreement, trust or arrangement that would have constituted an Company Benefit Plan if it had been in effect on the date of this Agreement (other than annual renewal of welfare plans in the ordinary course of business that does not result in a material increase in cost to the Group Companies); (iv) take any action to accelerate the vesting or payment of, or otherwise fund or secure the payment of, any compensation or benefits under any Company Benefit Plan; (v) grant any equity or equity-based compensation awards; or (vi) terminate any employee or independent contractor (other than for cause), if such terminated employee or consultant receives, annual base compensation (or annual base wages or fees) in excess of $350,000; or (vii) enter into, amend or terminate any collective bargaining agreement or other agreement with a labor union, works council or similar organization respecting employees of the Group Companies;</w:t>
      </w:r>
    </w:p>
    <w:p>
      <w:pPr>
        <w:spacing w:after="0" w:line="124" w:lineRule="exact"/>
        <w:rPr>
          <w:rFonts w:ascii="Arial" w:cs="Arial" w:eastAsia="Arial" w:hAnsi="Arial"/>
          <w:sz w:val="17"/>
          <w:szCs w:val="17"/>
          <w:color w:val="auto"/>
        </w:rPr>
      </w:pPr>
    </w:p>
    <w:p>
      <w:pPr>
        <w:jc w:val="both"/>
        <w:ind w:firstLine="656"/>
        <w:spacing w:after="0" w:line="270" w:lineRule="auto"/>
        <w:tabs>
          <w:tab w:leader="none" w:pos="91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(i) transfer, sell, assign, license, sublicense, encumber, impair, abandon, fail to diligently maintain, transfer or otherwise dispose of any right, title or interest of the Company in any Owned Intellectual Property or Licensed Intellectual Property, in each case, that is material to any of the businesses of the Group Companies; (ii) extend, amend, waive, cancel or modify any material rights in or to any Owned Intellectual Property or Licensed Intellectual Property, in each case, that is material to any business of the Group Companies; (iii) fail to diligently prosecute the Patent applications owned by the Company other than applications the Company, in the exercise of its good faith business judgment, has determined to abandon; or (iv) divulge, furnish to or make accessible any Trade Secrets constituting material Owned Intellectual Property or any Trade Secrets of any Person to whom any Group Company has a confidentiality obligation to any third party who is not subject to an enforceable written agreement to maintain the confidentiality of such Trade Secrets, other than, in each of (i) through (iv),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no event shall the Company license on an exclusive basis or sell any material Owned Intellectual Property;</w:t>
      </w:r>
    </w:p>
    <w:p>
      <w:pPr>
        <w:spacing w:after="0" w:line="126" w:lineRule="exact"/>
        <w:rPr>
          <w:rFonts w:ascii="Arial" w:cs="Arial" w:eastAsia="Arial" w:hAnsi="Arial"/>
          <w:sz w:val="17"/>
          <w:szCs w:val="17"/>
          <w:color w:val="auto"/>
        </w:rPr>
      </w:pPr>
    </w:p>
    <w:p>
      <w:pPr>
        <w:jc w:val="both"/>
        <w:ind w:firstLine="656"/>
        <w:spacing w:after="0" w:line="272" w:lineRule="auto"/>
        <w:tabs>
          <w:tab w:leader="none" w:pos="91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except for transactions solely among the Group Companies: (i)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(ii) repurchase, redeem or otherwise acquire, or offer to repurchase, redeem or otherwise acquire, any membership interests, capital stock or any other equity interests, as applicable, in any Group Company, other than pursuant to the terms of a Company Option;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Group Company, other than the Earn-Out RSUs issued in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40"/>
          </w:cols>
          <w:pgMar w:left="320" w:top="1440" w:right="339" w:bottom="1440" w:gutter="0" w:footer="0" w:header="0"/>
        </w:sectPr>
      </w:pPr>
    </w:p>
    <w:bookmarkStart w:id="468" w:name="page469"/>
    <w:bookmarkEnd w:id="468"/>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accordance with </w:t>
      </w:r>
      <w:r>
        <w:rPr>
          <w:rFonts w:ascii="Arial" w:cs="Arial" w:eastAsia="Arial" w:hAnsi="Arial"/>
          <w:sz w:val="17"/>
          <w:szCs w:val="17"/>
          <w:u w:val="single" w:color="auto"/>
          <w:color w:val="auto"/>
        </w:rPr>
        <w:t>Section 3.4</w:t>
      </w:r>
      <w:r>
        <w:rPr>
          <w:rFonts w:ascii="Arial" w:cs="Arial" w:eastAsia="Arial" w:hAnsi="Arial"/>
          <w:sz w:val="17"/>
          <w:szCs w:val="17"/>
          <w:color w:val="auto"/>
        </w:rPr>
        <w:t>; (iv) declare, set aside or pay any dividend or make any other distribution; or (v) issue, deliver, sell, authorize, pledge or otherwise encumber, or agree to any of the foregoing with respect to, any shares of capital stock or other equity securities or ownership interests or any securities convertible into or exchangeable for shares of capital stock or other equity securities or ownership interests, or subscriptions, rights, warrants or options to acquire any shares of capital stock or other equity securities or ownership interests or any securities convertible into or exchangeable for shares of capital stock or other equity securities or other ownership interests, or enter into other agreements or commitments of any character obligating it to issue any such shares, equity securities or other ownership interests or convertible or exchangeable securities;</w:t>
      </w:r>
    </w:p>
    <w:p>
      <w:pPr>
        <w:spacing w:after="0" w:line="124" w:lineRule="exact"/>
        <w:rPr>
          <w:sz w:val="20"/>
          <w:szCs w:val="20"/>
          <w:color w:val="auto"/>
        </w:rPr>
      </w:pPr>
    </w:p>
    <w:p>
      <w:pPr>
        <w:ind w:left="920" w:hanging="264"/>
        <w:spacing w:after="0"/>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 merge, consolidate or combine with any Person; or (ii) acquire or agree to acquire by merging or consolidating with, purchasing any equity interest in or a substantial portion of the assets of, or by any other manner, any business or any corporation, partnership, association or other business organization or division thereof;</w:t>
      </w:r>
    </w:p>
    <w:p>
      <w:pPr>
        <w:spacing w:after="0" w:line="129" w:lineRule="exact"/>
        <w:rPr>
          <w:rFonts w:ascii="Arial" w:cs="Arial" w:eastAsia="Arial" w:hAnsi="Arial"/>
          <w:sz w:val="18"/>
          <w:szCs w:val="18"/>
          <w:color w:val="auto"/>
        </w:rPr>
      </w:pPr>
    </w:p>
    <w:p>
      <w:pPr>
        <w:jc w:val="both"/>
        <w:ind w:firstLine="656"/>
        <w:spacing w:after="0" w:line="263" w:lineRule="auto"/>
        <w:tabs>
          <w:tab w:leader="none" w:pos="89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sell, lease, license, sublicense, abandon, divest, transfer, cancel, abandon or permit to lapse or expire, dedicate to the public, or otherwise dispose of, any material assets (other than Intellectual Property) or material properties, other than any sale, lease or disposition in the ordinary course of business or as set forth on </w:t>
      </w:r>
      <w:r>
        <w:rPr>
          <w:rFonts w:ascii="Arial" w:cs="Arial" w:eastAsia="Arial" w:hAnsi="Arial"/>
          <w:sz w:val="18"/>
          <w:szCs w:val="18"/>
          <w:u w:val="single" w:color="auto"/>
          <w:color w:val="auto"/>
        </w:rPr>
        <w:t>Schedule 6.1(f)</w:t>
      </w:r>
      <w:r>
        <w:rPr>
          <w:rFonts w:ascii="Arial" w:cs="Arial" w:eastAsia="Arial" w:hAnsi="Arial"/>
          <w:sz w:val="18"/>
          <w:szCs w:val="18"/>
          <w:color w:val="auto"/>
        </w:rPr>
        <w:t xml:space="preserve"> of the Company Disclosure Letter;</w:t>
      </w:r>
    </w:p>
    <w:p>
      <w:pPr>
        <w:spacing w:after="0" w:line="129"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329"/>
        </w:numPr>
        <w:rPr>
          <w:rFonts w:ascii="Arial" w:cs="Arial" w:eastAsia="Arial" w:hAnsi="Arial"/>
          <w:sz w:val="17"/>
          <w:szCs w:val="17"/>
          <w:color w:val="auto"/>
        </w:rPr>
      </w:pPr>
      <w:r>
        <w:rPr>
          <w:rFonts w:ascii="Arial" w:cs="Arial" w:eastAsia="Arial" w:hAnsi="Arial"/>
          <w:sz w:val="17"/>
          <w:szCs w:val="17"/>
          <w:color w:val="auto"/>
        </w:rPr>
        <w:t xml:space="preserve">(i) issue or sell any debt securities or rights to acquire any debt securities of any of the Group Companies or guarantee any debt securities of another Person; (ii) make, incur, create or assume any loans, advances or capital contributions to, or investments in, or guarantee any Indebtedness of, any Person other than any of the Group Companies except for (A) loans, advances or capital contributions pursuant to and in accordance with the terms of agreements or legal obligations existing as of the date of this Agreement, in each case set forth on </w:t>
      </w:r>
      <w:r>
        <w:rPr>
          <w:rFonts w:ascii="Arial" w:cs="Arial" w:eastAsia="Arial" w:hAnsi="Arial"/>
          <w:sz w:val="17"/>
          <w:szCs w:val="17"/>
          <w:u w:val="single" w:color="auto"/>
          <w:color w:val="auto"/>
        </w:rPr>
        <w:t>Schedule 6.1(g)</w:t>
      </w:r>
      <w:r>
        <w:rPr>
          <w:rFonts w:ascii="Arial" w:cs="Arial" w:eastAsia="Arial" w:hAnsi="Arial"/>
          <w:sz w:val="17"/>
          <w:szCs w:val="17"/>
          <w:color w:val="auto"/>
        </w:rPr>
        <w:t xml:space="preserve"> of the Company Disclosure Letter;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amounts do not exceed $250,000 in the aggregate and remain with the Company for general working capital expenditures in the ordinary course of business and (B) equipment financing arrangements entered into in the ordinary course of business; (iii) except in the ordinary course of business, create any material Liens on any material property or assets of any of the Group Companies in connection with any Indebtedness thereof (other than Permitted Liens); (iv) cancel or forgive any Indebtedness owed to any of the Group Companies; or (v) make, incur or commit to make or incur any capital expenditures, other than in the ordinary course of business;</w:t>
      </w:r>
    </w:p>
    <w:p>
      <w:pPr>
        <w:spacing w:after="0" w:line="126" w:lineRule="exact"/>
        <w:rPr>
          <w:rFonts w:ascii="Arial" w:cs="Arial" w:eastAsia="Arial" w:hAnsi="Arial"/>
          <w:sz w:val="17"/>
          <w:szCs w:val="17"/>
          <w:color w:val="auto"/>
        </w:rPr>
      </w:pPr>
    </w:p>
    <w:p>
      <w:pPr>
        <w:ind w:left="920" w:hanging="264"/>
        <w:spacing w:after="0"/>
        <w:tabs>
          <w:tab w:leader="none" w:pos="92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release, assign, compromise, settle or agree to settle any Legal Proceeding material to the Group Companies, taken as a whole;</w:t>
      </w:r>
    </w:p>
    <w:p>
      <w:pPr>
        <w:spacing w:after="0" w:line="171" w:lineRule="exact"/>
        <w:rPr>
          <w:rFonts w:ascii="Arial" w:cs="Arial" w:eastAsia="Arial" w:hAnsi="Arial"/>
          <w:sz w:val="18"/>
          <w:szCs w:val="18"/>
          <w:color w:val="auto"/>
        </w:rPr>
      </w:pPr>
    </w:p>
    <w:p>
      <w:pPr>
        <w:jc w:val="both"/>
        <w:ind w:firstLine="656"/>
        <w:spacing w:after="0" w:line="279" w:lineRule="auto"/>
        <w:tabs>
          <w:tab w:leader="none" w:pos="874"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except in the ordinary course of business: (i) enter into any Contract that would have been a Company Material Contract or Material Current Government Contract (other than pursuant to offers, bids or proposals made by any Group Company on or prior to the date hereof that, if accepted, would result in a Government Contract) had it been entered into prior to the date of this Agreement or (ii) waive, delay the exercise of, release or assign any material rights or claims under any Company Material Contract or Material Current Government Contract;</w:t>
      </w:r>
    </w:p>
    <w:p>
      <w:pPr>
        <w:spacing w:after="0" w:line="117" w:lineRule="exact"/>
        <w:rPr>
          <w:rFonts w:ascii="Arial" w:cs="Arial" w:eastAsia="Arial" w:hAnsi="Arial"/>
          <w:sz w:val="17"/>
          <w:szCs w:val="17"/>
          <w:color w:val="auto"/>
        </w:rPr>
      </w:pPr>
    </w:p>
    <w:p>
      <w:pPr>
        <w:jc w:val="both"/>
        <w:ind w:firstLine="656"/>
        <w:spacing w:after="0" w:line="259" w:lineRule="auto"/>
        <w:tabs>
          <w:tab w:leader="none" w:pos="86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modify, amend or terminate in a manner that is materially adverse to the applicable Group Companies, taken as a whole, any Company Material Contract or Material Current Government Contract (other than pursuant to (i) offers, bids or proposals made by any Group Company on or prior to the date hereof that, if accepted, would result in a Government Contract or (ii) requirements from any Governmental Entity to modify the scope of work under any Government Contract);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incur or enter into a Contract requiring the Company to make any capital expenditures in excess of $250,000 in any 12-month period;</w:t>
      </w:r>
    </w:p>
    <w:p>
      <w:pPr>
        <w:spacing w:after="0" w:line="182" w:lineRule="exact"/>
        <w:rPr>
          <w:rFonts w:ascii="Arial" w:cs="Arial" w:eastAsia="Arial" w:hAnsi="Arial"/>
          <w:sz w:val="17"/>
          <w:szCs w:val="17"/>
          <w:color w:val="auto"/>
        </w:rPr>
      </w:pPr>
    </w:p>
    <w:p>
      <w:pPr>
        <w:ind w:right="20" w:firstLine="656"/>
        <w:spacing w:after="0" w:line="277" w:lineRule="auto"/>
        <w:tabs>
          <w:tab w:leader="none" w:pos="87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except as required by U.S.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ind w:firstLine="656"/>
        <w:spacing w:after="0" w:line="277" w:lineRule="auto"/>
        <w:tabs>
          <w:tab w:leader="none" w:pos="9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 make or rescind any material Tax election; (ii) settle or compromise any material Tax claim; (iii) change (or request to change) any method of accounting for Tax purposes; (iv) file any amendment to an material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40"/>
          </w:cols>
          <w:pgMar w:left="320" w:top="1440" w:right="339" w:bottom="1440" w:gutter="0" w:footer="0" w:header="0"/>
        </w:sectPr>
      </w:pPr>
    </w:p>
    <w:bookmarkStart w:id="469" w:name="page470"/>
    <w:bookmarkEnd w:id="469"/>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Tax Return; (v) waive or extend any statute of limitations in respect of a period within which an assessment or reassessment of material Taxes may be issued (other than any extension pursuant to an extension to file any Tax Return); (vi) knowingly surrender any claim for a refund of Taxes; or (vii) enter into any “closing agreement” as described in Section 7121 of the Code (or any similar Legal Requirement) with any Governmental Entity; (viii) incur any liability for Taxes other than in the ordinary course of business; (ix) prepare any Tax Return in a manner inconsistent with past practice;(x) take any action or fail to take any action that would reasonably be expected to prevent, impair or impede the Intended Tax Treatment; or (xi) authorize, recommend, propose or announce an intention to adopt a plan of complete or partial liquidation, restructuring, recapitalization, dissolution or winding-up of the Company or any Company Subsidiary;</w:t>
      </w:r>
    </w:p>
    <w:p>
      <w:pPr>
        <w:spacing w:after="0" w:line="141" w:lineRule="exact"/>
        <w:rPr>
          <w:sz w:val="20"/>
          <w:szCs w:val="20"/>
          <w:color w:val="auto"/>
        </w:rPr>
      </w:pPr>
    </w:p>
    <w:p>
      <w:pPr>
        <w:jc w:val="both"/>
        <w:ind w:firstLine="656"/>
        <w:spacing w:after="0" w:line="259" w:lineRule="auto"/>
        <w:tabs>
          <w:tab w:leader="none" w:pos="90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subject to clause (c) above, enter into or amend any agreement with, or pay, distribute or advance any assets or property to, any of its officers, directors, employees, partners, stockholders or other Affiliates, other than payments or distributions relating to obligations in respect of arms-length commercial transactions pursuant to the agreements set forth on </w:t>
      </w:r>
      <w:r>
        <w:rPr>
          <w:rFonts w:ascii="Arial" w:cs="Arial" w:eastAsia="Arial" w:hAnsi="Arial"/>
          <w:sz w:val="18"/>
          <w:szCs w:val="18"/>
          <w:u w:val="single" w:color="auto"/>
          <w:color w:val="auto"/>
        </w:rPr>
        <w:t>Schedule 6.1(n)</w:t>
      </w:r>
      <w:r>
        <w:rPr>
          <w:rFonts w:ascii="Arial" w:cs="Arial" w:eastAsia="Arial" w:hAnsi="Arial"/>
          <w:sz w:val="18"/>
          <w:szCs w:val="18"/>
          <w:color w:val="auto"/>
        </w:rPr>
        <w:t xml:space="preserve"> of the Company Disclosure Letter as existing on the date of this Agreement;</w:t>
      </w:r>
    </w:p>
    <w:p>
      <w:pPr>
        <w:spacing w:after="0" w:line="132" w:lineRule="exact"/>
        <w:rPr>
          <w:rFonts w:ascii="Arial" w:cs="Arial" w:eastAsia="Arial" w:hAnsi="Arial"/>
          <w:sz w:val="18"/>
          <w:szCs w:val="18"/>
          <w:color w:val="auto"/>
        </w:rPr>
      </w:pPr>
    </w:p>
    <w:p>
      <w:pPr>
        <w:ind w:left="920" w:hanging="264"/>
        <w:spacing w:after="0"/>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engage in any material new line of business;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Notwithstanding anything to the contrary herein, the Company may, in connection with COVID-19, take such actions in good faith as are reasonably necessary (x) to protect the health and safety of the Company’s employees and other individuals having business dealings with the Company or</w:t>
      </w:r>
    </w:p>
    <w:p>
      <w:pPr>
        <w:jc w:val="both"/>
        <w:ind w:firstLine="8"/>
        <w:spacing w:after="0" w:line="292" w:lineRule="auto"/>
        <w:tabs>
          <w:tab w:leader="none" w:pos="26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to respond to third-party supply or service disruptions caused by COVID-19, including, but not limited to Pandemic Measures, and any such actions taken (or not taken) as a result of, in response to, or otherwise related to COVID-19 shall be deemed to be taken in the “ordinary course of business” for all purposes of this Section 6.01 and not be considered a breach of this Section 6.01;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Company took any actions pursuant to the immediately preceding clause that caused deviations from its business being conducted in the ordinary course of business, the Company shall resume conducting its business in the ordinary course of business in all material respects as soon as reasonably practicable.</w:t>
      </w:r>
    </w:p>
    <w:p>
      <w:pPr>
        <w:spacing w:after="0" w:line="1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in this Agreement shall give Parent, directly or indirectly, any right to control or direct the operations of the Group Companies prior to the Closing. Prior to the Closing, each of the Company and Parent shall exercise, consistent with the other terms and conditions of this Agreement, complete control and supervision over their respective businesses.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Parent and Merger Sub</w:t>
      </w:r>
      <w:r>
        <w:rPr>
          <w:rFonts w:ascii="Arial" w:cs="Arial" w:eastAsia="Arial" w:hAnsi="Arial"/>
          <w:sz w:val="18"/>
          <w:szCs w:val="18"/>
          <w:color w:val="auto"/>
        </w:rPr>
        <w:t>. During the period from the date of this Agreement and continuing until the earlier of the termination of this Agreement pursuant to its terms or the Closing, Parent shall, and shall cause its Subsidiaries to, use its commercially reasonable efforts to carry on its business in the ordinary course, except to the extent that the Company shall otherwise consent in writing or as contemplated by this Agreement (including as contemplated by the Equity Financing Agreements). Without limiting the generality of the foregoing, except as required or permitted by the terms of this Agreement or as required by Applicable Legal Requirements (including Pandemic Measures), without the prior written consent of the Company (such consent not to be unreasonably withheld, conditioned or delayed), during the period from the date of this Agreement and continuing until the earlier of the termination of this Agreement pursuant to its terms or the Closing, Parent shall not, and shall cause its Subsidiaries not to, do any of the following:</w:t>
      </w:r>
    </w:p>
    <w:p>
      <w:pPr>
        <w:spacing w:after="0" w:line="138" w:lineRule="exact"/>
        <w:rPr>
          <w:sz w:val="20"/>
          <w:szCs w:val="20"/>
          <w:color w:val="auto"/>
        </w:rPr>
      </w:pPr>
    </w:p>
    <w:p>
      <w:pPr>
        <w:jc w:val="both"/>
        <w:ind w:firstLine="656"/>
        <w:spacing w:after="0" w:line="286" w:lineRule="auto"/>
        <w:tabs>
          <w:tab w:leader="none" w:pos="902" w:val="left"/>
        </w:tabs>
        <w:numPr>
          <w:ilvl w:val="0"/>
          <w:numId w:val="332"/>
        </w:numPr>
        <w:rPr>
          <w:rFonts w:ascii="Arial" w:cs="Arial" w:eastAsia="Arial" w:hAnsi="Arial"/>
          <w:sz w:val="17"/>
          <w:szCs w:val="17"/>
          <w:color w:val="auto"/>
        </w:rPr>
      </w:pPr>
      <w:r>
        <w:rPr>
          <w:rFonts w:ascii="Arial" w:cs="Arial" w:eastAsia="Arial" w:hAnsi="Arial"/>
          <w:sz w:val="17"/>
          <w:szCs w:val="17"/>
          <w:color w:val="auto"/>
        </w:rPr>
        <w:t>declare, set aside or pay dividends on or make any other distributions (whether in cash, stock, equity securities or property) in respect of any capital stock (or warrant) or split, combine or reclassify any capital stock (or warrant), effect a recapitalization or issue or authorize the issuance of any other securities in respect of, in lieu of or in substitution for any capital stock or warrant, or effect any like change in capitalization;</w:t>
      </w:r>
    </w:p>
    <w:p>
      <w:pPr>
        <w:spacing w:after="0" w:line="111" w:lineRule="exact"/>
        <w:rPr>
          <w:rFonts w:ascii="Arial" w:cs="Arial" w:eastAsia="Arial" w:hAnsi="Arial"/>
          <w:sz w:val="17"/>
          <w:szCs w:val="17"/>
          <w:color w:val="auto"/>
        </w:rPr>
      </w:pPr>
    </w:p>
    <w:p>
      <w:pPr>
        <w:ind w:left="920" w:hanging="264"/>
        <w:spacing w:after="0"/>
        <w:tabs>
          <w:tab w:leader="none" w:pos="9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purchase, redeem or otherwise acquire, directly or indirectly, any equity securities of Parent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40"/>
          </w:cols>
          <w:pgMar w:left="320" w:top="1440" w:right="339" w:bottom="1440" w:gutter="0" w:footer="0" w:header="0"/>
        </w:sectPr>
      </w:pPr>
    </w:p>
    <w:bookmarkStart w:id="470" w:name="page471"/>
    <w:bookmarkEnd w:id="470"/>
    <w:p>
      <w:pPr>
        <w:spacing w:after="0" w:line="144" w:lineRule="exact"/>
        <w:rPr>
          <w:sz w:val="20"/>
          <w:szCs w:val="20"/>
          <w:color w:val="auto"/>
        </w:rPr>
      </w:pPr>
    </w:p>
    <w:p>
      <w:pPr>
        <w:jc w:val="both"/>
        <w:ind w:firstLine="656"/>
        <w:spacing w:after="0" w:line="275" w:lineRule="auto"/>
        <w:tabs>
          <w:tab w:leader="none" w:pos="895" w:val="left"/>
        </w:tabs>
        <w:numPr>
          <w:ilvl w:val="1"/>
          <w:numId w:val="333"/>
        </w:numPr>
        <w:rPr>
          <w:rFonts w:ascii="Arial" w:cs="Arial" w:eastAsia="Arial" w:hAnsi="Arial"/>
          <w:sz w:val="17"/>
          <w:szCs w:val="17"/>
          <w:color w:val="auto"/>
        </w:rPr>
      </w:pPr>
      <w:r>
        <w:rPr>
          <w:rFonts w:ascii="Arial" w:cs="Arial" w:eastAsia="Arial" w:hAnsi="Arial"/>
          <w:sz w:val="17"/>
          <w:szCs w:val="17"/>
          <w:color w:val="auto"/>
        </w:rPr>
        <w:t>other than in connection with the Equity Financing Agreements, grant, issue, deliver, sell, authorize, pledge or otherwise encumber, or agree to any of the foregoing with respect to, any shares of capital stock or other equity securities or any securities convertible into or exchangeable for shares of capital stock or other equity securities, or subscriptions, rights, warrants or options to acquire any shares of capital stock or other equity securities or any securities convertible into or exchangeable for shares of capital stock or other equity securities, or enter into other agreements or commitments of any character obligating it to issue any such shares of capital stock or equity securities or convertible or exchangeable securities;</w:t>
      </w:r>
    </w:p>
    <w:p>
      <w:pPr>
        <w:spacing w:after="0" w:line="122" w:lineRule="exact"/>
        <w:rPr>
          <w:rFonts w:ascii="Arial" w:cs="Arial" w:eastAsia="Arial" w:hAnsi="Arial"/>
          <w:sz w:val="17"/>
          <w:szCs w:val="17"/>
          <w:color w:val="auto"/>
        </w:rPr>
      </w:pPr>
    </w:p>
    <w:p>
      <w:pPr>
        <w:ind w:left="920" w:hanging="264"/>
        <w:spacing w:after="0"/>
        <w:tabs>
          <w:tab w:leader="none" w:pos="9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amend its Charter Documents or form or establish any Subsidiary;</w:t>
      </w:r>
    </w:p>
    <w:p>
      <w:pPr>
        <w:spacing w:after="0" w:line="171" w:lineRule="exact"/>
        <w:rPr>
          <w:rFonts w:ascii="Arial" w:cs="Arial" w:eastAsia="Arial" w:hAnsi="Arial"/>
          <w:sz w:val="18"/>
          <w:szCs w:val="18"/>
          <w:color w:val="auto"/>
        </w:rPr>
      </w:pPr>
    </w:p>
    <w:p>
      <w:pPr>
        <w:jc w:val="both"/>
        <w:ind w:firstLine="656"/>
        <w:spacing w:after="0" w:line="311" w:lineRule="auto"/>
        <w:tabs>
          <w:tab w:leader="none" w:pos="90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 merge, consolidate or combine with any Person; or (ii) 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or enter into any joint ventures, strategic partnerships or alliances;</w:t>
      </w:r>
    </w:p>
    <w:p>
      <w:pPr>
        <w:spacing w:after="0" w:line="94" w:lineRule="exact"/>
        <w:rPr>
          <w:rFonts w:ascii="Arial" w:cs="Arial" w:eastAsia="Arial" w:hAnsi="Arial"/>
          <w:sz w:val="16"/>
          <w:szCs w:val="16"/>
          <w:color w:val="auto"/>
        </w:rPr>
      </w:pPr>
    </w:p>
    <w:p>
      <w:pPr>
        <w:jc w:val="both"/>
        <w:ind w:firstLine="656"/>
        <w:spacing w:after="0" w:line="311" w:lineRule="auto"/>
        <w:tabs>
          <w:tab w:leader="none" w:pos="879"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incur any Indebtedness or guarantee any such Indebtedness of another Person or Persons, issue or sell any debt securities or options, warrants, calls or other rights to acquire any debt securities of Parent, as applicable, enter into any “keep well” or other agreement to maintain any financial statement condition or enter into any arrangement having the economic effect of any of the foregoing, in each case, except in the ordinary course of business;</w:t>
      </w:r>
    </w:p>
    <w:p>
      <w:pPr>
        <w:spacing w:after="0" w:line="94" w:lineRule="exact"/>
        <w:rPr>
          <w:rFonts w:ascii="Arial" w:cs="Arial" w:eastAsia="Arial" w:hAnsi="Arial"/>
          <w:sz w:val="16"/>
          <w:szCs w:val="16"/>
          <w:color w:val="auto"/>
        </w:rPr>
      </w:pPr>
    </w:p>
    <w:p>
      <w:pPr>
        <w:ind w:firstLine="656"/>
        <w:spacing w:after="0" w:line="277" w:lineRule="auto"/>
        <w:tabs>
          <w:tab w:leader="none" w:pos="928" w:val="left"/>
        </w:tabs>
        <w:numPr>
          <w:ilvl w:val="1"/>
          <w:numId w:val="333"/>
        </w:numPr>
        <w:rPr>
          <w:rFonts w:ascii="Arial" w:cs="Arial" w:eastAsia="Arial" w:hAnsi="Arial"/>
          <w:sz w:val="18"/>
          <w:szCs w:val="18"/>
          <w:color w:val="auto"/>
        </w:rPr>
      </w:pPr>
      <w:r>
        <w:rPr>
          <w:rFonts w:ascii="Arial" w:cs="Arial" w:eastAsia="Arial" w:hAnsi="Arial"/>
          <w:sz w:val="18"/>
          <w:szCs w:val="18"/>
          <w:color w:val="auto"/>
        </w:rPr>
        <w:t>except as required by GAAP (or any interpretation thereof) or Applicable Legal Requirements, make any change in accounting methods, principles or practices;</w:t>
      </w:r>
    </w:p>
    <w:p>
      <w:pPr>
        <w:spacing w:after="0" w:line="116" w:lineRule="exact"/>
        <w:rPr>
          <w:rFonts w:ascii="Arial" w:cs="Arial" w:eastAsia="Arial" w:hAnsi="Arial"/>
          <w:sz w:val="18"/>
          <w:szCs w:val="18"/>
          <w:color w:val="auto"/>
        </w:rPr>
      </w:pPr>
    </w:p>
    <w:p>
      <w:pPr>
        <w:jc w:val="both"/>
        <w:ind w:firstLine="656"/>
        <w:spacing w:after="0" w:line="287" w:lineRule="auto"/>
        <w:tabs>
          <w:tab w:leader="none" w:pos="909"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 make or rescind any material Tax election (ii) settle or compromise any material Tax claim; (iii) change (or request to change) any method of accounting for Tax purposes; (iv) file any amendment to any material Tax Return; (v) waive or extend any statute of limitations in respect of a period within which an assessment or reassessment of material Taxes may be issued (other than any extension pursuant to an extension to file any Tax Return);</w:t>
      </w:r>
    </w:p>
    <w:p>
      <w:pPr>
        <w:spacing w:after="0" w:line="2" w:lineRule="exact"/>
        <w:rPr>
          <w:rFonts w:ascii="Arial" w:cs="Arial" w:eastAsia="Arial" w:hAnsi="Arial"/>
          <w:sz w:val="16"/>
          <w:szCs w:val="16"/>
          <w:color w:val="auto"/>
        </w:rPr>
      </w:pPr>
    </w:p>
    <w:p>
      <w:pPr>
        <w:jc w:val="both"/>
        <w:ind w:firstLine="8"/>
        <w:spacing w:after="0" w:line="253" w:lineRule="auto"/>
        <w:tabs>
          <w:tab w:leader="none" w:pos="321" w:val="left"/>
        </w:tabs>
        <w:numPr>
          <w:ilvl w:val="0"/>
          <w:numId w:val="334"/>
        </w:numPr>
        <w:rPr>
          <w:rFonts w:ascii="Arial" w:cs="Arial" w:eastAsia="Arial" w:hAnsi="Arial"/>
          <w:sz w:val="18"/>
          <w:szCs w:val="18"/>
          <w:color w:val="auto"/>
        </w:rPr>
      </w:pPr>
      <w:r>
        <w:rPr>
          <w:rFonts w:ascii="Arial" w:cs="Arial" w:eastAsia="Arial" w:hAnsi="Arial"/>
          <w:sz w:val="18"/>
          <w:szCs w:val="18"/>
          <w:color w:val="auto"/>
        </w:rPr>
        <w:t>knowingly surrender any claim for a refund of Taxes; or (vii) enter into any “closing agreement” as described in Section 7121 of the Code (or any similar Legal Requirement) with any Governmental Entity; (viii) create any material Liens on any material property or assets of Parent or Merger Sub; (ix) incur any liability for Taxes other than in the ordinary course of business; or (x) take any action or fail to take any action that would reasonably be expected to prevent, impair or impede the Intended Tax Treatment;</w:t>
      </w:r>
    </w:p>
    <w:p>
      <w:pPr>
        <w:spacing w:after="0" w:line="138" w:lineRule="exact"/>
        <w:rPr>
          <w:rFonts w:ascii="Arial" w:cs="Arial" w:eastAsia="Arial" w:hAnsi="Arial"/>
          <w:sz w:val="18"/>
          <w:szCs w:val="18"/>
          <w:color w:val="auto"/>
        </w:rPr>
      </w:pPr>
    </w:p>
    <w:p>
      <w:pPr>
        <w:ind w:left="880" w:hanging="224"/>
        <w:spacing w:after="0"/>
        <w:tabs>
          <w:tab w:leader="none" w:pos="8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or operations of Parent or Merger Sub;</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commence, settle or compromise any Legal Proceeding;</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engage in any material new line of business;</w:t>
      </w:r>
    </w:p>
    <w:p>
      <w:pPr>
        <w:spacing w:after="0" w:line="171" w:lineRule="exact"/>
        <w:rPr>
          <w:rFonts w:ascii="Arial" w:cs="Arial" w:eastAsia="Arial" w:hAnsi="Arial"/>
          <w:sz w:val="18"/>
          <w:szCs w:val="18"/>
          <w:color w:val="auto"/>
        </w:rPr>
      </w:pPr>
    </w:p>
    <w:p>
      <w:pPr>
        <w:ind w:left="880" w:hanging="224"/>
        <w:spacing w:after="0"/>
        <w:tabs>
          <w:tab w:leader="none" w:pos="88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171" w:lineRule="exact"/>
        <w:rPr>
          <w:rFonts w:ascii="Arial" w:cs="Arial" w:eastAsia="Arial" w:hAnsi="Arial"/>
          <w:sz w:val="18"/>
          <w:szCs w:val="18"/>
          <w:color w:val="auto"/>
        </w:rPr>
      </w:pPr>
    </w:p>
    <w:p>
      <w:pPr>
        <w:ind w:firstLine="656"/>
        <w:spacing w:after="0" w:line="277" w:lineRule="auto"/>
        <w:tabs>
          <w:tab w:leader="none" w:pos="96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 adopt or amend any employee benefit plan, or enter into any employment contract or collective bargaining agreement other than the LTIP or the ESPP, or (ii) hire any employee or any other individual to provide services to Parent or its Subsidiaries;</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4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 enter into any Parent Material Contract or other Contract that will not be terminable for convenience on or before Closing without requiring the payment of any amount or any post-Closing liability or obligation, (ii) modify, amend or terminate any Parent Material Contract or (iii) waive, delay the exercise of, release or assign any material rights or claims under any Parent Material Contract;</w:t>
      </w:r>
    </w:p>
    <w:p>
      <w:pPr>
        <w:spacing w:after="0" w:line="129" w:lineRule="exact"/>
        <w:rPr>
          <w:rFonts w:ascii="Arial" w:cs="Arial" w:eastAsia="Arial" w:hAnsi="Arial"/>
          <w:sz w:val="18"/>
          <w:szCs w:val="18"/>
          <w:color w:val="auto"/>
        </w:rPr>
      </w:pPr>
    </w:p>
    <w:p>
      <w:pPr>
        <w:ind w:left="920" w:hanging="264"/>
        <w:spacing w:after="0"/>
        <w:tabs>
          <w:tab w:leader="none" w:pos="9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make any expenditures utilizing funds in the Trust Account; or</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 xml:space="preserve">agree in writing or otherwise agree, commit or resolve to take any of the actions described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40"/>
          </w:cols>
          <w:pgMar w:left="320" w:top="1440" w:right="339" w:bottom="1440" w:gutter="0" w:footer="0" w:header="0"/>
        </w:sectPr>
      </w:pPr>
    </w:p>
    <w:bookmarkStart w:id="471" w:name="page472"/>
    <w:bookmarkEnd w:id="471"/>
    <w:p>
      <w:pPr>
        <w:spacing w:after="0" w:line="14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ADDITIONAL AGREEMENTS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Proxy Statement; Special Meeting</w:t>
      </w:r>
      <w:r>
        <w:rPr>
          <w:rFonts w:ascii="Arial" w:cs="Arial" w:eastAsia="Arial" w:hAnsi="Arial"/>
          <w:sz w:val="18"/>
          <w:szCs w:val="18"/>
          <w:color w:val="auto"/>
        </w:rPr>
        <w:t>.</w:t>
      </w:r>
    </w:p>
    <w:p>
      <w:pPr>
        <w:spacing w:after="0" w:line="171" w:lineRule="exact"/>
        <w:rPr>
          <w:sz w:val="20"/>
          <w:szCs w:val="20"/>
          <w:color w:val="auto"/>
        </w:rPr>
      </w:pPr>
    </w:p>
    <w:p>
      <w:pPr>
        <w:ind w:left="560" w:hanging="244"/>
        <w:spacing w:after="0"/>
        <w:tabs>
          <w:tab w:leader="none" w:pos="5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Proxy Statement.</w:t>
      </w:r>
    </w:p>
    <w:p>
      <w:pPr>
        <w:spacing w:after="0" w:line="171" w:lineRule="exact"/>
        <w:rPr>
          <w:rFonts w:ascii="Arial" w:cs="Arial" w:eastAsia="Arial" w:hAnsi="Arial"/>
          <w:sz w:val="18"/>
          <w:szCs w:val="18"/>
          <w:color w:val="auto"/>
        </w:rPr>
      </w:pPr>
    </w:p>
    <w:p>
      <w:pPr>
        <w:jc w:val="both"/>
        <w:ind w:left="320" w:firstLine="644"/>
        <w:spacing w:after="0" w:line="268" w:lineRule="auto"/>
        <w:tabs>
          <w:tab w:leader="none" w:pos="1211" w:val="left"/>
        </w:tabs>
        <w:numPr>
          <w:ilvl w:val="1"/>
          <w:numId w:val="335"/>
        </w:numPr>
        <w:rPr>
          <w:rFonts w:ascii="Arial" w:cs="Arial" w:eastAsia="Arial" w:hAnsi="Arial"/>
          <w:sz w:val="17"/>
          <w:szCs w:val="17"/>
          <w:color w:val="auto"/>
        </w:rPr>
      </w:pPr>
      <w:r>
        <w:rPr>
          <w:rFonts w:ascii="Arial" w:cs="Arial" w:eastAsia="Arial" w:hAnsi="Arial"/>
          <w:sz w:val="17"/>
          <w:szCs w:val="17"/>
          <w:color w:val="auto"/>
        </w:rPr>
        <w:t xml:space="preserve">As promptly as practicable following the execution and delivery of this Agreement and the delivery of the PCAOB Financial Statements, Parent shall, in accordance with this </w:t>
      </w:r>
      <w:r>
        <w:rPr>
          <w:rFonts w:ascii="Arial" w:cs="Arial" w:eastAsia="Arial" w:hAnsi="Arial"/>
          <w:sz w:val="17"/>
          <w:szCs w:val="17"/>
          <w:u w:val="single" w:color="auto"/>
          <w:color w:val="auto"/>
        </w:rPr>
        <w:t>Section 7.1(a)</w:t>
      </w:r>
      <w:r>
        <w:rPr>
          <w:rFonts w:ascii="Arial" w:cs="Arial" w:eastAsia="Arial" w:hAnsi="Arial"/>
          <w:sz w:val="17"/>
          <w:szCs w:val="17"/>
          <w:color w:val="auto"/>
        </w:rPr>
        <w:t>, prepare, with the assistance of the Company, and file with the SEC, in preliminary form, a proxy statement in connection with the Transactions (as amended or supplemented,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to be sent to the stockholders of Parent in advance of the Special Meeting, for the purpose of, among other things: (A) providing Parent’s stockholders with the opportunity to redeem shares of Parent Class A Stock (the “</w:t>
      </w:r>
      <w:r>
        <w:rPr>
          <w:rFonts w:ascii="Arial" w:cs="Arial" w:eastAsia="Arial" w:hAnsi="Arial"/>
          <w:sz w:val="17"/>
          <w:szCs w:val="17"/>
          <w:u w:val="single" w:color="auto"/>
          <w:color w:val="auto"/>
        </w:rPr>
        <w:t>Parent Stockholder Redemption</w:t>
      </w:r>
      <w:r>
        <w:rPr>
          <w:rFonts w:ascii="Arial" w:cs="Arial" w:eastAsia="Arial" w:hAnsi="Arial"/>
          <w:sz w:val="17"/>
          <w:szCs w:val="17"/>
          <w:color w:val="auto"/>
        </w:rPr>
        <w:t xml:space="preserve">”); and (B) soliciting proxies from holders of Parent Class A Stock to vote at the Special Meeting in favor of: (1) the adoption of this Agreement and approval of the Transactions; (2) the issuance of shares of Parent Class A Stock in connection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(3) the amendment and restatement of the Parent Organizational Documents in the form of the Parent A&amp;R Charter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Parent A&amp;R Bylaws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(4) adoption of the LTIP and ESPP and (5) any other proposals the Parties deem reasonably necessary or desirable to consummate the Transactions (collectively,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Matters</w:t>
      </w:r>
      <w:r>
        <w:rPr>
          <w:rFonts w:ascii="Arial" w:cs="Arial" w:eastAsia="Arial" w:hAnsi="Arial"/>
          <w:sz w:val="17"/>
          <w:szCs w:val="17"/>
          <w:color w:val="auto"/>
        </w:rPr>
        <w:t>”). The Proxy Statement will comply as to form and substance with the applicable requirements of the Exchange Act and the rules and regulations thereunder. Parent shall file the definitive Proxy Statement once approved by the Company as provided in clause (iii), below, with the SEC and cause the Proxy Statement to be mailed to its stockholders of record, as of the record date to be established by the board of directors of Parent, as promptly as practicable following the earlier to occur of: (Y) in the event the preliminary Proxy Statement is not reviewed by the SEC, the expiration of the waiting period in Rule 14a-6(a) under the Exchange Act; or (Z) in the event the preliminary Proxy Statement is reviewed by the SEC, receipt of oral or written notification of the completion of the review by the SEC (such earlier date, the “</w:t>
      </w:r>
      <w:r>
        <w:rPr>
          <w:rFonts w:ascii="Arial" w:cs="Arial" w:eastAsia="Arial" w:hAnsi="Arial"/>
          <w:sz w:val="17"/>
          <w:szCs w:val="17"/>
          <w:u w:val="single" w:color="auto"/>
          <w:color w:val="auto"/>
        </w:rPr>
        <w:t>Proxy Clearance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jc w:val="both"/>
        <w:ind w:left="320" w:firstLine="644"/>
        <w:spacing w:after="0" w:line="286" w:lineRule="auto"/>
        <w:tabs>
          <w:tab w:leader="none" w:pos="1243" w:val="left"/>
        </w:tabs>
        <w:numPr>
          <w:ilvl w:val="1"/>
          <w:numId w:val="335"/>
        </w:numPr>
        <w:rPr>
          <w:rFonts w:ascii="Arial" w:cs="Arial" w:eastAsia="Arial" w:hAnsi="Arial"/>
          <w:sz w:val="16"/>
          <w:szCs w:val="16"/>
          <w:color w:val="auto"/>
        </w:rPr>
      </w:pPr>
      <w:r>
        <w:rPr>
          <w:rFonts w:ascii="Arial" w:cs="Arial" w:eastAsia="Arial" w:hAnsi="Arial"/>
          <w:sz w:val="16"/>
          <w:szCs w:val="16"/>
          <w:color w:val="auto"/>
        </w:rPr>
        <w:t>As soon as reasonably practicable following the date of this Agreement, the Company shall deliver to Parent (A) audited balance sheets as of December 31, 2020 and statements of operations and comprehensive (loss) income, stockholders’ deficit and cash flows of the Group Companies for the 12-month period ended December 31, 2020 together with the auditor’s reports thereon, which comply in all material respects with the applicable accounting requirements and with the rules and regulations of the SEC, the Exchange Act and the Securities Act applicable to a registrant (collectively, the “PCAOB Financial Statements”); provided, that, upon delivery of such PCAOB Financial Statements, such financial statements shall be deemed “Audited Financial Statements” for all the purposes of this Agreement and the representation and warranties set forth in Section 4.8 shall be deemed to apply to such Audited Financial Statements with the same force and effect as if made as of the date of this Agreement; (B) all other audited and unaudited financial statements of the Group Companies and any company or business units acquired by it, as applicable, required under the Applicable Legal Requirements of the SEC to be included in the Proxy Statement and/or the Closing Form 8-K (including pro forma financial information); (C) all selected financial data of the Group Companies required by Item 301 of Regulation S-K, as necessary for inclusion in the Proxy Statement and the Closing Form 8-K; and (D) management’s discussion and analysis of financial condition and results of operations prepared in accordance with Item 303 of Regulation S-K of the SEC with respect to the periods ended December 31, 2020, 2019 and 2018, as necessary for inclusion in the Proxy Statement and Closing Form 8-K (including pro forma financial information).</w:t>
      </w:r>
    </w:p>
    <w:p>
      <w:pPr>
        <w:spacing w:after="0" w:line="119" w:lineRule="exact"/>
        <w:rPr>
          <w:rFonts w:ascii="Arial" w:cs="Arial" w:eastAsia="Arial" w:hAnsi="Arial"/>
          <w:sz w:val="16"/>
          <w:szCs w:val="16"/>
          <w:color w:val="auto"/>
        </w:rPr>
      </w:pPr>
    </w:p>
    <w:p>
      <w:pPr>
        <w:jc w:val="both"/>
        <w:ind w:left="320" w:firstLine="644"/>
        <w:spacing w:after="0" w:line="255" w:lineRule="auto"/>
        <w:tabs>
          <w:tab w:leader="none" w:pos="129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Prior to filing the Proxy Statement with the SEC, Parent will make available to the Company drafts of the Proxy Statement and any other documents to be filed with the SEC, both preliminary and final, and any amendment or supplement to the Proxy Statement or such other document and will provide the Company with a reasonable opportunity to comment on such drafts and shall consider such comments in good faith. Parent shall not file the Proxy Statement with the SEC without the Company’s final approval thereof, such approval not to be unreasonably withheld, delayed or conditioned. Parent will advise the Company promptly after it receives notice thereof, of: (A) the time when the Proxy Statement has been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0900"/>
          </w:cols>
          <w:pgMar w:left="660" w:top="1440" w:right="339" w:bottom="1440" w:gutter="0" w:footer="0" w:header="0"/>
        </w:sectPr>
      </w:pPr>
    </w:p>
    <w:bookmarkStart w:id="472" w:name="page473"/>
    <w:bookmarkEnd w:id="472"/>
    <w:p>
      <w:pPr>
        <w:spacing w:after="0" w:line="144"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filed; (B) in the event the preliminary Proxy Statement is not reviewed by the SEC, the expiration of the waiting period in Rule 14a-6(a) under the Exchange Act; (C) in the event the preliminary Proxy Statement is reviewed by the SEC, receipt of oral or written notification of the completion of the review by the SEC; (D) the filing of any supplement or amendment to the Proxy Statement; (E) the issuance of any stop order by the SEC;</w:t>
      </w:r>
    </w:p>
    <w:p>
      <w:pPr>
        <w:spacing w:after="0" w:line="2" w:lineRule="exact"/>
        <w:rPr>
          <w:sz w:val="20"/>
          <w:szCs w:val="20"/>
          <w:color w:val="auto"/>
        </w:rPr>
      </w:pPr>
    </w:p>
    <w:p>
      <w:pPr>
        <w:jc w:val="both"/>
        <w:ind w:left="660" w:hanging="4"/>
        <w:spacing w:after="0" w:line="253" w:lineRule="auto"/>
        <w:tabs>
          <w:tab w:leader="none" w:pos="95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any request by the SEC for amendment of the Proxy Statement; (G) any comments from the SEC relating to the Proxy Statement and responses thereto; and (H) requests by the SEC for additional information. Parent shall promptly respond to any SEC comments on the Proxy Statement and shall use its reasonable best efforts to have the Proxy Statement cleared by the SEC under the Exchange Act as promptly as practicable.</w:t>
      </w:r>
    </w:p>
    <w:p>
      <w:pPr>
        <w:spacing w:after="0" w:line="138" w:lineRule="exact"/>
        <w:rPr>
          <w:rFonts w:ascii="Arial" w:cs="Arial" w:eastAsia="Arial" w:hAnsi="Arial"/>
          <w:sz w:val="18"/>
          <w:szCs w:val="18"/>
          <w:color w:val="auto"/>
        </w:rPr>
      </w:pPr>
    </w:p>
    <w:p>
      <w:pPr>
        <w:jc w:val="both"/>
        <w:ind w:left="660" w:firstLine="644"/>
        <w:spacing w:after="0" w:line="289" w:lineRule="auto"/>
        <w:tabs>
          <w:tab w:leader="none" w:pos="163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Each of Parent and the Company shall cooperate and mutually agree upon (such agreement not to be unreasonably withheld or delayed), any response to comments of the SEC or its staff with respect to the Proxy Statement and any amendment to the Proxy Statement filed in response thereto. If Parent or the Company becomes aware that any information contained in the Proxy Statement shall have become false or misleading in any material respect or that the Proxy Statement is required to be amended in order to comply with Applicable Legal Requirements, then (A) such party shall promptly inform the other party and (B) Parent, on the one hand, and the Company, on the other hand, shall cooperate and mutually agree upon (such agreement not to be unreasonably withheld or delayed) an amendment or supplement to the Proxy Statement. Parent and the Company shall use reasonable best efforts to cause the Proxy Statement as so amended or supplemented, to be filed with the SEC and to be disseminated to the holders of shares of capital stock of Parent, as applicable, in each case pursuant to Applicable Legal Requirements and subject to the terms and conditions of this Agreement and the Parent Organizational Documents.</w:t>
      </w:r>
    </w:p>
    <w:p>
      <w:pPr>
        <w:spacing w:after="0" w:line="112" w:lineRule="exact"/>
        <w:rPr>
          <w:rFonts w:ascii="Arial" w:cs="Arial" w:eastAsia="Arial" w:hAnsi="Arial"/>
          <w:sz w:val="16"/>
          <w:szCs w:val="16"/>
          <w:color w:val="auto"/>
        </w:rPr>
      </w:pPr>
    </w:p>
    <w:p>
      <w:pPr>
        <w:jc w:val="both"/>
        <w:ind w:left="660" w:firstLine="644"/>
        <w:spacing w:after="0" w:line="273" w:lineRule="auto"/>
        <w:tabs>
          <w:tab w:leader="none" w:pos="1581" w:val="left"/>
        </w:tabs>
        <w:numPr>
          <w:ilvl w:val="1"/>
          <w:numId w:val="336"/>
        </w:numPr>
        <w:rPr>
          <w:rFonts w:ascii="Arial" w:cs="Arial" w:eastAsia="Arial" w:hAnsi="Arial"/>
          <w:sz w:val="17"/>
          <w:szCs w:val="17"/>
          <w:color w:val="auto"/>
        </w:rPr>
      </w:pPr>
      <w:r>
        <w:rPr>
          <w:rFonts w:ascii="Arial" w:cs="Arial" w:eastAsia="Arial" w:hAnsi="Arial"/>
          <w:sz w:val="17"/>
          <w:szCs w:val="17"/>
          <w:color w:val="auto"/>
        </w:rPr>
        <w:t>Parent shall make all necessary filings with respect to the Transactions under the Securities Act, the Exchange Act and applicable “blue sky” laws, and any rules and regulations thereunder. The Company agrees to promptly provide Parent with such information concerning the business, management, operations and financial condition of the Company and the Company Subsidiaries, in each case, as is reasonably requested by Parent for inclusion in the Proxy Statement. The Company shall cause the officers and employees of the Company and the Company Subsidiaries to be reasonably available to Parent and its counsel in connection with the drafting of the Proxy Statement and responding in a timely manner to comments on the Proxy Statement from the SEC.</w:t>
      </w:r>
    </w:p>
    <w:p>
      <w:pPr>
        <w:spacing w:after="0" w:line="124" w:lineRule="exact"/>
        <w:rPr>
          <w:sz w:val="20"/>
          <w:szCs w:val="20"/>
          <w:color w:val="auto"/>
        </w:rPr>
      </w:pPr>
    </w:p>
    <w:p>
      <w:pPr>
        <w:jc w:val="both"/>
        <w:ind w:firstLine="656"/>
        <w:spacing w:after="0" w:line="267" w:lineRule="auto"/>
        <w:tabs>
          <w:tab w:leader="none" w:pos="908" w:val="left"/>
        </w:tabs>
        <w:numPr>
          <w:ilvl w:val="0"/>
          <w:numId w:val="337"/>
        </w:numPr>
        <w:rPr>
          <w:rFonts w:ascii="Arial" w:cs="Arial" w:eastAsia="Arial" w:hAnsi="Arial"/>
          <w:sz w:val="17"/>
          <w:szCs w:val="17"/>
          <w:color w:val="auto"/>
        </w:rPr>
      </w:pPr>
      <w:r>
        <w:rPr>
          <w:rFonts w:ascii="Arial" w:cs="Arial" w:eastAsia="Arial" w:hAnsi="Arial"/>
          <w:sz w:val="17"/>
          <w:szCs w:val="17"/>
          <w:color w:val="auto"/>
        </w:rPr>
        <w:t>Parent shall, as promptly as practicable following the Proxy Clearance Date, establish a record date (which date shall be mutually agreed with the Company) for, duly call and give notice of, the Special Meeting. Parent shall convene and hold, no later than 45 days after the Proxy Statement is mailed, a meeting of Parent’s stockholders (the “Special Meeting”), for the purpose of obtaining the approval of the Parent Stockholder Matters. Parent shall use its reasonable best efforts to obtain the approval of the Parent Stockholder Matters at the Special Meeting, including by soliciting proxies as promptly as practicable in accordance with Applicable Legal Requirements for the purpose of seeking the approval of the Parent Stockholder Matters. Subject to the proviso in the following sentence, Parent shall include the Parent Recommendation in the Proxy Statement. Except as otherwise required by Applicable Legal Requirements, the board of directors of Parent shall not (and no committee or subgroup thereof shall) change, withdraw, withhold, qualify or modify, or publicly propose to change, withdraw, withhold, qualify or modify, the Parent Recommendation (a “Change in Recommendation”). Parent agrees that its obligation to establish a record date for, duly call, give notice of, convene and hold the Special Meeting for the purpose of seeking approval of the Parent Stockholder Matters shall not be affected by any Change in Recommendation, and Parent agrees to establish a record date for, duly call, give notice of, convene and hold the Special Meeting and submit for the approval of its stockholders the matters contemplated by the Proxy Statement as contemplated by this Section 7.1(b), regardless of whether or not there shall have occurred any Change in Recommendation. Notwithstanding anything to the contrary contained in this Agreement, Parent shall be entitled to postpone or adjourn the Special Meeting: (i) to ensure that any supplement or amendment to the Proxy Statement that the board of directors of Parent has determined in good faith is required by Applicable Legal Requirements is disclosed to Parent’s stockholders and for such supplement or amendment to be promptly disseminated to Parent’s stockholders prior to the Special Meeting; (ii) if, as of the time for which the Special Meeting is originally scheduled (as set forth in the Proxy Statement), there are insufficient shares of Parent Class A Stock represented (either in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40"/>
          </w:cols>
          <w:pgMar w:left="320" w:top="1440" w:right="339" w:bottom="1440" w:gutter="0" w:footer="0" w:header="0"/>
        </w:sectPr>
      </w:pPr>
    </w:p>
    <w:bookmarkStart w:id="473" w:name="page474"/>
    <w:bookmarkEnd w:id="473"/>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person or by proxy) to constitute a quorum necessary to conduct the business to be conducted at the Special Meeting; (iii) in order to solicit additional proxies from stockholders for purposes of obtaining approval of the Parent Stockholder Matters; or (iv) if the holders of Parent Class A Stock have elected to redeem a number of Parent Class A Stock as of such time that would reasonably be expected to result in Parent not satisfying the Company’s Required Funds; provided, that in the event of a postponement or adjournment pursuant to clauses (i), (ii), (iii) or (iv) above, the Special Meeting shall be reconvened as promptly as practicable following such time as the matters described in such clauses have been resolved.</w:t>
      </w:r>
    </w:p>
    <w:p>
      <w:pPr>
        <w:spacing w:after="0" w:line="122" w:lineRule="exact"/>
        <w:rPr>
          <w:sz w:val="20"/>
          <w:szCs w:val="20"/>
          <w:color w:val="auto"/>
        </w:rPr>
      </w:pPr>
    </w:p>
    <w:p>
      <w:pPr>
        <w:jc w:val="both"/>
        <w:ind w:firstLine="656"/>
        <w:spacing w:after="0" w:line="275" w:lineRule="auto"/>
        <w:tabs>
          <w:tab w:leader="none" w:pos="902" w:val="left"/>
        </w:tabs>
        <w:numPr>
          <w:ilvl w:val="0"/>
          <w:numId w:val="338"/>
        </w:numPr>
        <w:rPr>
          <w:rFonts w:ascii="Arial" w:cs="Arial" w:eastAsia="Arial" w:hAnsi="Arial"/>
          <w:sz w:val="17"/>
          <w:szCs w:val="17"/>
          <w:color w:val="auto"/>
        </w:rPr>
      </w:pPr>
      <w:r>
        <w:rPr>
          <w:rFonts w:ascii="Arial" w:cs="Arial" w:eastAsia="Arial" w:hAnsi="Arial"/>
          <w:sz w:val="17"/>
          <w:szCs w:val="17"/>
          <w:color w:val="auto"/>
        </w:rPr>
        <w:t>Company Stockholder Approval. The Company shall obtain the Company Stockholder Approval via the Stockholder Consent and Joinder no later than the Company Stockholder Approval Deadline. The Company will provide Parent with a copy of each executed Stockholder Consent and Joinder. In connection therewith, as promptly as practicable, the board of directors of the Company shall set a record date for determining the stockholders required to execute such Stockholder Consent and Joinder. The Company shall, through its board of directors, recommend to the Company Stockholders that they provide the Company Stockholder Approval and execute the Stockholder Consent and Joinder.</w:t>
      </w:r>
    </w:p>
    <w:p>
      <w:pPr>
        <w:spacing w:after="0" w:line="12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Regulatory Approvals</w:t>
      </w:r>
      <w:r>
        <w:rPr>
          <w:rFonts w:ascii="Arial" w:cs="Arial" w:eastAsia="Arial" w:hAnsi="Arial"/>
          <w:sz w:val="16"/>
          <w:szCs w:val="16"/>
          <w:color w:val="auto"/>
        </w:rPr>
        <w:t>. As promptly as practicable after the date of this Agreement, Parent and the Company shall each prepare and file the notification required of it under the HSR Act within 10 Business Days after the date hereof in connection with the Transactions and shall promptly and in good faith respond to all information requested of it by the U.S. Federal Trade Commission, U.S. Department of Justice or any other Governmental Entity in connection with such notification and otherwise cooperate in good faith with each other and such Governmental Entities. Each Party will promptly furnish to the other such information and assistance as the other may reasonably request in connection with its preparation of any filing or submission that is necessary under the HSR Act and will use reasonable best efforts to cause the expiration or termination of the applicable waiting periods as soon as practicable. Each Party will promptly furnish to the other such information and assistance as the other may reasonably request in connection with its preparation of any filing or submission that is necessary under the HSR Act or any other Antitrust Laws and will use reasonable best efforts to cause the expiration or termination of the applicable waiting periods or obtain the applicable approvals as soon as practicable. Each Party will promptly provide the other with copies of all substantive written communications (and memoranda setting forth the substance of all substantive oral communications) between each of them, any of their Affiliates and their respective agents, representatives and advisors, on the one hand, and any Governmental Entity, on the other hand, with respect to this Agreement or the Transactions. Without limiting the foregoing, Parent and the Company shall: (i) promptly inform the other of any communication to or from the U.S. Federal Trade Commission, the U.S. Department of Justice or any other Governmental Entity regarding the Transactions; (ii) permit each other to review in advance any proposed substantive written communication to any such Governmental Entity and incorporate reasonable comments thereto; (iii) give the other prompt written notice of the commencement of any Legal Proceeding with respect to such transactions; (iv) not agree to participate in any substantive meeting or discussion with any such Governmental Entity in respect of any filing, investigation or inquiry concerning this Agreement or the Transactions unless, to the extent reasonably practicable, it consults with the other Party in advance and, to the extent permitted by such Governmental Entity, gives the other Party the opportunity to attend; (v) keep the other reasonably informed as to the status of any such Legal Proceeding; and (vi) promptly furnish each other with copies of all correspondence, filings (except for filings made under the HSR Act) and written communications between such Party and their Affiliates and their respective agents, representatives and advisors, on one hand, and any such Governmental Entity, on the other hand, in each case, with respect to this Agreement and the Transactions. Each of the Company Transaction Fees and Parent Transaction Fees shall include 50% of any filing fees required by Governmental Entities, including with respect to any registrations, declarations and filings required in connection with the execution and delivery of this Agreement, the performance of the obligations hereunder and the consummation of the Transactions, including filing fees in connection with filings under the HSR Act.</w:t>
      </w: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Other Filings; Press Release.</w:t>
      </w:r>
    </w:p>
    <w:p>
      <w:pPr>
        <w:spacing w:after="0" w:line="171" w:lineRule="exact"/>
        <w:rPr>
          <w:sz w:val="20"/>
          <w:szCs w:val="20"/>
          <w:color w:val="auto"/>
        </w:rPr>
      </w:pPr>
    </w:p>
    <w:p>
      <w:pPr>
        <w:ind w:right="20" w:firstLine="656"/>
        <w:spacing w:after="0" w:line="308" w:lineRule="auto"/>
        <w:tabs>
          <w:tab w:leader="none" w:pos="906" w:val="left"/>
        </w:tabs>
        <w:numPr>
          <w:ilvl w:val="0"/>
          <w:numId w:val="339"/>
        </w:numPr>
        <w:rPr>
          <w:rFonts w:ascii="Arial" w:cs="Arial" w:eastAsia="Arial" w:hAnsi="Arial"/>
          <w:sz w:val="17"/>
          <w:szCs w:val="17"/>
          <w:color w:val="auto"/>
        </w:rPr>
      </w:pPr>
      <w:r>
        <w:rPr>
          <w:rFonts w:ascii="Arial" w:cs="Arial" w:eastAsia="Arial" w:hAnsi="Arial"/>
          <w:sz w:val="17"/>
          <w:szCs w:val="17"/>
          <w:color w:val="auto"/>
        </w:rPr>
        <w:t>As promptly as practicable after execution of this Agreement, Parent will prepare and file a Current Report on Form 8-K pursuant to the Exchange Act to report the execution of this Agreement, the form and substance of which shall be approved in advance in writing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40"/>
          </w:cols>
          <w:pgMar w:left="320" w:top="1440" w:right="339" w:bottom="1440" w:gutter="0" w:footer="0" w:header="0"/>
        </w:sectPr>
      </w:pPr>
    </w:p>
    <w:bookmarkStart w:id="474" w:name="page475"/>
    <w:bookmarkEnd w:id="474"/>
    <w:p>
      <w:pPr>
        <w:spacing w:after="0" w:line="144" w:lineRule="exact"/>
        <w:rPr>
          <w:sz w:val="20"/>
          <w:szCs w:val="20"/>
          <w:color w:val="auto"/>
        </w:rPr>
      </w:pPr>
    </w:p>
    <w:p>
      <w:pPr>
        <w:ind w:firstLine="656"/>
        <w:spacing w:after="0" w:line="308" w:lineRule="auto"/>
        <w:tabs>
          <w:tab w:leader="none" w:pos="906" w:val="left"/>
        </w:tabs>
        <w:numPr>
          <w:ilvl w:val="0"/>
          <w:numId w:val="340"/>
        </w:numPr>
        <w:rPr>
          <w:rFonts w:ascii="Arial" w:cs="Arial" w:eastAsia="Arial" w:hAnsi="Arial"/>
          <w:sz w:val="17"/>
          <w:szCs w:val="17"/>
          <w:color w:val="auto"/>
        </w:rPr>
      </w:pPr>
      <w:r>
        <w:rPr>
          <w:rFonts w:ascii="Arial" w:cs="Arial" w:eastAsia="Arial" w:hAnsi="Arial"/>
          <w:sz w:val="17"/>
          <w:szCs w:val="17"/>
          <w:color w:val="auto"/>
        </w:rPr>
        <w:t>Promptly after the execution of this Agreement, Parent and the Company shall also issue a joint press release announcing the execution of this Agreement; provided that any references to ISMMS in such press release will be subject to the prior review and approval of ISMMS.</w:t>
      </w:r>
    </w:p>
    <w:p>
      <w:pPr>
        <w:spacing w:after="0" w:line="92" w:lineRule="exact"/>
        <w:rPr>
          <w:rFonts w:ascii="Arial" w:cs="Arial" w:eastAsia="Arial" w:hAnsi="Arial"/>
          <w:sz w:val="17"/>
          <w:szCs w:val="17"/>
          <w:color w:val="auto"/>
        </w:rPr>
      </w:pPr>
    </w:p>
    <w:p>
      <w:pPr>
        <w:jc w:val="both"/>
        <w:ind w:firstLine="656"/>
        <w:spacing w:after="0" w:line="296" w:lineRule="auto"/>
        <w:tabs>
          <w:tab w:leader="none" w:pos="91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Parties shall prepare a draft Current Report on Form 8-K announcing the Closing, together with, or incorporating by reference, the financial statements prepared by the Company and its accountant, and such other information that may be required to be disclosed with respect to the Transactions in any report or form to be filed with the SEC (“Closing Form 8-K”). Prior to Closing, Parent and the Company shall prepare a joint press release announcing the consummation of the Transactions hereunder (“Closing Press Release”). Concurrently with the Closing, Parent shall issue the Closing Press Release. Concurrently with the Closing, or as soon as practicable thereafter, Parent shall file the Closing Form 8-K with the SEC.</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Confidentiality; Access to Information.</w:t>
      </w:r>
    </w:p>
    <w:p>
      <w:pPr>
        <w:spacing w:after="0" w:line="171" w:lineRule="exact"/>
        <w:rPr>
          <w:sz w:val="20"/>
          <w:szCs w:val="20"/>
          <w:color w:val="auto"/>
        </w:rPr>
      </w:pPr>
    </w:p>
    <w:p>
      <w:pPr>
        <w:jc w:val="both"/>
        <w:ind w:firstLine="656"/>
        <w:spacing w:after="0" w:line="268" w:lineRule="auto"/>
        <w:tabs>
          <w:tab w:leader="none" w:pos="899" w:val="left"/>
        </w:tabs>
        <w:numPr>
          <w:ilvl w:val="0"/>
          <w:numId w:val="341"/>
        </w:numPr>
        <w:rPr>
          <w:rFonts w:ascii="Arial" w:cs="Arial" w:eastAsia="Arial" w:hAnsi="Arial"/>
          <w:sz w:val="17"/>
          <w:szCs w:val="17"/>
          <w:color w:val="auto"/>
        </w:rPr>
      </w:pPr>
      <w:r>
        <w:rPr>
          <w:rFonts w:ascii="Arial" w:cs="Arial" w:eastAsia="Arial" w:hAnsi="Arial"/>
          <w:sz w:val="17"/>
          <w:szCs w:val="17"/>
          <w:color w:val="auto"/>
        </w:rPr>
        <w:t>The Company acknowledges that it is a party to the Confidentiality Agreement, the terms of which are incorporated herein by reference, and Parent agrees to be bound by the Confidentiality Agreement in the same capacity as Casdin Capital LLC. Following Closing, the Confidentiality Agreement shall be superseded in its entirety by the provisions of this Agreement; provided, however, that if for any reason this Agreement is terminated prior to the Closing, the Confidentiality Agreement shall nonetheless continue in full force and effect in accordance with its terms. Beginning on the date hereof and ending on the second anniversary of this Agreement (but perpetually with respect to any trade secrets), each Party agrees to maintain in confidence any non-public information received from the other Parties, and to use such non-public information only for purposes of consummating the Transactions. Such confidentiality obligations will not apply to: (i) information which was known to one Party or its agents or representatives prior to receipt from the Company or the Company Stockholders, on the one hand, or Parent or Merger Sub, on the other hand, as applicable; (ii) information which is or becomes generally known to the public without breach of this Agreement or an existing obligation of confidentiality; (iii) information acquired by a Party or their respective agents or representatives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disclosure consented to in writing by Parent or Merger Sub (in the case of the Company Stockholders and, prior to the Closing, the Company) or the Company (in the case of Parent or Merger Sub).</w:t>
      </w:r>
    </w:p>
    <w:p>
      <w:pPr>
        <w:spacing w:after="0" w:line="132" w:lineRule="exact"/>
        <w:rPr>
          <w:rFonts w:ascii="Arial" w:cs="Arial" w:eastAsia="Arial" w:hAnsi="Arial"/>
          <w:sz w:val="17"/>
          <w:szCs w:val="17"/>
          <w:color w:val="auto"/>
        </w:rPr>
      </w:pPr>
    </w:p>
    <w:p>
      <w:pPr>
        <w:jc w:val="both"/>
        <w:ind w:firstLine="656"/>
        <w:spacing w:after="0" w:line="286" w:lineRule="auto"/>
        <w:tabs>
          <w:tab w:leader="none" w:pos="92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Notwithstanding the foregoing, none of the Parties will make any public announcement or issue any public communication regarding this Agreement, any other Transaction Agreement or the Transactions or any matter related to the foregoing, without the prior written consent of the Company, in the case of a public announcement by Parent, or Parent, in the case of a public announcement by the Company Stockholders or the Company (such consents, in either case, not to be unreasonably withheld, conditioned or delayed), except: (i) if such announcement or other communication is required by Applicable Legal Requirements, in which case the disclosing Party shall, to the extent permitted by Applicable Legal Requirements, first allow such other Parties to review such announcement or communication and have the opportunity to comment thereon and the disclosing Party shall consider such comments in good faith; (ii) in the case of the Company or the Company Stockholders, Parent and their respective Affiliates, if such announcement or other communication is made in connection with fundraising or other investment related activities and is made to such Person’s direct and indirect investors or potential investors or financing sources subject to an obligation of confidentiality; (iii) announcements and communications regarding this Agreement and the Transactions to the Group Companies’ stockholders, Affiliates, and its and their respective directors, officers, employees, managers and advisors, in each case subject to an obligation of confidentiality; (iv) to the extent such announcements or other communications contain only information previously disclosed in a public statement, press release or other communication previously approved in accordance with Section 7.3 or this Section 7.4(b); (v) announcements and communications to Governmental Entities in connection with registrations, declarations and filings relating to the Transactions required to be made under this Agreement; and (vi) communications to customers and suppliers of the Group Companies for purposes of seeking any consents and approvals required in connection with the Transactions.</w:t>
      </w:r>
    </w:p>
    <w:p>
      <w:pPr>
        <w:spacing w:after="0" w:line="113" w:lineRule="exact"/>
        <w:rPr>
          <w:rFonts w:ascii="Arial" w:cs="Arial" w:eastAsia="Arial" w:hAnsi="Arial"/>
          <w:sz w:val="16"/>
          <w:szCs w:val="16"/>
          <w:color w:val="auto"/>
        </w:rPr>
      </w:pPr>
    </w:p>
    <w:p>
      <w:pPr>
        <w:ind w:firstLine="656"/>
        <w:spacing w:after="0" w:line="277" w:lineRule="auto"/>
        <w:tabs>
          <w:tab w:leader="none" w:pos="90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Company will afford Parent and its financial advisors, accountants, counsel and other representatives reasonable access during normal business hours, upon reasonable notice, to the properties, books,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40"/>
          </w:cols>
          <w:pgMar w:left="320" w:top="1440" w:right="339" w:bottom="1440" w:gutter="0" w:footer="0" w:header="0"/>
        </w:sectPr>
      </w:pPr>
    </w:p>
    <w:bookmarkStart w:id="475" w:name="page476"/>
    <w:bookmarkEnd w:id="475"/>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records and personnel of the Company during the period prior to the Closing to obtain all information concerning the business, including the status of business development efforts, properties, results of operations and personnel of the Company, as Parent may reasonably request in connection with the consummation of the Transactions; provided, however, that (i) any such access shall be conducted in a manner not to interfere with the businesses or operations of the Company, (ii) the Company shall not be required to provide access to or to disclose information where such access or disclosure would (x) contravene any Applicable Legal Requirement, Order or Contract of any Group Companies or, if determined by the Company in good faith after consulting with counsel, reasonably be expected to result in antitrust risk for the Company, (y) reasonably be expected to violate or result in a loss or impairment of any attorney client, legal or work product privilege or (z) expose the Company to risk of liability for disclosure of sensitive or Personal Information and</w:t>
      </w:r>
    </w:p>
    <w:p>
      <w:pPr>
        <w:spacing w:after="0" w:line="2" w:lineRule="exact"/>
        <w:rPr>
          <w:sz w:val="20"/>
          <w:szCs w:val="20"/>
          <w:color w:val="auto"/>
        </w:rPr>
      </w:pPr>
    </w:p>
    <w:p>
      <w:pPr>
        <w:ind w:right="20" w:firstLine="8"/>
        <w:spacing w:after="0" w:line="260" w:lineRule="auto"/>
        <w:tabs>
          <w:tab w:leader="none" w:pos="33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Company shall not be required to provide such access if the Company in good faith determines, in light of any Pandemic Measures, that such access would reasonably be expected to jeopardize the health and safety of any Group Company personnel or representatives.</w:t>
      </w:r>
    </w:p>
    <w:p>
      <w:pPr>
        <w:spacing w:after="0" w:line="131" w:lineRule="exact"/>
        <w:rPr>
          <w:rFonts w:ascii="Arial" w:cs="Arial" w:eastAsia="Arial" w:hAnsi="Arial"/>
          <w:sz w:val="18"/>
          <w:szCs w:val="18"/>
          <w:color w:val="auto"/>
        </w:rPr>
      </w:pPr>
    </w:p>
    <w:p>
      <w:pPr>
        <w:jc w:val="both"/>
        <w:ind w:firstLine="656"/>
        <w:spacing w:after="0" w:line="257" w:lineRule="auto"/>
        <w:tabs>
          <w:tab w:leader="none" w:pos="931" w:val="left"/>
        </w:tabs>
        <w:numPr>
          <w:ilvl w:val="1"/>
          <w:numId w:val="342"/>
        </w:numPr>
        <w:rPr>
          <w:rFonts w:ascii="Arial" w:cs="Arial" w:eastAsia="Arial" w:hAnsi="Arial"/>
          <w:sz w:val="18"/>
          <w:szCs w:val="18"/>
          <w:color w:val="auto"/>
        </w:rPr>
      </w:pPr>
      <w:r>
        <w:rPr>
          <w:rFonts w:ascii="Arial" w:cs="Arial" w:eastAsia="Arial" w:hAnsi="Arial"/>
          <w:sz w:val="18"/>
          <w:szCs w:val="18"/>
          <w:color w:val="auto"/>
        </w:rPr>
        <w:t>Parent will afford the Company and its financial advisors, underwriters, accountants, counsel and other representatives reasonable access during normal business hours, upon reasonable notice, to the properties, books, records and personnel of Parent during the period prior to the Closing to obtain all information concerning the business, including properties, results of operations and personnel of Parent, as the Company may reasonably request in connection with the consummation of the Transactions; provided, however, that any such access shall be conducted in a manner not to interfere with the businesses or operations of Parent.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Reasonable Best Efforts.</w:t>
      </w:r>
    </w:p>
    <w:p>
      <w:pPr>
        <w:spacing w:after="0" w:line="171" w:lineRule="exact"/>
        <w:rPr>
          <w:sz w:val="20"/>
          <w:szCs w:val="20"/>
          <w:color w:val="auto"/>
        </w:rPr>
      </w:pPr>
    </w:p>
    <w:p>
      <w:pPr>
        <w:jc w:val="both"/>
        <w:ind w:firstLine="656"/>
        <w:spacing w:after="0" w:line="284" w:lineRule="auto"/>
        <w:tabs>
          <w:tab w:leader="none" w:pos="897" w:val="left"/>
        </w:tabs>
        <w:numPr>
          <w:ilvl w:val="1"/>
          <w:numId w:val="343"/>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(i) the taking of commercially reasonable acts necessary to cause the conditions precedent set forth in Article VIII to be satisfied; (ii) the obtaining of all necessary actions, waivers, consents, approvals, orders and authorizations from Governmental Entities and the making of all necessary registrations, declarations and filings (including registrations, declarations and filings with Governmental Entities, if any);</w:t>
      </w:r>
    </w:p>
    <w:p>
      <w:pPr>
        <w:spacing w:after="0" w:line="4" w:lineRule="exact"/>
        <w:rPr>
          <w:rFonts w:ascii="Arial" w:cs="Arial" w:eastAsia="Arial" w:hAnsi="Arial"/>
          <w:sz w:val="16"/>
          <w:szCs w:val="16"/>
          <w:color w:val="auto"/>
        </w:rPr>
      </w:pPr>
    </w:p>
    <w:p>
      <w:pPr>
        <w:jc w:val="both"/>
        <w:ind w:firstLine="8"/>
        <w:spacing w:after="0" w:line="287" w:lineRule="auto"/>
        <w:tabs>
          <w:tab w:leader="none" w:pos="348"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taking of commercially reasonable acts necessary to obtain all consents, approvals or waivers from third parties required as a result of the Transactions, including any other consents, approvals or waivers from third parties referred to on Schedule 4.5(b) of the Company Disclosure Letter, and, in the case of Parent, to terminate any Contracts to which Parent or Merger Sub is a party that are not required for the operation of the Surviving Company following Closing, if and to the extent reasonably requested by the Company; (iv) the defending of any suits, claims, actions, investigations or proceedings, whether judicial or administrative, challenging this Agreement or the consummation of the Transactions, including seeking to have any stay or temporary restraining order entered by any court or other Governmental Entity vacated or reversed; and (v) the execution or delivery of any additional instruments reasonably necessary to consummate, and to fully carry out the purposes of, the Transactions. This obligation shall include, on the part of Parent, sending a termination letter to Continental substantially in the applicable form attached to the Trust Agreement (the “Trust Termination Letter”).</w:t>
      </w:r>
    </w:p>
    <w:p>
      <w:pPr>
        <w:spacing w:after="0" w:line="115" w:lineRule="exact"/>
        <w:rPr>
          <w:rFonts w:ascii="Arial" w:cs="Arial" w:eastAsia="Arial" w:hAnsi="Arial"/>
          <w:sz w:val="16"/>
          <w:szCs w:val="16"/>
          <w:color w:val="auto"/>
        </w:rPr>
      </w:pPr>
    </w:p>
    <w:p>
      <w:pPr>
        <w:jc w:val="both"/>
        <w:ind w:firstLine="656"/>
        <w:spacing w:after="0" w:line="257" w:lineRule="auto"/>
        <w:tabs>
          <w:tab w:leader="none" w:pos="912" w:val="left"/>
        </w:tabs>
        <w:numPr>
          <w:ilvl w:val="1"/>
          <w:numId w:val="344"/>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Section 7.5 shall be deemed to require (i) Parent or the Company to agree to any divestiture by itself or any of its Affiliates of shares of capital stock or of any business, assets or property, the imposition of any limitation on the ability of any of them to conduct their business or to own or exercise control of their respective assets, properties and capital stock, or the incurrence of any liability or expense or (ii) the Company to obtain the consent of ISMMS to any amendment, modification, extension or termination of any existing Contract between the Company and ISMMS.</w:t>
      </w:r>
    </w:p>
    <w:p>
      <w:pPr>
        <w:spacing w:after="0" w:line="133" w:lineRule="exact"/>
        <w:rPr>
          <w:rFonts w:ascii="Arial" w:cs="Arial" w:eastAsia="Arial" w:hAnsi="Arial"/>
          <w:sz w:val="18"/>
          <w:szCs w:val="18"/>
          <w:color w:val="auto"/>
        </w:rPr>
      </w:pPr>
    </w:p>
    <w:p>
      <w:pPr>
        <w:jc w:val="both"/>
        <w:ind w:firstLine="656"/>
        <w:spacing w:after="0" w:line="257" w:lineRule="auto"/>
        <w:tabs>
          <w:tab w:leader="none" w:pos="90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and the valid termination of this Agreement pursuant to its terms, Parent, on the one hand, and the Company, on the other hand, shall each notify the other in writing promptly after learning of any stockholder demands or other stockholder Legal Proceedings (including derivative claims) relating to this Agreement, any Transaction Agreement or any matters relating thereto other than any appraisal claims contemplated by Section 2.13 (collectively, the “Transaction Litigation”) commenced against, in the case of Parent or Merger Sub, any of Parent or Merger Sub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40"/>
          </w:cols>
          <w:pgMar w:left="320" w:top="1440" w:right="339" w:bottom="1440" w:gutter="0" w:footer="0" w:header="0"/>
        </w:sectPr>
      </w:pPr>
    </w:p>
    <w:bookmarkStart w:id="476" w:name="page477"/>
    <w:bookmarkEnd w:id="476"/>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Representatives (in their capacity as a representative of Parent or Merger Sub) or, in the case of the Company, any Group Company or any of their respective Representatives (in their capacity as a representative of a Group Company).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and (iii) consider in good faith the other’s advice with respect to any such Transaction Litigation; provided, however, that in no event shall Parent or Merger Sub, on one hand, or the Company, any other Group Company, on the other hand, or, in any case, any of their respective Representatives settle or compromise any Transaction Litigation without the prior written consent of the Company or Parent, as the case may be.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 Parent Securities Transactions</w:t>
      </w:r>
      <w:r>
        <w:rPr>
          <w:rFonts w:ascii="Arial" w:cs="Arial" w:eastAsia="Arial" w:hAnsi="Arial"/>
          <w:sz w:val="18"/>
          <w:szCs w:val="18"/>
          <w:color w:val="auto"/>
        </w:rPr>
        <w:t>. Neither the Company nor any of its controlled Affiliates, directly or indirectly, shall engage in any transactions involving the securities of Parent prior to the time of the making of a public announcement regarding all of the material terms of the business and operations of the Company and the Transactions. The Company shall use its commercially reasonable efforts to require each of its officers, directors and employees to comply with the foregoing requirement.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Claim Against Trust Account</w:t>
      </w:r>
      <w:r>
        <w:rPr>
          <w:rFonts w:ascii="Arial" w:cs="Arial" w:eastAsia="Arial" w:hAnsi="Arial"/>
          <w:sz w:val="18"/>
          <w:szCs w:val="18"/>
          <w:color w:val="auto"/>
        </w:rPr>
        <w:t>. For and in consideration of Parent entering into this Agreement, the receipt and sufficiency of which are hereby acknowledged, the Company, on behalf of itself and its Affiliates agrees that:</w:t>
      </w:r>
    </w:p>
    <w:p>
      <w:pPr>
        <w:spacing w:after="0" w:line="116" w:lineRule="exact"/>
        <w:rPr>
          <w:sz w:val="20"/>
          <w:szCs w:val="20"/>
          <w:color w:val="auto"/>
        </w:rPr>
      </w:pPr>
    </w:p>
    <w:p>
      <w:pPr>
        <w:jc w:val="both"/>
        <w:ind w:firstLine="656"/>
        <w:spacing w:after="0" w:line="273" w:lineRule="auto"/>
        <w:tabs>
          <w:tab w:leader="none" w:pos="905"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neither the Company nor any of its Affiliates do now or at any time hereafter have any right, title, interest or claim of any kind in or to any monies in the Trust Account or distributions therefrom, and shall not make any claim against the Trust Account (including any distributions therefrom), in each case, regardless of whether such claim arises as a result of, in connection with or relating in any way to, this Agreement or the Transactions or any proposed or actual business relationship between Parent or its Representatives, on the one hand, and the Company or its Representatives, on the other hand, or any other matter, and regardless of whether such claim arises based on contract, tort, equity or any other theory of legal liability (any and all such claims against the Trust Account are collectively referred to hereafter as the “Released Claims”);</w:t>
      </w:r>
    </w:p>
    <w:p>
      <w:pPr>
        <w:spacing w:after="0" w:line="123" w:lineRule="exact"/>
        <w:rPr>
          <w:rFonts w:ascii="Arial" w:cs="Arial" w:eastAsia="Arial" w:hAnsi="Arial"/>
          <w:sz w:val="17"/>
          <w:szCs w:val="17"/>
          <w:color w:val="auto"/>
        </w:rPr>
      </w:pPr>
    </w:p>
    <w:p>
      <w:pPr>
        <w:jc w:val="both"/>
        <w:ind w:firstLine="656"/>
        <w:spacing w:after="0" w:line="257" w:lineRule="auto"/>
        <w:tabs>
          <w:tab w:leader="none" w:pos="91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Company, on behalf of itself and its Affiliates, hereby irrevocably waives any Released Claims that the Company or any of its Affiliates may have against the Trust Account (including any distributions therefrom) now or in the future as a result of, or arising out of, any negotiations, Contracts or agreements with Parent or its Representatives, including this Agreement or the Transactions, and will not seek recourse against the Trust Account (including any distributions therefrom) in connection therewith (including for an alleged breach of this Agreement or any other agreement with Parent or its Affiliates);</w:t>
      </w:r>
    </w:p>
    <w:p>
      <w:pPr>
        <w:spacing w:after="0" w:line="133" w:lineRule="exact"/>
        <w:rPr>
          <w:rFonts w:ascii="Arial" w:cs="Arial" w:eastAsia="Arial" w:hAnsi="Arial"/>
          <w:sz w:val="18"/>
          <w:szCs w:val="18"/>
          <w:color w:val="auto"/>
        </w:rPr>
      </w:pPr>
    </w:p>
    <w:p>
      <w:pPr>
        <w:jc w:val="both"/>
        <w:ind w:firstLine="656"/>
        <w:spacing w:after="0" w:line="263" w:lineRule="auto"/>
        <w:tabs>
          <w:tab w:leader="none" w:pos="90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irrevocable waiver set forth in the immediately preceding clause (b) is material to this Agreement and specifically relied upon by Parent and its Affiliates to induce Parent to enter in this Agreement, and the Company further intends and understands such waiver to be valid, binding and enforceable against the Company and each of its Affiliates under Applicable Legal Requirements; and</w:t>
      </w:r>
    </w:p>
    <w:p>
      <w:pPr>
        <w:spacing w:after="0" w:line="129" w:lineRule="exact"/>
        <w:rPr>
          <w:rFonts w:ascii="Arial" w:cs="Arial" w:eastAsia="Arial" w:hAnsi="Arial"/>
          <w:sz w:val="18"/>
          <w:szCs w:val="18"/>
          <w:color w:val="auto"/>
        </w:rPr>
      </w:pPr>
    </w:p>
    <w:p>
      <w:pPr>
        <w:jc w:val="both"/>
        <w:ind w:firstLine="656"/>
        <w:spacing w:after="0" w:line="296" w:lineRule="auto"/>
        <w:tabs>
          <w:tab w:leader="none" w:pos="91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to the extent the Company or any of its Affiliates commences any action or proceeding based upon, in connection with, relating to or arising out of any matter relating to Parent or its Representatives, including this Agreement or the Transactions, which proceeding seeks, in whole or in part, monetary relief against Parent or Representatives, the Company hereby acknowledges and agrees that the Company’s and its Affiliates’ sole remedy shall be against funds held outside of the Trust Account and such claim shall not permit the Company or its Affiliates (or any Person claiming on any of their behalves or in lieu of any of them) to have any claim against the Trust Account (including any distributions therefrom) or any amounts contained therein.</w:t>
      </w:r>
    </w:p>
    <w:p>
      <w:pPr>
        <w:spacing w:after="0" w:line="107" w:lineRule="exact"/>
        <w:rPr>
          <w:rFonts w:ascii="Arial" w:cs="Arial" w:eastAsia="Arial" w:hAnsi="Arial"/>
          <w:sz w:val="16"/>
          <w:szCs w:val="16"/>
          <w:color w:val="auto"/>
        </w:rPr>
      </w:pPr>
    </w:p>
    <w:p>
      <w:pPr>
        <w:jc w:val="both"/>
        <w:ind w:firstLine="656"/>
        <w:spacing w:after="0" w:line="311" w:lineRule="auto"/>
        <w:tabs>
          <w:tab w:leader="none" w:pos="89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For the avoidance of doubt, (i) nothing herein shall serve to limit or prohibit the Company’s right to pursue a claim against Parent pursuant to this Agreement for legal relief against monies or other assets of Parent held outside the Trust Account or for specific performance or other equitable relief in connection with the Transactions or for intentional fraud in the making of the representations and warranties in Article V; and (ii)</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40"/>
          </w:cols>
          <w:pgMar w:left="320" w:top="1440" w:right="339" w:bottom="1440" w:gutter="0" w:footer="0" w:header="0"/>
        </w:sectPr>
      </w:pPr>
    </w:p>
    <w:bookmarkStart w:id="477" w:name="page478"/>
    <w:bookmarkEnd w:id="477"/>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nothing herein shall serve to limit or prohibit any claims that the Company may have in the future pursuant to this Agreement against Parent’s assets or funds that are not held in the Trust Account.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Disclosure of Certain Matters</w:t>
      </w:r>
      <w:r>
        <w:rPr>
          <w:rFonts w:ascii="Arial" w:cs="Arial" w:eastAsia="Arial" w:hAnsi="Arial"/>
          <w:sz w:val="18"/>
          <w:szCs w:val="18"/>
          <w:color w:val="auto"/>
        </w:rPr>
        <w:t>. Each of Parent, Merger Sub and the Company will promptly provide the other Parties with prompt written notice of any event, development or condition of which they have Knowledge that: (a) is reasonably likely to cause any of the conditions set forth in Article VIII not to be satisfied; or (b) would require any amendment or supplement to the Proxy Statement.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Securities Listing ; Parent Public Filings.</w:t>
      </w:r>
    </w:p>
    <w:p>
      <w:pPr>
        <w:spacing w:after="0" w:line="171" w:lineRule="exact"/>
        <w:rPr>
          <w:sz w:val="20"/>
          <w:szCs w:val="20"/>
          <w:color w:val="auto"/>
        </w:rPr>
      </w:pPr>
    </w:p>
    <w:p>
      <w:pPr>
        <w:jc w:val="both"/>
        <w:ind w:firstLine="656"/>
        <w:spacing w:after="0" w:line="296" w:lineRule="auto"/>
        <w:tabs>
          <w:tab w:leader="none" w:pos="893" w:val="left"/>
        </w:tabs>
        <w:numPr>
          <w:ilvl w:val="0"/>
          <w:numId w:val="346"/>
        </w:numPr>
        <w:rPr>
          <w:rFonts w:ascii="Arial" w:cs="Arial" w:eastAsia="Arial" w:hAnsi="Arial"/>
          <w:sz w:val="16"/>
          <w:szCs w:val="16"/>
          <w:color w:val="auto"/>
        </w:rPr>
      </w:pPr>
      <w:r>
        <w:rPr>
          <w:rFonts w:ascii="Arial" w:cs="Arial" w:eastAsia="Arial" w:hAnsi="Arial"/>
          <w:sz w:val="16"/>
          <w:szCs w:val="16"/>
          <w:color w:val="auto"/>
        </w:rPr>
        <w:t>Parent will use its reasonable best efforts to cause the shares of Parent Class A Stock issued in connection with the Transactions to be approved for listing on Nasdaq at Closing. During the period from the date hereof until the Closing, Parent shall use its reasonable best efforts to ensure Parent remains listed as a public company on Nasdaq and keep the Parent Class A Stock and Parent Warrants listed for trading on Nasdaq. After the Closing, Parent shall use commercially reasonable efforts to: (a) continue the listing for trading of the Parent Class A Stock and Parent Warrants on Nasdaq; and (b) in the event any Earn-Out Shares become issuable pursuant to Article III, cause such Earn-Out Shares to be approved for listing on Nasdaq.</w:t>
      </w:r>
    </w:p>
    <w:p>
      <w:pPr>
        <w:spacing w:after="0" w:line="107"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346"/>
        </w:numPr>
        <w:rPr>
          <w:rFonts w:ascii="Arial" w:cs="Arial" w:eastAsia="Arial" w:hAnsi="Arial"/>
          <w:sz w:val="18"/>
          <w:szCs w:val="18"/>
          <w:color w:val="auto"/>
        </w:rPr>
      </w:pPr>
      <w:r>
        <w:rPr>
          <w:rFonts w:ascii="Arial" w:cs="Arial" w:eastAsia="Arial" w:hAnsi="Arial"/>
          <w:sz w:val="18"/>
          <w:szCs w:val="18"/>
          <w:color w:val="auto"/>
        </w:rPr>
        <w:t>From the date hereof through the Closing, Parent will keep current and timely file all reports required to be filed or furnished with the SEC and otherwise comply in all material respects with its reporting obligations under applicable securities laws.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No Solicitation.</w:t>
      </w:r>
    </w:p>
    <w:p>
      <w:pPr>
        <w:spacing w:after="0" w:line="171" w:lineRule="exact"/>
        <w:rPr>
          <w:sz w:val="20"/>
          <w:szCs w:val="20"/>
          <w:color w:val="auto"/>
        </w:rPr>
      </w:pPr>
    </w:p>
    <w:p>
      <w:pPr>
        <w:jc w:val="both"/>
        <w:ind w:firstLine="656"/>
        <w:spacing w:after="0" w:line="288" w:lineRule="auto"/>
        <w:tabs>
          <w:tab w:leader="none" w:pos="895" w:val="left"/>
        </w:tabs>
        <w:numPr>
          <w:ilvl w:val="0"/>
          <w:numId w:val="347"/>
        </w:numPr>
        <w:rPr>
          <w:rFonts w:ascii="Arial" w:cs="Arial" w:eastAsia="Arial" w:hAnsi="Arial"/>
          <w:sz w:val="16"/>
          <w:szCs w:val="16"/>
          <w:color w:val="auto"/>
        </w:rPr>
      </w:pPr>
      <w:r>
        <w:rPr>
          <w:rFonts w:ascii="Arial" w:cs="Arial" w:eastAsia="Arial" w:hAnsi="Arial"/>
          <w:sz w:val="16"/>
          <w:szCs w:val="16"/>
          <w:color w:val="auto"/>
        </w:rPr>
        <w:t>During the period from the date of this Agreement and continuing until the earlier of the termination of this Agreement pursuant to its terms or the Closing, the Company shall not, and shall cause its Subsidiaries not to, and shall direct its stockholders, employees, agents, officers, directors, representatives and advisors (collectively, in each case in their capacity as such, “Representatives”) not to, directly or indirectly: (i) solicit, initiate, enter into or continue discussions, negotiations or transactions with, or encourage or respond to any inquiries or proposals by, or provide any information to, any Person (other than Parent and its agents, representatives, advisors) concerning any merger, sale of ownership interests and/or assets of the Company, recapitalization or similar transaction (each, a “Company Business Combination”); (ii) enter into any agreement regarding, continue or otherwise participate in any discussions or negotiations regarding, or cooperate in any way that would otherwise reasonably be expected to lead to a Company Business Combination; or (iii) commence, continue or renew any due diligence investigation regarding a Company Business Combination. In addition, the Company shall, and shall cause its Subsidiaries and the Company Stockholders to, and shall cause their respective Representatives to, immediately cease any and all existing discussions or negotiations with any Person with respect to any Company Business Combination.</w:t>
      </w:r>
    </w:p>
    <w:p>
      <w:pPr>
        <w:spacing w:after="0" w:line="114" w:lineRule="exact"/>
        <w:rPr>
          <w:rFonts w:ascii="Arial" w:cs="Arial" w:eastAsia="Arial" w:hAnsi="Arial"/>
          <w:sz w:val="16"/>
          <w:szCs w:val="16"/>
          <w:color w:val="auto"/>
        </w:rPr>
      </w:pPr>
    </w:p>
    <w:p>
      <w:pPr>
        <w:jc w:val="both"/>
        <w:ind w:firstLine="656"/>
        <w:spacing w:after="0" w:line="270" w:lineRule="auto"/>
        <w:tabs>
          <w:tab w:leader="none" w:pos="905" w:val="left"/>
        </w:tabs>
        <w:numPr>
          <w:ilvl w:val="0"/>
          <w:numId w:val="347"/>
        </w:numPr>
        <w:rPr>
          <w:rFonts w:ascii="Arial" w:cs="Arial" w:eastAsia="Arial" w:hAnsi="Arial"/>
          <w:sz w:val="17"/>
          <w:szCs w:val="17"/>
          <w:color w:val="auto"/>
        </w:rPr>
      </w:pPr>
      <w:r>
        <w:rPr>
          <w:rFonts w:ascii="Arial" w:cs="Arial" w:eastAsia="Arial" w:hAnsi="Arial"/>
          <w:sz w:val="17"/>
          <w:szCs w:val="17"/>
          <w:color w:val="auto"/>
        </w:rPr>
        <w:t>During the period from the date of this Agreement and continuing until the earlier of the termination of this Agreement pursuant to its terms or the Closing, Parent and Merger Sub shall not, and shall direct their respective Representatives not to, directly or indirectly: (i) solicit, initiate, enter into or continue discussions or transactions with, or encourage or respond to any inquiries or proposals by, or provide any information to, any Person (other than the Company, the Company Stockholders and their respective Representatives) concerning any merger, purchase of ownership interests or assets of Parent, recapitalization or similar business combination transaction (each, a “Parent Business Combination”); (ii) enter into any agreement regarding, continue or otherwise participate in any discussions or negotiations regarding, or cooperate in any way that would otherwise reasonably be expected to lead to a Parent Business Combination; or (iii) commence, continue or renew any due diligence investigation regarding a Parent Business Combination. Parent and Merger Sub shall, and shall cause their respective Representatives to, immediately cease any and all existing discussions or negotiations with any Person with respect to any Parent Business Combination.</w:t>
      </w:r>
    </w:p>
    <w:p>
      <w:pPr>
        <w:spacing w:after="0" w:line="126" w:lineRule="exact"/>
        <w:rPr>
          <w:rFonts w:ascii="Arial" w:cs="Arial" w:eastAsia="Arial" w:hAnsi="Arial"/>
          <w:sz w:val="17"/>
          <w:szCs w:val="17"/>
          <w:color w:val="auto"/>
        </w:rPr>
      </w:pPr>
    </w:p>
    <w:p>
      <w:pPr>
        <w:jc w:val="both"/>
        <w:ind w:firstLine="656"/>
        <w:spacing w:after="0" w:line="279" w:lineRule="auto"/>
        <w:tabs>
          <w:tab w:leader="none" w:pos="89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Each Party shall promptly (and in no event later than 24 hours after becoming aware of such inquiry, proposal, offer or submission) notify the other Parties (and in the case of Parent’s receipt of a Parent Business Combination proposal, Parent shall also provide notice to the Company) if it or, to its Knowledge, any of its or its Representatives receives any inquiry, proposal, offer or submission with respect to a Company Business Combination or Parent Business Combination, as applicable (including the identity of the Person making such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40"/>
          </w:cols>
          <w:pgMar w:left="320" w:top="1440" w:right="339" w:bottom="1440" w:gutter="0" w:footer="0" w:header="0"/>
        </w:sectPr>
      </w:pPr>
    </w:p>
    <w:bookmarkStart w:id="478" w:name="page479"/>
    <w:bookmarkEnd w:id="478"/>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inquiry or submitting such proposal, offer or submission), after the execution and delivery of this Agreement. If either Party or its Representatives receives an inquiry, proposal, offer or submission with respect to a Company Business Combination or Parent Business Combination, as applicable, such Party shall provide the other Parties with a copy of such inquiry, proposal, offer or submission (and in the case of Parent’s receipt, Parent shall also provide copies to the Company).</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Prior to the Closing, none of the funds held in the Trust Account may be used or released except for the withdrawal of interest to pay any tax obligation owed by Parent as a result of assets owned by Parent, including franchise taxes. Upon satisfaction or waiver of the conditions set forth in Article VIII and provision of notice thereof to Continental (which notice Parent shall provide to Continental in accordance with the terms of the Trust Agreement): (a) in accordance with and pursuant to the Trust Agreement, at the Closing, Parent: (i) shall cause the documents, opinions and notices required to be delivered to Continental pursuant to the Trust Agreement to be so delivered, including providing Continental with the Trust Termination Letter; and (ii) shall use best efforts to cause Continental to, and Continental shall thereupon be obligated to, distribute the Trust Account as directed in the Trust Termination Letter, including all amounts payable to: (A) to stockholders who elect to have their Parent Class A Stock converted to cash in accordance with the provisions of Parent’s Charter Documents in respect of Parent Stockholder Redemptions; (B) for income tax or other tax obligations of Parent prior to Closing; (C) for any Parent Transaction Costs and any Company Transaction Costs; and (D) as repayment of loans and reimbursement of expenses to directors, officers and stockholders of Parent; and (b) thereafter, the Trust Account shall terminate, except as otherwise provided therein.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Directors’ and Officers’ Liability Insurance.</w:t>
      </w:r>
    </w:p>
    <w:p>
      <w:pPr>
        <w:spacing w:after="0" w:line="171" w:lineRule="exact"/>
        <w:rPr>
          <w:sz w:val="20"/>
          <w:szCs w:val="20"/>
          <w:color w:val="auto"/>
        </w:rPr>
      </w:pPr>
    </w:p>
    <w:p>
      <w:pPr>
        <w:jc w:val="both"/>
        <w:ind w:firstLine="656"/>
        <w:spacing w:after="0" w:line="287" w:lineRule="auto"/>
        <w:tabs>
          <w:tab w:leader="none" w:pos="92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Parent agrees that all rights to exculpation, indemnification and advancement of expenses now existing in favor of the current or former directors or officers, as the case may be, of any Group Company (each, together with such person’s heirs, executors or administrators, a “D&amp;O Indemnified Party”), as provided in their respective Charter Documents or in any indemnification agreement with respect to any Group Company set forth on Schedule 7.12(a) of the Company Disclosure Letter shall survive the Closing and shall continue in full force and effect. For a period of six years from the Closing Date, Parent shall use reasonable best efforts cause the Group Companies to maintain in effect the exculpation, indemnification and advancement of expenses provisions of such Group Company’s Charter Documents as in effect immediately prior to the Closing Date or in any indemnification agreements of each Group Company with any D&amp;O Indemnified Party as in effect immediately prior to the Closing Date, and Parent shall, and shall use reasonable best efforts to cause the Group Companies to, not amend, repeal or otherwise modify any such provisions in any manner that would adversely affect the rights thereunder of any D&amp;O Indemnified Party; provided, however, that all rights to indemnification or advancement of expenses in respect of any Legal Proceedings pending or asserted or any claim made within such period shall continue until the disposition of such Legal Proceeding or resolution of such claim. From and after the Closing Date, Parent shall use reasonable best efforts to cause the Group Companies to honor, in accordance with their respective terms, each of the covenants contained in this Section 7.12 without limit as to time.</w:t>
      </w:r>
    </w:p>
    <w:p>
      <w:pPr>
        <w:spacing w:after="0" w:line="113" w:lineRule="exact"/>
        <w:rPr>
          <w:rFonts w:ascii="Arial" w:cs="Arial" w:eastAsia="Arial" w:hAnsi="Arial"/>
          <w:sz w:val="16"/>
          <w:szCs w:val="16"/>
          <w:color w:val="auto"/>
        </w:rPr>
      </w:pPr>
    </w:p>
    <w:p>
      <w:pPr>
        <w:jc w:val="both"/>
        <w:ind w:firstLine="656"/>
        <w:spacing w:after="0" w:line="272" w:lineRule="auto"/>
        <w:tabs>
          <w:tab w:leader="none" w:pos="913" w:val="left"/>
        </w:tabs>
        <w:numPr>
          <w:ilvl w:val="0"/>
          <w:numId w:val="348"/>
        </w:numPr>
        <w:rPr>
          <w:rFonts w:ascii="Arial" w:cs="Arial" w:eastAsia="Arial" w:hAnsi="Arial"/>
          <w:sz w:val="17"/>
          <w:szCs w:val="17"/>
          <w:color w:val="auto"/>
        </w:rPr>
      </w:pPr>
      <w:r>
        <w:rPr>
          <w:rFonts w:ascii="Arial" w:cs="Arial" w:eastAsia="Arial" w:hAnsi="Arial"/>
          <w:sz w:val="17"/>
          <w:szCs w:val="17"/>
          <w:color w:val="auto"/>
        </w:rPr>
        <w:t>Prior to the Closing, the Company shall use reasonable best efforts to purchase a “tail” or “runoff” directors’ and officers’ liability insurance policy (the “D&amp;O Tail”) in respect of acts or omissions occurring prior to the Effective Time covering each such Person that is a director or officer of a Group Company currently covered by a directors’ and officers’ liability insurance policy of one or more Group Companies on terms with respect to coverage, deductibles and amounts no less favorable than those of such policy in effect on the date of this Agreement for the six-year period following the Closing. Parent shall, and shall use reasonable best efforts to cause the Surviving Corporation to, maintain the D&amp;O Tail in full force and effect for its full term and cause all obligations thereunder to be honored by the Group Companies, as applicable, and no other party shall have any further obligation to purchase or pay for such insurance pursuant to this Section 7.12(b).</w:t>
      </w:r>
    </w:p>
    <w:p>
      <w:pPr>
        <w:spacing w:after="0" w:line="123" w:lineRule="exact"/>
        <w:rPr>
          <w:rFonts w:ascii="Arial" w:cs="Arial" w:eastAsia="Arial" w:hAnsi="Arial"/>
          <w:sz w:val="17"/>
          <w:szCs w:val="17"/>
          <w:color w:val="auto"/>
        </w:rPr>
      </w:pPr>
    </w:p>
    <w:p>
      <w:pPr>
        <w:jc w:val="both"/>
        <w:ind w:firstLine="656"/>
        <w:spacing w:after="0" w:line="259" w:lineRule="auto"/>
        <w:tabs>
          <w:tab w:leader="none" w:pos="9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of each D&amp;O Indemnified Party hereunder shall be in addition to, and not in limitation of, any other rights such person may have under the Charter Documents of any Group Company, any other indemnification arrangement, any Legal Requirement or otherwise. The obligations of Parent and the Group Companies under this Section 7.12 shall not be terminated or modified in such a manner as to adversely affect any D&amp;O Indemnified Party without the consent of such D&amp;O Indemnified Party. The provisions of this Section 7.12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shall survive the Closing and expressly are intended to benefit, and are enforceable by, each of the D&amp;O Indemnified Parties, each of whom is an intended third-party beneficiary of this Section 7.12.</w:t>
      </w:r>
    </w:p>
    <w:p>
      <w:pPr>
        <w:spacing w:after="0" w:line="116" w:lineRule="exact"/>
        <w:rPr>
          <w:sz w:val="20"/>
          <w:szCs w:val="20"/>
          <w:color w:val="auto"/>
        </w:rPr>
      </w:pPr>
    </w:p>
    <w:p>
      <w:pPr>
        <w:jc w:val="both"/>
        <w:ind w:firstLine="656"/>
        <w:spacing w:after="0" w:line="259" w:lineRule="auto"/>
        <w:tabs>
          <w:tab w:leader="none" w:pos="91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If Parent or, after the Closing, any Group Company, or any of their respective successors or assigns: (i) consolidates with or merges into any other Person and shall not be the continuing or surviving entity of such consolidation or merger; or (ii) transfers or conveys all or substantially all of its properties and assets to any Person, then, in each such case, proper provision shall be made so that the successors and assigns of Parent or such Group Company, as applicable, assume the obligations set forth in this Section 7.12.</w:t>
      </w:r>
    </w:p>
    <w:p>
      <w:pPr>
        <w:spacing w:after="0" w:line="132" w:lineRule="exact"/>
        <w:rPr>
          <w:rFonts w:ascii="Arial" w:cs="Arial" w:eastAsia="Arial" w:hAnsi="Arial"/>
          <w:sz w:val="18"/>
          <w:szCs w:val="18"/>
          <w:color w:val="auto"/>
        </w:rPr>
      </w:pPr>
    </w:p>
    <w:p>
      <w:pPr>
        <w:jc w:val="both"/>
        <w:ind w:firstLine="656"/>
        <w:spacing w:after="0" w:line="263" w:lineRule="auto"/>
        <w:tabs>
          <w:tab w:leader="none" w:pos="90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On or before the Closing, Parent shall obtain a directors’ and officers’ liability insurance policy on terms satisfactory to the Company, which policy shall provide coverage for the directors and officers of Parent as of immediately following the Closing (and the Company and Parent shall reasonably cooperate with respect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[Intentionally Left Blank]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Tax Matters.</w:t>
      </w:r>
    </w:p>
    <w:p>
      <w:pPr>
        <w:spacing w:after="0" w:line="171" w:lineRule="exact"/>
        <w:rPr>
          <w:sz w:val="20"/>
          <w:szCs w:val="20"/>
          <w:color w:val="auto"/>
        </w:rPr>
      </w:pPr>
    </w:p>
    <w:p>
      <w:pPr>
        <w:jc w:val="both"/>
        <w:ind w:firstLine="656"/>
        <w:spacing w:after="0" w:line="311" w:lineRule="auto"/>
        <w:tabs>
          <w:tab w:leader="none" w:pos="894" w:val="left"/>
        </w:tabs>
        <w:numPr>
          <w:ilvl w:val="0"/>
          <w:numId w:val="350"/>
        </w:numPr>
        <w:rPr>
          <w:rFonts w:ascii="Arial" w:cs="Arial" w:eastAsia="Arial" w:hAnsi="Arial"/>
          <w:sz w:val="16"/>
          <w:szCs w:val="16"/>
          <w:color w:val="auto"/>
        </w:rPr>
      </w:pPr>
      <w:r>
        <w:rPr>
          <w:rFonts w:ascii="Arial" w:cs="Arial" w:eastAsia="Arial" w:hAnsi="Arial"/>
          <w:sz w:val="16"/>
          <w:szCs w:val="16"/>
          <w:color w:val="auto"/>
        </w:rPr>
        <w:t>Parent covenants that it will file a consolidated U.S. federal income Tax Return with the applicable Group Companies for the period starting on the day following the Closing Date and, for U.S. federal income Tax purposes, and the applicable Group Companies will become members of the affiliated group of corporations of which Parent is the common parent or of which Parent is a member on the day following the Closing Date.</w:t>
      </w:r>
    </w:p>
    <w:p>
      <w:pPr>
        <w:spacing w:after="0" w:line="94" w:lineRule="exact"/>
        <w:rPr>
          <w:rFonts w:ascii="Arial" w:cs="Arial" w:eastAsia="Arial" w:hAnsi="Arial"/>
          <w:sz w:val="16"/>
          <w:szCs w:val="16"/>
          <w:color w:val="auto"/>
        </w:rPr>
      </w:pPr>
    </w:p>
    <w:p>
      <w:pPr>
        <w:jc w:val="both"/>
        <w:ind w:firstLine="656"/>
        <w:spacing w:after="0" w:line="259" w:lineRule="auto"/>
        <w:tabs>
          <w:tab w:leader="none" w:pos="91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shall be borne and paid by the Parent. Parent shall timely file any Tax Return or other document with respect to such Taxes or fees (and the Company and Parent shall reasonably cooperate with respect thereto as necessary).</w:t>
      </w:r>
    </w:p>
    <w:p>
      <w:pPr>
        <w:spacing w:after="0" w:line="132" w:lineRule="exact"/>
        <w:rPr>
          <w:rFonts w:ascii="Arial" w:cs="Arial" w:eastAsia="Arial" w:hAnsi="Arial"/>
          <w:sz w:val="18"/>
          <w:szCs w:val="18"/>
          <w:color w:val="auto"/>
        </w:rPr>
      </w:pPr>
    </w:p>
    <w:p>
      <w:pPr>
        <w:jc w:val="both"/>
        <w:ind w:firstLine="656"/>
        <w:spacing w:after="0" w:line="273" w:lineRule="auto"/>
        <w:tabs>
          <w:tab w:leader="none" w:pos="904" w:val="left"/>
        </w:tabs>
        <w:numPr>
          <w:ilvl w:val="0"/>
          <w:numId w:val="350"/>
        </w:numPr>
        <w:rPr>
          <w:rFonts w:ascii="Arial" w:cs="Arial" w:eastAsia="Arial" w:hAnsi="Arial"/>
          <w:sz w:val="17"/>
          <w:szCs w:val="17"/>
          <w:color w:val="auto"/>
        </w:rPr>
      </w:pPr>
      <w:r>
        <w:rPr>
          <w:rFonts w:ascii="Arial" w:cs="Arial" w:eastAsia="Arial" w:hAnsi="Arial"/>
          <w:sz w:val="17"/>
          <w:szCs w:val="17"/>
          <w:color w:val="auto"/>
        </w:rPr>
        <w:t>On the Closing Date, the Company shall provide Parent with a certificate on behalf of the Company, prepared in a manner consistent and in accordance with the requirements of Treasury Regulation Sections 1.897-2(g), (h) and 1.1445-2(c)(3), certifying that no interest in the Company is, or has been during the relevant period specified in Section 897(c)(1)(A)(ii) of the Code, a “U.S. real property interest” within the meaning of Section 897(c) of the Code, and a form of notice to the Internal Revenue Service prepared in accordance with the provisions of Treasury Regulations Section 1.897-2(h)(2); provided, that, notwithstanding anything to the contrary, Parent’s sole remedy in the event the Company fails to deliver such certificate shall be to make a proper withholding of Tax to the extent required by applicable Tax law.</w:t>
      </w:r>
    </w:p>
    <w:p>
      <w:pPr>
        <w:spacing w:after="0" w:line="123" w:lineRule="exact"/>
        <w:rPr>
          <w:rFonts w:ascii="Arial" w:cs="Arial" w:eastAsia="Arial" w:hAnsi="Arial"/>
          <w:sz w:val="17"/>
          <w:szCs w:val="17"/>
          <w:color w:val="auto"/>
        </w:rPr>
      </w:pPr>
    </w:p>
    <w:p>
      <w:pPr>
        <w:jc w:val="both"/>
        <w:ind w:firstLine="656"/>
        <w:spacing w:after="0" w:line="257" w:lineRule="auto"/>
        <w:tabs>
          <w:tab w:leader="none" w:pos="89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All Tax sharing agreements or similar arrangements with respect to or involving any Group Company (other than any agreement entered into in the ordinary course of business and not primarily concerning Taxes or any agreement the only parties to which are Group Companies) shall be terminated prior to the Closing Date and, after the Closing Date, none of the Group Companies shall be bound thereby or have any liability thereunder for amounts due in respect of periods ending on or before the Closing Date, and there shall be no continuing obligation after the Closing Date to make any payments under any such agreements or arrangements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Equity Financing Agreements.</w:t>
      </w:r>
    </w:p>
    <w:p>
      <w:pPr>
        <w:spacing w:after="0" w:line="171" w:lineRule="exact"/>
        <w:rPr>
          <w:sz w:val="20"/>
          <w:szCs w:val="20"/>
          <w:color w:val="auto"/>
        </w:rPr>
      </w:pPr>
    </w:p>
    <w:p>
      <w:pPr>
        <w:jc w:val="both"/>
        <w:ind w:firstLine="656"/>
        <w:spacing w:after="0" w:line="271" w:lineRule="auto"/>
        <w:tabs>
          <w:tab w:leader="none" w:pos="894"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Parent shall not permit any amendment or modification to be made to, or any waiver of any provision or remedy under, or any replacements of, the Equity Financing Agreements, in each case, without the prior written consent of the Company (such consent not to be unreasonably withheld, conditioned or delayed in respect of any such amendment, modification, waiver or replacement that is not and would not reasonably be expected to be materially adverse to the Company or the Company Stockholders). Parent shall use its reasonable best efforts to take, or cause to be taken, all actions and do, or cause to be done, all things necessary, proper or advisable to consummate the transactions contemplated by the Equity Financing Agreements on the terms and conditions described therein, including maintaining in effect the Equity Financing Agreements and using its reasonable best efforts to: (i) satisfy in all material respects on a timely basis all conditions and covenants applicable to Parent in the Equity Financing Agreements and otherwise comply with its obligations thereunder; (ii) in the event that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40"/>
          </w:cols>
          <w:pgMar w:left="320" w:top="1440" w:right="339" w:bottom="1440" w:gutter="0" w:footer="0" w:header="0"/>
        </w:sectPr>
      </w:pPr>
    </w:p>
    <w:bookmarkStart w:id="480" w:name="page481"/>
    <w:bookmarkEnd w:id="480"/>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conditions in the Equity Financing Agreements (other than conditions that Parent or any of its Affiliates control the satisfaction of and other than those conditions that by their nature are to be satisfied at the Closing) have been satisfied, consummate transactions contemplated by the Equity Financing Agreements at or prior to Closing; and (iii) enforce its rights under the Equity Financing Agreements in the event that all conditions in the Equity Financing Agreements (other than conditions that Parent or any of its Affiliates control the satisfaction of and other than those conditions that by their nature are to be satisfied at the Closing) have been satisfied, to cause the applicable Equity Financing Investor to contribute to Parent the applicable portion of the Equity Financing Amount set forth in the applicable Equity Financing Agreement at or prior to the Closing. Without limiting the generality of the foregoing, Parent shall give the Company prompt (and, in any event within three (3) Business Days) written notice: (A) of any breach or default (or any event or circumstance that, with or without notice, lapse of time or both, could give rise to any breach or default) by any party to any Equity Financing Agreement known to Parent; (B) of the receipt of any written notice or other written communication from any party to any Equity Financing Agreement with respect to any actual, potential or claimed expiration, lapse, withdrawal, breach, default, termination or repudiation by any party to any Equity Financing Agreement or any provisions of any Equity Financing Agreement; and (C) if Parent does not expect to receive all or any portion of the Equity Financing Amount on the terms, in the manner or from the sources contemplated by the Equity Financing Agreements. The Equity Financing Agreements contain all of the conditions precedent to the obligations of the Equity Financing Investors to contribute to Parent the applicable portion of the Equity Financing Amount set forth in the applicable Equity Financing Agreement on the terms therein.</w:t>
      </w:r>
    </w:p>
    <w:p>
      <w:pPr>
        <w:spacing w:after="0" w:line="130" w:lineRule="exact"/>
        <w:rPr>
          <w:sz w:val="20"/>
          <w:szCs w:val="20"/>
          <w:color w:val="auto"/>
        </w:rPr>
      </w:pPr>
    </w:p>
    <w:p>
      <w:pPr>
        <w:jc w:val="both"/>
        <w:ind w:firstLine="656"/>
        <w:spacing w:after="0" w:line="257" w:lineRule="auto"/>
        <w:tabs>
          <w:tab w:leader="none" w:pos="906"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Parent shall use its reasonable best efforts to cause the Equity Financing Investors to contribute the Equity Financing Amount at or prior to the Closing if all conditions set forth in the applicable Equity Financing Agreement have been satisfied or waived (other than those conditions that by their nature are to be satisfied at the Closing and other than conditions that Parent or any of its Affiliates control the satisfaction of). Parent shall use its reasonable best efforts to take, or cause to be taken, all actions required to obtain the Equity Financing Amount contemplated by the Equity Financing Agreements, including enforcing the rights of Parent under the Equity Financing Agreements.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7.16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Parent shall take all reasonable steps as may be required or permitted to cause any acquisition or disposition of the Parent Class A Stock that occurs or is deemed to occur by reason of or pursuant to the Transactions by each individual who is or will be subject to the reporting requirements of Section 16(a) of the Exchange Act with respect to Parent to be exempt under Rule 16b-3 promulgated under the Exchange Act, including by taking steps in accordance with the No-Action Letter, dated January 12, 1999, issued by the SEC regarding such matters.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ind w:right="20" w:firstLine="656"/>
        <w:spacing w:after="0" w:line="277" w:lineRule="auto"/>
        <w:tabs>
          <w:tab w:leader="none" w:pos="90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Subject to the terms of the Parent’s Charter Documents, Parent shall take all such action within its power as may be necessary or appropriate such that immediately following the Effective Time:</w:t>
      </w:r>
    </w:p>
    <w:p>
      <w:pPr>
        <w:spacing w:after="0" w:line="116" w:lineRule="exact"/>
        <w:rPr>
          <w:rFonts w:ascii="Arial" w:cs="Arial" w:eastAsia="Arial" w:hAnsi="Arial"/>
          <w:sz w:val="18"/>
          <w:szCs w:val="18"/>
          <w:color w:val="auto"/>
        </w:rPr>
      </w:pPr>
    </w:p>
    <w:p>
      <w:pPr>
        <w:jc w:val="both"/>
        <w:ind w:left="660" w:firstLine="644"/>
        <w:spacing w:after="0" w:line="263" w:lineRule="auto"/>
        <w:tabs>
          <w:tab w:leader="none" w:pos="1534"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board of directors of Parent shall consist of up to nine (9) directors, which shall initially include: (i) Nat Turner, Emily Leproust and Eli Casdin, as designees of Parent; and (ii) the remaining director nominees to be designated by the Company pursuant to written notice to Parent as soon as reasonably practicable following the date of this Agreement; and</w:t>
      </w:r>
    </w:p>
    <w:p>
      <w:pPr>
        <w:spacing w:after="0" w:line="129" w:lineRule="exact"/>
        <w:rPr>
          <w:rFonts w:ascii="Arial" w:cs="Arial" w:eastAsia="Arial" w:hAnsi="Arial"/>
          <w:sz w:val="18"/>
          <w:szCs w:val="18"/>
          <w:color w:val="auto"/>
        </w:rPr>
      </w:pPr>
    </w:p>
    <w:p>
      <w:pPr>
        <w:ind w:left="660" w:right="20" w:firstLine="644"/>
        <w:spacing w:after="0" w:line="308" w:lineRule="auto"/>
        <w:tabs>
          <w:tab w:leader="none" w:pos="1575"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the board of directors of Parent shall have a majority of “independent” directors for the purposes of Nasdaq rules, each of whom shall serve in such capacity in accordance with the terms of the Parent’s Organizational Documents following the Effective Time.</w:t>
      </w:r>
    </w:p>
    <w:p>
      <w:pPr>
        <w:spacing w:after="0" w:line="92" w:lineRule="exact"/>
        <w:rPr>
          <w:rFonts w:ascii="Arial" w:cs="Arial" w:eastAsia="Arial" w:hAnsi="Arial"/>
          <w:sz w:val="17"/>
          <w:szCs w:val="17"/>
          <w:color w:val="auto"/>
        </w:rPr>
      </w:pPr>
    </w:p>
    <w:p>
      <w:pPr>
        <w:jc w:val="both"/>
        <w:ind w:firstLine="656"/>
        <w:spacing w:after="0" w:line="263" w:lineRule="auto"/>
        <w:tabs>
          <w:tab w:leader="none" w:pos="943"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On the Closing Date, Parent shall enter into customary indemnification agreements reasonably satisfactory to the Company with each individual to be appointed to, or serving on, the board of directors of Parent upon the Closing, which indemnification agreements shall continue to be effective following the Closing (the “Indemnification Agreements”).</w:t>
      </w:r>
    </w:p>
    <w:p>
      <w:pPr>
        <w:spacing w:after="0" w:line="13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7.18 </w:t>
      </w:r>
      <w:r>
        <w:rPr>
          <w:rFonts w:ascii="Arial" w:cs="Arial" w:eastAsia="Arial" w:hAnsi="Arial"/>
          <w:sz w:val="18"/>
          <w:szCs w:val="18"/>
          <w:u w:val="single" w:color="auto"/>
          <w:color w:val="auto"/>
        </w:rPr>
        <w:t>LTIP and ESPP.</w:t>
      </w:r>
      <w:r>
        <w:rPr>
          <w:rFonts w:ascii="Arial" w:cs="Arial" w:eastAsia="Arial" w:hAnsi="Arial"/>
          <w:sz w:val="18"/>
          <w:szCs w:val="18"/>
          <w:color w:val="auto"/>
        </w:rPr>
        <w:t xml:space="preserve"> Effective as of (and contingent on) the Closing, Parent shall adopt (a) the LTIP, in substantially the form attached hereto as Exhibit C (as such form may be modified in accordance with this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40"/>
          </w:cols>
          <w:pgMar w:left="320" w:top="1440" w:right="339" w:bottom="1440" w:gutter="0" w:footer="0" w:header="0"/>
        </w:sectPr>
      </w:pPr>
    </w:p>
    <w:bookmarkStart w:id="481" w:name="page482"/>
    <w:bookmarkEnd w:id="481"/>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7.18) and (b) the ESPP, in substantially the form attached hereto as Exhibit D (as such form may be modified in accordance with this Section 7.18). The Company may propose further edits to the LTIP and the ESPP based on recommendations from the Company’s compensation consultant and the board of directors of the Company, which, after consideration and approval by Parent, not to be unreasonably withheld or delayed, shall be incorporated into the LTIP and the ESPP in advance of the Special Meeting.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7.19 </w:t>
      </w:r>
      <w:r>
        <w:rPr>
          <w:rFonts w:ascii="Arial" w:cs="Arial" w:eastAsia="Arial" w:hAnsi="Arial"/>
          <w:sz w:val="18"/>
          <w:szCs w:val="18"/>
          <w:u w:val="single" w:color="auto"/>
          <w:color w:val="auto"/>
        </w:rPr>
        <w:t>Release.</w:t>
      </w:r>
    </w:p>
    <w:p>
      <w:pPr>
        <w:spacing w:after="0" w:line="171" w:lineRule="exact"/>
        <w:rPr>
          <w:sz w:val="20"/>
          <w:szCs w:val="20"/>
          <w:color w:val="auto"/>
        </w:rPr>
      </w:pPr>
    </w:p>
    <w:p>
      <w:pPr>
        <w:jc w:val="both"/>
        <w:ind w:firstLine="656"/>
        <w:spacing w:after="0" w:line="269" w:lineRule="auto"/>
        <w:tabs>
          <w:tab w:leader="none" w:pos="905" w:val="left"/>
        </w:tabs>
        <w:numPr>
          <w:ilvl w:val="1"/>
          <w:numId w:val="354"/>
        </w:numPr>
        <w:rPr>
          <w:rFonts w:ascii="Arial" w:cs="Arial" w:eastAsia="Arial" w:hAnsi="Arial"/>
          <w:sz w:val="17"/>
          <w:szCs w:val="17"/>
          <w:color w:val="auto"/>
        </w:rPr>
      </w:pPr>
      <w:r>
        <w:rPr>
          <w:rFonts w:ascii="Arial" w:cs="Arial" w:eastAsia="Arial" w:hAnsi="Arial"/>
          <w:sz w:val="17"/>
          <w:szCs w:val="17"/>
          <w:color w:val="auto"/>
        </w:rPr>
        <w:t>Effective upon and following the Closing, Parent, on its own behalf and on behalf of its respective Affiliates and Representatives, generally, irrevocably, unconditionally and completely releases and forever discharges the Company, each Company Stockholder, its Affiliates, and its and their respective Related Parties, (collectively, the “Company Stockholder Released Parties”) from all disputes, claims, losses, controversies, demands, rights, Liabilities, actions and causes of action of every kind and nature, whether known or unknown, arising from any matter concerning any Group Company occurring prior to the Closing Date (other than as contemplated by this Agreement and the other Transaction Agreements), including for controlling equityholder liability or breach of any fiduciary duty relating to any pre-Closing actions or failures to act by the Company Stockholder Released Parties; provided, however, that nothing in this 7.19(a) shall release any Company Stockholder Released Parties from (i) their obligations under this Agreement or the other Transaction Agreements; (ii) as applicable, any disputes, claims, losses, controversies, demands, rights, Liabilities, breaches of fiduciary duty, actions and causes of action arising out of such Company Stockholder Released Party’s employment by any Group Company; (iii) any commercial Contract between the Company and a Company Stockholder Released Party that is in force as of the Closing Date or (iv) from any claim of fraud on the part of any Company Stockholder Released Party.</w:t>
      </w:r>
    </w:p>
    <w:p>
      <w:pPr>
        <w:spacing w:after="0" w:line="127" w:lineRule="exact"/>
        <w:rPr>
          <w:rFonts w:ascii="Arial" w:cs="Arial" w:eastAsia="Arial" w:hAnsi="Arial"/>
          <w:sz w:val="17"/>
          <w:szCs w:val="17"/>
          <w:color w:val="auto"/>
        </w:rPr>
      </w:pPr>
    </w:p>
    <w:p>
      <w:pPr>
        <w:jc w:val="both"/>
        <w:ind w:firstLine="656"/>
        <w:spacing w:after="0" w:line="284" w:lineRule="auto"/>
        <w:tabs>
          <w:tab w:leader="none" w:pos="92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Effective upon and following the Closing, each Company Stockholder (solely in its capacity as a stockholder of the Company), on its own behalf and on behalf of each of its Affiliates and Representatives (collectively, the “Company Stockholder Releasing Parties”), generally, irrevocably, unconditionally and completely releases and forever discharges each of Parent and each Group Company, their respective Affiliates, and its and their respective Related Parties (collectively, the “Parent Released Parties”) from all disputes, claims, losses, controversies, demands, rights, Liabilities, actions and causes of action of every kind and nature, whether known or unknown, arising from (i) the Company Stockholder Releasing Party’s ownership or purported ownership of (or right to acquire) shares of capital stock, warrants, options or other securities of or interests in the Company or relating to the governance of the Company, including any and all claims that the Company Stockholder Releasing Party may have against any of the Parent Released Parties with respect thereto whether pursuant to any contract or agreement with respect thereto, breach or alleged breach of fiduciary duty or otherwise and</w:t>
      </w:r>
    </w:p>
    <w:p>
      <w:pPr>
        <w:jc w:val="both"/>
        <w:ind w:firstLine="8"/>
        <w:spacing w:after="0" w:line="286" w:lineRule="auto"/>
        <w:tabs>
          <w:tab w:leader="none" w:pos="29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the negotiation or execution of this Agreement or the other Transaction Agreement, or the consummation of any of the Transactions; provided, however, that, for the avoidance of doubt, nothing in this Section 7.19(b) shall release the Parent Released Parties from their obligations or otherwise modify, waive, replace, supersede, or impair in any way any rights of any Company Stockholder Releasing Party (A) under this Agreement or the other Transaction Agreements, (B) with respect to any salary, bonuses, vacation pay or employee benefits accrued pursuant to a Company Benefit Plan in effect as of the date of this Agreement or any expense reimbursement pursuant to a policy of the Group Companies in effect as of the date of this Agreement accrued in the ordinary course of business; or (C) under any Contract between the Company Stockholder and a Parent Released Party to the extent that such Contract does not specifically pertain to such Company Stockholder’s ownership or purported ownership of (or right to acquire) shares of capital stock, warrants, options or other securities of or interests in the Company or specifically relate to the governance of the Company; (D) with respect to any rights to indemnification, exculpation or expense reimbursement to the extent provided for in the Company Organizational Documents or in any indemnification agreement with a Group Company; or (E) from any claim of fraud on the part of any Parent Released Party.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40"/>
          </w:cols>
          <w:pgMar w:left="320" w:top="1440" w:right="339" w:bottom="1440" w:gutter="0" w:footer="0" w:header="0"/>
        </w:sectPr>
      </w:pPr>
    </w:p>
    <w:bookmarkStart w:id="482" w:name="page483"/>
    <w:bookmarkEnd w:id="482"/>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THE TRANSACTION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Conditions to Obligations of Each Party’s Obligations</w:t>
      </w:r>
      <w:r>
        <w:rPr>
          <w:rFonts w:ascii="Arial" w:cs="Arial" w:eastAsia="Arial" w:hAnsi="Arial"/>
          <w:sz w:val="18"/>
          <w:szCs w:val="18"/>
          <w:color w:val="auto"/>
        </w:rPr>
        <w:t>. The respective obligations of each Party to this Agreement to effect the Merger and the other Transactions shall be subject to the satisfaction at or prior to the Closing of the following conditions:</w:t>
      </w:r>
    </w:p>
    <w:p>
      <w:pPr>
        <w:spacing w:after="0" w:line="116" w:lineRule="exact"/>
        <w:rPr>
          <w:sz w:val="20"/>
          <w:szCs w:val="20"/>
          <w:color w:val="auto"/>
        </w:rPr>
      </w:pPr>
    </w:p>
    <w:p>
      <w:pPr>
        <w:ind w:left="900" w:hanging="244"/>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Parent Stockholder Matters shall have been duly adopted by the stockholders of Parent.</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Parent shall have at least $5,000,001 of net tangible assets (as determined in accordance with Rule 3a51-1(g)(i) of the Exchange Act) following the exercise by the holders of Parent Class A Common Stock issued in Parent’s initial public offering of securities and outstanding immediately before the Closing of their right to convert their Parent Class A Common Stock held by them into a pro rata share of the Trust Account in accordance with Parent’s Organizational Documents.</w:t>
      </w:r>
    </w:p>
    <w:p>
      <w:pPr>
        <w:spacing w:after="0" w:line="132" w:lineRule="exact"/>
        <w:rPr>
          <w:rFonts w:ascii="Arial" w:cs="Arial" w:eastAsia="Arial" w:hAnsi="Arial"/>
          <w:sz w:val="18"/>
          <w:szCs w:val="18"/>
          <w:color w:val="auto"/>
        </w:rPr>
      </w:pPr>
    </w:p>
    <w:p>
      <w:pPr>
        <w:ind w:left="900" w:hanging="244"/>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All applicable waiting periods (and any extensions thereof) under the HSR Act will have expired or otherwise been terminated.</w:t>
      </w:r>
    </w:p>
    <w:p>
      <w:pPr>
        <w:spacing w:after="0" w:line="171"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 provision of any Applicable Legal Requirement prohibiting, enjoining or making illegal the consummation of the Transactions shall be in effect and no temporary, preliminary or permanent restraining Order prohibiting, enjoining or making illegal the consummation of the Transactions will be in effect.</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obligations of the Company to consummate and effect the Merger and the other Transactions shall be subject to the satisfaction at or prior to the Closing of each of the following conditions, any of which may be waived, in writing, exclusively by the Company:</w:t>
      </w:r>
    </w:p>
    <w:p>
      <w:pPr>
        <w:spacing w:after="0" w:line="130" w:lineRule="exact"/>
        <w:rPr>
          <w:sz w:val="20"/>
          <w:szCs w:val="20"/>
          <w:color w:val="auto"/>
        </w:rPr>
      </w:pPr>
    </w:p>
    <w:p>
      <w:pPr>
        <w:jc w:val="both"/>
        <w:ind w:firstLine="656"/>
        <w:spacing w:after="0" w:line="287" w:lineRule="auto"/>
        <w:tabs>
          <w:tab w:leader="none" w:pos="90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The Fundamental Representations of Parent, other than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material respects (without giving effect to any limitation as to “materiality” or “Parent Material Adverse Effect” or any similar limitation contain herein) on and as of the date of this Agreement and on and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Parent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all other representations and warranties of Parent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shall be true and correct (without giving effect to any limitation as to “materiality” or “Parent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Parent to be so true and correct, individually or in the aggregate, has not had and is not reasonably likely to have a Parent Material Adverse Effect.</w:t>
      </w:r>
    </w:p>
    <w:p>
      <w:pPr>
        <w:spacing w:after="0" w:line="113" w:lineRule="exact"/>
        <w:rPr>
          <w:rFonts w:ascii="Arial" w:cs="Arial" w:eastAsia="Arial" w:hAnsi="Arial"/>
          <w:sz w:val="16"/>
          <w:szCs w:val="16"/>
          <w:color w:val="auto"/>
        </w:rPr>
      </w:pPr>
    </w:p>
    <w:p>
      <w:pPr>
        <w:ind w:firstLine="656"/>
        <w:spacing w:after="0" w:line="277" w:lineRule="auto"/>
        <w:tabs>
          <w:tab w:leader="none" w:pos="91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Parent and Merger Sub shall have performed or complied with all agreements and covenants required by this Agreement to be performed or complied with by them on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Parent shall have delivered to the Company a certificate, signed by an executive officer of Parent and dated as of the Closing Date, certifying as to the matters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Parent shall have delivered or shall stand ready to deliver all of the certificates, instruments, Contracts and other documents specified to be delivered by it hereunder, including copies of the documents to be delivered by Parent pursuant to </w:t>
      </w:r>
      <w:r>
        <w:rPr>
          <w:rFonts w:ascii="Arial" w:cs="Arial" w:eastAsia="Arial" w:hAnsi="Arial"/>
          <w:sz w:val="18"/>
          <w:szCs w:val="18"/>
          <w:u w:val="single" w:color="auto"/>
          <w:color w:val="auto"/>
        </w:rPr>
        <w:t>Section 1.3(a)</w:t>
      </w:r>
      <w:r>
        <w:rPr>
          <w:rFonts w:ascii="Arial" w:cs="Arial" w:eastAsia="Arial" w:hAnsi="Arial"/>
          <w:sz w:val="18"/>
          <w:szCs w:val="18"/>
          <w:color w:val="auto"/>
        </w:rPr>
        <w:t>, duly executed by Parent and Merger Sub, as applicable.</w:t>
      </w:r>
    </w:p>
    <w:p>
      <w:pPr>
        <w:spacing w:after="0" w:line="129" w:lineRule="exact"/>
        <w:rPr>
          <w:rFonts w:ascii="Arial" w:cs="Arial" w:eastAsia="Arial" w:hAnsi="Arial"/>
          <w:sz w:val="18"/>
          <w:szCs w:val="18"/>
          <w:color w:val="auto"/>
        </w:rPr>
      </w:pPr>
    </w:p>
    <w:p>
      <w:pPr>
        <w:ind w:right="20" w:firstLine="656"/>
        <w:spacing w:after="0" w:line="277" w:lineRule="auto"/>
        <w:tabs>
          <w:tab w:leader="none" w:pos="892"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Parent Charter shall be amended and restated in the form of the Parent A&amp;R Charter and the Parent Bylaws shall be amended and restated in the form of the Parent A&amp;R Bylaws.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43" w:lineRule="exact"/>
        <w:rPr>
          <w:sz w:val="20"/>
          <w:szCs w:val="20"/>
          <w:color w:val="auto"/>
        </w:rPr>
      </w:pPr>
    </w:p>
    <w:p>
      <w:pPr>
        <w:ind w:firstLine="656"/>
        <w:spacing w:after="0" w:line="342" w:lineRule="auto"/>
        <w:tabs>
          <w:tab w:leader="none" w:pos="902"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Parent shall have made appropriate arrangements to have the Trust Account, less amounts paid and to be paid pursuant to </w:t>
      </w:r>
      <w:r>
        <w:rPr>
          <w:rFonts w:ascii="Arial" w:cs="Arial" w:eastAsia="Arial" w:hAnsi="Arial"/>
          <w:sz w:val="16"/>
          <w:szCs w:val="16"/>
          <w:u w:val="single" w:color="auto"/>
          <w:color w:val="auto"/>
        </w:rPr>
        <w:t>Section 7.11</w:t>
      </w:r>
      <w:r>
        <w:rPr>
          <w:rFonts w:ascii="Arial" w:cs="Arial" w:eastAsia="Arial" w:hAnsi="Arial"/>
          <w:sz w:val="16"/>
          <w:szCs w:val="16"/>
          <w:color w:val="auto"/>
        </w:rPr>
        <w:t>, available to Parent for payment of the Closing Cash Payment Amount, the Company Transaction Costs and the Parent Transaction Costs at the Closing.</w:t>
      </w:r>
    </w:p>
    <w:p>
      <w:pPr>
        <w:spacing w:after="0" w:line="69" w:lineRule="exact"/>
        <w:rPr>
          <w:rFonts w:ascii="Arial" w:cs="Arial" w:eastAsia="Arial" w:hAnsi="Arial"/>
          <w:sz w:val="16"/>
          <w:szCs w:val="16"/>
          <w:color w:val="auto"/>
        </w:rPr>
      </w:pPr>
    </w:p>
    <w:p>
      <w:pPr>
        <w:jc w:val="both"/>
        <w:ind w:firstLine="656"/>
        <w:spacing w:after="0" w:line="286" w:lineRule="auto"/>
        <w:tabs>
          <w:tab w:leader="none" w:pos="92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funds contained in the Trust Account, together with the Equity Financing Amount to be received substantially concurrently with the Closing, shall equal or exceed the Company’s Required Funds, following (i) payment of the aggregate amount of cash proceeds that will be required to satisfy any exercise of the Parent Stockholder Redemptions, and (ii) payment of all Company Transaction Costs and Parent Transaction Costs.</w:t>
      </w:r>
    </w:p>
    <w:p>
      <w:pPr>
        <w:spacing w:after="0" w:line="111" w:lineRule="exact"/>
        <w:rPr>
          <w:rFonts w:ascii="Arial" w:cs="Arial" w:eastAsia="Arial" w:hAnsi="Arial"/>
          <w:sz w:val="17"/>
          <w:szCs w:val="17"/>
          <w:color w:val="auto"/>
        </w:rPr>
      </w:pPr>
    </w:p>
    <w:p>
      <w:pPr>
        <w:ind w:left="900" w:hanging="244"/>
        <w:spacing w:after="0"/>
        <w:tabs>
          <w:tab w:leader="none" w:pos="90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The shares of Parent Class A Stock to be issued in connection with the Merger shall have been approved for listing on the Nasdaq.</w:t>
      </w:r>
    </w:p>
    <w:p>
      <w:pPr>
        <w:spacing w:after="0" w:line="182" w:lineRule="exact"/>
        <w:rPr>
          <w:rFonts w:ascii="Arial" w:cs="Arial" w:eastAsia="Arial" w:hAnsi="Arial"/>
          <w:sz w:val="17"/>
          <w:szCs w:val="17"/>
          <w:color w:val="auto"/>
        </w:rPr>
      </w:pPr>
    </w:p>
    <w:p>
      <w:pPr>
        <w:ind w:left="1520" w:hanging="216"/>
        <w:spacing w:after="0"/>
        <w:tabs>
          <w:tab w:leader="none" w:pos="15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No Parent Material Adverse Effect shall have occurred since the date of this Agreement and be continuing.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Additional Conditions to the Obligations of Parent and Merger Sub</w:t>
      </w:r>
      <w:r>
        <w:rPr>
          <w:rFonts w:ascii="Arial" w:cs="Arial" w:eastAsia="Arial" w:hAnsi="Arial"/>
          <w:sz w:val="18"/>
          <w:szCs w:val="18"/>
          <w:color w:val="auto"/>
        </w:rPr>
        <w:t>. The obligations of Parent and Merger Sub to consummate and effect the Merger and the other Transactions shall be subject to the satisfaction at or prior to the Closing of each of the following conditions, any of which may be waived, in writing, exclusively by Parent:</w:t>
      </w:r>
    </w:p>
    <w:p>
      <w:pPr>
        <w:spacing w:after="0" w:line="130" w:lineRule="exact"/>
        <w:rPr>
          <w:sz w:val="20"/>
          <w:szCs w:val="20"/>
          <w:color w:val="auto"/>
        </w:rPr>
      </w:pPr>
    </w:p>
    <w:p>
      <w:pPr>
        <w:jc w:val="both"/>
        <w:ind w:firstLine="656"/>
        <w:spacing w:after="0" w:line="268" w:lineRule="auto"/>
        <w:tabs>
          <w:tab w:leader="none" w:pos="906"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The Fundamental Representations of the Company, other than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material respects (without giving effect to any limitation as to “materiality” or “Company Material Adverse Effect” or any similar limitation contain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the representations and warranties of the Company set forth in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true and correct in all respects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for any de minimis inaccuracies; and all other representations and warranties of the Company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hereof shall be true and correct (without giving effect to any limitation as to “materiality” or “Company Material Adverse Effect” or any similar limitation contained herein) on and as of the date of this Agreement and on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such representations and warranties of the Company to be so true and correct, individually or in the aggregate, has not had and is not reasonably likely to have a Company Material Adverse Effect.</w:t>
      </w:r>
    </w:p>
    <w:p>
      <w:pPr>
        <w:spacing w:after="0" w:line="132" w:lineRule="exact"/>
        <w:rPr>
          <w:rFonts w:ascii="Arial" w:cs="Arial" w:eastAsia="Arial" w:hAnsi="Arial"/>
          <w:sz w:val="17"/>
          <w:szCs w:val="17"/>
          <w:color w:val="auto"/>
        </w:rPr>
      </w:pPr>
    </w:p>
    <w:p>
      <w:pPr>
        <w:ind w:firstLine="656"/>
        <w:spacing w:after="0" w:line="277" w:lineRule="auto"/>
        <w:tabs>
          <w:tab w:leader="none" w:pos="909"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Company shall have performed or complied with all agreements and covenants required by this Agreement to be performed or complied with by it at or prior to the Closing Date, in each case in all material respects.</w:t>
      </w:r>
    </w:p>
    <w:p>
      <w:pPr>
        <w:spacing w:after="0" w:line="116" w:lineRule="exact"/>
        <w:rPr>
          <w:rFonts w:ascii="Arial" w:cs="Arial" w:eastAsia="Arial" w:hAnsi="Arial"/>
          <w:sz w:val="18"/>
          <w:szCs w:val="18"/>
          <w:color w:val="auto"/>
        </w:rPr>
      </w:pPr>
    </w:p>
    <w:p>
      <w:pPr>
        <w:ind w:firstLine="656"/>
        <w:spacing w:after="0" w:line="277" w:lineRule="auto"/>
        <w:tabs>
          <w:tab w:leader="none" w:pos="90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to Parent a certificate, signed by an executive officer of the Company and dated as of the Closing Date, certifying as to the matters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00" w:hanging="244"/>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171" w:lineRule="exact"/>
        <w:rPr>
          <w:rFonts w:ascii="Arial" w:cs="Arial" w:eastAsia="Arial" w:hAnsi="Arial"/>
          <w:sz w:val="18"/>
          <w:szCs w:val="18"/>
          <w:color w:val="auto"/>
        </w:rPr>
      </w:pPr>
    </w:p>
    <w:p>
      <w:pPr>
        <w:ind w:left="900" w:hanging="244"/>
        <w:spacing w:after="0"/>
        <w:tabs>
          <w:tab w:leader="none" w:pos="90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Company Material Adverse Effect shall have occurred since the date of this Agreement and be continuing.</w:t>
      </w:r>
    </w:p>
    <w:p>
      <w:pPr>
        <w:spacing w:after="0" w:line="171" w:lineRule="exact"/>
        <w:rPr>
          <w:rFonts w:ascii="Arial" w:cs="Arial" w:eastAsia="Arial" w:hAnsi="Arial"/>
          <w:sz w:val="18"/>
          <w:szCs w:val="18"/>
          <w:color w:val="auto"/>
        </w:rPr>
      </w:pPr>
    </w:p>
    <w:p>
      <w:pPr>
        <w:jc w:val="both"/>
        <w:ind w:firstLine="656"/>
        <w:spacing w:after="0" w:line="263" w:lineRule="auto"/>
        <w:tabs>
          <w:tab w:leader="none" w:pos="878"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or caused to be delivered, or shall stand ready to deliver all of the certificates, instruments, Contracts and other documents specified to be delivered by it hereunder, including copies of the documents to be delivered by the Company pursuant to </w:t>
      </w:r>
      <w:r>
        <w:rPr>
          <w:rFonts w:ascii="Arial" w:cs="Arial" w:eastAsia="Arial" w:hAnsi="Arial"/>
          <w:sz w:val="18"/>
          <w:szCs w:val="18"/>
          <w:u w:val="single" w:color="auto"/>
          <w:color w:val="auto"/>
        </w:rPr>
        <w:t>Section 1.3(b)</w:t>
      </w:r>
      <w:r>
        <w:rPr>
          <w:rFonts w:ascii="Arial" w:cs="Arial" w:eastAsia="Arial" w:hAnsi="Arial"/>
          <w:sz w:val="18"/>
          <w:szCs w:val="18"/>
          <w:color w:val="auto"/>
        </w:rPr>
        <w:t xml:space="preserve">, duly executed by the applicable signatory or signatories specified in </w:t>
      </w:r>
      <w:r>
        <w:rPr>
          <w:rFonts w:ascii="Arial" w:cs="Arial" w:eastAsia="Arial" w:hAnsi="Arial"/>
          <w:sz w:val="18"/>
          <w:szCs w:val="18"/>
          <w:u w:val="single" w:color="auto"/>
          <w:color w:val="auto"/>
        </w:rPr>
        <w:t>Section 1.3(b)</w:t>
      </w:r>
      <w:r>
        <w:rPr>
          <w:rFonts w:ascii="Arial" w:cs="Arial" w:eastAsia="Arial" w:hAnsi="Arial"/>
          <w:sz w:val="18"/>
          <w:szCs w:val="18"/>
          <w:color w:val="auto"/>
        </w:rPr>
        <w:t>, if 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40"/>
          </w:cols>
          <w:pgMar w:left="320" w:top="1440" w:right="339" w:bottom="1440" w:gutter="0" w:footer="0" w:header="0"/>
        </w:sectPr>
      </w:pPr>
    </w:p>
    <w:bookmarkStart w:id="484" w:name="page485"/>
    <w:bookmarkEnd w:id="484"/>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at any time prior to the Closing:</w:t>
      </w:r>
    </w:p>
    <w:p>
      <w:pPr>
        <w:spacing w:after="0" w:line="171" w:lineRule="exact"/>
        <w:rPr>
          <w:sz w:val="20"/>
          <w:szCs w:val="20"/>
          <w:color w:val="auto"/>
        </w:rPr>
      </w:pPr>
    </w:p>
    <w:p>
      <w:pPr>
        <w:ind w:left="900" w:hanging="244"/>
        <w:spacing w:after="0"/>
        <w:tabs>
          <w:tab w:leader="none" w:pos="9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mutual written agreement of Parent and the Company at any time;</w:t>
      </w:r>
    </w:p>
    <w:p>
      <w:pPr>
        <w:spacing w:after="0" w:line="171" w:lineRule="exact"/>
        <w:rPr>
          <w:rFonts w:ascii="Arial" w:cs="Arial" w:eastAsia="Arial" w:hAnsi="Arial"/>
          <w:sz w:val="18"/>
          <w:szCs w:val="18"/>
          <w:color w:val="auto"/>
        </w:rPr>
      </w:pPr>
    </w:p>
    <w:p>
      <w:pPr>
        <w:jc w:val="both"/>
        <w:ind w:firstLine="656"/>
        <w:spacing w:after="0" w:line="259" w:lineRule="auto"/>
        <w:tabs>
          <w:tab w:leader="none" w:pos="9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either Parent or the Company if the Transactions shall not have been consummated by November 9, 2021 (the “</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shall not be available to any Party whose action or failure to act has been a principal cause of or resulted in the failure of the Transactions to occur on or before such date and such action or failure to act constitutes a breach of this Agreement;</w:t>
      </w:r>
    </w:p>
    <w:p>
      <w:pPr>
        <w:spacing w:after="0" w:line="132" w:lineRule="exact"/>
        <w:rPr>
          <w:rFonts w:ascii="Arial" w:cs="Arial" w:eastAsia="Arial" w:hAnsi="Arial"/>
          <w:sz w:val="18"/>
          <w:szCs w:val="18"/>
          <w:color w:val="auto"/>
        </w:rPr>
      </w:pPr>
    </w:p>
    <w:p>
      <w:pPr>
        <w:ind w:firstLine="656"/>
        <w:spacing w:after="0" w:line="342" w:lineRule="auto"/>
        <w:tabs>
          <w:tab w:leader="none" w:pos="894" w:val="left"/>
        </w:tabs>
        <w:numPr>
          <w:ilvl w:val="0"/>
          <w:numId w:val="360"/>
        </w:numPr>
        <w:rPr>
          <w:rFonts w:ascii="Arial" w:cs="Arial" w:eastAsia="Arial" w:hAnsi="Arial"/>
          <w:sz w:val="16"/>
          <w:szCs w:val="16"/>
          <w:color w:val="auto"/>
        </w:rPr>
      </w:pPr>
      <w:r>
        <w:rPr>
          <w:rFonts w:ascii="Arial" w:cs="Arial" w:eastAsia="Arial" w:hAnsi="Arial"/>
          <w:sz w:val="16"/>
          <w:szCs w:val="16"/>
          <w:color w:val="auto"/>
        </w:rPr>
        <w:t>by either Parent or the Company if a Governmental Entity shall have issued an Order or taken any other action, in any case having the effect of permanently restraining, enjoining or otherwise prohibiting the Transactions, including the Merger, which Order or other action is final and nonappealable;</w:t>
      </w:r>
    </w:p>
    <w:p>
      <w:pPr>
        <w:spacing w:after="0" w:line="69" w:lineRule="exact"/>
        <w:rPr>
          <w:rFonts w:ascii="Arial" w:cs="Arial" w:eastAsia="Arial" w:hAnsi="Arial"/>
          <w:sz w:val="16"/>
          <w:szCs w:val="16"/>
          <w:color w:val="auto"/>
        </w:rPr>
      </w:pPr>
    </w:p>
    <w:p>
      <w:pPr>
        <w:jc w:val="both"/>
        <w:ind w:firstLine="656"/>
        <w:spacing w:after="0" w:line="290" w:lineRule="auto"/>
        <w:tabs>
          <w:tab w:leader="none" w:pos="917"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by the Company, upon a breach of any representation, warranty, covenant or agreement set forth in this Agreement on the part of Parent or Merger Sub, or if any representation or warranty of Parent or Merger Sub shall have become untrue, in either case such that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not be satisfied as of the time of such breach or as of the time such representation or warranty shall have become untrue;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breach by Parent or Merger Sub is curable by Parent or Merger Sub prior to the Closing, then the Company must first provide written notice of such breach and may not terminate this Agreement under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until the earlier of: (i) 30 days after delivery of written notice from the Company to Parent of such breach; and (ii)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each of Parent and Merger Sub continues to exercise commercially reasonable efforts to cure such breach (it being understood that the Company may not terminate this Agreement pursuant to this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if: (A) it shall have materially breached this Agreement and such breach has not been cured; or (B) if such breach by Parent or Merger Sub is cured during such 30-day period);</w:t>
      </w:r>
    </w:p>
    <w:p>
      <w:pPr>
        <w:spacing w:after="0" w:line="111" w:lineRule="exact"/>
        <w:rPr>
          <w:rFonts w:ascii="Arial" w:cs="Arial" w:eastAsia="Arial" w:hAnsi="Arial"/>
          <w:sz w:val="16"/>
          <w:szCs w:val="16"/>
          <w:color w:val="auto"/>
        </w:rPr>
      </w:pPr>
    </w:p>
    <w:p>
      <w:pPr>
        <w:jc w:val="both"/>
        <w:ind w:firstLine="656"/>
        <w:spacing w:after="0" w:line="271" w:lineRule="auto"/>
        <w:tabs>
          <w:tab w:leader="none" w:pos="90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by Parent, upon a breach of any representation, warranty, covenant or agreement set forth in this Agreement on the part of the Company or if any representation or warranty of the Company shall have become untrue, in either case such that the conditions set forth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would not be satisfied as of the time of such breach or as of the time such representation or warranty shall have become untrue;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breach is curable by the Company prior to the Closing, then Parent must first provide written notice of such breach and may not terminate this Agreement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9.1(e)</w:t>
      </w:r>
      <w:r>
        <w:rPr>
          <w:rFonts w:ascii="Arial" w:cs="Arial" w:eastAsia="Arial" w:hAnsi="Arial"/>
          <w:sz w:val="17"/>
          <w:szCs w:val="17"/>
          <w:color w:val="auto"/>
        </w:rPr>
        <w:t xml:space="preserve"> until the earlier of: (i) 30 days after delivery of written notice from Parent to the Company of such breach; and (ii) the Outside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Company continues to exercise commercially reasonable efforts to cure such breach (it being understood that Parent may not terminate this Agreement pursuant to this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if: (A) it shall have materially breached this Agreement and such breach has not been cured; or (B) if such breach by the Company is cured during such 30-day period);</w:t>
      </w:r>
    </w:p>
    <w:p>
      <w:pPr>
        <w:spacing w:after="0" w:line="124" w:lineRule="exact"/>
        <w:rPr>
          <w:rFonts w:ascii="Arial" w:cs="Arial" w:eastAsia="Arial" w:hAnsi="Arial"/>
          <w:sz w:val="17"/>
          <w:szCs w:val="17"/>
          <w:color w:val="auto"/>
        </w:rPr>
      </w:pPr>
    </w:p>
    <w:p>
      <w:pPr>
        <w:ind w:firstLine="656"/>
        <w:spacing w:after="0" w:line="277" w:lineRule="auto"/>
        <w:tabs>
          <w:tab w:leader="none" w:pos="8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either Parent or the Company, if, at the Special Meeting (including any adjournments thereof), the Parent Stockholder Matters are not duly adopted by the stockholders of Parent by the requisite vote under the DGCL and the Parent Organizational Documents;</w:t>
      </w:r>
    </w:p>
    <w:p>
      <w:pPr>
        <w:spacing w:after="0" w:line="116" w:lineRule="exact"/>
        <w:rPr>
          <w:rFonts w:ascii="Arial" w:cs="Arial" w:eastAsia="Arial" w:hAnsi="Arial"/>
          <w:sz w:val="18"/>
          <w:szCs w:val="18"/>
          <w:color w:val="auto"/>
        </w:rPr>
      </w:pPr>
    </w:p>
    <w:p>
      <w:pPr>
        <w:ind w:firstLine="656"/>
        <w:spacing w:after="0" w:line="277" w:lineRule="auto"/>
        <w:tabs>
          <w:tab w:leader="none" w:pos="93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by the Company, if the Parent Stockholder Redemption results in the condition set forth in </w:t>
      </w:r>
      <w:r>
        <w:rPr>
          <w:rFonts w:ascii="Arial" w:cs="Arial" w:eastAsia="Arial" w:hAnsi="Arial"/>
          <w:sz w:val="18"/>
          <w:szCs w:val="18"/>
          <w:u w:val="single" w:color="auto"/>
          <w:color w:val="auto"/>
        </w:rPr>
        <w:t>Section 8.2(g)</w:t>
      </w:r>
      <w:r>
        <w:rPr>
          <w:rFonts w:ascii="Arial" w:cs="Arial" w:eastAsia="Arial" w:hAnsi="Arial"/>
          <w:sz w:val="18"/>
          <w:szCs w:val="18"/>
          <w:color w:val="auto"/>
        </w:rPr>
        <w:t xml:space="preserve"> becoming incapable of being satisfied at the Closing; or</w:t>
      </w:r>
    </w:p>
    <w:p>
      <w:pPr>
        <w:spacing w:after="0" w:line="116" w:lineRule="exact"/>
        <w:rPr>
          <w:rFonts w:ascii="Arial" w:cs="Arial" w:eastAsia="Arial" w:hAnsi="Arial"/>
          <w:sz w:val="18"/>
          <w:szCs w:val="18"/>
          <w:color w:val="auto"/>
        </w:rPr>
      </w:pPr>
    </w:p>
    <w:p>
      <w:pPr>
        <w:ind w:firstLine="656"/>
        <w:spacing w:after="0" w:line="277" w:lineRule="auto"/>
        <w:tabs>
          <w:tab w:leader="none" w:pos="90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by Parent within twenty-four hours of the Company Stockholder Approval Deadline if the Company Stockholder Approval shall not have been obtained by the Company Stockholder Approval Deadline.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 of Termination; Effect of Termination</w:t>
      </w:r>
      <w:r>
        <w:rPr>
          <w:rFonts w:ascii="Arial" w:cs="Arial" w:eastAsia="Arial" w:hAnsi="Arial"/>
          <w:sz w:val="18"/>
          <w:szCs w:val="18"/>
          <w:color w:val="auto"/>
        </w:rPr>
        <w:t>.</w:t>
      </w:r>
    </w:p>
    <w:p>
      <w:pPr>
        <w:spacing w:after="0" w:line="171" w:lineRule="exact"/>
        <w:rPr>
          <w:sz w:val="20"/>
          <w:szCs w:val="20"/>
          <w:color w:val="auto"/>
        </w:rPr>
      </w:pPr>
    </w:p>
    <w:p>
      <w:pPr>
        <w:ind w:firstLine="656"/>
        <w:spacing w:after="0" w:line="277" w:lineRule="auto"/>
        <w:tabs>
          <w:tab w:leader="none" w:pos="883"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Any termination of this Agreement under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above will be effective immediately upon the delivery of written notice of the terminating Party to the other Parties.</w:t>
      </w:r>
    </w:p>
    <w:p>
      <w:pPr>
        <w:spacing w:after="0" w:line="116" w:lineRule="exact"/>
        <w:rPr>
          <w:rFonts w:ascii="Arial" w:cs="Arial" w:eastAsia="Arial" w:hAnsi="Arial"/>
          <w:sz w:val="18"/>
          <w:szCs w:val="18"/>
          <w:color w:val="auto"/>
        </w:rPr>
      </w:pPr>
    </w:p>
    <w:p>
      <w:pPr>
        <w:ind w:firstLine="656"/>
        <w:spacing w:after="0" w:line="277" w:lineRule="auto"/>
        <w:tabs>
          <w:tab w:leader="none" w:pos="92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 no further force or effect and the Transactions shall be abandoned, except for and subject to the following: (i)</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the Confidentiality Agreement shall survive the termination of this Agreement; and (ii) nothing herein shall relieve any Party from liability for any willful and intentional breach of this Agreement or intentional fraud in the making of the representations and warranties in this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SURVIVAL</w:t>
      </w:r>
    </w:p>
    <w:p>
      <w:pPr>
        <w:spacing w:after="0" w:line="1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No Survival</w:t>
      </w:r>
      <w:r>
        <w:rPr>
          <w:rFonts w:ascii="Arial" w:cs="Arial" w:eastAsia="Arial" w:hAnsi="Arial"/>
          <w:sz w:val="16"/>
          <w:szCs w:val="16"/>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any claim against the Company with respect to intentional fraud in the making of the representations and warranties by the Company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any claim against Parent with respect to intentional fraud in the making of the representations and warranties by Parent in </w:t>
      </w:r>
      <w:r>
        <w:rPr>
          <w:rFonts w:ascii="Arial" w:cs="Arial" w:eastAsia="Arial" w:hAnsi="Arial"/>
          <w:sz w:val="16"/>
          <w:szCs w:val="16"/>
          <w:u w:val="single" w:color="auto"/>
          <w:color w:val="auto"/>
        </w:rPr>
        <w:t>Article V</w:t>
      </w:r>
      <w:r>
        <w:rPr>
          <w:rFonts w:ascii="Arial" w:cs="Arial" w:eastAsia="Arial" w:hAnsi="Arial"/>
          <w:sz w:val="16"/>
          <w:szCs w:val="16"/>
          <w:color w:val="auto"/>
        </w:rPr>
        <w:t>, as applicable.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Parent or Merger Sub,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Eli Casdin, Chief Executive Officer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10020-1095</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Matthew Kautz; Joel Rubinstein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mkautz@whitecase.com; joel.rubinstein@whitecase.com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prior to the Closing,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40"/>
          </w:cols>
          <w:pgMar w:left="320" w:top="1440" w:right="339" w:bottom="1440" w:gutter="0" w:footer="0" w:header="0"/>
        </w:sectPr>
      </w:pPr>
    </w:p>
    <w:bookmarkStart w:id="486" w:name="page487"/>
    <w:bookmarkEnd w:id="486"/>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Ethan A. Skerry; Robert A. Freedman; David K. Michaels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eskerry@fenwick.com; rfreedman@fenwick.com; dmichaels@fenwick.com</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u w:val="single" w:color="auto"/>
          <w:color w:val="auto"/>
        </w:rPr>
        <w:t>Interpretation</w:t>
      </w:r>
      <w:r>
        <w:rPr>
          <w:rFonts w:ascii="Arial" w:cs="Arial" w:eastAsia="Arial" w:hAnsi="Arial"/>
          <w:sz w:val="17"/>
          <w:szCs w:val="17"/>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included in and available at the “Project Snow” online datasite hosted by “Datasite Diligence” prior to the date of this Agreement.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All references to currency amounts in this Agreement shall mean United States dollars. The Parties acknowledge and agree that ISMMS shall not be deemed to be a Person “acting on behalf of any Group Company” for any purpose with respect to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solely by virtue of ISMMS’s provision of transition or other services to the Company in connection with the Company’s spinout from ISMMS in 2017 or by virtue of the fact that employees of the Company may also hold or have held positions with ISMMS at any particular time.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Counterparts; Electronic Delivery</w:t>
      </w:r>
      <w:r>
        <w:rPr>
          <w:rFonts w:ascii="Arial" w:cs="Arial" w:eastAsia="Arial" w:hAnsi="Arial"/>
          <w:sz w:val="18"/>
          <w:szCs w:val="18"/>
          <w:color w:val="auto"/>
        </w:rPr>
        <w:t>. This Agreement, the Transaction Agreements and each other document executed in connection with the Transactions, and the consummation thereof,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the rights, at and after the Effective Time, of Persons pursuant to the provisions of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(which will be for the benefit of the Persons set forth therein), are not intended to confer upon any other Person other than the Parties any rights or remedies.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40"/>
          </w:cols>
          <w:pgMar w:left="320" w:top="1440" w:right="339" w:bottom="1440" w:gutter="0" w:footer="0" w:header="0"/>
        </w:sectPr>
      </w:pPr>
    </w:p>
    <w:bookmarkStart w:id="487" w:name="page488"/>
    <w:bookmarkEnd w:id="487"/>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of the United States or any state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consummation the Transactions, and any action, suit, dispute, controversy or claim arising out of this Agreement and the consummation of the Transactions, or the validity, interpretation, breach or termination of this Agreement and the consummation of the Transactions, shall be governed by and construed in accordance with the internal law of the State of Delaware regardless of the law that might otherwise govern under applicable principles of conflicts of law thereof.</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Consent to Jurisdiction; Waiver of Jury Trial</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8" w:lineRule="auto"/>
        <w:tabs>
          <w:tab w:leader="none" w:pos="56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 xml:space="preserve">Any proceeding based upon or arising out of this Agreement, the other Transaction Agreements and the consummation of the Transactions must be brought in the Court of Chancery of the State of Delaware (or, to the extent such court does not have subject matter jurisdiction, the Superior Court of the State of Delaware). Each of the Parties irrevocably consents to the exclusive jurisdiction and venue of such courts, agrees that process may be served upon them in any manner authorized by the laws of the State of Delaware for such Person and waives and covenants not to assert or plead any objection which they might otherwise have to such manner of service of process. Each Party and any Person asserting rights as a third-party beneficiary may do so only if he, she or it hereby waives, and shall not assert as a defense in any legal dispute, that: (i) such Person is not personally subject to the jurisdiction of the above named courts for any reason; (ii) such Legal Proceeding may not be brought or is not maintainable in such court; (iii) such Person’s property is exempt or immune from execution; (iv) such Legal Proceeding is brought in an inconvenient forum; or (v) the venue of such Legal Proceeding is improper. Each Party and any Person asserting rights as a third-party beneficiary hereby agrees not to commence or prosecute any such action, claim, cause of action or suit other than before one of the above-named courts, nor to make any motion or take any other action seeking or intending to cause the transfer or removal of any such action, claim, cause of action or suit to any court other than one of the above-named courts, whether on the grounds of inconvenient forum or otherwise. Each Party hereby consents to service of process in any such proceeding in any manner permitted by Delaware law, and further consents to service of process by nationally recognized overnight courier service guaranteeing overnight delivery, or by registered or certified mail, return receipt requested, at its address specified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Notwithstanding the foregoing in this Section 11.8, any Party may commence any action, claim, cause of action or suit in a court other than the above-named courts solely for the purpose of enforcing an order or judgment issued by one of the above-named courts.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40"/>
          </w:cols>
          <w:pgMar w:left="320" w:top="1440" w:right="339" w:bottom="1440" w:gutter="0" w:footer="0" w:header="0"/>
        </w:sectPr>
      </w:pPr>
    </w:p>
    <w:bookmarkStart w:id="488" w:name="page489"/>
    <w:bookmarkEnd w:id="488"/>
    <w:p>
      <w:pPr>
        <w:spacing w:after="0" w:line="143" w:lineRule="exact"/>
        <w:rPr>
          <w:sz w:val="20"/>
          <w:szCs w:val="20"/>
          <w:color w:val="auto"/>
        </w:rPr>
      </w:pPr>
    </w:p>
    <w:p>
      <w:pPr>
        <w:jc w:val="both"/>
        <w:ind w:firstLine="332"/>
        <w:spacing w:after="0" w:line="253" w:lineRule="auto"/>
        <w:tabs>
          <w:tab w:leader="none" w:pos="60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TO THE EXTENT NOT PROHIBITED BY APPLICABLE LEGAL REQUIREMENTS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EACH OTHER TRANSACTION AGREEMENTS AND THE CONSUMMATION OF THE TRANSACTIONS,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THE OTHER TRANSACTION AGREEMENTS AND THE CONSUMMATION OF THE TRANSACTIONS. FURTHERMORE, NO PARTY NOR ANY PERSON ASSERTING RIGHTS AS A THIRD-PARTY BENEFICIARY SHALL SEEK TO CONSOLIDATE ANY SUCH LEGAL DISPUTE WITH A SEPARATE ACTION OR OTHER LEGAL PROCEEDING IN WHICH A JURY TRIAL CANNOT BE WAIVED.</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providing that ambiguities in an agreement or other document will be construed against the Party drafting such agreement or document.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whether or not the Transactions are consummated, each Party will pay its own costs and expenses incurred in anticipation of, relating to and in connection with the negotiation and execution of this Agreement and the Transaction Agreements and the consummation of the Transactions.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this Agreement shall be binding upon and shall inure to the benefit of the Parties and their respective successors and permitted assigns.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at any time by execution of an instrument in writing signed on behalf of each of the Parties; provided that, following the receipt of the Company Stockholder Approval, there shall be no amendment to this Agreement (or any of the provisions hereof) which under the DGCL or other Applicable Legal Requirements would require further approval by the stockholders of the Company in accordance with the Company Organizational Documents without such approval.</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Extension; Waiver</w:t>
      </w:r>
      <w:r>
        <w:rPr>
          <w:rFonts w:ascii="Arial" w:cs="Arial" w:eastAsia="Arial" w:hAnsi="Arial"/>
          <w:sz w:val="16"/>
          <w:szCs w:val="16"/>
          <w:color w:val="auto"/>
        </w:rPr>
        <w:t>. At any time prior to the Closing, Parent (on behalf of itself and Merger Sub), on the one hand, and the Company (on behalf of itself and the Company Stockholders), on the other hand, may, to the extent not prohibited by Applicable Legal Requirements: (a) extend the time for the performance of any of the obligations or other acts of the other Party; (b) waive any inaccuracies in the representations and warranties made to the other Party contained herein or in any document delivered pursuant hereto; and (c) waive compliance with any of the agreements or conditions for the benefit of such Party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40"/>
          </w:cols>
          <w:pgMar w:left="320" w:top="1440" w:right="339" w:bottom="1440" w:gutter="0" w:footer="0" w:header="0"/>
        </w:sectPr>
      </w:pPr>
    </w:p>
    <w:bookmarkStart w:id="489" w:name="page490"/>
    <w:bookmarkEnd w:id="489"/>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Without limiting the generality of the foregoing, the Parties will not, and will not cause or permit any other Person to, hold or attempt to hold any Related Party liable for any actual or alleged inaccuracies, misstatements or omissions with respect to any information or materials of any kind furnished by the Company or any Related Party, or their respective agents or other Representatives, concerning a Group Company, this Agreement or the Transactions. The provisions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are intended to be for the benefit of, and enforceable by the Related Parties of the Parties and each such Person shall be a third-party beneficiary of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11.14</w:t>
      </w:r>
      <w:r>
        <w:rPr>
          <w:rFonts w:ascii="Arial" w:cs="Arial" w:eastAsia="Arial" w:hAnsi="Arial"/>
          <w:sz w:val="17"/>
          <w:szCs w:val="17"/>
          <w:color w:val="auto"/>
        </w:rPr>
        <w:t xml:space="preserve"> shall be binding on all successors and assigns of Parties.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171" w:lineRule="exact"/>
        <w:rPr>
          <w:sz w:val="20"/>
          <w:szCs w:val="20"/>
          <w:color w:val="auto"/>
        </w:rPr>
      </w:pPr>
    </w:p>
    <w:p>
      <w:pPr>
        <w:jc w:val="both"/>
        <w:ind w:firstLine="332"/>
        <w:spacing w:after="0" w:line="267" w:lineRule="auto"/>
        <w:tabs>
          <w:tab w:leader="none" w:pos="58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Parent hereby agrees on behalf of its directors, members, partners, officers, employees and Affiliates (including after the Closing, the Company), and each of their respective successors and assigns (all such parties, the “</w:t>
      </w:r>
      <w:r>
        <w:rPr>
          <w:rFonts w:ascii="Arial" w:cs="Arial" w:eastAsia="Arial" w:hAnsi="Arial"/>
          <w:sz w:val="17"/>
          <w:szCs w:val="17"/>
          <w:u w:val="single" w:color="auto"/>
          <w:color w:val="auto"/>
        </w:rPr>
        <w:t>Parent Waiving Parties</w:t>
      </w:r>
      <w:r>
        <w:rPr>
          <w:rFonts w:ascii="Arial" w:cs="Arial" w:eastAsia="Arial" w:hAnsi="Arial"/>
          <w:sz w:val="17"/>
          <w:szCs w:val="17"/>
          <w:color w:val="auto"/>
        </w:rPr>
        <w:t>”), that Fenwick &amp; West LLP (or any successor) may represent the Company Stockholders or any of their respective directors, members, partners, officers, employees or Affiliates (other than the Company) (collectively, the “</w:t>
      </w:r>
      <w:r>
        <w:rPr>
          <w:rFonts w:ascii="Arial" w:cs="Arial" w:eastAsia="Arial" w:hAnsi="Arial"/>
          <w:sz w:val="17"/>
          <w:szCs w:val="17"/>
          <w:u w:val="single" w:color="auto"/>
          <w:color w:val="auto"/>
        </w:rPr>
        <w:t>Stockholder Grou</w:t>
      </w:r>
      <w:r>
        <w:rPr>
          <w:rFonts w:ascii="Arial" w:cs="Arial" w:eastAsia="Arial" w:hAnsi="Arial"/>
          <w:sz w:val="17"/>
          <w:szCs w:val="17"/>
          <w:color w:val="auto"/>
        </w:rPr>
        <w:t>p”), in each case, in connection with any Legal Proceeding or obligation arising out of or relating to this Agreement, any Transaction Agreement or the Transactions, notwithstanding its representation (or any continued representation) of the Group Companies or other Parent Waiving Parties, and each of Parent and the Company on behalf of itself and the Parent Waiving Parties hereby consents thereto and irrevocably waives (and will not assert) any conflict of interest, breach of duty or any other objection arising therefrom or relating thereto. Parent and the Company acknowledge that the foregoing provision applies whether or not Fenwick &amp; West LLP provides legal services to any Group Companies after the Closing Date. Each of Parent and the Company, for itself and the Parent Waiving Parties, hereby further irrevocably acknowledges and agrees that all communications, written or oral, between any Group Company or any member of the Stockholder Group and its counsel, including Fenwick &amp; West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 notwithstanding the Merger, and instead survive, remain with and are controlled by the Stockholder Group (the “</w:t>
      </w:r>
      <w:r>
        <w:rPr>
          <w:rFonts w:ascii="Arial" w:cs="Arial" w:eastAsia="Arial" w:hAnsi="Arial"/>
          <w:sz w:val="17"/>
          <w:szCs w:val="17"/>
          <w:u w:val="single" w:color="auto"/>
          <w:color w:val="auto"/>
        </w:rPr>
        <w:t>Stockholder Privileged Communications</w:t>
      </w:r>
      <w:r>
        <w:rPr>
          <w:rFonts w:ascii="Arial" w:cs="Arial" w:eastAsia="Arial" w:hAnsi="Arial"/>
          <w:sz w:val="17"/>
          <w:szCs w:val="17"/>
          <w:color w:val="auto"/>
        </w:rPr>
        <w:t>”), without any waiver thereof. Parent and the Company,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Parent and the Company agree not to assert that any privilege has been waived as to the Stockholder Privileged Communications, whether located in the records or email server of the Company or otherwise (including in the knowledge of the officers and employees of the Company).</w:t>
      </w:r>
    </w:p>
    <w:p>
      <w:pPr>
        <w:spacing w:after="0" w:line="134" w:lineRule="exact"/>
        <w:rPr>
          <w:rFonts w:ascii="Arial" w:cs="Arial" w:eastAsia="Arial" w:hAnsi="Arial"/>
          <w:sz w:val="17"/>
          <w:szCs w:val="17"/>
          <w:color w:val="auto"/>
        </w:rPr>
      </w:pPr>
    </w:p>
    <w:p>
      <w:pPr>
        <w:jc w:val="both"/>
        <w:ind w:firstLine="332"/>
        <w:spacing w:after="0" w:line="269" w:lineRule="auto"/>
        <w:tabs>
          <w:tab w:leader="none" w:pos="585"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The Company hereby agrees on behalf of its directors, members, partners, officers, employees and Affiliates and the Company Stockholders, and each of their respective successors and assigns (all such parties, the “</w:t>
      </w:r>
      <w:r>
        <w:rPr>
          <w:rFonts w:ascii="Arial" w:cs="Arial" w:eastAsia="Arial" w:hAnsi="Arial"/>
          <w:sz w:val="17"/>
          <w:szCs w:val="17"/>
          <w:u w:val="single" w:color="auto"/>
          <w:color w:val="auto"/>
        </w:rPr>
        <w:t>Company Waiving Parties</w:t>
      </w:r>
      <w:r>
        <w:rPr>
          <w:rFonts w:ascii="Arial" w:cs="Arial" w:eastAsia="Arial" w:hAnsi="Arial"/>
          <w:sz w:val="17"/>
          <w:szCs w:val="17"/>
          <w:color w:val="auto"/>
        </w:rPr>
        <w:t>”), that White &amp; Case LLP (or any successor) may represent the Sponsor, Parent or any of their respective directors, members, partners, officers, employees or Affiliates (other than the Company) (collectively, the “</w:t>
      </w:r>
      <w:r>
        <w:rPr>
          <w:rFonts w:ascii="Arial" w:cs="Arial" w:eastAsia="Arial" w:hAnsi="Arial"/>
          <w:sz w:val="17"/>
          <w:szCs w:val="17"/>
          <w:u w:val="single" w:color="auto"/>
          <w:color w:val="auto"/>
        </w:rPr>
        <w:t>Parent Group</w:t>
      </w:r>
      <w:r>
        <w:rPr>
          <w:rFonts w:ascii="Arial" w:cs="Arial" w:eastAsia="Arial" w:hAnsi="Arial"/>
          <w:sz w:val="17"/>
          <w:szCs w:val="17"/>
          <w:color w:val="auto"/>
        </w:rPr>
        <w:t>”), in each case, in connection with any Legal Proceeding or obligation arising out of or relating to this Agreement, any Transaction Agreement or the Transactions, notwithstanding its representation (or any continued representation) of the Parent Group, and the Company on behalf of itself and Company Waiving Parties hereby consents thereto and irrevocably waives (and will not assert) any conflict of interest, breach of duty or any other objection arising therefrom or relating thereto. The Company acknowledges that the foregoing provision applies whether or not White &amp; Case LLP provides legal services to the Sponsor or Parent after the Closing Date. The Company, for itself and the Waiving Parties, hereby further irrevocably acknowledges and agrees that all communications, written or oral, between any of the Parent Group and its counsel, including White &amp; Case LLP, made in connection with the negotiation, preparation, execution, delivery and performance under, or any dispute or Legal Proceeding arising out of or relating to, this Agreement, any Transaction Agreements or the Transactions, or any matter relating to any of the foregoing, are privileged communications that do not pass to the Company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40"/>
          </w:cols>
          <w:pgMar w:left="320" w:top="1440" w:right="339" w:bottom="1440" w:gutter="0" w:footer="0" w:header="0"/>
        </w:sectPr>
      </w:pPr>
    </w:p>
    <w:bookmarkStart w:id="490" w:name="page491"/>
    <w:bookmarkEnd w:id="490"/>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Merger, and instead survive, remain with and are controlled by the Sponsor and Parent (the “</w:t>
      </w:r>
      <w:r>
        <w:rPr>
          <w:rFonts w:ascii="Arial" w:cs="Arial" w:eastAsia="Arial" w:hAnsi="Arial"/>
          <w:sz w:val="16"/>
          <w:szCs w:val="16"/>
          <w:u w:val="single" w:color="auto"/>
          <w:color w:val="auto"/>
        </w:rPr>
        <w:t>Parent Privileged Communications</w:t>
      </w:r>
      <w:r>
        <w:rPr>
          <w:rFonts w:ascii="Arial" w:cs="Arial" w:eastAsia="Arial" w:hAnsi="Arial"/>
          <w:sz w:val="16"/>
          <w:szCs w:val="16"/>
          <w:color w:val="auto"/>
        </w:rPr>
        <w:t>”), without any waiver thereof. Sponsor and Parent, together with any of their respective Affiliates, Subsidiaries, successors or assigns, agree that no Person may use or rely on any of the Stockholder Privileged Communications, whether located in the records or email server of the Company or otherwise (including in the knowledge or the officers and employees of the Company), in any Legal Proceeding against or involving any of the Parties after the Closing, and the Company Waiving Parties agree not to assert that any privilege has been waived as to the Parent Privileged Communications.</w:t>
      </w:r>
    </w:p>
    <w:p>
      <w:pPr>
        <w:spacing w:after="0" w:line="10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Disclosure Letters and Exhibits</w:t>
      </w:r>
      <w:r>
        <w:rPr>
          <w:rFonts w:ascii="Arial" w:cs="Arial" w:eastAsia="Arial" w:hAnsi="Arial"/>
          <w:sz w:val="17"/>
          <w:szCs w:val="17"/>
          <w:color w:val="auto"/>
        </w:rPr>
        <w:t>. The Company Disclosure Letter and Parent Disclosure Letter shall each be arranged in separate parts corresponding to the numbered and lettered sections and subsections in this Agreement, and the information disclosed in any numbered or lettered part shall be deemed to relate to and to qualify only the particular provision set forth in the corresponding numbered or lettered Section or subsection of this Agreement, except to the extent that: (a) such information is cross-referenced in another part of the Company Disclosure Letter or Parent Disclosure Letter, as applicable; or (b) it is reasonably apparent on the face of the disclosure (without any independent knowledge on the part of the reader regarding the matter disclosed) that such information qualifies another provision in this Agreement. The specification of any dollar amount in the representations and warranties contained in this Agreement or the inclusion of any specific item in the Company Disclosure Letter and Parent Disclosure Letter is not intended to imply that such amounts (or higher or lower amounts) are or are not material, and no Party shall use the fact of the setting of such amounts or the fact of the inclusion of any such item in the Company Disclosure Letter or Parent Disclosure Letter in any dispute or controversy between the Parties as to whether any obligation, item, or matter not described herein or included in Company Disclosure Letter or the Parent Disclosure Letter is or is not material for purposes of this Agreement. The inclusion of any item in the Company Disclosure Letter or Parent Disclosure Letter shall not be deemed to constitute an acknowledgment by the Company or Parent, as applicable, that the matter is required to be disclosed by the terms of this Agreement, nor shall such disclosure be deemed (a) an admission of any breach or violation of any Contract or Legal Requirement, (b) an admission of any liability or obligation to any third party, or (c) to establish a standard of materiality. The disclosure of any items or information that is not required by this Agreement to be so included is solely for informational purposes and the convenience of Parent and Merger Sub or the Company, as applicable. In addition, under no circumstances shall the disclosure of any matter in this Company Disclosure Letter or Parent Disclosure Letter, where a representation or warranty of the Company or Parent, as applicable, is limited or qualified by the materiality of the matters to which the representation or warranty is given or by Company Material Adverse Effect, imply that any other undisclosed matter having a greater value or other significance is material or would have a Company Material Adverse Effect. Neither the Company nor Parent shall be prejudiced in any manner whatsoever, and no presumptions shall be created, by virtue of the disclosure of any matter in the Company Disclosure Letter or Parent Disclosure Letter, as applicable, which otherwise is not required to be disclosed by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40"/>
          </w:cols>
          <w:pgMar w:left="320" w:top="1440" w:right="339" w:bottom="1440" w:gutter="0" w:footer="0" w:header="0"/>
        </w:sectPr>
      </w:pPr>
    </w:p>
    <w:bookmarkStart w:id="491" w:name="page492"/>
    <w:bookmarkEnd w:id="49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date first written above.</w:t>
      </w:r>
    </w:p>
    <w:p>
      <w:pPr>
        <w:spacing w:after="0" w:line="2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CM LIFE SCIENCES, INC.</w:t>
      </w:r>
    </w:p>
    <w:p>
      <w:pPr>
        <w:spacing w:after="0" w:line="337"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0"/>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r>
        <w:trPr>
          <w:trHeight w:val="540"/>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54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Eli Casdin</w:t>
            </w:r>
          </w:p>
        </w:tc>
      </w:tr>
      <w:tr>
        <w:trPr>
          <w:trHeight w:val="41"/>
        </w:trPr>
        <w:tc>
          <w:tcPr>
            <w:tcW w:w="560" w:type="dxa"/>
            <w:vAlign w:val="bottom"/>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r>
      <w:tr>
        <w:trPr>
          <w:trHeight w:val="224"/>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Eli Casdin</w:t>
            </w:r>
          </w:p>
        </w:tc>
      </w:tr>
      <w:tr>
        <w:trPr>
          <w:trHeight w:val="256"/>
        </w:trPr>
        <w:tc>
          <w:tcPr>
            <w:tcW w:w="560" w:type="dxa"/>
            <w:vAlign w:val="bottom"/>
          </w:tcPr>
          <w:p>
            <w:pPr>
              <w:spacing w:after="0"/>
              <w:rPr>
                <w:sz w:val="22"/>
                <w:szCs w:val="22"/>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20"/>
        <w:spacing w:after="0"/>
        <w:rPr>
          <w:sz w:val="20"/>
          <w:szCs w:val="20"/>
          <w:color w:val="auto"/>
        </w:rPr>
      </w:pPr>
      <w:r>
        <w:rPr>
          <w:rFonts w:ascii="Arial" w:cs="Arial" w:eastAsia="Arial" w:hAnsi="Arial"/>
          <w:sz w:val="14"/>
          <w:szCs w:val="14"/>
          <w:color w:val="auto"/>
        </w:rPr>
        <w:t>[SIGNATURE PAGE TO AGREEMENT AND PLAN OF MERGER]</w:t>
      </w:r>
    </w:p>
    <w:p>
      <w:pPr>
        <w:sectPr>
          <w:pgSz w:w="11900" w:h="16838" w:orient="portrait"/>
          <w:cols w:equalWidth="0" w:num="1">
            <w:col w:w="10900"/>
          </w:cols>
          <w:pgMar w:left="660" w:top="1440"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A-62</w:t>
      </w:r>
    </w:p>
    <w:p>
      <w:pPr>
        <w:sectPr>
          <w:pgSz w:w="11900" w:h="16838" w:orient="portrait"/>
          <w:cols w:equalWidth="0" w:num="1">
            <w:col w:w="10900"/>
          </w:cols>
          <w:pgMar w:left="660" w:top="1440" w:right="339" w:bottom="1440" w:gutter="0" w:footer="0" w:header="0"/>
          <w:type w:val="continuous"/>
        </w:sectPr>
      </w:pPr>
    </w:p>
    <w:bookmarkStart w:id="492" w:name="page493"/>
    <w:bookmarkEnd w:id="492"/>
    <w:p>
      <w:pPr>
        <w:spacing w:after="0" w:line="18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MOUNT SINAI GENOMICS, INC.</w:t>
      </w:r>
    </w:p>
    <w:p>
      <w:pPr>
        <w:spacing w:after="0" w:line="256" w:lineRule="exact"/>
        <w:rPr>
          <w:sz w:val="20"/>
          <w:szCs w:val="20"/>
          <w:color w:val="auto"/>
        </w:rPr>
      </w:pPr>
    </w:p>
    <w:tbl>
      <w:tblPr>
        <w:tblLayout w:type="fixed"/>
        <w:tblInd w:w="53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Schadt</w:t>
            </w:r>
          </w:p>
        </w:tc>
      </w:tr>
      <w:tr>
        <w:trPr>
          <w:trHeight w:val="222"/>
        </w:trPr>
        <w:tc>
          <w:tcPr>
            <w:tcW w:w="5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Name: Dr. Eric Schadt</w:t>
            </w:r>
          </w:p>
        </w:tc>
      </w:tr>
      <w:tr>
        <w:trPr>
          <w:trHeight w:val="230"/>
        </w:trPr>
        <w:tc>
          <w:tcPr>
            <w:tcW w:w="5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39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0120"/>
          </w:cols>
          <w:pgMar w:left="1440" w:top="1440" w:right="339" w:bottom="1440" w:gutter="0" w:footer="0" w:header="0"/>
        </w:sectPr>
      </w:pPr>
    </w:p>
    <w:bookmarkStart w:id="493" w:name="page494"/>
    <w:bookmarkEnd w:id="49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Terms defined in this Agreement are organized alphabetically as follows, together with the Section and, where applicable, paragraph, number in which definition of each such term is located:</w:t>
      </w:r>
    </w:p>
    <w:p>
      <w:pPr>
        <w:sectPr>
          <w:pgSz w:w="11900" w:h="16838" w:orient="portrait"/>
          <w:cols w:equalWidth="0" w:num="1">
            <w:col w:w="11220"/>
          </w:cols>
          <w:pgMar w:left="320" w:top="1440" w:right="359" w:bottom="1440" w:gutter="0" w:footer="0" w:header="0"/>
        </w:sectPr>
      </w:pPr>
    </w:p>
    <w:bookmarkStart w:id="494" w:name="page495"/>
    <w:bookmarkEnd w:id="494"/>
    <w:p>
      <w:pPr>
        <w:spacing w:after="0" w:line="8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“A&amp;R Registration Rights Agreement”</w:t>
      </w:r>
      <w:r>
        <w:rPr>
          <w:sz w:val="20"/>
          <w:szCs w:val="20"/>
          <w:color w:val="auto"/>
        </w:rPr>
        <w:tab/>
      </w:r>
      <w:r>
        <w:rPr>
          <w:rFonts w:ascii="Arial" w:cs="Arial" w:eastAsia="Arial" w:hAnsi="Arial"/>
          <w:sz w:val="16"/>
          <w:szCs w:val="16"/>
          <w:color w:val="auto"/>
        </w:rPr>
        <w:t>Recitals</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“Acceleration Event”</w:t>
      </w:r>
      <w:r>
        <w:rPr>
          <w:sz w:val="20"/>
          <w:szCs w:val="20"/>
          <w:color w:val="auto"/>
        </w:rPr>
        <w:tab/>
      </w:r>
      <w:r>
        <w:rPr>
          <w:rFonts w:ascii="Arial" w:cs="Arial" w:eastAsia="Arial" w:hAnsi="Arial"/>
          <w:sz w:val="15"/>
          <w:szCs w:val="15"/>
          <w:color w:val="auto"/>
        </w:rPr>
        <w:t>Section 3.2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“Additional Parent SEC Reports”</w:t>
      </w:r>
      <w:r>
        <w:rPr>
          <w:sz w:val="20"/>
          <w:szCs w:val="20"/>
          <w:color w:val="auto"/>
        </w:rPr>
        <w:tab/>
      </w:r>
      <w:r>
        <w:rPr>
          <w:rFonts w:ascii="Arial" w:cs="Arial" w:eastAsia="Arial" w:hAnsi="Arial"/>
          <w:sz w:val="16"/>
          <w:szCs w:val="16"/>
          <w:color w:val="auto"/>
        </w:rPr>
        <w:t>Section 5.7(a)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6"/>
          <w:szCs w:val="16"/>
          <w:color w:val="auto"/>
        </w:rPr>
        <w:t>“Affiliate”</w:t>
      </w:r>
      <w:r>
        <w:rPr>
          <w:sz w:val="20"/>
          <w:szCs w:val="20"/>
          <w:color w:val="auto"/>
        </w:rPr>
        <w:tab/>
      </w:r>
      <w:r>
        <w:rPr>
          <w:rFonts w:ascii="Arial" w:cs="Arial" w:eastAsia="Arial" w:hAnsi="Arial"/>
          <w:sz w:val="16"/>
          <w:szCs w:val="16"/>
          <w:color w:val="auto"/>
        </w:rPr>
        <w:t>Schedule A, Section 1.2</w:t>
      </w:r>
    </w:p>
    <w:p>
      <w:pPr>
        <w:spacing w:after="0" w:line="24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“Agreement”</w:t>
      </w:r>
      <w:r>
        <w:rPr>
          <w:sz w:val="20"/>
          <w:szCs w:val="20"/>
          <w:color w:val="auto"/>
        </w:rPr>
        <w:tab/>
      </w:r>
      <w:r>
        <w:rPr>
          <w:rFonts w:ascii="Arial" w:cs="Arial" w:eastAsia="Arial" w:hAnsi="Arial"/>
          <w:sz w:val="18"/>
          <w:szCs w:val="18"/>
          <w:color w:val="auto"/>
        </w:rPr>
        <w:t>Preamble</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“Antitrust Laws”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“Applicable Legal Requirements”</w:t>
      </w:r>
      <w:r>
        <w:rPr>
          <w:sz w:val="20"/>
          <w:szCs w:val="20"/>
          <w:color w:val="auto"/>
        </w:rPr>
        <w:tab/>
      </w:r>
      <w:r>
        <w:rPr>
          <w:rFonts w:ascii="Arial" w:cs="Arial" w:eastAsia="Arial" w:hAnsi="Arial"/>
          <w:sz w:val="16"/>
          <w:szCs w:val="16"/>
          <w:color w:val="auto"/>
        </w:rPr>
        <w:t>Recitals</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“Approvals”</w:t>
      </w:r>
      <w:r>
        <w:rPr>
          <w:sz w:val="20"/>
          <w:szCs w:val="20"/>
          <w:color w:val="auto"/>
        </w:rPr>
        <w:tab/>
      </w:r>
      <w:r>
        <w:rPr>
          <w:rFonts w:ascii="Arial" w:cs="Arial" w:eastAsia="Arial" w:hAnsi="Arial"/>
          <w:sz w:val="18"/>
          <w:szCs w:val="18"/>
          <w:color w:val="auto"/>
        </w:rPr>
        <w:t>Section 4.6(b)</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“Audited Financial Statements”</w:t>
      </w:r>
      <w:r>
        <w:rPr>
          <w:sz w:val="20"/>
          <w:szCs w:val="20"/>
          <w:color w:val="auto"/>
        </w:rPr>
        <w:tab/>
      </w:r>
      <w:r>
        <w:rPr>
          <w:rFonts w:ascii="Arial" w:cs="Arial" w:eastAsia="Arial" w:hAnsi="Arial"/>
          <w:sz w:val="16"/>
          <w:szCs w:val="16"/>
          <w:color w:val="auto"/>
        </w:rPr>
        <w:t>Section 4.8(a)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“Base Value”</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“Business Day”</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“Cash Pro Rata Share”</w:t>
      </w:r>
      <w:r>
        <w:rPr>
          <w:sz w:val="20"/>
          <w:szCs w:val="20"/>
          <w:color w:val="auto"/>
        </w:rPr>
        <w:tab/>
      </w:r>
      <w:r>
        <w:rPr>
          <w:rFonts w:ascii="Arial" w:cs="Arial" w:eastAsia="Arial" w:hAnsi="Arial"/>
          <w:sz w:val="16"/>
          <w:szCs w:val="16"/>
          <w:color w:val="auto"/>
        </w:rPr>
        <w:t>Schedule 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“Certificate”</w:t>
      </w:r>
      <w:r>
        <w:rPr>
          <w:sz w:val="20"/>
          <w:szCs w:val="20"/>
          <w:color w:val="auto"/>
        </w:rPr>
        <w:tab/>
      </w:r>
      <w:r>
        <w:rPr>
          <w:rFonts w:ascii="Arial" w:cs="Arial" w:eastAsia="Arial" w:hAnsi="Arial"/>
          <w:sz w:val="18"/>
          <w:szCs w:val="18"/>
          <w:color w:val="auto"/>
        </w:rPr>
        <w:t>Section 2.7(a)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“Certificate of Merger”</w:t>
      </w:r>
      <w:r>
        <w:rPr>
          <w:sz w:val="20"/>
          <w:szCs w:val="20"/>
          <w:color w:val="auto"/>
        </w:rPr>
        <w:tab/>
      </w:r>
      <w:r>
        <w:rPr>
          <w:rFonts w:ascii="Arial" w:cs="Arial" w:eastAsia="Arial" w:hAnsi="Arial"/>
          <w:sz w:val="16"/>
          <w:szCs w:val="16"/>
          <w:color w:val="auto"/>
        </w:rPr>
        <w:t>Section 1.4(c)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“Certifications”</w:t>
      </w:r>
      <w:r>
        <w:rPr>
          <w:sz w:val="20"/>
          <w:szCs w:val="20"/>
          <w:color w:val="auto"/>
        </w:rPr>
        <w:tab/>
      </w:r>
      <w:r>
        <w:rPr>
          <w:rFonts w:ascii="Arial" w:cs="Arial" w:eastAsia="Arial" w:hAnsi="Arial"/>
          <w:sz w:val="18"/>
          <w:szCs w:val="18"/>
          <w:color w:val="auto"/>
        </w:rPr>
        <w:t>Section 5.7(a)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“Change in Recommendation”</w:t>
      </w:r>
      <w:r>
        <w:rPr>
          <w:sz w:val="20"/>
          <w:szCs w:val="20"/>
          <w:color w:val="auto"/>
        </w:rPr>
        <w:tab/>
      </w:r>
      <w:r>
        <w:rPr>
          <w:rFonts w:ascii="Arial" w:cs="Arial" w:eastAsia="Arial" w:hAnsi="Arial"/>
          <w:sz w:val="16"/>
          <w:szCs w:val="16"/>
          <w:color w:val="auto"/>
        </w:rPr>
        <w:t>Section 7.1(b)</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“Change of Control”</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“Charter Documents”</w:t>
      </w:r>
      <w:r>
        <w:rPr>
          <w:sz w:val="20"/>
          <w:szCs w:val="20"/>
          <w:color w:val="auto"/>
        </w:rPr>
        <w:tab/>
      </w:r>
      <w:r>
        <w:rPr>
          <w:rFonts w:ascii="Arial" w:cs="Arial" w:eastAsia="Arial" w:hAnsi="Arial"/>
          <w:sz w:val="15"/>
          <w:szCs w:val="15"/>
          <w:color w:val="auto"/>
        </w:rPr>
        <w:t>Section 4.1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“Class A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“Class B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w:t>
      </w:r>
      <w:r>
        <w:rPr>
          <w:sz w:val="20"/>
          <w:szCs w:val="20"/>
          <w:color w:val="auto"/>
        </w:rPr>
        <w:tab/>
      </w:r>
      <w:r>
        <w:rPr>
          <w:rFonts w:ascii="Arial" w:cs="Arial" w:eastAsia="Arial" w:hAnsi="Arial"/>
          <w:sz w:val="18"/>
          <w:szCs w:val="18"/>
          <w:color w:val="auto"/>
        </w:rPr>
        <w:t>Section 1.1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Cash Payment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Consideration”</w:t>
      </w:r>
      <w:r>
        <w:rPr>
          <w:sz w:val="20"/>
          <w:szCs w:val="20"/>
          <w:color w:val="auto"/>
        </w:rPr>
        <w:tab/>
      </w:r>
      <w:r>
        <w:rPr>
          <w:rFonts w:ascii="Arial" w:cs="Arial" w:eastAsia="Arial" w:hAnsi="Arial"/>
          <w:sz w:val="16"/>
          <w:szCs w:val="16"/>
          <w:color w:val="auto"/>
        </w:rPr>
        <w:t>Section 2.8(a)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Date”</w:t>
      </w:r>
      <w:r>
        <w:rPr>
          <w:sz w:val="20"/>
          <w:szCs w:val="20"/>
          <w:color w:val="auto"/>
        </w:rPr>
        <w:tab/>
      </w:r>
      <w:r>
        <w:rPr>
          <w:rFonts w:ascii="Arial" w:cs="Arial" w:eastAsia="Arial" w:hAnsi="Arial"/>
          <w:sz w:val="15"/>
          <w:szCs w:val="15"/>
          <w:color w:val="auto"/>
        </w:rPr>
        <w:t>Section 1.1</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Form 8-K”</w:t>
      </w:r>
      <w:r>
        <w:rPr>
          <w:sz w:val="20"/>
          <w:szCs w:val="20"/>
          <w:color w:val="auto"/>
        </w:rPr>
        <w:tab/>
      </w:r>
      <w:r>
        <w:rPr>
          <w:rFonts w:ascii="Arial" w:cs="Arial" w:eastAsia="Arial" w:hAnsi="Arial"/>
          <w:sz w:val="16"/>
          <w:szCs w:val="16"/>
          <w:color w:val="auto"/>
        </w:rPr>
        <w:t>Section 7.3(c)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Merger Consideration”</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Number of Securities”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Press Release”</w:t>
      </w:r>
      <w:r>
        <w:rPr>
          <w:sz w:val="20"/>
          <w:szCs w:val="20"/>
          <w:color w:val="auto"/>
        </w:rPr>
        <w:tab/>
      </w:r>
      <w:r>
        <w:rPr>
          <w:rFonts w:ascii="Arial" w:cs="Arial" w:eastAsia="Arial" w:hAnsi="Arial"/>
          <w:sz w:val="16"/>
          <w:szCs w:val="16"/>
          <w:color w:val="auto"/>
        </w:rPr>
        <w:t>Section 7.3(c)</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“Closing Securities Payment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6"/>
          <w:szCs w:val="16"/>
          <w:color w:val="auto"/>
        </w:rPr>
        <w:t>“Code”</w:t>
      </w:r>
      <w:r>
        <w:rPr>
          <w:sz w:val="20"/>
          <w:szCs w:val="20"/>
          <w:color w:val="auto"/>
        </w:rPr>
        <w:tab/>
      </w:r>
      <w:r>
        <w:rPr>
          <w:rFonts w:ascii="Arial" w:cs="Arial" w:eastAsia="Arial" w:hAnsi="Arial"/>
          <w:sz w:val="16"/>
          <w:szCs w:val="16"/>
          <w:color w:val="auto"/>
        </w:rPr>
        <w:t>Schedule A, Section 1.2</w:t>
      </w:r>
    </w:p>
    <w:p>
      <w:pPr>
        <w:spacing w:after="0" w:line="248"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“Common Share Price”</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Preamble</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Benefit Plan”</w:t>
      </w:r>
      <w:r>
        <w:rPr>
          <w:sz w:val="20"/>
          <w:szCs w:val="20"/>
          <w:color w:val="auto"/>
        </w:rPr>
        <w:tab/>
      </w:r>
      <w:r>
        <w:rPr>
          <w:rFonts w:ascii="Arial" w:cs="Arial" w:eastAsia="Arial" w:hAnsi="Arial"/>
          <w:sz w:val="16"/>
          <w:szCs w:val="16"/>
          <w:color w:val="auto"/>
        </w:rPr>
        <w:t>Section 4.12(a)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Business Combination”</w:t>
      </w:r>
      <w:r>
        <w:rPr>
          <w:sz w:val="20"/>
          <w:szCs w:val="20"/>
          <w:color w:val="auto"/>
        </w:rPr>
        <w:tab/>
      </w:r>
      <w:r>
        <w:rPr>
          <w:rFonts w:ascii="Arial" w:cs="Arial" w:eastAsia="Arial" w:hAnsi="Arial"/>
          <w:sz w:val="16"/>
          <w:szCs w:val="16"/>
          <w:color w:val="auto"/>
        </w:rPr>
        <w:t>Section 7.10(a)</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Common Stock”</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spacing w:after="0"/>
        <w:tabs>
          <w:tab w:leader="none" w:pos="6700" w:val="left"/>
        </w:tabs>
        <w:rPr>
          <w:sz w:val="20"/>
          <w:szCs w:val="20"/>
          <w:color w:val="auto"/>
        </w:rPr>
      </w:pPr>
      <w:r>
        <w:rPr>
          <w:rFonts w:ascii="Arial" w:cs="Arial" w:eastAsia="Arial" w:hAnsi="Arial"/>
          <w:sz w:val="18"/>
          <w:szCs w:val="18"/>
          <w:color w:val="auto"/>
        </w:rPr>
        <w:t>“Company Disclosure Letter”</w:t>
      </w:r>
      <w:r>
        <w:rPr>
          <w:sz w:val="20"/>
          <w:szCs w:val="20"/>
          <w:color w:val="auto"/>
        </w:rPr>
        <w:tab/>
      </w:r>
      <w:r>
        <w:rPr>
          <w:rFonts w:ascii="Arial" w:cs="Arial" w:eastAsia="Arial" w:hAnsi="Arial"/>
          <w:sz w:val="16"/>
          <w:szCs w:val="16"/>
          <w:color w:val="auto"/>
        </w:rPr>
        <w:t>Article IV, Preamble</w:t>
      </w:r>
    </w:p>
    <w:p>
      <w:pPr>
        <w:sectPr>
          <w:pgSz w:w="11900" w:h="16923" w:orient="portrait"/>
          <w:cols w:equalWidth="0" w:num="1">
            <w:col w:w="10119"/>
          </w:cols>
          <w:pgMar w:left="340" w:top="17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A-64</w:t>
      </w:r>
    </w:p>
    <w:p>
      <w:pPr>
        <w:sectPr>
          <w:pgSz w:w="11900" w:h="16923" w:orient="portrait"/>
          <w:cols w:equalWidth="0" w:num="1">
            <w:col w:w="10119"/>
          </w:cols>
          <w:pgMar w:left="340" w:top="179" w:right="1440" w:bottom="0" w:gutter="0" w:footer="0" w:header="0"/>
          <w:type w:val="continuous"/>
        </w:sectPr>
      </w:pPr>
    </w:p>
    <w:bookmarkStart w:id="495" w:name="page496"/>
    <w:bookmarkEnd w:id="4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6" w:name="page497"/>
    <w:bookmarkEnd w:id="496"/>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Organizational Documents”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Adverse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Material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Stockholder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“Company’s Required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“Continental”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“Copyright”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“Current Government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Indemnified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“D&amp;O Tail”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Pro Rata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“Equity Financing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Fund”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“Excluded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“Fully Diluted Company Shares”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4.20(a)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7.12(b)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Definition of Specified Business Conduct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2.8(c)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2.7(d)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Section 1.2</w:t>
      </w:r>
    </w:p>
    <w:p>
      <w:pPr>
        <w:sectPr>
          <w:pgSz w:w="11900" w:h="16838" w:orient="portrait"/>
          <w:cols w:equalWidth="0" w:num="2">
            <w:col w:w="6000" w:space="720"/>
            <w:col w:w="3420"/>
          </w:cols>
          <w:pgMar w:left="340" w:top="1440" w:right="1419" w:bottom="0" w:gutter="0" w:footer="0" w:header="0"/>
        </w:sectPr>
      </w:pPr>
    </w:p>
    <w:bookmarkStart w:id="497" w:name="page498"/>
    <w:bookmarkEnd w:id="497"/>
    <w:p>
      <w:pPr>
        <w:spacing w:after="0"/>
        <w:rPr>
          <w:sz w:val="20"/>
          <w:szCs w:val="20"/>
          <w:color w:val="auto"/>
        </w:rPr>
      </w:pPr>
      <w:r>
        <w:rPr>
          <w:rFonts w:ascii="Arial" w:cs="Arial" w:eastAsia="Arial" w:hAnsi="Arial"/>
          <w:sz w:val="16"/>
          <w:szCs w:val="16"/>
          <w:color w:val="auto"/>
        </w:rPr>
        <w:t>“Fundamental Representations”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“Governmental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“Government Grants”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22"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A-65</w:t>
      </w:r>
    </w:p>
    <w:p>
      <w:pPr>
        <w:sectPr>
          <w:pgSz w:w="11900" w:h="16838" w:orient="portrait"/>
          <w:cols w:equalWidth="0" w:num="1">
            <w:col w:w="10119"/>
          </w:cols>
          <w:pgMar w:left="340" w:top="179" w:right="1440" w:bottom="1440" w:gutter="0" w:footer="0" w:header="0"/>
          <w:type w:val="continuous"/>
        </w:sectPr>
      </w:pPr>
    </w:p>
    <w:bookmarkStart w:id="498" w:name="page499"/>
    <w:bookmarkEnd w:id="498"/>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“Group Companies’ Privacy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“HSR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“Insider”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“Intended Tax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“Leased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“LTIP”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“Material Current Government Contract”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“Outside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A&amp;R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A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Class B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Group”</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4.19(a)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4.5(b)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4.21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4.8(a)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4.14(b)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9.1(b)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ectPr>
          <w:pgSz w:w="11900" w:h="16838" w:orient="portrait"/>
          <w:cols w:equalWidth="0" w:num="2">
            <w:col w:w="6000" w:space="720"/>
            <w:col w:w="3399"/>
          </w:cols>
          <w:pgMar w:left="340" w:top="1440" w:right="1440" w:bottom="0" w:gutter="0" w:footer="0" w:header="0"/>
        </w:sectPr>
      </w:pPr>
    </w:p>
    <w:bookmarkStart w:id="499" w:name="page500"/>
    <w:bookmarkEnd w:id="499"/>
    <w:p>
      <w:pPr>
        <w:spacing w:after="0"/>
        <w:rPr>
          <w:sz w:val="20"/>
          <w:szCs w:val="20"/>
          <w:color w:val="auto"/>
        </w:rPr>
      </w:pPr>
      <w:r>
        <w:rPr>
          <w:rFonts w:ascii="Arial" w:cs="Arial" w:eastAsia="Arial" w:hAnsi="Arial"/>
          <w:sz w:val="17"/>
          <w:szCs w:val="17"/>
          <w:color w:val="auto"/>
        </w:rPr>
        <w:t>“Parent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11.15</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Adverse Effect”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Material Contracts”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Section 5.11</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“Parent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2.12(a)</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“Parent Organizational Documents”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“Parent Privileged Communications”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11.15</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A-66</w:t>
      </w:r>
    </w:p>
    <w:p>
      <w:pPr>
        <w:sectPr>
          <w:pgSz w:w="11900" w:h="16838" w:orient="portrait"/>
          <w:cols w:equalWidth="0" w:num="1">
            <w:col w:w="10119"/>
          </w:cols>
          <w:pgMar w:left="340" w:top="179" w:right="1440" w:bottom="1440" w:gutter="0" w:footer="0" w:header="0"/>
          <w:type w:val="continuous"/>
        </w:sectPr>
      </w:pPr>
    </w:p>
    <w:bookmarkStart w:id="500" w:name="page501"/>
    <w:bookmarkEnd w:id="500"/>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“Parent Recommendation”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Stockholder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Transaction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Waiving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“PCAOB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“Permitted Lien”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Placement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Clearance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“Remedies Exception”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“Specified Business Conduct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Consent and Joinder”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 Group”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“Stockholder Privileged Communications”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“Surrender Documentation”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 Return”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Preamble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7.1(a)(ii)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7.1(a)(i)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5.3(a)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7.7(a)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7.10(a)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7.1(b)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Section 2.8(d)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ectPr>
          <w:pgSz w:w="11900" w:h="16838" w:orient="portrait"/>
          <w:cols w:equalWidth="0" w:num="2">
            <w:col w:w="6000" w:space="720"/>
            <w:col w:w="3399"/>
          </w:cols>
          <w:pgMar w:left="340" w:top="1440" w:right="1440" w:bottom="0" w:gutter="0" w:footer="0" w:header="0"/>
        </w:sectPr>
      </w:pPr>
    </w:p>
    <w:bookmarkStart w:id="501" w:name="page502"/>
    <w:bookmarkEnd w:id="501"/>
    <w:p>
      <w:pPr>
        <w:spacing w:after="0"/>
        <w:rPr>
          <w:sz w:val="20"/>
          <w:szCs w:val="20"/>
          <w:color w:val="auto"/>
        </w:rPr>
      </w:pPr>
      <w:r>
        <w:rPr>
          <w:rFonts w:ascii="Arial" w:cs="Arial" w:eastAsia="Arial" w:hAnsi="Arial"/>
          <w:sz w:val="16"/>
          <w:szCs w:val="16"/>
          <w:color w:val="auto"/>
        </w:rPr>
        <w:t>“Tax/Taxes”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“Top Customer”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“Top Supplier”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4.28</w:t>
      </w:r>
    </w:p>
    <w:p>
      <w:pPr>
        <w:spacing w:after="0" w:line="211"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“Total Consideration”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Section 2.6(a)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Agreements”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Schedule A, Section 1.2</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“Transaction Tax Benefits”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Section 7.15(a)</w:t>
      </w:r>
    </w:p>
    <w:p>
      <w:pPr>
        <w:spacing w:after="0" w:line="200" w:lineRule="exact"/>
        <w:rPr>
          <w:sz w:val="20"/>
          <w:szCs w:val="20"/>
          <w:color w:val="auto"/>
        </w:rPr>
      </w:pPr>
    </w:p>
    <w:p>
      <w:pPr>
        <w:sectPr>
          <w:pgSz w:w="11900" w:h="16838" w:orient="portrait"/>
          <w:cols w:equalWidth="0" w:num="2">
            <w:col w:w="6000" w:space="720"/>
            <w:col w:w="3399"/>
          </w:cols>
          <w:pgMar w:left="34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A-67</w:t>
      </w:r>
    </w:p>
    <w:p>
      <w:pPr>
        <w:sectPr>
          <w:pgSz w:w="11900" w:h="16838" w:orient="portrait"/>
          <w:cols w:equalWidth="0" w:num="1">
            <w:col w:w="10119"/>
          </w:cols>
          <w:pgMar w:left="340" w:top="179" w:right="1440" w:bottom="1440" w:gutter="0" w:footer="0" w:header="0"/>
          <w:type w:val="continuous"/>
        </w:sectPr>
      </w:pPr>
    </w:p>
    <w:bookmarkStart w:id="502" w:name="page503"/>
    <w:bookmarkEnd w:id="502"/>
    <w:p>
      <w:pPr>
        <w:spacing w:after="0" w:line="197"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 Tax Deductions”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“Transactions”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“Trademarks”</w:t>
      </w:r>
      <w:r>
        <w:rPr>
          <w:sz w:val="20"/>
          <w:szCs w:val="20"/>
          <w:color w:val="auto"/>
        </w:rPr>
        <w:tab/>
      </w:r>
      <w:r>
        <w:rPr>
          <w:rFonts w:ascii="Arial" w:cs="Arial" w:eastAsia="Arial" w:hAnsi="Arial"/>
          <w:sz w:val="18"/>
          <w:szCs w:val="18"/>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“Trade Secrets”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“Treasury Regulations”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III”</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 IV”</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“Triggering Events”</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Agreement”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Account”</w:t>
      </w:r>
      <w:r>
        <w:rPr>
          <w:sz w:val="20"/>
          <w:szCs w:val="20"/>
          <w:color w:val="auto"/>
        </w:rPr>
        <w:tab/>
      </w:r>
      <w:r>
        <w:rPr>
          <w:rFonts w:ascii="Arial" w:cs="Arial" w:eastAsia="Arial" w:hAnsi="Arial"/>
          <w:sz w:val="16"/>
          <w:szCs w:val="16"/>
          <w:color w:val="auto"/>
        </w:rPr>
        <w:t>Section 5.14(a)</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“Trust Termination Letter”</w:t>
      </w:r>
      <w:r>
        <w:rPr>
          <w:sz w:val="20"/>
          <w:szCs w:val="20"/>
          <w:color w:val="auto"/>
        </w:rPr>
        <w:tab/>
      </w:r>
      <w:r>
        <w:rPr>
          <w:rFonts w:ascii="Arial" w:cs="Arial" w:eastAsia="Arial" w:hAnsi="Arial"/>
          <w:sz w:val="15"/>
          <w:szCs w:val="15"/>
          <w:color w:val="auto"/>
        </w:rPr>
        <w:t>Section 7.5</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“Upper Band Amount”</w:t>
      </w:r>
      <w:r>
        <w:rPr>
          <w:sz w:val="20"/>
          <w:szCs w:val="20"/>
          <w:color w:val="auto"/>
        </w:rPr>
        <w:tab/>
      </w:r>
      <w:r>
        <w:rPr>
          <w:rFonts w:ascii="Arial" w:cs="Arial" w:eastAsia="Arial" w:hAnsi="Arial"/>
          <w:sz w:val="16"/>
          <w:szCs w:val="16"/>
          <w:color w:val="auto"/>
        </w:rPr>
        <w:t>Schedule A, Section 1.2</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“WARN”</w:t>
      </w:r>
      <w:r>
        <w:rPr>
          <w:sz w:val="20"/>
          <w:szCs w:val="20"/>
          <w:color w:val="auto"/>
        </w:rPr>
        <w:tab/>
      </w:r>
      <w:r>
        <w:rPr>
          <w:rFonts w:ascii="Arial" w:cs="Arial" w:eastAsia="Arial" w:hAnsi="Arial"/>
          <w:sz w:val="18"/>
          <w:szCs w:val="18"/>
          <w:color w:val="auto"/>
        </w:rPr>
        <w:t>Section 4.13(e)</w:t>
      </w:r>
    </w:p>
    <w:p>
      <w:pPr>
        <w:spacing w:after="0" w:line="225"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“Within the Band Amount”</w:t>
      </w:r>
      <w:r>
        <w:rPr>
          <w:sz w:val="20"/>
          <w:szCs w:val="20"/>
          <w:color w:val="auto"/>
        </w:rPr>
        <w:tab/>
      </w:r>
      <w:r>
        <w:rPr>
          <w:rFonts w:ascii="Arial" w:cs="Arial" w:eastAsia="Arial" w:hAnsi="Arial"/>
          <w:sz w:val="16"/>
          <w:szCs w:val="16"/>
          <w:color w:val="auto"/>
        </w:rPr>
        <w:t>Schedule A, Section 1.2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Additional Terms</w:t>
      </w:r>
      <w:r>
        <w:rPr>
          <w:rFonts w:ascii="Arial" w:cs="Arial" w:eastAsia="Arial" w:hAnsi="Arial"/>
          <w:sz w:val="18"/>
          <w:szCs w:val="18"/>
          <w:color w:val="auto"/>
        </w:rPr>
        <w:t>. For purposes of this Agreement, the following capitalized terms have the following meanings: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Notwithstanding the foregoing, the Parties acknowledge and agree that neither ISMMS nor any other MSHS Entity shall be deemed to be an Affiliate of a Group Company for any purpose in this Agreement.</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Company Share Amount</w:t>
      </w:r>
      <w:r>
        <w:rPr>
          <w:rFonts w:ascii="Arial" w:cs="Arial" w:eastAsia="Arial" w:hAnsi="Arial"/>
          <w:sz w:val="17"/>
          <w:szCs w:val="17"/>
          <w:color w:val="auto"/>
        </w:rPr>
        <w:t xml:space="preserve">” shall mean the sum, without duplication, of (a) the aggregate number of shares of Company Common Stock that are issued and outstanding immediately prior to the Effective Time, (b) the aggregate number of shares of Company Common Stock that are issuable upon the exercise of Company Options or vesting of Company RSUs or other direct or indirect rights to acquire shares of Company Common Stock that are issued and outstanding immediately prior to the Effective Time (and in the case of Company SARs, the aggregate number of shares of Company Common Stock on which the value of such Company SARs is based), in each case calculated on a treasury stock basis and after giving effect to the conversion of the Class B Common Stock pursuant to the Mandatory Conversion Notice under the Company Organizational Documents, and (c) the aggregate number of shares of Company Common Stock that would be issuable upon the conversion all shares of Company Preferred Stock into shares of Company Common Stock pursuant to the Company Organizational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the Earnout RSUs shall be disregarded for the purpose of the Aggregate Company Share Amount.</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shall mean the HSR Act and any federal, state or foreign law, regulation or decree designed to prohibit, restrict or regulate actions for the purpose or effect of monopolization or restraint of trade or the significant impediment of effective competition, including merger control procedures.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Value</w:t>
      </w:r>
      <w:r>
        <w:rPr>
          <w:rFonts w:ascii="Arial" w:cs="Arial" w:eastAsia="Arial" w:hAnsi="Arial"/>
          <w:sz w:val="18"/>
          <w:szCs w:val="18"/>
          <w:color w:val="auto"/>
        </w:rPr>
        <w:t>” shall mean an amount equal to $2,000,000,000.00.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other day on which commercial banks in New York, New York are authorized or required by Legal Requirements to close.</w:t>
      </w:r>
    </w:p>
    <w:p>
      <w:pPr>
        <w:sectPr>
          <w:pgSz w:w="11900" w:h="16838" w:orient="portrait"/>
          <w:cols w:equalWidth="0" w:num="1">
            <w:col w:w="11240"/>
          </w:cols>
          <w:pgMar w:left="320" w:top="1440" w:right="339" w:bottom="6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A-68</w:t>
      </w:r>
    </w:p>
    <w:p>
      <w:pPr>
        <w:sectPr>
          <w:pgSz w:w="11900" w:h="16838" w:orient="portrait"/>
          <w:cols w:equalWidth="0" w:num="1">
            <w:col w:w="11240"/>
          </w:cols>
          <w:pgMar w:left="320" w:top="1440" w:right="339" w:bottom="685" w:gutter="0" w:footer="0" w:header="0"/>
          <w:type w:val="continuous"/>
        </w:sectPr>
      </w:pPr>
    </w:p>
    <w:bookmarkStart w:id="503" w:name="page504"/>
    <w:bookmarkEnd w:id="503"/>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Cap</w:t>
      </w:r>
      <w:r>
        <w:rPr>
          <w:rFonts w:ascii="Arial" w:cs="Arial" w:eastAsia="Arial" w:hAnsi="Arial"/>
          <w:sz w:val="18"/>
          <w:szCs w:val="18"/>
          <w:color w:val="auto"/>
        </w:rPr>
        <w:t xml:space="preserve">” means the amount, if any, specified by such Company Stockholder in its Cash Election as the maximum amount of Closing Available Cash elected by such Company Stockholder;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amount shall not exceed such Company Stockholder’s Cash Pro Rata Share of $343,000,000.</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w:t>
      </w:r>
      <w:r>
        <w:rPr>
          <w:rFonts w:ascii="Arial" w:cs="Arial" w:eastAsia="Arial" w:hAnsi="Arial"/>
          <w:sz w:val="18"/>
          <w:szCs w:val="18"/>
          <w:color w:val="auto"/>
        </w:rPr>
        <w:t>” shall mean an affirmative election by a Company Stockholder to receive its Cash Pro Rata Share of the Closing Available Cash and, if applicable, Cash Pro Rata Share Excess Amount of the Closing Available Excess Cash, in a form acceptable to the Company, duly executed by the Company Stockholder and delivered to the Company on or before the fifth (5</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Effective Time. For clarity, a Company Stockholder’s Cash Election may be set forth in its duly executed Stockholder Consent and Joinder, but may also be in such other form as the Company deems acceptable.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Pro Rata Share</w:t>
      </w:r>
      <w:r>
        <w:rPr>
          <w:rFonts w:ascii="Arial" w:cs="Arial" w:eastAsia="Arial" w:hAnsi="Arial"/>
          <w:sz w:val="17"/>
          <w:szCs w:val="17"/>
          <w:color w:val="auto"/>
        </w:rPr>
        <w:t>” shall mean, for each Company Stockholder that has submitted a Cash Election on or before the fifth (5</w:t>
      </w:r>
      <w:r>
        <w:rPr>
          <w:rFonts w:ascii="Arial" w:cs="Arial" w:eastAsia="Arial" w:hAnsi="Arial"/>
          <w:sz w:val="22"/>
          <w:szCs w:val="22"/>
          <w:color w:val="auto"/>
          <w:vertAlign w:val="superscript"/>
        </w:rPr>
        <w:t>th</w:t>
      </w:r>
      <w:r>
        <w:rPr>
          <w:rFonts w:ascii="Arial" w:cs="Arial" w:eastAsia="Arial" w:hAnsi="Arial"/>
          <w:sz w:val="17"/>
          <w:szCs w:val="17"/>
          <w:color w:val="auto"/>
        </w:rPr>
        <w:t>) Business Day prior to the Effective Date, a ratio, (a) the numerator of which is such Company Stockholder’s Total Stockholder Outstanding Shares and (b) the denominator of which is the Total Outstanding Company Shares. The Cash Pro Rata Share of each Company Stockholder that has not submitted a Cash Election and/or has confirmed in writing to the Company that it does not wish to make a Cash Election shall be deemed to be equal to zero (0).</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Amount</w:t>
      </w:r>
      <w:r>
        <w:rPr>
          <w:rFonts w:ascii="Arial" w:cs="Arial" w:eastAsia="Arial" w:hAnsi="Arial"/>
          <w:sz w:val="16"/>
          <w:szCs w:val="16"/>
          <w:color w:val="auto"/>
        </w:rPr>
        <w:t>” shall mean, for each Company Stockholder that has submitted a Cash Election to receive a portion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prior to the Effective Date, a portion of such Closing Available Excess Cash equal to: (a) such Company’s Stockholder’s Cash Pro Rata Share Excess Percentage of the Closing Available Excess Cash or (b) if such Company Stockholder has specified a Cash Cap,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such Company’s Stockholder’s (i) Cash Pro Rata Share Excess Percentage of the Closing Available Excess Cash and</w:t>
      </w:r>
    </w:p>
    <w:p>
      <w:pPr>
        <w:spacing w:after="0" w:line="2" w:lineRule="exact"/>
        <w:rPr>
          <w:sz w:val="20"/>
          <w:szCs w:val="20"/>
          <w:color w:val="auto"/>
        </w:rPr>
      </w:pPr>
    </w:p>
    <w:p>
      <w:pPr>
        <w:jc w:val="both"/>
        <w:ind w:firstLine="8"/>
        <w:spacing w:after="0" w:line="253" w:lineRule="auto"/>
        <w:tabs>
          <w:tab w:leader="none" w:pos="267" w:val="left"/>
        </w:tabs>
        <w:numPr>
          <w:ilvl w:val="0"/>
          <w:numId w:val="365"/>
        </w:numPr>
        <w:rPr>
          <w:rFonts w:ascii="Arial" w:cs="Arial" w:eastAsia="Arial" w:hAnsi="Arial"/>
          <w:sz w:val="18"/>
          <w:szCs w:val="18"/>
          <w:color w:val="auto"/>
        </w:rPr>
      </w:pPr>
      <w:r>
        <w:rPr>
          <w:rFonts w:ascii="Arial" w:cs="Arial" w:eastAsia="Arial" w:hAnsi="Arial"/>
          <w:sz w:val="18"/>
          <w:szCs w:val="18"/>
          <w:color w:val="auto"/>
        </w:rPr>
        <w:t>such amount as would result in the Company Stockholder receiving a portion of all Closing Available Cash equal to such Company Stockholder’s Cash Cap. To the extent a Company Stockholder has specified a Cash Cap, the portion of the Closing Available Excess Cash that would otherwise be distributed to such Company Stockholder in the absence of such Cash Cap shall be treated as Closing Available Cash in computing the Cash Pro Rata Share Excess Amounts of Company Stockholders who have not specified a Cash Cap.</w:t>
      </w:r>
    </w:p>
    <w:p>
      <w:pPr>
        <w:spacing w:after="0" w:line="1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Pro Rata Share Excess Percentage</w:t>
      </w:r>
      <w:r>
        <w:rPr>
          <w:rFonts w:ascii="Arial" w:cs="Arial" w:eastAsia="Arial" w:hAnsi="Arial"/>
          <w:sz w:val="16"/>
          <w:szCs w:val="16"/>
          <w:color w:val="auto"/>
        </w:rPr>
        <w:t>” means the quotient, expressed as a percentage, obtained by dividing (a) the Cash Pro Rata Share of such Company Stockholder by (b) the aggregate Cash Pro Rata Shares of all Company Stockholders that have submitted a Cash Election to receive a Cash Pro Rata Share Excess Amount of the Closing Available Excess Cash on or before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prior to the Effective Date.</w:t>
      </w:r>
    </w:p>
    <w:p>
      <w:pPr>
        <w:spacing w:after="0" w:line="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any transaction or series of transactions the result of which is: (a) the acquisition by any Person or “group” (as defined in the Exchange Act) of Persons of direct or indirect beneficial ownership of securities representing 50% or more of the combined voting power of the then outstanding securities of Parent; (b) a merger, consolidation, reorganization or other business combination, however effected, resulting in any Person or “group” (as defined in the Exchange Act) acquiring at least 50% of the combined voting power of the then outstanding securities of Parent or the surviving Person outstanding immediately after such combination; or (c) a sale of all or substantially all of the assets of Parent.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shares of Class A Common Stock, par value $0.00001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shall mean the shares of Class B Common Stock, par value $0.00001 per share, of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Cash</w:t>
      </w:r>
      <w:r>
        <w:rPr>
          <w:rFonts w:ascii="Arial" w:cs="Arial" w:eastAsia="Arial" w:hAnsi="Arial"/>
          <w:sz w:val="18"/>
          <w:szCs w:val="18"/>
          <w:color w:val="auto"/>
        </w:rPr>
        <w:t xml:space="preserve">” shall mean an amount equal to the excess of (a) the sum of (i) the funds contained in the Trust Account as of the Closing and the Equity Financing Amount received at the Closing, following payment of the Trust Redemption Amount and payment of all Company Transaction Costs and Parent Transaction Costs and (ii) the Company Closing Cash over (b) $500,000,000;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Closing Cash Payment Amount exceed $343,000,000.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Available Excess Cash</w:t>
      </w:r>
      <w:r>
        <w:rPr>
          <w:rFonts w:ascii="Arial" w:cs="Arial" w:eastAsia="Arial" w:hAnsi="Arial"/>
          <w:sz w:val="18"/>
          <w:szCs w:val="18"/>
          <w:color w:val="auto"/>
        </w:rPr>
        <w:t>” means the excess, if any, of (a) the Closing Available Cash over (b) the product of (i) the aggregate Cash Pro Rata Shares of all Company Stockholders that have made a Cash Election multiplied by (ii) the Closing Available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 Amount</w:t>
      </w:r>
      <w:r>
        <w:rPr>
          <w:rFonts w:ascii="Arial" w:cs="Arial" w:eastAsia="Arial" w:hAnsi="Arial"/>
          <w:sz w:val="18"/>
          <w:szCs w:val="18"/>
          <w:color w:val="auto"/>
        </w:rPr>
        <w:t>” shall mean the aggregate amount of the Closing Available Cash payable to Company Stockholders that have made Cash Elections.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shall mean an amount equal to the Base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Number of Securities</w:t>
      </w:r>
      <w:r>
        <w:rPr>
          <w:rFonts w:ascii="Arial" w:cs="Arial" w:eastAsia="Arial" w:hAnsi="Arial"/>
          <w:sz w:val="18"/>
          <w:szCs w:val="18"/>
          <w:color w:val="auto"/>
        </w:rPr>
        <w:t xml:space="preserve">” shall mean the number of shares of Parent Class A Stock equal to the quotient of (a) the Closing Securities Payment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Securities Payment Amount</w:t>
      </w:r>
      <w:r>
        <w:rPr>
          <w:rFonts w:ascii="Arial" w:cs="Arial" w:eastAsia="Arial" w:hAnsi="Arial"/>
          <w:sz w:val="16"/>
          <w:szCs w:val="16"/>
          <w:color w:val="auto"/>
        </w:rPr>
        <w:t xml:space="preserve">” shall mean an amount equal to: (a) the Closing Merger Consideration;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Closing Cash Payment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Share Price</w:t>
      </w:r>
      <w:r>
        <w:rPr>
          <w:rFonts w:ascii="Arial" w:cs="Arial" w:eastAsia="Arial" w:hAnsi="Arial"/>
          <w:sz w:val="17"/>
          <w:szCs w:val="17"/>
          <w:color w:val="auto"/>
        </w:rPr>
        <w:t>” shall mean the share price equal to the volume weighted average closing sale price of one share of Parent Class A Stock as reported on Nasdaq (or the exchange on which the shares of Parent Class A Stock are then listed) for a period of at least 20 days out of 30 consecutive trading days ending on the trading day immediately prior to the date of determination (as adjusted as appropriate to reflect any stock splits, reverse stock splits, stock dividends (including any dividend or distribution of securities convertible into Parent Class A Stock), extraordinary cash dividend (which adjustment shall be subject to the reasonable mutual agreement of Parent and the Company), reorganization, recapitalization, reclassification, combination, exchange of shares or other like change or transaction with respect to Parent Class A Stock).</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Closing Cash</w:t>
      </w:r>
      <w:r>
        <w:rPr>
          <w:rFonts w:ascii="Arial" w:cs="Arial" w:eastAsia="Arial" w:hAnsi="Arial"/>
          <w:sz w:val="17"/>
          <w:szCs w:val="17"/>
          <w:color w:val="auto"/>
        </w:rPr>
        <w:t>” shall mean the cash and cash equivalents of the Company as of immediately prior to the Closing, determined in accordance with GAAP. The Company Closing Cash shall be decreased by (i) any restricted cash (as determined in accordance with GAAP) and any checks, drafts and wires issued as of such time that have not yet cleared; and increased by any deposits in transit as of such time that have not yet cleared and (ii) any amounts owing by the Company in respect of the Specified Obligations as of the Closing.</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shall mean the Class A Common Stock (after giving effect to the conversion of the Class B Common Stock pursuant to a Mandatory Conversion Notice under the Company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Incentive Plan</w:t>
      </w:r>
      <w:r>
        <w:rPr>
          <w:rFonts w:ascii="Arial" w:cs="Arial" w:eastAsia="Arial" w:hAnsi="Arial"/>
          <w:sz w:val="18"/>
          <w:szCs w:val="18"/>
          <w:color w:val="auto"/>
        </w:rPr>
        <w:t>” shall mean the Company’s 2017 Stock Incentive Plan, as amended from time to time.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Contract</w:t>
      </w:r>
      <w:r>
        <w:rPr>
          <w:rFonts w:ascii="Arial" w:cs="Arial" w:eastAsia="Arial" w:hAnsi="Arial"/>
          <w:sz w:val="17"/>
          <w:szCs w:val="17"/>
          <w:color w:val="auto"/>
        </w:rPr>
        <w:t>” shall mean any Contract to which any Group Company is a party or by which any Group Company is bound or under which any Group Company has any obligation or under which any Group Company has any right or interest that (a) contains any assignment or license to any third party of any material Owned Intellectual Property, or any covenant not to assert or enforce, any material Owned Intellectual Property against any third party, in each case, except non-exclusive licenses or covenants not to assert or enforce any such Intellectual Property granted by any Group Company to any third parties (including customers, suppliers, consultants, and independent contractors) in the ordinary course of business, (b) contains a license to any Group Company under any Licensed Intellectual Property or (c) pursuant to which any material Owned Intellectual Property is or was developed by any third party for any Group Company (in each case excluding (i) non-exclusive licenses to “off the shelf” third party computer software that is licensed on generally available, standard commercial terms and (ii) licenses for open source software).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shall mean all computer systems, software, firmware, hardware, networks, interfaces, platforms, related systems, databases, websites and equipment owned, outsourced or licensed by any Group Company to process, store, maintain, backup or operate data, information and functions that are used 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connection with the business of the Group Companies, but excluding, for the avoidance of doubt, any computer systems, software, firmware, hardware, networks, interfaces, platforms, related systems, databases, websites and equipment owned, outsourced or licensed by customers of any Group Company.</w:t>
      </w:r>
    </w:p>
    <w:p>
      <w:pPr>
        <w:spacing w:after="0" w:line="12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shall mean any change, event, or occurrence, that, individually or when aggregated with other changes, events, or occurrences has had a materially adverse effect on the business, assets, financial condition or results of operations of the Group Companies,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change, event, occurrence or effect arising out of or related to any of the following, alone or in combination, shall be taken into account in determining whether a Company Material Adverse Effect has occurred: (i) acts of war, sabotage, civil unrest or terrorism, or any escalation or worsening of any such acts of war, sabotage, civil unrest or terrorism, or changes in global, national, regional, state or local political or social conditions; (ii) earthquakes, hurricanes, tornados, pandemics (including COVID-19), epidemics, disease outbreaks, or public health emergencies (as declared by the World Health Organization or the Health and Human Services Secretary of the United States) or other natural or man-made disasters, or any worsening thereof; (iii) changes attributable to the public announcement or pendency of the Transactions (including the impact thereof on relationships with customers, suppliers, employees or Governmental Entities); (iv) changes or proposed changes in Applicable Legal Requirements, regulations or interpretations thereof or decisions by courts or any Governmental Entity after the date of this Agreement (including Pandemic Measures); (v) changes or proposed changes in GAAP (or any interpretation thereof) after the date of this Agreement; (vi)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 (vii) events or conditions generally affecting the industries and markets in which the Company operates; (viii) any failure to meet any projections, forecasts, guidance, estimates, milestones, budgets or financial or operating predictions of revenue, earnings, cash flow or cash 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(viii) shall not prevent a determination that any change, event, or occurrence underlying such failure has resulted in a Company Material Adverse Effect; or (ix) any actions required to be taken, or required not to be taken, pursuant to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change or effect related to clauses (iv) through</w:t>
      </w:r>
    </w:p>
    <w:p>
      <w:pPr>
        <w:spacing w:after="0" w:line="11" w:lineRule="exact"/>
        <w:rPr>
          <w:sz w:val="20"/>
          <w:szCs w:val="20"/>
          <w:color w:val="auto"/>
        </w:rPr>
      </w:pPr>
    </w:p>
    <w:p>
      <w:pPr>
        <w:ind w:firstLine="8"/>
        <w:spacing w:after="0" w:line="323" w:lineRule="auto"/>
        <w:tabs>
          <w:tab w:leader="none" w:pos="36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disproportionately adversely affects the Group Companies, taken as a whole, compared to other Persons operating in the same industry as the Group Companies, then such disproportionate impact may be taken into account in determining whether a Company Material Adverse Effect has occurred.</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shall mean an option to purchase shares of Class A Common Stock or Class B Common Stock granted under the Company Incentive Plan.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Sixth Amended and Restated Certificate of Incorporation of Company, dated as of July 27, 2020 and the Bylaws of Company dated August 2, 2019 and any other similar organization documents of Company, as each may be amended, modified or supplemented.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shall mean a restricted stock unit representing the opportunity to acquire shares of Class B Common Stock granted under the Company Incentive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SAR</w:t>
      </w:r>
      <w:r>
        <w:rPr>
          <w:rFonts w:ascii="Arial" w:cs="Arial" w:eastAsia="Arial" w:hAnsi="Arial"/>
          <w:sz w:val="16"/>
          <w:szCs w:val="16"/>
          <w:color w:val="auto"/>
        </w:rPr>
        <w:t>” shall mean a stock appreciation right with respect to shares of Company Common Stock granted under the Company Incentive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w:t>
      </w:r>
      <w:r>
        <w:rPr>
          <w:rFonts w:ascii="Arial" w:cs="Arial" w:eastAsia="Arial" w:hAnsi="Arial"/>
          <w:sz w:val="18"/>
          <w:szCs w:val="18"/>
          <w:color w:val="auto"/>
        </w:rPr>
        <w:t>” shall mean a holder of a share of Company Common Stock and Company Preferred Stock issued and outstanding immediately prior to the Effective Time.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Costs</w:t>
      </w:r>
      <w:r>
        <w:rPr>
          <w:rFonts w:ascii="Arial" w:cs="Arial" w:eastAsia="Arial" w:hAnsi="Arial"/>
          <w:sz w:val="18"/>
          <w:szCs w:val="18"/>
          <w:color w:val="auto"/>
        </w:rPr>
        <w:t>” shall mean all fees, costs and expenses of the Group Companies, in each case, incurred prior to and through the Closing Date in connection with the negotiation, preparation and execution of this Agreement, the other Transaction Agreements and the consummation of the Transactions, including: (a) all bonuses, change in control payments, retention or similar payments payable as a result of the consummation of the Transactions pursuant to arrangements (whether written or oral) entered into prior to the Closing Date whether payable before (to the extent unpaid), on or following the Closing Date (excluding any “double-trigger” payments), and the employer portion of payroll Taxes payable as a result of the foregoing amounts; (b) all severance payments,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retirement payments or similar payments or success fees payable pursuant to arrangements (whether written or oral) entered into prior to the Closing Date and which are payable in connection with the consummation of the Transactions, whether payable before (to the extent unpaid), on or following the Closing Date (excluding any “double-trigger payments”), and the employer portion of payroll Taxes payable as a result of the foregoing amounts; (c) all transaction, deal, brokerage, financial advisory or any similar fees payable in connection with the consummation of the Transactions; and (d) all costs, fees and expenses related to the D&amp;O Tail; but excluding (i) any and all costs, fees and expenses incurred in connection with the preparation and filing of the Proxy Statement (and any registration statement filed with the SEC in connection therewith) and the review and/or approval thereof by the SEC, (ii) any and all costs, fees and expenses incurred in connection with the listing on Nasdaq of the shares of Parent Class A Stock issued in connection with the Transactions,</w:t>
      </w:r>
    </w:p>
    <w:p>
      <w:pPr>
        <w:spacing w:after="0" w:line="2" w:lineRule="exact"/>
        <w:rPr>
          <w:sz w:val="20"/>
          <w:szCs w:val="20"/>
          <w:color w:val="auto"/>
        </w:rPr>
      </w:pPr>
    </w:p>
    <w:p>
      <w:pPr>
        <w:jc w:val="both"/>
        <w:ind w:firstLine="8"/>
        <w:spacing w:after="0" w:line="253" w:lineRule="auto"/>
        <w:tabs>
          <w:tab w:leader="none" w:pos="328"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transfer, documentary, sales, use, stamp, registration, excise, recording, registration value added and other similar Taxes and fees (including any penalties or interest) payable in connection with the Transactions, and (iv) any other amounts payable by Parent hereunder. For the avoidance of doubt, Company Transaction Costs shall exclude any amounts owing by the Company in respect of any Company SARs that are deemed exercised in connection with the Closing.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Required Funds</w:t>
      </w:r>
      <w:r>
        <w:rPr>
          <w:rFonts w:ascii="Arial" w:cs="Arial" w:eastAsia="Arial" w:hAnsi="Arial"/>
          <w:sz w:val="18"/>
          <w:szCs w:val="18"/>
          <w:color w:val="auto"/>
        </w:rPr>
        <w:t>” shall mean an amount equal to $300,000,000.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mean that certain Confidentiality Agreement, dated April 9, 2020, by and between the Company and Casdin Capital LLC, as amended and joined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mean any contract, subcontract, agreement, indenture, note, bond, loan or credit agreement, instrument, installment obligation, lease, mortgage, deed of trust, license, sublicense, commitment, power of attorney, guaranty or other legally binding commitment, arrangement, understanding or obligation, whether written or oral, in each case, as amended and supplemented from time to time and including all schedules, annexes and exhibits thereto.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shall mean the novel coronavirus, SARS-CoV-2 or COVID-19 or any mutation of the same, including any resulting epidemics, pandemics, disease outbreaks or public health emergencies.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Government Contract</w:t>
      </w:r>
      <w:r>
        <w:rPr>
          <w:rFonts w:ascii="Arial" w:cs="Arial" w:eastAsia="Arial" w:hAnsi="Arial"/>
          <w:sz w:val="16"/>
          <w:szCs w:val="16"/>
          <w:color w:val="auto"/>
        </w:rPr>
        <w:t>” shall mean any Government Contract the period of performance of which has not yet expired or been terminated.</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time period beginning upon the expiration of the Founder Shares Lock-Up Period (as such term is defined in and pursuant to the terms of that certain Letter Agreement, dated September 1, 2020, entered into by and among Parent, Sponsor and certain of the Parent’s current and former officers and directors) and ending on the 2-year anniversary of the Closing Date.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 Rata Share</w:t>
      </w:r>
      <w:r>
        <w:rPr>
          <w:rFonts w:ascii="Arial" w:cs="Arial" w:eastAsia="Arial" w:hAnsi="Arial"/>
          <w:sz w:val="18"/>
          <w:szCs w:val="18"/>
          <w:color w:val="auto"/>
        </w:rPr>
        <w:t xml:space="preserve">” shall mean for each Company Stockholder and Earn-Out Service Provider, such amount determined in accordance with </w:t>
      </w:r>
      <w:r>
        <w:rPr>
          <w:rFonts w:ascii="Arial" w:cs="Arial" w:eastAsia="Arial" w:hAnsi="Arial"/>
          <w:sz w:val="18"/>
          <w:szCs w:val="18"/>
          <w:u w:val="single" w:color="auto"/>
          <w:color w:val="auto"/>
        </w:rPr>
        <w:t>Schedule 2.7</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RSU</w:t>
      </w:r>
      <w:r>
        <w:rPr>
          <w:rFonts w:ascii="Arial" w:cs="Arial" w:eastAsia="Arial" w:hAnsi="Arial"/>
          <w:sz w:val="18"/>
          <w:szCs w:val="18"/>
          <w:color w:val="auto"/>
        </w:rPr>
        <w:t>” shall mean the award of restricted stock units in respect of the Earn-Out Shares granted to the Earn-Out Service Providers pursuant to the Earn-Out Award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“Earn-Out Service Provider</w:t>
      </w:r>
      <w:r>
        <w:rPr>
          <w:rFonts w:ascii="Arial" w:cs="Arial" w:eastAsia="Arial" w:hAnsi="Arial"/>
          <w:sz w:val="18"/>
          <w:szCs w:val="18"/>
          <w:color w:val="auto"/>
        </w:rPr>
        <w:t>” shall mean each (a) holder of a Company Option, Company RSU, Company SAR, other than any holder of a Company Option, Company RSU or Company SAR who is not employed by or providing services to the Company as of the Effective Time, and (b) each other employee or individual service provider of the Company, in each case whom the board of directors of the Company designates as an Earn-Out Service Provider prior to the Closing and who enters into an Earn-Out Award Agreement.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Earn-Out Total Outstanding Shares</w:t>
      </w:r>
      <w:r>
        <w:rPr>
          <w:rFonts w:ascii="Arial" w:cs="Arial" w:eastAsia="Arial" w:hAnsi="Arial"/>
          <w:sz w:val="17"/>
          <w:szCs w:val="17"/>
          <w:color w:val="auto"/>
        </w:rPr>
        <w:t xml:space="preserve">” means the aggregate number of shares of Parent Class A Stock to which all Company Stockholders would be entitled pursuant to </w:t>
      </w:r>
      <w:r>
        <w:rPr>
          <w:rFonts w:ascii="Arial" w:cs="Arial" w:eastAsia="Arial" w:hAnsi="Arial"/>
          <w:sz w:val="17"/>
          <w:szCs w:val="17"/>
          <w:u w:val="single" w:color="auto"/>
          <w:color w:val="auto"/>
        </w:rPr>
        <w:t>Section 2.7(a)(ii)</w:t>
      </w:r>
      <w:r>
        <w:rPr>
          <w:rFonts w:ascii="Arial" w:cs="Arial" w:eastAsia="Arial" w:hAnsi="Arial"/>
          <w:sz w:val="17"/>
          <w:szCs w:val="17"/>
          <w:color w:val="auto"/>
        </w:rPr>
        <w:t xml:space="preserve"> if no Company Stockholder made a Cash Election and the Closing Cash Payment Amount was $0.00.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40"/>
          </w:cols>
          <w:pgMar w:left="320" w:top="1440" w:right="339" w:bottom="1440" w:gutter="0" w:footer="0" w:header="0"/>
        </w:sectPr>
      </w:pPr>
    </w:p>
    <w:bookmarkStart w:id="507" w:name="page508"/>
    <w:bookmarkEnd w:id="507"/>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shall mean any and all applicable Legal Requirements relating to pollution, Hazardous Materials, or the protection of the environment, natural resources, or human health and safety.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trade or business (whether or not incorporated) that, together with the Company or any of its Subsidiaries is treated as a single employer under Section 414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and the rules and regulations promulgated thereunder.</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shall mean: (a) in the case of the Company, the representations and warranties contained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w:t>
      </w:r>
      <w:r>
        <w:rPr>
          <w:rFonts w:ascii="Arial" w:cs="Arial" w:eastAsia="Arial" w:hAnsi="Arial"/>
          <w:sz w:val="17"/>
          <w:szCs w:val="17"/>
          <w:i w:val="1"/>
          <w:iCs w:val="1"/>
          <w:color w:val="auto"/>
        </w:rPr>
        <w:t>Due Authorization</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w:t>
      </w:r>
      <w:r>
        <w:rPr>
          <w:rFonts w:ascii="Arial" w:cs="Arial" w:eastAsia="Arial" w:hAnsi="Arial"/>
          <w:sz w:val="17"/>
          <w:szCs w:val="17"/>
          <w:i w:val="1"/>
          <w:iCs w:val="1"/>
          <w:color w:val="auto"/>
        </w:rPr>
        <w:t>Brokers; Third Party Expenses</w:t>
      </w:r>
      <w:r>
        <w:rPr>
          <w:rFonts w:ascii="Arial" w:cs="Arial" w:eastAsia="Arial" w:hAnsi="Arial"/>
          <w:sz w:val="17"/>
          <w:szCs w:val="17"/>
          <w:color w:val="auto"/>
        </w:rPr>
        <w:t xml:space="preserve">); and (b) in the case of Parent, the representations and warranties contained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i w:val="1"/>
          <w:iCs w:val="1"/>
          <w:color w:val="auto"/>
        </w:rPr>
        <w:t>Organization and Qualification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w:t>
      </w:r>
      <w:r>
        <w:rPr>
          <w:rFonts w:ascii="Arial" w:cs="Arial" w:eastAsia="Arial" w:hAnsi="Arial"/>
          <w:sz w:val="17"/>
          <w:szCs w:val="17"/>
          <w:i w:val="1"/>
          <w:iCs w:val="1"/>
          <w:color w:val="auto"/>
        </w:rPr>
        <w:t>Parent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t>
      </w:r>
      <w:r>
        <w:rPr>
          <w:rFonts w:ascii="Arial" w:cs="Arial" w:eastAsia="Arial" w:hAnsi="Arial"/>
          <w:sz w:val="17"/>
          <w:szCs w:val="17"/>
          <w:i w:val="1"/>
          <w:iCs w:val="1"/>
          <w:color w:val="auto"/>
        </w:rPr>
        <w:t>Capitalization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Relative to this Agreement</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Activities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United States generally accepted accounting principles, consistently applied.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shall mean any prime contract, subcontract, purchase order, task order, delivery order, basic ordering agreement, pricing agreement, letter contract or other similar written arrangement of any kind, including all amendments, modifications and options thereunder or relating thereto between the Company or a Company Subsidiary, on the one hand, and: (a) any Governmental Entity; (b) any prime contractor of a Governmental Entity in its capacity as a prime contractor; or (c) any subcontractor at any tier performing work that is directly charged to any contract of a type described in clauses (a) or (b) above, on the other hand. A purchase, task or delivery order, or any other ordering agreement, under a Government Contract shall not constitute a separate Government Contract, for purposes of this definition, but shall be part of the Government Contract to which it relates.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shall mean the Company and all of its direct and indirect Subsidiaries.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shall mean any substance, material or waste that is listed, classified, defined, characterized or otherwise regulated by a Governmental Entity as a “toxic substance,” “hazardous substance,” “hazardous material” or words of similar meaning or effect, including any radioactive materials.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mean the United State Health Insurance Portability and Accountability Act of 1996 (42 U.S.C. §§ 1320d through 1329d-8), as amended by the Health Information Technology for Economic and Clinical Health Act (Pub. L. No. 111-5), and all applicable implementing regulations, including its implementing regulations codified at 45 C.F.R. Parts 160, 162, and 164.</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mean any of the following: (a) any indebtedness for borrowed money; (b) any obligations evidenced by bonds, debentures, notes or other similar instruments; (c) any obligations to pay the deferred purchase price of property or services, except trade accounts payable and other current liabilities; (d) any obligations as lessee under capitalized leases; (e) any obligations, contingent or otherwise, under acceptance, letters of credit or similar facilities to the extent drawn; (f) any guaranty of any of the foregoing; (g) any accrued interest, fees and charges in respect of any of the foregoing; and (h) any prepayment premiums and penalties actually due and payable, and any other fees, expenses, indemnities and other amounts actually payable as a result of the prepayment or discharge of any of the foregoing.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shall mean all worldwide rights, title and interest in or relating to intellectual property, whether protected, created or arising under the laws of the United States or any other jurisdiction, including: (a) all patents and patent applications, including provisional patent applications and similar filings and any and all substitutions, divisions, continuations, continuations-in-part, divisions, reissues, renewals, extensions, reexaminations, patents of addition, supplementary protection certificates, utility models, inventors’ certificates, or the like and any foreign equivalents of the foregoing (including certificates of invention and any applications therefor)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 (b) all trademarks, business marks, service marks, brand names, trade dress rights, logos, corporate names, and trade names, and other source or business identifiers and general intangibles of a like nature, together with the goodwill associated with any of the foregoing, along with all applications, registrations, intent-to-use registrations or similar reservations of marks, renewals and extensions thereof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(c) all registered and unregistered copyrights and applications for registration of copyright (collectively, “</w:t>
      </w:r>
      <w:r>
        <w:rPr>
          <w:rFonts w:ascii="Arial" w:cs="Arial" w:eastAsia="Arial" w:hAnsi="Arial"/>
          <w:sz w:val="16"/>
          <w:szCs w:val="16"/>
          <w:u w:val="single" w:color="auto"/>
          <w:color w:val="auto"/>
        </w:rPr>
        <w:t>Copyrights</w:t>
      </w:r>
      <w:r>
        <w:rPr>
          <w:rFonts w:ascii="Arial" w:cs="Arial" w:eastAsia="Arial" w:hAnsi="Arial"/>
          <w:sz w:val="16"/>
          <w:szCs w:val="16"/>
          <w:color w:val="auto"/>
        </w:rPr>
        <w:t>”); (d) all internet domain names; (e) trade secrets, know-how,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(collectively “</w:t>
      </w:r>
      <w:r>
        <w:rPr>
          <w:rFonts w:ascii="Arial" w:cs="Arial" w:eastAsia="Arial" w:hAnsi="Arial"/>
          <w:sz w:val="16"/>
          <w:szCs w:val="16"/>
          <w:u w:val="single" w:color="auto"/>
          <w:color w:val="auto"/>
        </w:rPr>
        <w:t>Trade Secrets</w:t>
      </w:r>
      <w:r>
        <w:rPr>
          <w:rFonts w:ascii="Arial" w:cs="Arial" w:eastAsia="Arial" w:hAnsi="Arial"/>
          <w:sz w:val="16"/>
          <w:szCs w:val="16"/>
          <w:color w:val="auto"/>
        </w:rPr>
        <w:t>”); (f) databases; and (g) all other intellectual property, intellectual property rights, proprietary information and proprietary rights.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ISMMS</w:t>
      </w:r>
      <w:r>
        <w:rPr>
          <w:rFonts w:ascii="Arial" w:cs="Arial" w:eastAsia="Arial" w:hAnsi="Arial"/>
          <w:sz w:val="17"/>
          <w:szCs w:val="17"/>
          <w:color w:val="auto"/>
        </w:rPr>
        <w:t>” shall mean the Icahn School of Medicine at Mount Sinai, an education corporation formed under the New York Education Law.</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shall mean the actual knowledge or awareness as to a specified fact or event of: (a) with respect to the Company, the individuals listed on </w:t>
      </w:r>
      <w:r>
        <w:rPr>
          <w:rFonts w:ascii="Arial" w:cs="Arial" w:eastAsia="Arial" w:hAnsi="Arial"/>
          <w:sz w:val="18"/>
          <w:szCs w:val="18"/>
          <w:u w:val="single" w:color="auto"/>
          <w:color w:val="auto"/>
        </w:rPr>
        <w:t>Schedule 1.2-A</w:t>
      </w:r>
      <w:r>
        <w:rPr>
          <w:rFonts w:ascii="Arial" w:cs="Arial" w:eastAsia="Arial" w:hAnsi="Arial"/>
          <w:sz w:val="18"/>
          <w:szCs w:val="18"/>
          <w:color w:val="auto"/>
        </w:rPr>
        <w:t xml:space="preserve"> of the Company Disclosure Letter; and (b) with respect to Parent or Merger Sub, the individuals listed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of the Parent Disclosure Letter.</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Requirements</w:t>
      </w:r>
      <w:r>
        <w:rPr>
          <w:rFonts w:ascii="Arial" w:cs="Arial" w:eastAsia="Arial" w:hAnsi="Arial"/>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shall mean all Intellectual Property exclusively licensed to any of the Group Companies.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pledge, security interest, encumbrance, lien, restriction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mean any and all deficiencies, judgments, settlements, losses, damages, interest, fines, penalties, Taxes, costs and expenses (including reasonable legal, accounting and other costs and expenses of professionals incurred in connection with investigating, defending, settling or satisfying any and all demands, claims, actions, causes of action, suits, proceedings, assessments, judgments or appeals, and in seeking indemnification, compensation or reimbursement therefor).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MSHS Entity</w:t>
      </w:r>
      <w:r>
        <w:rPr>
          <w:rFonts w:ascii="Arial" w:cs="Arial" w:eastAsia="Arial" w:hAnsi="Arial"/>
          <w:sz w:val="18"/>
          <w:szCs w:val="18"/>
          <w:color w:val="auto"/>
        </w:rPr>
        <w:t>” shall mean any New York not-for-profit corporation or limited liability company of which Mount Sinai Health System is, directly or indirectly, the sole member.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shall mean the U.S. Treasury Department Office of Foreign Assets Control.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40"/>
          </w:cols>
          <w:pgMar w:left="320" w:top="1440" w:right="339" w:bottom="1440" w:gutter="0" w:footer="0" w:header="0"/>
        </w:sectPr>
      </w:pPr>
    </w:p>
    <w:bookmarkStart w:id="509" w:name="page510"/>
    <w:bookmarkEnd w:id="509"/>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Exchange Ratio</w:t>
      </w:r>
      <w:r>
        <w:rPr>
          <w:rFonts w:ascii="Arial" w:cs="Arial" w:eastAsia="Arial" w:hAnsi="Arial"/>
          <w:sz w:val="18"/>
          <w:szCs w:val="18"/>
          <w:color w:val="auto"/>
        </w:rPr>
        <w:t>” shall mean:</w:t>
      </w:r>
    </w:p>
    <w:p>
      <w:pPr>
        <w:spacing w:after="0" w:line="225" w:lineRule="exact"/>
        <w:rPr>
          <w:sz w:val="20"/>
          <w:szCs w:val="20"/>
          <w:color w:val="auto"/>
        </w:rPr>
      </w:pPr>
    </w:p>
    <w:p>
      <w:pPr>
        <w:ind w:left="1780" w:hanging="314"/>
        <w:spacing w:after="0"/>
        <w:tabs>
          <w:tab w:leader="none" w:pos="17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A Common Stock, the quotient, rounded to the nearest one ten-thousandth, of</w:t>
      </w:r>
    </w:p>
    <w:p>
      <w:pPr>
        <w:spacing w:after="0" w:line="46" w:lineRule="exact"/>
        <w:rPr>
          <w:rFonts w:ascii="Arial" w:cs="Arial" w:eastAsia="Arial" w:hAnsi="Arial"/>
          <w:sz w:val="16"/>
          <w:szCs w:val="16"/>
          <w:color w:val="auto"/>
        </w:rPr>
      </w:pPr>
    </w:p>
    <w:p>
      <w:pPr>
        <w:ind w:left="2000" w:hanging="210"/>
        <w:spacing w:after="0"/>
        <w:tabs>
          <w:tab w:leader="none" w:pos="200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Per Share Amount divided by (ii) the Parent Stock Price; and</w:t>
      </w:r>
    </w:p>
    <w:p>
      <w:pPr>
        <w:spacing w:after="0" w:line="156" w:lineRule="exact"/>
        <w:rPr>
          <w:rFonts w:ascii="Arial" w:cs="Arial" w:eastAsia="Arial" w:hAnsi="Arial"/>
          <w:sz w:val="18"/>
          <w:szCs w:val="18"/>
          <w:color w:val="auto"/>
        </w:rPr>
      </w:pPr>
    </w:p>
    <w:p>
      <w:pPr>
        <w:ind w:left="1780" w:hanging="314"/>
        <w:spacing w:after="0"/>
        <w:tabs>
          <w:tab w:leader="none" w:pos="178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In the case of a Company Option to purchase Class B Common Stock, the quotient, rounded to the nearest one ten-thousandth, of</w:t>
      </w:r>
    </w:p>
    <w:p>
      <w:pPr>
        <w:spacing w:after="0" w:line="46" w:lineRule="exact"/>
        <w:rPr>
          <w:rFonts w:ascii="Arial" w:cs="Arial" w:eastAsia="Arial" w:hAnsi="Arial"/>
          <w:sz w:val="16"/>
          <w:szCs w:val="16"/>
          <w:color w:val="auto"/>
        </w:rPr>
      </w:pPr>
    </w:p>
    <w:p>
      <w:pPr>
        <w:jc w:val="both"/>
        <w:ind w:left="1800" w:hanging="10"/>
        <w:spacing w:after="0" w:line="255" w:lineRule="auto"/>
        <w:tabs>
          <w:tab w:leader="none" w:pos="2016"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quotient obtained by dividing (A) the Per Share Amount by (B) one hundred (100) (which, for clarity, is intended to account for the conversion of Class B Common Stock into Class A Common Stock contemplated by Section 2.7(a)) divided by (ii) the Parent Stock Price.</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Owned Intellectual Property</w:t>
      </w:r>
      <w:r>
        <w:rPr>
          <w:rFonts w:ascii="Arial" w:cs="Arial" w:eastAsia="Arial" w:hAnsi="Arial"/>
          <w:sz w:val="17"/>
          <w:szCs w:val="17"/>
          <w:color w:val="auto"/>
        </w:rPr>
        <w:t>” shall mean all Intellectual Property which any of the Group Companies has (or purports to have) an ownership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Pandemic Measures</w:t>
      </w:r>
      <w:r>
        <w:rPr>
          <w:rFonts w:ascii="Arial" w:cs="Arial" w:eastAsia="Arial" w:hAnsi="Arial"/>
          <w:sz w:val="18"/>
          <w:szCs w:val="18"/>
          <w:color w:val="auto"/>
        </w:rPr>
        <w:t>” shall mean any quarantine, isolation, “shelter in place,” “stay at home,” workforce reduction, social distancing, shut down, closure, sequester or any other Legal Requirement, decree, judgment, injunction or other order, directive, guidelines or recommendations by any Governmental Entity or industry group in connection with or in response to COVID-19, including, the Coronavirus Aid, Relief, and Economic Security Act (CARES), or any other pandemic, epidemic, public health emergency or disease outbreak.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Cash</w:t>
      </w:r>
      <w:r>
        <w:rPr>
          <w:rFonts w:ascii="Arial" w:cs="Arial" w:eastAsia="Arial" w:hAnsi="Arial"/>
          <w:sz w:val="17"/>
          <w:szCs w:val="17"/>
          <w:color w:val="auto"/>
        </w:rPr>
        <w:t xml:space="preserve">” shall mean, as of the date of determination: (a) all amounts in the Trust Account;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Equity Financing Amount.</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xml:space="preserve">” shall mean any change, event, or occurrence, that, individually or when aggregated with other changes, events, or occurrences has had a materially adverse effect on the business, assets, financial condition or results of operations of Parent and Merger Sub,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change or effect related to any of the following, alone or in combination, shall be taken into account in determining whether a Parent Material Adverse Effect has occurred: (i) changes or proposed changes in Applicable Legal Requirements, regulations or interpretations thereof or decisions by courts or any Governmental Entity after the date of this Agreement; (ii) changes or proposed changes in GAAP (or any interpretation thereof) after the date of this Agreement; or (iii) any downturn in general economic conditions, including changes in the credit, debt, securities, financial, capital or reinsurance markets (including changes in interest or exchange rates, prices of any security or market index or commodity or any disruption of such markets), in each case, in the United States or anywhere else in the world.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shall mean the Second Amended and Restated Certificate of Incorporation of Parent, dated as of September 1, 2020 (the “</w:t>
      </w:r>
      <w:r>
        <w:rPr>
          <w:rFonts w:ascii="Arial" w:cs="Arial" w:eastAsia="Arial" w:hAnsi="Arial"/>
          <w:sz w:val="18"/>
          <w:szCs w:val="18"/>
          <w:u w:val="single" w:color="auto"/>
          <w:color w:val="auto"/>
        </w:rPr>
        <w:t>Parent Charter</w:t>
      </w:r>
      <w:r>
        <w:rPr>
          <w:rFonts w:ascii="Arial" w:cs="Arial" w:eastAsia="Arial" w:hAnsi="Arial"/>
          <w:sz w:val="18"/>
          <w:szCs w:val="18"/>
          <w:color w:val="auto"/>
        </w:rPr>
        <w:t>”) and the Bylaws of Parent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any other similar organization documents of Parent, as each may be amended, modified or supplemented.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 Price</w:t>
      </w:r>
      <w:r>
        <w:rPr>
          <w:rFonts w:ascii="Arial" w:cs="Arial" w:eastAsia="Arial" w:hAnsi="Arial"/>
          <w:sz w:val="18"/>
          <w:szCs w:val="18"/>
          <w:color w:val="auto"/>
        </w:rPr>
        <w:t>” shall mean $10.00.</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Transaction Costs</w:t>
      </w:r>
      <w:r>
        <w:rPr>
          <w:rFonts w:ascii="Arial" w:cs="Arial" w:eastAsia="Arial" w:hAnsi="Arial"/>
          <w:sz w:val="18"/>
          <w:szCs w:val="18"/>
          <w:color w:val="auto"/>
        </w:rPr>
        <w:t>” shall mean: (a) all fees, costs and expenses of Parent incurred prior to and through the Closing Date in connection with the negotiation, preparation and execution of this Agreement, the other Transaction Agreements and the consummation of the Transactions, whether paid or unpaid prior to the Closing, including any and all professional or transaction related costs, fees and expenses of legal, accounting and financial advisors, consultants, auditors, accountants and brokers, including any deferred underwriting commissions being held in the Trust Account; and (b) any Indebtedness of Parent or its Subsidiaries owed to its Affiliates or stockholders.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240"/>
          </w:cols>
          <w:pgMar w:left="320" w:top="1440" w:right="339" w:bottom="1440" w:gutter="0" w:footer="0" w:header="0"/>
        </w:sectPr>
      </w:pPr>
    </w:p>
    <w:bookmarkStart w:id="510" w:name="page511"/>
    <w:bookmarkEnd w:id="510"/>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Units</w:t>
      </w:r>
      <w:r>
        <w:rPr>
          <w:rFonts w:ascii="Arial" w:cs="Arial" w:eastAsia="Arial" w:hAnsi="Arial"/>
          <w:sz w:val="16"/>
          <w:szCs w:val="16"/>
          <w:color w:val="auto"/>
        </w:rPr>
        <w:t>” shall mean equity securities of Parent each consisting of one share of Parent Class A Stock and one-third of one Public Warrant.</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w:t>
      </w:r>
      <w:r>
        <w:rPr>
          <w:rFonts w:ascii="Arial" w:cs="Arial" w:eastAsia="Arial" w:hAnsi="Arial"/>
          <w:sz w:val="17"/>
          <w:szCs w:val="17"/>
          <w:color w:val="auto"/>
        </w:rPr>
        <w:t>” shall mean: (a) Liens for current period Taxes not yet delinquent or for Taxes that are being contested in good faith by appropriate proceedings and in each case that are sufficiently reserved for on the Financial Statements in accordance with GAAP; (b) statutory and contractual Liens of landlords with respect to leased real property; (c) Liens of carriers, warehousemen, mechanics, materialmen and repairmen incurred in the ordinary course and: (i) not yet delinquent; or (ii) that are being contested in good faith through appropriate proceedings; (d) in the case of leased real property, zoning, building, or other restrictions, variances, covenants, rights of way, encumbrances, easements and other irregularities in title, none of which, individually or in the aggregate, interfere in any material respect with the present use of or occupancy of the affected parcel by any of the Group Companies; (e) Liens securing the Indebtedness of any of the Group Companies; (f) in the case of Intellectual Property, non-exclusive licenses granted to third parties in the ordinary course; (g) Liens incurred in connection with capital lease obligations of any of the Group Companies; and (h) all exceptions, restrictions, easements, imperfections of title (including gaps in the chain of title evident from the records of the relevant Governmental Entity maintaining such records), charges, rights-of-way and other Liens of record that do not materially interfere with the present use of the assets of the Group Companies, taken as a whole.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Amount</w:t>
      </w:r>
      <w:r>
        <w:rPr>
          <w:rFonts w:ascii="Arial" w:cs="Arial" w:eastAsia="Arial" w:hAnsi="Arial"/>
          <w:sz w:val="18"/>
          <w:szCs w:val="18"/>
          <w:color w:val="auto"/>
        </w:rPr>
        <w:t>” shall mean the quotient, rounded to the nearest one-tenth of a cent, obtained by dividing (a) the Base Value by (b) the Aggregate Company Share Amount.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shall mean, in addition to any definition for any similar term (e.g., “personally identifiable information” or “PII”) provided by Applicable Legal Requirement, all information that identifies, could be used to identify or is otherwise associated with an individual person or device, whether or not such information is associated with an identifiable individual. Personal Information may relate to any individual, including a current, prospective, or former customer, end user or employee of any Person.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shall mean any and all Applicable Legal Requirements (including of any applicable foreign jurisdiction) relating to the receipt, collection, compilation, use, storage, transmission, transfer (including cross-border transfers), processing, privacy, sharing, safeguarding, security (both technical and physical), disposal, destruction, disclosure or transfer (including cross-border) of Personal Information, including, but not limited to, HIPAA, and the California Consumer Privacy Act (CCPA), and any and all Applicable Legal Requirements relating to breach notification in connection with Personal Information.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Affiliates, successors and assigns.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Cash</w:t>
      </w:r>
      <w:r>
        <w:rPr>
          <w:rFonts w:ascii="Arial" w:cs="Arial" w:eastAsia="Arial" w:hAnsi="Arial"/>
          <w:sz w:val="18"/>
          <w:szCs w:val="18"/>
          <w:color w:val="auto"/>
        </w:rPr>
        <w:t>” shall mean restricted cash as determined in accordance with GAAP.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Exchange Ratio</w:t>
      </w:r>
      <w:r>
        <w:rPr>
          <w:rFonts w:ascii="Arial" w:cs="Arial" w:eastAsia="Arial" w:hAnsi="Arial"/>
          <w:sz w:val="18"/>
          <w:szCs w:val="18"/>
          <w:color w:val="auto"/>
        </w:rPr>
        <w:t>” shall mean the quotient, rounded to the nearest one ten-thousandth, of (i) the Per Share Amount divided by (ii) the Parent Stock Price;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shall mean the quotient, rounded to the nearest one ten-thousandth, of (i) the Per Share Amount divided by (ii) the Parent Stock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240"/>
          </w:cols>
          <w:pgMar w:left="320" w:top="1440" w:right="339" w:bottom="1440" w:gutter="0" w:footer="0" w:header="0"/>
        </w:sectPr>
      </w:pPr>
    </w:p>
    <w:bookmarkStart w:id="511" w:name="page512"/>
    <w:bookmarkEnd w:id="511"/>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shall mean the United States Securities Act of 1933, as amended, and the rules and regulations promulgated thereunder.</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Business Conduct Laws</w:t>
      </w:r>
      <w:r>
        <w:rPr>
          <w:rFonts w:ascii="Arial" w:cs="Arial" w:eastAsia="Arial" w:hAnsi="Arial"/>
          <w:sz w:val="17"/>
          <w:szCs w:val="17"/>
          <w:color w:val="auto"/>
        </w:rPr>
        <w:t>” shall mean: (a) the U.S. Foreign Corrupt Practices Act of 1977, the UK Bribery Act, and other Applicable Legal Requirements relating to bribery or corruption; (b) all Legal Requirements imposing trade sanctions on any Person, including, all Legal Requirements administered by OFAC, all sanctions laws or embargos imposed or administered by the U.S. Department of State, the United Nations Security Council, Her Majesty’s Treasury or the European Union and all anti-boycott or anti-embargo laws; (c) all Legal Requirements relating to the import, export, re-export, transfer of information, data, goods, and technology, including the Export Administration Regulations (“</w:t>
      </w:r>
      <w:r>
        <w:rPr>
          <w:rFonts w:ascii="Arial" w:cs="Arial" w:eastAsia="Arial" w:hAnsi="Arial"/>
          <w:sz w:val="17"/>
          <w:szCs w:val="17"/>
          <w:u w:val="single" w:color="auto"/>
          <w:color w:val="auto"/>
        </w:rPr>
        <w:t>EAR</w:t>
      </w:r>
      <w:r>
        <w:rPr>
          <w:rFonts w:ascii="Arial" w:cs="Arial" w:eastAsia="Arial" w:hAnsi="Arial"/>
          <w:sz w:val="17"/>
          <w:szCs w:val="17"/>
          <w:color w:val="auto"/>
        </w:rPr>
        <w:t>”) administered by the U.S. Department of Commerce and the International Traffic in Arms Regulations administered by the U.S. Department of State; and (d) the Money Laundering Control Act, the Currency and Foreign Transactions Reporting Act, The Uniting and Strengthening America by Providing Appropriate Tools Required to Intercept and Obstruct Terrorism Act of 2001, and other Applicable Legal Requirements relating to money laundering.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shall mean CMLS Holdings LLC, a Delaware limited liability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Support Agreement</w:t>
      </w:r>
      <w:r>
        <w:rPr>
          <w:rFonts w:ascii="Arial" w:cs="Arial" w:eastAsia="Arial" w:hAnsi="Arial"/>
          <w:sz w:val="18"/>
          <w:szCs w:val="18"/>
          <w:color w:val="auto"/>
        </w:rPr>
        <w:t>” shall mean that certain Support Agreement, dated as of the date hereof, by and among the Sponsor, Parent and the Company, as amended or modified from time to time.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with respect to any Person, any partnership, limited liability company, corporation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shall mean: (a) any and all federal, state, local and foreign taxes, including, without limitation, gross receipts, income, profits, license, sales, use, estimated, occupation, value added, ad valorem, transfer, franchise, withholding, payroll, recapture, net worth, employment, escheat and unclaimed property obligations,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Treasury Regulation Section 1.1502-6(a) (or any predecessor or successor thereof of any analogous or similar provision under law) or otherwise.</w:t>
      </w:r>
    </w:p>
    <w:p>
      <w:pPr>
        <w:spacing w:after="0" w:line="19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shall mean any return, declaration, report, claim for refund, or information return or statement relating to Taxes that is filed or required to be filed with a Governmental Entity, including any schedule or attachment thereto and any amendment thereof.</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 Company Shares</w:t>
      </w:r>
      <w:r>
        <w:rPr>
          <w:rFonts w:ascii="Arial" w:cs="Arial" w:eastAsia="Arial" w:hAnsi="Arial"/>
          <w:sz w:val="18"/>
          <w:szCs w:val="18"/>
          <w:color w:val="auto"/>
        </w:rPr>
        <w:t>” shall mean the sum, without duplication, of (a) the aggregate number of shares of Company Common Stock that are issued and outstanding immediately prior to the Effective Time and (b) the aggregate number of shares of Company Common Stock that would be issuable upon the conversion all shares of Company Preferred Stock that are issued and outstanding immediately prior to the Effective Time into shares of Company Common Stock pursuant to the Company Organizational Documents.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Stockholder Outstanding Shares</w:t>
      </w:r>
      <w:r>
        <w:rPr>
          <w:rFonts w:ascii="Arial" w:cs="Arial" w:eastAsia="Arial" w:hAnsi="Arial"/>
          <w:sz w:val="17"/>
          <w:szCs w:val="17"/>
          <w:color w:val="auto"/>
        </w:rPr>
        <w:t>” shall mean, with respect to a Company Stockholder, the sum of (a) the aggregate number of shares of Company Common Stock held by such Company Stockholder immediately prior to the Effective Time plus (b) the aggregate number of shares of Company Common Stock that would be issuable upon the conversion all shares of Company Preferred Stock held by such Company Stockholder immediately prior to the Effective Time into shares of Company Common Stock pursuant to the Company Organizational Documents.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240"/>
          </w:cols>
          <w:pgMar w:left="320" w:top="1440" w:right="339" w:bottom="1440" w:gutter="0" w:footer="0" w:header="0"/>
        </w:sectPr>
      </w:pPr>
    </w:p>
    <w:bookmarkStart w:id="512" w:name="page513"/>
    <w:bookmarkEnd w:id="512"/>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Agreements</w:t>
      </w:r>
      <w:r>
        <w:rPr>
          <w:rFonts w:ascii="Arial" w:cs="Arial" w:eastAsia="Arial" w:hAnsi="Arial"/>
          <w:sz w:val="18"/>
          <w:szCs w:val="18"/>
          <w:color w:val="auto"/>
        </w:rPr>
        <w:t>” shall mean this Agreement, the A&amp;R Registration Rights Agreement, the Equity Financing Agreements, the Confidentiality Agreement, the Parent A&amp;R Charter, the Sponsor Support Agreement and all the agreements documents, instruments and certificates entered into in connection herewith or therewith and any and all exhibits and schedules thereto.</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the transactions contemplated pursuant to this Agreement, including the Merger.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shall mean the regulations promulgated by the U.S. Department of the Treasury pursuant to and in respect of provisions of the Code.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w:t>
      </w:r>
      <w:r>
        <w:rPr>
          <w:rFonts w:ascii="Arial" w:cs="Arial" w:eastAsia="Arial" w:hAnsi="Arial"/>
          <w:sz w:val="18"/>
          <w:szCs w:val="18"/>
          <w:color w:val="auto"/>
        </w:rPr>
        <w:t>” shall occur if, within the Earn-Out Period, the Common Share Price of Parent Class A Stock is greater than or equal to $13.00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w:t>
      </w:r>
      <w:r>
        <w:rPr>
          <w:rFonts w:ascii="Arial" w:cs="Arial" w:eastAsia="Arial" w:hAnsi="Arial"/>
          <w:sz w:val="18"/>
          <w:szCs w:val="18"/>
          <w:color w:val="auto"/>
        </w:rPr>
        <w:t>” shall occur if, within the Earn-Out Period, the Common Share Price of Parent Class A Stock is greater than or equal to $15.00 per share.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 III</w:t>
      </w:r>
      <w:r>
        <w:rPr>
          <w:rFonts w:ascii="Arial" w:cs="Arial" w:eastAsia="Arial" w:hAnsi="Arial"/>
          <w:sz w:val="18"/>
          <w:szCs w:val="18"/>
          <w:color w:val="auto"/>
        </w:rPr>
        <w:t xml:space="preserve">” shall occur if, within the Earn-Out Period, the Common Share Price of Parent Class A Stock is greater than or equal to $18.00 </w:t>
      </w:r>
      <w:r>
        <w:rPr>
          <w:rFonts w:ascii="Arial" w:cs="Arial" w:eastAsia="Arial" w:hAnsi="Arial"/>
          <w:sz w:val="18"/>
          <w:szCs w:val="18"/>
          <w:u w:val="single" w:color="auto"/>
          <w:color w:val="auto"/>
        </w:rPr>
        <w:t>per</w:t>
      </w:r>
      <w:r>
        <w:rPr>
          <w:rFonts w:ascii="Arial" w:cs="Arial" w:eastAsia="Arial" w:hAnsi="Arial"/>
          <w:sz w:val="18"/>
          <w:szCs w:val="18"/>
          <w:color w:val="auto"/>
        </w:rPr>
        <w:t xml:space="preserve">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Triggering Events</w:t>
      </w:r>
      <w:r>
        <w:rPr>
          <w:rFonts w:ascii="Arial" w:cs="Arial" w:eastAsia="Arial" w:hAnsi="Arial"/>
          <w:sz w:val="18"/>
          <w:szCs w:val="18"/>
          <w:color w:val="auto"/>
        </w:rPr>
        <w:t>” shall mean Triggering Event I, Triggering Event II and Triggering Event III, collectively.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Redemption Amount</w:t>
      </w:r>
      <w:r>
        <w:rPr>
          <w:rFonts w:ascii="Arial" w:cs="Arial" w:eastAsia="Arial" w:hAnsi="Arial"/>
          <w:sz w:val="18"/>
          <w:szCs w:val="18"/>
          <w:color w:val="auto"/>
        </w:rPr>
        <w:t>” shall mean all amounts payable from the Trust Account as of the Closing, including all amounts payable: (a) to stockholders who elect to have their Parent Class A Stock converted to cash in accordance with the provisions of Parent’s Charter Documents in respect of Parent Stockholder Redemptions; (b) for income tax or other tax obligations of Parent prior to Closing; and (c) as repayment of loans and reimbursement of expenses to directors, officers and stockholders of Parent (for clarity, excluding, any amounts payable in respect of Parent Transaction Costs or Company Transaction Costs).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Parent Amended and Restated Charter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9019"/>
          </w:cols>
          <w:pgMar w:left="1440" w:top="1440" w:right="1440" w:bottom="1440" w:gutter="0" w:footer="0" w:header="0"/>
        </w:sectPr>
      </w:pPr>
    </w:p>
    <w:bookmarkStart w:id="514" w:name="page515"/>
    <w:bookmarkEnd w:id="514"/>
    <w:p>
      <w:pPr>
        <w:spacing w:after="0" w:line="13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the First Amendment and Restatement to the Original Certificate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4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0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200" w:lineRule="exact"/>
        <w:rPr>
          <w:sz w:val="20"/>
          <w:szCs w:val="20"/>
          <w:color w:val="auto"/>
        </w:rPr>
      </w:pPr>
    </w:p>
    <w:p>
      <w:pPr>
        <w:spacing w:after="0" w:line="34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3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color w:val="auto"/>
        </w:rPr>
        <w:t>.  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r>
        <w:rPr>
          <w:rFonts w:ascii="Arial" w:cs="Arial" w:eastAsia="Arial" w:hAnsi="Arial"/>
          <w:sz w:val="18"/>
          <w:szCs w:val="18"/>
          <w:color w:val="auto"/>
        </w:rPr>
        <w:t>.</w:t>
      </w:r>
    </w:p>
    <w:p>
      <w:pPr>
        <w:spacing w:after="0" w:line="175"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w:t>
      </w:r>
    </w:p>
    <w:p>
      <w:pPr>
        <w:spacing w:after="0" w:line="183"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color w:val="auto"/>
        </w:rPr>
        <w:t>. 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652"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Classified Board</w:t>
      </w:r>
      <w:r>
        <w:rPr>
          <w:rFonts w:ascii="Arial" w:cs="Arial" w:eastAsia="Arial" w:hAnsi="Arial"/>
          <w:sz w:val="18"/>
          <w:szCs w:val="18"/>
          <w:color w:val="auto"/>
        </w:rPr>
        <w:t>. Subject to the special rights of the holders of one or more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class shall be divided as nearly equal as is practicable. The initial term of office of the Class I directors shall expire at the Corporation’s first annual meeting of stockholders following the effectiveness of this Certificate of 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06" w:lineRule="exact"/>
        <w:rPr>
          <w:sz w:val="20"/>
          <w:szCs w:val="20"/>
          <w:color w:val="auto"/>
        </w:rPr>
      </w:pPr>
    </w:p>
    <w:p>
      <w:pPr>
        <w:jc w:val="both"/>
        <w:ind w:firstLine="332"/>
        <w:spacing w:after="0" w:line="253" w:lineRule="auto"/>
        <w:tabs>
          <w:tab w:leader="none" w:pos="72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firstLine="332"/>
        <w:spacing w:after="0" w:line="273" w:lineRule="auto"/>
        <w:tabs>
          <w:tab w:leader="none" w:pos="679"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Board Vacancies and Newly Created Directorships</w:t>
      </w:r>
      <w:r>
        <w:rPr>
          <w:rFonts w:ascii="Arial" w:cs="Arial" w:eastAsia="Arial" w:hAnsi="Arial"/>
          <w:sz w:val="17"/>
          <w:szCs w:val="17"/>
          <w:color w:val="auto"/>
        </w:rPr>
        <w:t>. Subject to the special rights of the holders of any series of Preferred Stock, any vacancy</w:t>
      </w:r>
      <w:r>
        <w:rPr>
          <w:rFonts w:ascii="Arial" w:cs="Arial" w:eastAsia="Arial" w:hAnsi="Arial"/>
          <w:sz w:val="17"/>
          <w:szCs w:val="17"/>
          <w:b w:val="1"/>
          <w:bCs w:val="1"/>
          <w:color w:val="auto"/>
        </w:rPr>
        <w:t xml:space="preserve"> </w:t>
      </w:r>
      <w:r>
        <w:rPr>
          <w:rFonts w:ascii="Arial" w:cs="Arial" w:eastAsia="Arial" w:hAnsi="Arial"/>
          <w:sz w:val="17"/>
          <w:szCs w:val="17"/>
          <w:color w:val="auto"/>
        </w:rPr>
        <w:t>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17" w:lineRule="exact"/>
        <w:rPr>
          <w:rFonts w:ascii="Arial" w:cs="Arial" w:eastAsia="Arial" w:hAnsi="Arial"/>
          <w:sz w:val="17"/>
          <w:szCs w:val="17"/>
          <w:b w:val="1"/>
          <w:bCs w:val="1"/>
          <w:color w:val="auto"/>
        </w:rPr>
      </w:pPr>
    </w:p>
    <w:p>
      <w:pPr>
        <w:ind w:left="640" w:hanging="308"/>
        <w:spacing w:after="0"/>
        <w:tabs>
          <w:tab w:leader="none" w:pos="64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color w:val="auto"/>
        </w:rPr>
        <w:t>. Election of directors need not be by written ballot unless the Bylaws shall so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color w:val="auto"/>
        </w:rPr>
        <w:t>. 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color w:val="auto"/>
        </w:rPr>
        <w:t>. 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39" w:lineRule="exact"/>
        <w:rPr>
          <w:sz w:val="20"/>
          <w:szCs w:val="20"/>
          <w:color w:val="auto"/>
        </w:rPr>
      </w:pPr>
    </w:p>
    <w:p>
      <w:pPr>
        <w:jc w:val="both"/>
        <w:ind w:firstLine="332"/>
        <w:spacing w:after="0" w:line="266" w:lineRule="auto"/>
        <w:tabs>
          <w:tab w:leader="none" w:pos="666"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color w:val="auto"/>
        </w:rPr>
        <w:t>. 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Parent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9019"/>
          </w:cols>
          <w:pgMar w:left="1440" w:top="1440" w:right="1440" w:bottom="1440" w:gutter="0" w:footer="0" w:header="0"/>
        </w:sectPr>
      </w:pPr>
    </w:p>
    <w:bookmarkStart w:id="520" w:name="page521"/>
    <w:bookmarkEnd w:id="520"/>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1763395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1789430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36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RESTATED BYLAWS</w:t>
      </w: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As Adopted [●], 2021 and</w:t>
      </w:r>
    </w:p>
    <w:p>
      <w:pPr>
        <w:spacing w:after="0" w:line="200" w:lineRule="exact"/>
        <w:rPr>
          <w:sz w:val="20"/>
          <w:szCs w:val="20"/>
          <w:color w:val="auto"/>
        </w:rPr>
      </w:pPr>
    </w:p>
    <w:p>
      <w:pPr>
        <w:spacing w:after="0" w:line="3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As Effective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391795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417830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9019"/>
          </w:cols>
          <w:pgMar w:left="1440" w:top="1440" w:right="1440" w:bottom="1440" w:gutter="0" w:footer="0" w:header="0"/>
        </w:sectPr>
      </w:pPr>
    </w:p>
    <w:bookmarkStart w:id="521" w:name="page522"/>
    <w:bookmarkEnd w:id="52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rPr>
              <w:t>[COMPANY NAME]</w:t>
            </w:r>
          </w:p>
        </w:tc>
        <w:tc>
          <w:tcPr>
            <w:tcW w:w="2440" w:type="dxa"/>
            <w:vAlign w:val="bottom"/>
          </w:tcPr>
          <w:p>
            <w:pPr>
              <w:spacing w:after="0"/>
              <w:rPr>
                <w:sz w:val="20"/>
                <w:szCs w:val="20"/>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ind w:left="3360"/>
              <w:spacing w:after="0"/>
              <w:rPr>
                <w:sz w:val="20"/>
                <w:szCs w:val="20"/>
                <w:color w:val="auto"/>
              </w:rPr>
            </w:pPr>
            <w:r>
              <w:rPr>
                <w:rFonts w:ascii="Arial" w:cs="Arial" w:eastAsia="Arial" w:hAnsi="Arial"/>
                <w:sz w:val="18"/>
                <w:szCs w:val="18"/>
                <w:color w:val="auto"/>
              </w:rPr>
              <w:t>(a Delaware corporation)</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7"/>
              </w:rPr>
              <w:t>RESTATED BYLAWS</w:t>
            </w:r>
          </w:p>
        </w:tc>
        <w:tc>
          <w:tcPr>
            <w:tcW w:w="2440" w:type="dxa"/>
            <w:vAlign w:val="bottom"/>
          </w:tcPr>
          <w:p>
            <w:pPr>
              <w:spacing w:after="0"/>
              <w:rPr>
                <w:sz w:val="24"/>
                <w:szCs w:val="24"/>
                <w:color w:val="auto"/>
              </w:rPr>
            </w:pPr>
          </w:p>
        </w:tc>
      </w:tr>
      <w:tr>
        <w:trPr>
          <w:trHeight w:val="378"/>
        </w:trPr>
        <w:tc>
          <w:tcPr>
            <w:tcW w:w="1500" w:type="dxa"/>
            <w:vAlign w:val="bottom"/>
          </w:tcPr>
          <w:p>
            <w:pPr>
              <w:spacing w:after="0"/>
              <w:rPr>
                <w:sz w:val="24"/>
                <w:szCs w:val="24"/>
                <w:color w:val="auto"/>
              </w:rPr>
            </w:pPr>
          </w:p>
        </w:tc>
        <w:tc>
          <w:tcPr>
            <w:tcW w:w="72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TABLE OF CONTENTS</w:t>
            </w:r>
          </w:p>
        </w:tc>
        <w:tc>
          <w:tcPr>
            <w:tcW w:w="2440" w:type="dxa"/>
            <w:vAlign w:val="bottom"/>
          </w:tcPr>
          <w:p>
            <w:pPr>
              <w:spacing w:after="0"/>
              <w:rPr>
                <w:sz w:val="24"/>
                <w:szCs w:val="24"/>
                <w:color w:val="auto"/>
              </w:rPr>
            </w:pPr>
          </w:p>
        </w:tc>
      </w:tr>
      <w:tr>
        <w:trPr>
          <w:trHeight w:val="257"/>
        </w:trPr>
        <w:tc>
          <w:tcPr>
            <w:tcW w:w="150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81"/>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STOCKHOLDERS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w:t>
            </w:r>
          </w:p>
        </w:tc>
        <w:tc>
          <w:tcPr>
            <w:tcW w:w="7260" w:type="dxa"/>
            <w:vAlign w:val="bottom"/>
          </w:tcPr>
          <w:p>
            <w:pPr>
              <w:ind w:left="300"/>
              <w:spacing w:after="0"/>
              <w:rPr>
                <w:sz w:val="20"/>
                <w:szCs w:val="20"/>
                <w:color w:val="auto"/>
              </w:rPr>
            </w:pPr>
            <w:r>
              <w:rPr>
                <w:rFonts w:ascii="Arial" w:cs="Arial" w:eastAsia="Arial" w:hAnsi="Arial"/>
                <w:sz w:val="18"/>
                <w:szCs w:val="18"/>
                <w:color w:val="auto"/>
              </w:rPr>
              <w:t>Annual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1.2:</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1.3:</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1.4:</w:t>
            </w:r>
          </w:p>
        </w:tc>
        <w:tc>
          <w:tcPr>
            <w:tcW w:w="7260" w:type="dxa"/>
            <w:vAlign w:val="bottom"/>
          </w:tcPr>
          <w:p>
            <w:pPr>
              <w:ind w:left="300"/>
              <w:spacing w:after="0"/>
              <w:rPr>
                <w:sz w:val="20"/>
                <w:szCs w:val="20"/>
                <w:color w:val="auto"/>
              </w:rPr>
            </w:pPr>
            <w:r>
              <w:rPr>
                <w:rFonts w:ascii="Arial" w:cs="Arial" w:eastAsia="Arial" w:hAnsi="Arial"/>
                <w:sz w:val="18"/>
                <w:szCs w:val="18"/>
                <w:color w:val="auto"/>
              </w:rPr>
              <w:t>Adjournments</w:t>
            </w:r>
          </w:p>
        </w:tc>
        <w:tc>
          <w:tcPr>
            <w:tcW w:w="24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1.5:</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1.6:</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1.7:</w:t>
            </w:r>
          </w:p>
        </w:tc>
        <w:tc>
          <w:tcPr>
            <w:tcW w:w="7260" w:type="dxa"/>
            <w:vAlign w:val="bottom"/>
          </w:tcPr>
          <w:p>
            <w:pPr>
              <w:ind w:left="300"/>
              <w:spacing w:after="0"/>
              <w:rPr>
                <w:sz w:val="20"/>
                <w:szCs w:val="20"/>
                <w:color w:val="auto"/>
              </w:rPr>
            </w:pPr>
            <w:r>
              <w:rPr>
                <w:rFonts w:ascii="Arial" w:cs="Arial" w:eastAsia="Arial" w:hAnsi="Arial"/>
                <w:sz w:val="18"/>
                <w:szCs w:val="18"/>
                <w:color w:val="auto"/>
              </w:rPr>
              <w:t>Voting; Proxies</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1.8:</w:t>
            </w:r>
          </w:p>
        </w:tc>
        <w:tc>
          <w:tcPr>
            <w:tcW w:w="7260" w:type="dxa"/>
            <w:vAlign w:val="bottom"/>
          </w:tcPr>
          <w:p>
            <w:pPr>
              <w:ind w:left="300"/>
              <w:spacing w:after="0"/>
              <w:rPr>
                <w:sz w:val="20"/>
                <w:szCs w:val="20"/>
                <w:color w:val="auto"/>
              </w:rPr>
            </w:pPr>
            <w:r>
              <w:rPr>
                <w:rFonts w:ascii="Arial" w:cs="Arial" w:eastAsia="Arial" w:hAnsi="Arial"/>
                <w:sz w:val="18"/>
                <w:szCs w:val="18"/>
                <w:color w:val="auto"/>
              </w:rPr>
              <w:t>Fixing Date for Determination of Stockholders of Record</w:t>
            </w:r>
          </w:p>
        </w:tc>
        <w:tc>
          <w:tcPr>
            <w:tcW w:w="24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1.9:</w:t>
            </w:r>
          </w:p>
        </w:tc>
        <w:tc>
          <w:tcPr>
            <w:tcW w:w="72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1.10:</w:t>
            </w:r>
          </w:p>
        </w:tc>
        <w:tc>
          <w:tcPr>
            <w:tcW w:w="7260" w:type="dxa"/>
            <w:vAlign w:val="bottom"/>
          </w:tcPr>
          <w:p>
            <w:pPr>
              <w:ind w:left="300"/>
              <w:spacing w:after="0"/>
              <w:rPr>
                <w:sz w:val="20"/>
                <w:szCs w:val="20"/>
                <w:color w:val="auto"/>
              </w:rPr>
            </w:pPr>
            <w:r>
              <w:rPr>
                <w:rFonts w:ascii="Arial" w:cs="Arial" w:eastAsia="Arial" w:hAnsi="Arial"/>
                <w:sz w:val="18"/>
                <w:szCs w:val="18"/>
                <w:color w:val="auto"/>
              </w:rPr>
              <w:t>Inspectors of Elections.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1.11:</w:t>
            </w:r>
          </w:p>
        </w:tc>
        <w:tc>
          <w:tcPr>
            <w:tcW w:w="7260" w:type="dxa"/>
            <w:vAlign w:val="bottom"/>
          </w:tcPr>
          <w:p>
            <w:pPr>
              <w:ind w:left="300"/>
              <w:spacing w:after="0"/>
              <w:rPr>
                <w:sz w:val="20"/>
                <w:szCs w:val="20"/>
                <w:color w:val="auto"/>
              </w:rPr>
            </w:pPr>
            <w:r>
              <w:rPr>
                <w:rFonts w:ascii="Arial" w:cs="Arial" w:eastAsia="Arial" w:hAnsi="Arial"/>
                <w:sz w:val="18"/>
                <w:szCs w:val="18"/>
                <w:color w:val="auto"/>
              </w:rPr>
              <w:t>Conduct of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1.12:</w:t>
            </w:r>
          </w:p>
        </w:tc>
        <w:tc>
          <w:tcPr>
            <w:tcW w:w="7260" w:type="dxa"/>
            <w:vAlign w:val="bottom"/>
          </w:tcPr>
          <w:p>
            <w:pPr>
              <w:ind w:left="300"/>
              <w:spacing w:after="0"/>
              <w:rPr>
                <w:sz w:val="20"/>
                <w:szCs w:val="20"/>
                <w:color w:val="auto"/>
              </w:rPr>
            </w:pPr>
            <w:r>
              <w:rPr>
                <w:rFonts w:ascii="Arial" w:cs="Arial" w:eastAsia="Arial" w:hAnsi="Arial"/>
                <w:sz w:val="18"/>
                <w:szCs w:val="18"/>
                <w:color w:val="auto"/>
              </w:rPr>
              <w:t>Notice of Stockholder Business; Nominations.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BOARD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w:t>
            </w:r>
          </w:p>
        </w:tc>
        <w:tc>
          <w:tcPr>
            <w:tcW w:w="7260" w:type="dxa"/>
            <w:vAlign w:val="bottom"/>
          </w:tcPr>
          <w:p>
            <w:pPr>
              <w:ind w:left="300"/>
              <w:spacing w:after="0"/>
              <w:rPr>
                <w:sz w:val="20"/>
                <w:szCs w:val="20"/>
                <w:color w:val="auto"/>
              </w:rPr>
            </w:pPr>
            <w:r>
              <w:rPr>
                <w:rFonts w:ascii="Arial" w:cs="Arial" w:eastAsia="Arial" w:hAnsi="Arial"/>
                <w:sz w:val="18"/>
                <w:szCs w:val="18"/>
                <w:color w:val="auto"/>
              </w:rPr>
              <w:t>Number; Qualifications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2.2:</w:t>
            </w:r>
          </w:p>
        </w:tc>
        <w:tc>
          <w:tcPr>
            <w:tcW w:w="7260" w:type="dxa"/>
            <w:vAlign w:val="bottom"/>
          </w:tcPr>
          <w:p>
            <w:pPr>
              <w:ind w:left="300"/>
              <w:spacing w:after="0"/>
              <w:rPr>
                <w:sz w:val="20"/>
                <w:szCs w:val="20"/>
                <w:color w:val="auto"/>
              </w:rPr>
            </w:pPr>
            <w:r>
              <w:rPr>
                <w:rFonts w:ascii="Arial" w:cs="Arial" w:eastAsia="Arial" w:hAnsi="Arial"/>
                <w:sz w:val="18"/>
                <w:szCs w:val="18"/>
                <w:color w:val="auto"/>
              </w:rPr>
              <w:t>Election; Resignation; Removal; Vacancies</w:t>
            </w:r>
          </w:p>
        </w:tc>
        <w:tc>
          <w:tcPr>
            <w:tcW w:w="24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2.3:</w:t>
            </w:r>
          </w:p>
        </w:tc>
        <w:tc>
          <w:tcPr>
            <w:tcW w:w="72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2.4:</w:t>
            </w:r>
          </w:p>
        </w:tc>
        <w:tc>
          <w:tcPr>
            <w:tcW w:w="7260" w:type="dxa"/>
            <w:vAlign w:val="bottom"/>
          </w:tcPr>
          <w:p>
            <w:pPr>
              <w:ind w:left="300"/>
              <w:spacing w:after="0"/>
              <w:rPr>
                <w:sz w:val="20"/>
                <w:szCs w:val="20"/>
                <w:color w:val="auto"/>
              </w:rPr>
            </w:pPr>
            <w:r>
              <w:rPr>
                <w:rFonts w:ascii="Arial" w:cs="Arial" w:eastAsia="Arial" w:hAnsi="Arial"/>
                <w:sz w:val="18"/>
                <w:szCs w:val="18"/>
                <w:color w:val="auto"/>
              </w:rPr>
              <w:t>Special Meetings</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2.5:</w:t>
            </w:r>
          </w:p>
        </w:tc>
        <w:tc>
          <w:tcPr>
            <w:tcW w:w="7260" w:type="dxa"/>
            <w:vAlign w:val="bottom"/>
          </w:tcPr>
          <w:p>
            <w:pPr>
              <w:ind w:left="300"/>
              <w:spacing w:after="0"/>
              <w:rPr>
                <w:sz w:val="20"/>
                <w:szCs w:val="20"/>
                <w:color w:val="auto"/>
              </w:rPr>
            </w:pPr>
            <w:r>
              <w:rPr>
                <w:rFonts w:ascii="Arial" w:cs="Arial" w:eastAsia="Arial" w:hAnsi="Arial"/>
                <w:sz w:val="18"/>
                <w:szCs w:val="18"/>
                <w:color w:val="auto"/>
              </w:rPr>
              <w:t>Remote Meetings Permitted</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2.6:</w:t>
            </w:r>
          </w:p>
        </w:tc>
        <w:tc>
          <w:tcPr>
            <w:tcW w:w="7260" w:type="dxa"/>
            <w:vAlign w:val="bottom"/>
          </w:tcPr>
          <w:p>
            <w:pPr>
              <w:ind w:left="300"/>
              <w:spacing w:after="0"/>
              <w:rPr>
                <w:sz w:val="20"/>
                <w:szCs w:val="20"/>
                <w:color w:val="auto"/>
              </w:rPr>
            </w:pPr>
            <w:r>
              <w:rPr>
                <w:rFonts w:ascii="Arial" w:cs="Arial" w:eastAsia="Arial" w:hAnsi="Arial"/>
                <w:sz w:val="18"/>
                <w:szCs w:val="18"/>
                <w:color w:val="auto"/>
              </w:rPr>
              <w:t>Quorum; Vote Required for Action</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2.7:</w:t>
            </w:r>
          </w:p>
        </w:tc>
        <w:tc>
          <w:tcPr>
            <w:tcW w:w="7260" w:type="dxa"/>
            <w:vAlign w:val="bottom"/>
          </w:tcPr>
          <w:p>
            <w:pPr>
              <w:ind w:left="300"/>
              <w:spacing w:after="0"/>
              <w:rPr>
                <w:sz w:val="20"/>
                <w:szCs w:val="20"/>
                <w:color w:val="auto"/>
              </w:rPr>
            </w:pPr>
            <w:r>
              <w:rPr>
                <w:rFonts w:ascii="Arial" w:cs="Arial" w:eastAsia="Arial" w:hAnsi="Arial"/>
                <w:sz w:val="18"/>
                <w:szCs w:val="18"/>
                <w:color w:val="auto"/>
              </w:rPr>
              <w:t>Organization</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2.8:</w:t>
            </w:r>
          </w:p>
        </w:tc>
        <w:tc>
          <w:tcPr>
            <w:tcW w:w="7260" w:type="dxa"/>
            <w:vAlign w:val="bottom"/>
          </w:tcPr>
          <w:p>
            <w:pPr>
              <w:ind w:left="300"/>
              <w:spacing w:after="0"/>
              <w:rPr>
                <w:sz w:val="20"/>
                <w:szCs w:val="20"/>
                <w:color w:val="auto"/>
              </w:rPr>
            </w:pPr>
            <w:r>
              <w:rPr>
                <w:rFonts w:ascii="Arial" w:cs="Arial" w:eastAsia="Arial" w:hAnsi="Arial"/>
                <w:sz w:val="18"/>
                <w:szCs w:val="18"/>
                <w:color w:val="auto"/>
              </w:rPr>
              <w:t>Unanimous Action by Directors in Lieu of a Meeting</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2.9:</w:t>
            </w:r>
          </w:p>
        </w:tc>
        <w:tc>
          <w:tcPr>
            <w:tcW w:w="7260" w:type="dxa"/>
            <w:vAlign w:val="bottom"/>
          </w:tcPr>
          <w:p>
            <w:pPr>
              <w:ind w:left="300"/>
              <w:spacing w:after="0"/>
              <w:rPr>
                <w:sz w:val="20"/>
                <w:szCs w:val="20"/>
                <w:color w:val="auto"/>
              </w:rPr>
            </w:pPr>
            <w:r>
              <w:rPr>
                <w:rFonts w:ascii="Arial" w:cs="Arial" w:eastAsia="Arial" w:hAnsi="Arial"/>
                <w:sz w:val="18"/>
                <w:szCs w:val="18"/>
                <w:color w:val="auto"/>
              </w:rPr>
              <w:t>Powers</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2.10:</w:t>
            </w:r>
          </w:p>
        </w:tc>
        <w:tc>
          <w:tcPr>
            <w:tcW w:w="7260" w:type="dxa"/>
            <w:vAlign w:val="bottom"/>
          </w:tcPr>
          <w:p>
            <w:pPr>
              <w:ind w:left="300"/>
              <w:spacing w:after="0"/>
              <w:rPr>
                <w:sz w:val="20"/>
                <w:szCs w:val="20"/>
                <w:color w:val="auto"/>
              </w:rPr>
            </w:pPr>
            <w:r>
              <w:rPr>
                <w:rFonts w:ascii="Arial" w:cs="Arial" w:eastAsia="Arial" w:hAnsi="Arial"/>
                <w:sz w:val="18"/>
                <w:szCs w:val="18"/>
                <w:color w:val="auto"/>
              </w:rPr>
              <w:t>Compensation of Directors</w:t>
            </w:r>
          </w:p>
        </w:tc>
        <w:tc>
          <w:tcPr>
            <w:tcW w:w="24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2.11:</w:t>
            </w:r>
          </w:p>
        </w:tc>
        <w:tc>
          <w:tcPr>
            <w:tcW w:w="7260" w:type="dxa"/>
            <w:vAlign w:val="bottom"/>
          </w:tcPr>
          <w:p>
            <w:pPr>
              <w:ind w:left="300"/>
              <w:spacing w:after="0"/>
              <w:rPr>
                <w:sz w:val="20"/>
                <w:szCs w:val="20"/>
                <w:color w:val="auto"/>
              </w:rPr>
            </w:pPr>
            <w:r>
              <w:rPr>
                <w:rFonts w:ascii="Arial" w:cs="Arial" w:eastAsia="Arial" w:hAnsi="Arial"/>
                <w:sz w:val="18"/>
                <w:szCs w:val="18"/>
                <w:color w:val="auto"/>
              </w:rPr>
              <w:t>Confidentiality</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3.1:</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3.2:</w:t>
            </w:r>
          </w:p>
        </w:tc>
        <w:tc>
          <w:tcPr>
            <w:tcW w:w="7260" w:type="dxa"/>
            <w:vAlign w:val="bottom"/>
          </w:tcPr>
          <w:p>
            <w:pPr>
              <w:ind w:left="300"/>
              <w:spacing w:after="0"/>
              <w:rPr>
                <w:sz w:val="20"/>
                <w:szCs w:val="20"/>
                <w:color w:val="auto"/>
              </w:rPr>
            </w:pPr>
            <w:r>
              <w:rPr>
                <w:rFonts w:ascii="Arial" w:cs="Arial" w:eastAsia="Arial" w:hAnsi="Arial"/>
                <w:sz w:val="18"/>
                <w:szCs w:val="18"/>
                <w:color w:val="auto"/>
              </w:rPr>
              <w:t>Committee Rules</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OFFICERS; CHAIRPERSON; 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4.1:</w:t>
            </w:r>
          </w:p>
        </w:tc>
        <w:tc>
          <w:tcPr>
            <w:tcW w:w="7260" w:type="dxa"/>
            <w:vAlign w:val="bottom"/>
          </w:tcPr>
          <w:p>
            <w:pPr>
              <w:ind w:left="300"/>
              <w:spacing w:after="0"/>
              <w:rPr>
                <w:sz w:val="20"/>
                <w:szCs w:val="20"/>
                <w:color w:val="auto"/>
              </w:rPr>
            </w:pPr>
            <w:r>
              <w:rPr>
                <w:rFonts w:ascii="Arial" w:cs="Arial" w:eastAsia="Arial" w:hAnsi="Arial"/>
                <w:sz w:val="18"/>
                <w:szCs w:val="18"/>
                <w:color w:val="auto"/>
              </w:rPr>
              <w:t>Generally</w:t>
            </w:r>
          </w:p>
        </w:tc>
        <w:tc>
          <w:tcPr>
            <w:tcW w:w="24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4.2:</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Executive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4.3:</w:t>
            </w:r>
          </w:p>
        </w:tc>
        <w:tc>
          <w:tcPr>
            <w:tcW w:w="7260" w:type="dxa"/>
            <w:vAlign w:val="bottom"/>
          </w:tcPr>
          <w:p>
            <w:pPr>
              <w:ind w:left="300"/>
              <w:spacing w:after="0"/>
              <w:rPr>
                <w:sz w:val="20"/>
                <w:szCs w:val="20"/>
                <w:color w:val="auto"/>
              </w:rPr>
            </w:pPr>
            <w:r>
              <w:rPr>
                <w:rFonts w:ascii="Arial" w:cs="Arial" w:eastAsia="Arial" w:hAnsi="Arial"/>
                <w:sz w:val="18"/>
                <w:szCs w:val="18"/>
                <w:color w:val="auto"/>
              </w:rPr>
              <w:t>Chairperson of the Board</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4.4:</w:t>
            </w:r>
          </w:p>
        </w:tc>
        <w:tc>
          <w:tcPr>
            <w:tcW w:w="7260" w:type="dxa"/>
            <w:vAlign w:val="bottom"/>
          </w:tcPr>
          <w:p>
            <w:pPr>
              <w:ind w:left="300"/>
              <w:spacing w:after="0"/>
              <w:rPr>
                <w:sz w:val="20"/>
                <w:szCs w:val="20"/>
                <w:color w:val="auto"/>
              </w:rPr>
            </w:pPr>
            <w:r>
              <w:rPr>
                <w:rFonts w:ascii="Arial" w:cs="Arial" w:eastAsia="Arial" w:hAnsi="Arial"/>
                <w:sz w:val="18"/>
                <w:szCs w:val="18"/>
                <w:color w:val="auto"/>
              </w:rPr>
              <w:t>Lead Independent Director</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4.5:</w:t>
            </w:r>
          </w:p>
        </w:tc>
        <w:tc>
          <w:tcPr>
            <w:tcW w:w="7260" w:type="dxa"/>
            <w:vAlign w:val="bottom"/>
          </w:tcPr>
          <w:p>
            <w:pPr>
              <w:ind w:left="300"/>
              <w:spacing w:after="0"/>
              <w:rPr>
                <w:sz w:val="20"/>
                <w:szCs w:val="20"/>
                <w:color w:val="auto"/>
              </w:rPr>
            </w:pPr>
            <w:r>
              <w:rPr>
                <w:rFonts w:ascii="Arial" w:cs="Arial" w:eastAsia="Arial" w:hAnsi="Arial"/>
                <w:sz w:val="18"/>
                <w:szCs w:val="18"/>
                <w:color w:val="auto"/>
              </w:rPr>
              <w:t>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4.6:</w:t>
            </w:r>
          </w:p>
        </w:tc>
        <w:tc>
          <w:tcPr>
            <w:tcW w:w="7260" w:type="dxa"/>
            <w:vAlign w:val="bottom"/>
          </w:tcPr>
          <w:p>
            <w:pPr>
              <w:ind w:left="30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4.7:</w:t>
            </w:r>
          </w:p>
        </w:tc>
        <w:tc>
          <w:tcPr>
            <w:tcW w:w="7260" w:type="dxa"/>
            <w:vAlign w:val="bottom"/>
          </w:tcPr>
          <w:p>
            <w:pPr>
              <w:ind w:left="300"/>
              <w:spacing w:after="0"/>
              <w:rPr>
                <w:sz w:val="20"/>
                <w:szCs w:val="20"/>
                <w:color w:val="auto"/>
              </w:rPr>
            </w:pPr>
            <w:r>
              <w:rPr>
                <w:rFonts w:ascii="Arial" w:cs="Arial" w:eastAsia="Arial" w:hAnsi="Arial"/>
                <w:sz w:val="18"/>
                <w:szCs w:val="18"/>
                <w:color w:val="auto"/>
              </w:rPr>
              <w:t>Treasurer</w:t>
            </w:r>
          </w:p>
        </w:tc>
        <w:tc>
          <w:tcPr>
            <w:tcW w:w="2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4"/>
        </w:trPr>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Section 4.8:</w:t>
            </w:r>
          </w:p>
        </w:tc>
        <w:tc>
          <w:tcPr>
            <w:tcW w:w="7260" w:type="dxa"/>
            <w:vAlign w:val="bottom"/>
          </w:tcPr>
          <w:p>
            <w:pPr>
              <w:ind w:left="300"/>
              <w:spacing w:after="0"/>
              <w:rPr>
                <w:sz w:val="20"/>
                <w:szCs w:val="20"/>
                <w:color w:val="auto"/>
              </w:rPr>
            </w:pPr>
            <w:r>
              <w:rPr>
                <w:rFonts w:ascii="Arial" w:cs="Arial" w:eastAsia="Arial" w:hAnsi="Arial"/>
                <w:sz w:val="18"/>
                <w:szCs w:val="18"/>
                <w:color w:val="auto"/>
              </w:rPr>
              <w:t>Vice President</w:t>
            </w:r>
          </w:p>
        </w:tc>
        <w:tc>
          <w:tcPr>
            <w:tcW w:w="244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200"/>
          </w:cols>
          <w:pgMar w:left="340" w:top="1440" w:right="359" w:bottom="1440" w:gutter="0" w:footer="0" w:header="0"/>
        </w:sectPr>
      </w:pPr>
    </w:p>
    <w:bookmarkStart w:id="522" w:name="page523"/>
    <w:bookmarkEnd w:id="522"/>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4.9:</w:t>
            </w:r>
          </w:p>
        </w:tc>
        <w:tc>
          <w:tcPr>
            <w:tcW w:w="818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4.10:</w:t>
            </w:r>
          </w:p>
        </w:tc>
        <w:tc>
          <w:tcPr>
            <w:tcW w:w="8180" w:type="dxa"/>
            <w:vAlign w:val="bottom"/>
          </w:tcPr>
          <w:p>
            <w:pPr>
              <w:ind w:left="40"/>
              <w:spacing w:after="0"/>
              <w:rPr>
                <w:sz w:val="20"/>
                <w:szCs w:val="20"/>
                <w:color w:val="auto"/>
              </w:rPr>
            </w:pPr>
            <w:r>
              <w:rPr>
                <w:rFonts w:ascii="Arial" w:cs="Arial" w:eastAsia="Arial" w:hAnsi="Arial"/>
                <w:sz w:val="18"/>
                <w:szCs w:val="18"/>
                <w:color w:val="auto"/>
              </w:rPr>
              <w:t>Delegation of Authority</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4.11:</w:t>
            </w:r>
          </w:p>
        </w:tc>
        <w:tc>
          <w:tcPr>
            <w:tcW w:w="8180" w:type="dxa"/>
            <w:vAlign w:val="bottom"/>
          </w:tcPr>
          <w:p>
            <w:pPr>
              <w:ind w:left="40"/>
              <w:spacing w:after="0"/>
              <w:rPr>
                <w:sz w:val="20"/>
                <w:szCs w:val="20"/>
                <w:color w:val="auto"/>
              </w:rPr>
            </w:pPr>
            <w:r>
              <w:rPr>
                <w:rFonts w:ascii="Arial" w:cs="Arial" w:eastAsia="Arial" w:hAnsi="Arial"/>
                <w:sz w:val="18"/>
                <w:szCs w:val="18"/>
                <w:color w:val="auto"/>
              </w:rPr>
              <w:t>Removal</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1760" w:type="dxa"/>
            <w:vAlign w:val="bottom"/>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STOCK</w:t>
            </w:r>
          </w:p>
        </w:tc>
        <w:tc>
          <w:tcPr>
            <w:tcW w:w="8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5.1:</w:t>
            </w:r>
          </w:p>
        </w:tc>
        <w:tc>
          <w:tcPr>
            <w:tcW w:w="8180" w:type="dxa"/>
            <w:vAlign w:val="bottom"/>
          </w:tcPr>
          <w:p>
            <w:pPr>
              <w:ind w:left="40"/>
              <w:spacing w:after="0"/>
              <w:rPr>
                <w:sz w:val="20"/>
                <w:szCs w:val="20"/>
                <w:color w:val="auto"/>
              </w:rPr>
            </w:pPr>
            <w:r>
              <w:rPr>
                <w:rFonts w:ascii="Arial" w:cs="Arial" w:eastAsia="Arial" w:hAnsi="Arial"/>
                <w:sz w:val="18"/>
                <w:szCs w:val="18"/>
                <w:color w:val="auto"/>
              </w:rPr>
              <w:t>Certificates; Uncertificated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5.2:</w:t>
            </w:r>
          </w:p>
        </w:tc>
        <w:tc>
          <w:tcPr>
            <w:tcW w:w="8180" w:type="dxa"/>
            <w:vAlign w:val="bottom"/>
          </w:tcPr>
          <w:p>
            <w:pPr>
              <w:ind w:left="40"/>
              <w:spacing w:after="0"/>
              <w:rPr>
                <w:sz w:val="20"/>
                <w:szCs w:val="20"/>
                <w:color w:val="auto"/>
              </w:rPr>
            </w:pPr>
            <w:r>
              <w:rPr>
                <w:rFonts w:ascii="Arial" w:cs="Arial" w:eastAsia="Arial" w:hAnsi="Arial"/>
                <w:sz w:val="18"/>
                <w:szCs w:val="18"/>
                <w:color w:val="auto"/>
              </w:rPr>
              <w:t>Lost, Stolen or Destroyed Stock Certificates; Issuance of New Certificates or Uncertificated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5.3:</w:t>
            </w:r>
          </w:p>
        </w:tc>
        <w:tc>
          <w:tcPr>
            <w:tcW w:w="818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6.1:</w:t>
            </w:r>
          </w:p>
        </w:tc>
        <w:tc>
          <w:tcPr>
            <w:tcW w:w="8180" w:type="dxa"/>
            <w:vAlign w:val="bottom"/>
          </w:tcPr>
          <w:p>
            <w:pPr>
              <w:ind w:left="40"/>
              <w:spacing w:after="0"/>
              <w:rPr>
                <w:sz w:val="20"/>
                <w:szCs w:val="20"/>
                <w:color w:val="auto"/>
              </w:rPr>
            </w:pPr>
            <w:r>
              <w:rPr>
                <w:rFonts w:ascii="Arial" w:cs="Arial" w:eastAsia="Arial" w:hAnsi="Arial"/>
                <w:sz w:val="18"/>
                <w:szCs w:val="18"/>
                <w:color w:val="auto"/>
              </w:rPr>
              <w:t>Indemnification of Officers and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6.2:</w:t>
            </w:r>
          </w:p>
        </w:tc>
        <w:tc>
          <w:tcPr>
            <w:tcW w:w="8180" w:type="dxa"/>
            <w:vAlign w:val="bottom"/>
          </w:tcPr>
          <w:p>
            <w:pPr>
              <w:ind w:left="40"/>
              <w:spacing w:after="0"/>
              <w:rPr>
                <w:sz w:val="20"/>
                <w:szCs w:val="20"/>
                <w:color w:val="auto"/>
              </w:rPr>
            </w:pPr>
            <w:r>
              <w:rPr>
                <w:rFonts w:ascii="Arial" w:cs="Arial" w:eastAsia="Arial" w:hAnsi="Arial"/>
                <w:sz w:val="18"/>
                <w:szCs w:val="18"/>
                <w:color w:val="auto"/>
              </w:rPr>
              <w:t>Advancement of Expenses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6.3:</w:t>
            </w:r>
          </w:p>
        </w:tc>
        <w:tc>
          <w:tcPr>
            <w:tcW w:w="818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6.4:</w:t>
            </w:r>
          </w:p>
        </w:tc>
        <w:tc>
          <w:tcPr>
            <w:tcW w:w="818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6.5:</w:t>
            </w:r>
          </w:p>
        </w:tc>
        <w:tc>
          <w:tcPr>
            <w:tcW w:w="8180" w:type="dxa"/>
            <w:vAlign w:val="bottom"/>
          </w:tcPr>
          <w:p>
            <w:pPr>
              <w:ind w:left="40"/>
              <w:spacing w:after="0"/>
              <w:rPr>
                <w:sz w:val="20"/>
                <w:szCs w:val="20"/>
                <w:color w:val="auto"/>
              </w:rPr>
            </w:pPr>
            <w:r>
              <w:rPr>
                <w:rFonts w:ascii="Arial" w:cs="Arial" w:eastAsia="Arial" w:hAnsi="Arial"/>
                <w:sz w:val="18"/>
                <w:szCs w:val="18"/>
                <w:color w:val="auto"/>
              </w:rPr>
              <w:t>Right of Indemnitee to Bring Suit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6.6:</w:t>
            </w:r>
          </w:p>
        </w:tc>
        <w:tc>
          <w:tcPr>
            <w:tcW w:w="8180" w:type="dxa"/>
            <w:vAlign w:val="bottom"/>
          </w:tcPr>
          <w:p>
            <w:pPr>
              <w:ind w:left="40"/>
              <w:spacing w:after="0"/>
              <w:rPr>
                <w:sz w:val="20"/>
                <w:szCs w:val="20"/>
                <w:color w:val="auto"/>
              </w:rPr>
            </w:pPr>
            <w:r>
              <w:rPr>
                <w:rFonts w:ascii="Arial" w:cs="Arial" w:eastAsia="Arial" w:hAnsi="Arial"/>
                <w:sz w:val="18"/>
                <w:szCs w:val="18"/>
                <w:color w:val="auto"/>
              </w:rPr>
              <w:t>Nature of Rights</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6.7:</w:t>
            </w:r>
          </w:p>
        </w:tc>
        <w:tc>
          <w:tcPr>
            <w:tcW w:w="818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6.8:</w:t>
            </w:r>
          </w:p>
        </w:tc>
        <w:tc>
          <w:tcPr>
            <w:tcW w:w="81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9"/>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 xml:space="preserve">Article VII: </w:t>
            </w:r>
            <w:r>
              <w:rPr>
                <w:rFonts w:ascii="Arial" w:cs="Arial" w:eastAsia="Arial" w:hAnsi="Arial"/>
                <w:sz w:val="18"/>
                <w:szCs w:val="18"/>
                <w:color w:val="auto"/>
                <w:w w:val="99"/>
              </w:rPr>
              <w:t>NOTICES</w:t>
            </w:r>
          </w:p>
        </w:tc>
        <w:tc>
          <w:tcPr>
            <w:tcW w:w="8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7.1:</w:t>
            </w:r>
          </w:p>
        </w:tc>
        <w:tc>
          <w:tcPr>
            <w:tcW w:w="8180" w:type="dxa"/>
            <w:vAlign w:val="bottom"/>
          </w:tcPr>
          <w:p>
            <w:pPr>
              <w:ind w:left="40"/>
              <w:spacing w:after="0"/>
              <w:rPr>
                <w:sz w:val="20"/>
                <w:szCs w:val="20"/>
                <w:color w:val="auto"/>
              </w:rPr>
            </w:pPr>
            <w:r>
              <w:rPr>
                <w:rFonts w:ascii="Arial" w:cs="Arial" w:eastAsia="Arial" w:hAnsi="Arial"/>
                <w:sz w:val="18"/>
                <w:szCs w:val="18"/>
                <w:color w:val="auto"/>
              </w:rPr>
              <w:t>Notice.</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7.2:</w:t>
            </w:r>
          </w:p>
        </w:tc>
        <w:tc>
          <w:tcPr>
            <w:tcW w:w="8180" w:type="dxa"/>
            <w:vAlign w:val="bottom"/>
          </w:tcPr>
          <w:p>
            <w:pPr>
              <w:ind w:left="40"/>
              <w:spacing w:after="0"/>
              <w:rPr>
                <w:sz w:val="20"/>
                <w:szCs w:val="20"/>
                <w:color w:val="auto"/>
              </w:rPr>
            </w:pPr>
            <w:r>
              <w:rPr>
                <w:rFonts w:ascii="Arial" w:cs="Arial" w:eastAsia="Arial" w:hAnsi="Arial"/>
                <w:sz w:val="18"/>
                <w:szCs w:val="18"/>
                <w:color w:val="auto"/>
              </w:rPr>
              <w:t>Waiver of Notice</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color w:val="auto"/>
              </w:rPr>
              <w:t>INTERESTED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8.1:</w:t>
            </w:r>
          </w:p>
        </w:tc>
        <w:tc>
          <w:tcPr>
            <w:tcW w:w="818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8.2:</w:t>
            </w:r>
          </w:p>
        </w:tc>
        <w:tc>
          <w:tcPr>
            <w:tcW w:w="8180" w:type="dxa"/>
            <w:vAlign w:val="bottom"/>
          </w:tcPr>
          <w:p>
            <w:pPr>
              <w:ind w:left="40"/>
              <w:spacing w:after="0"/>
              <w:rPr>
                <w:sz w:val="20"/>
                <w:szCs w:val="20"/>
                <w:color w:val="auto"/>
              </w:rPr>
            </w:pPr>
            <w:r>
              <w:rPr>
                <w:rFonts w:ascii="Arial" w:cs="Arial" w:eastAsia="Arial" w:hAnsi="Arial"/>
                <w:sz w:val="18"/>
                <w:szCs w:val="18"/>
                <w:color w:val="auto"/>
              </w:rPr>
              <w:t>Quorum</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9"/>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color w:val="auto"/>
              </w:rPr>
              <w:t>MISCELLANEOUS</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9.1:</w:t>
            </w:r>
          </w:p>
        </w:tc>
        <w:tc>
          <w:tcPr>
            <w:tcW w:w="818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9.2:</w:t>
            </w:r>
          </w:p>
        </w:tc>
        <w:tc>
          <w:tcPr>
            <w:tcW w:w="8180" w:type="dxa"/>
            <w:vAlign w:val="bottom"/>
          </w:tcPr>
          <w:p>
            <w:pPr>
              <w:ind w:left="40"/>
              <w:spacing w:after="0"/>
              <w:rPr>
                <w:sz w:val="20"/>
                <w:szCs w:val="20"/>
                <w:color w:val="auto"/>
              </w:rPr>
            </w:pPr>
            <w:r>
              <w:rPr>
                <w:rFonts w:ascii="Arial" w:cs="Arial" w:eastAsia="Arial" w:hAnsi="Arial"/>
                <w:sz w:val="18"/>
                <w:szCs w:val="18"/>
                <w:color w:val="auto"/>
              </w:rPr>
              <w:t>Seal</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9.3:</w:t>
            </w:r>
          </w:p>
        </w:tc>
        <w:tc>
          <w:tcPr>
            <w:tcW w:w="8180" w:type="dxa"/>
            <w:vAlign w:val="bottom"/>
          </w:tcPr>
          <w:p>
            <w:pPr>
              <w:ind w:left="40"/>
              <w:spacing w:after="0"/>
              <w:rPr>
                <w:sz w:val="20"/>
                <w:szCs w:val="20"/>
                <w:color w:val="auto"/>
              </w:rPr>
            </w:pPr>
            <w:r>
              <w:rPr>
                <w:rFonts w:ascii="Arial" w:cs="Arial" w:eastAsia="Arial" w:hAnsi="Arial"/>
                <w:sz w:val="18"/>
                <w:szCs w:val="18"/>
                <w:color w:val="auto"/>
              </w:rPr>
              <w:t>Form of Records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9.4:</w:t>
            </w:r>
          </w:p>
        </w:tc>
        <w:tc>
          <w:tcPr>
            <w:tcW w:w="8180" w:type="dxa"/>
            <w:vAlign w:val="bottom"/>
          </w:tcPr>
          <w:p>
            <w:pPr>
              <w:ind w:left="40"/>
              <w:spacing w:after="0"/>
              <w:rPr>
                <w:sz w:val="20"/>
                <w:szCs w:val="20"/>
                <w:color w:val="auto"/>
              </w:rPr>
            </w:pPr>
            <w:r>
              <w:rPr>
                <w:rFonts w:ascii="Arial" w:cs="Arial" w:eastAsia="Arial" w:hAnsi="Arial"/>
                <w:sz w:val="18"/>
                <w:szCs w:val="18"/>
                <w:color w:val="auto"/>
              </w:rPr>
              <w:t>Reliance Upon Books and Records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9.5:</w:t>
            </w:r>
          </w:p>
        </w:tc>
        <w:tc>
          <w:tcPr>
            <w:tcW w:w="8180" w:type="dxa"/>
            <w:vAlign w:val="bottom"/>
          </w:tcPr>
          <w:p>
            <w:pPr>
              <w:ind w:left="40"/>
              <w:spacing w:after="0"/>
              <w:rPr>
                <w:sz w:val="20"/>
                <w:szCs w:val="20"/>
                <w:color w:val="auto"/>
              </w:rPr>
            </w:pPr>
            <w:r>
              <w:rPr>
                <w:rFonts w:ascii="Arial" w:cs="Arial" w:eastAsia="Arial" w:hAnsi="Arial"/>
                <w:sz w:val="18"/>
                <w:szCs w:val="18"/>
                <w:color w:val="auto"/>
              </w:rPr>
              <w:t>Certificate of Incorporation Governs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9.6:</w:t>
            </w:r>
          </w:p>
        </w:tc>
        <w:tc>
          <w:tcPr>
            <w:tcW w:w="818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4"/>
        </w:trPr>
        <w:tc>
          <w:tcPr>
            <w:tcW w:w="1760" w:type="dxa"/>
            <w:vAlign w:val="bottom"/>
          </w:tcPr>
          <w:p>
            <w:pPr>
              <w:ind w:left="220"/>
              <w:spacing w:after="0"/>
              <w:rPr>
                <w:sz w:val="20"/>
                <w:szCs w:val="20"/>
                <w:color w:val="auto"/>
              </w:rPr>
            </w:pPr>
            <w:r>
              <w:rPr>
                <w:rFonts w:ascii="Arial" w:cs="Arial" w:eastAsia="Arial" w:hAnsi="Arial"/>
                <w:sz w:val="18"/>
                <w:szCs w:val="18"/>
                <w:b w:val="1"/>
                <w:bCs w:val="1"/>
                <w:color w:val="auto"/>
              </w:rPr>
              <w:t>Section 9.7:</w:t>
            </w:r>
          </w:p>
        </w:tc>
        <w:tc>
          <w:tcPr>
            <w:tcW w:w="818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4"/>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color w:val="auto"/>
              </w:rPr>
              <w:t>AMENDMENT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83"/>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color w:val="auto"/>
              </w:rPr>
              <w:t>EXCLUSIVE FORUM</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200"/>
          </w:cols>
          <w:pgMar w:left="340" w:top="1440" w:right="359" w:bottom="1440" w:gutter="0" w:footer="0" w:header="0"/>
        </w:sectPr>
      </w:pPr>
    </w:p>
    <w:bookmarkStart w:id="523" w:name="page524"/>
    <w:bookmarkEnd w:id="523"/>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Delaware corporation)</w:t>
      </w:r>
    </w:p>
    <w:p>
      <w:pPr>
        <w:spacing w:after="0" w:line="16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RESTATED BYLAWS</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Adopted [●], 2021 and</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As Effective [●], 2021</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STOCKHOLDERS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Annual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meeting of stockholders shall be held for the election of directors at such date and time as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shall each year fix. Annual meetings may be held either at a place, within or without the State of Delaware as permitted by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 by means of remote communication as the Board in its sole discretion may determine. Any proper business may be transacted at the annual meeting. The Board may postpone, reschedule or cancel any previously scheduled annual meeting of stockholders.</w:t>
      </w:r>
    </w:p>
    <w:p>
      <w:pPr>
        <w:spacing w:after="0" w:line="129"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Special Meetings</w:t>
      </w:r>
      <w:r>
        <w:rPr>
          <w:rFonts w:ascii="Arial" w:cs="Arial" w:eastAsia="Arial" w:hAnsi="Arial"/>
          <w:sz w:val="16"/>
          <w:szCs w:val="16"/>
          <w:color w:val="auto"/>
        </w:rPr>
        <w:t>. Special meetings of stockholders for any purpose or purposes shall be called in the manner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of the Corporation (as the same may be amended and/or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 The Board may postpone, reschedule or cancel any previously scheduled special meeting of stockholders.</w:t>
      </w:r>
    </w:p>
    <w:p>
      <w:pPr>
        <w:spacing w:after="0" w:line="100" w:lineRule="exact"/>
        <w:rPr>
          <w:sz w:val="20"/>
          <w:szCs w:val="20"/>
          <w:color w:val="auto"/>
        </w:rPr>
      </w:pPr>
    </w:p>
    <w:p>
      <w:pPr>
        <w:jc w:val="both"/>
        <w:ind w:right="80" w:firstLine="324"/>
        <w:spacing w:after="0" w:line="272"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Notice of Meetings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 meetings of stockholders shall be given in writing or by electronic transmission in the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applicable law (including, without limitation, as set forth in Section 7.1.1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118" w:lineRule="exact"/>
        <w:rPr>
          <w:sz w:val="20"/>
          <w:szCs w:val="20"/>
          <w:color w:val="auto"/>
        </w:rPr>
      </w:pPr>
    </w:p>
    <w:p>
      <w:pPr>
        <w:jc w:val="both"/>
        <w:ind w:right="80" w:firstLine="324"/>
        <w:spacing w:after="0" w:line="288"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Adjournments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Section 1.5 of these Bylaws, the chairperson of the meeting shall have the power to adjourn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to another time, date and place (if any), regardless of whether a quorum is present, at any time and for any reason. Any meeting of stockholders, annual or special, may be adjourned from time to time, and notice need not be given of any such adjourned meeting if the time, date and place (if any) thereof and the means of remote communication (if any) by which stockholders and proxy holders may be deemed to be present in person and vote at such adjourned meeting are announced at the meeting at which the adjournment is taken;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the adjournment is for more than thirty (30)days,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1240"/>
          </w:cols>
          <w:pgMar w:left="320" w:top="1440" w:right="339" w:bottom="1440" w:gutter="0" w:footer="0" w:header="0"/>
        </w:sectPr>
      </w:pPr>
    </w:p>
    <w:bookmarkStart w:id="524" w:name="page525"/>
    <w:bookmarkEnd w:id="524"/>
    <w:p>
      <w:pPr>
        <w:spacing w:after="0" w:line="143"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9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provided by applicable law, the Certificate of Incorporation or these Bylaws, at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the Corporation (or to another corporation, if a majority of the shares entitled to vote in the election of directors of such other corporation are held, directly or indirectly, by the Corporation), shall neither be entitled to vote nor be counted for quorum purposes;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114"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7"/>
          <w:szCs w:val="17"/>
          <w:b w:val="1"/>
          <w:bCs w:val="1"/>
          <w:color w:val="auto"/>
        </w:rPr>
        <w:t xml:space="preserve">Section 1.6: </w:t>
      </w:r>
      <w:r>
        <w:rPr>
          <w:rFonts w:ascii="Arial" w:cs="Arial" w:eastAsia="Arial" w:hAnsi="Arial"/>
          <w:sz w:val="17"/>
          <w:szCs w:val="17"/>
          <w:b w:val="1"/>
          <w:bCs w:val="1"/>
          <w:u w:val="single" w:color="auto"/>
          <w:color w:val="auto"/>
        </w:rPr>
        <w:t>Organization</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of stockholders shall be presided over by (a) such person as the Board may designate, or (b) in the absence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 person, the Chairperson of the Board, or (c) in the absence of such person, the Lead Independent Director, or, (d) in the absence of such person, the Chief Executive Officer of the Corporation, or (e) in the absence of such person, the President of the Corporation, or (f) in the absence of such person, by a Vice President of the Corporation. The Secretary of the Corporation shall act as secretary of the meeting, but in such person’s absence the chairperson of the meeting may appoint any person to act as secretary of the meeting.</w:t>
      </w:r>
    </w:p>
    <w:p>
      <w:pPr>
        <w:spacing w:after="0" w:line="114" w:lineRule="exact"/>
        <w:rPr>
          <w:sz w:val="20"/>
          <w:szCs w:val="20"/>
          <w:color w:val="auto"/>
        </w:rPr>
      </w:pPr>
    </w:p>
    <w:p>
      <w:pPr>
        <w:jc w:val="both"/>
        <w:ind w:right="80" w:firstLine="324"/>
        <w:spacing w:after="0" w:line="269" w:lineRule="auto"/>
        <w:rPr>
          <w:sz w:val="20"/>
          <w:szCs w:val="20"/>
          <w:color w:val="auto"/>
        </w:rPr>
      </w:pPr>
      <w:r>
        <w:rPr>
          <w:rFonts w:ascii="Arial" w:cs="Arial" w:eastAsia="Arial" w:hAnsi="Arial"/>
          <w:sz w:val="17"/>
          <w:szCs w:val="17"/>
          <w:b w:val="1"/>
          <w:bCs w:val="1"/>
          <w:color w:val="auto"/>
        </w:rPr>
        <w:t xml:space="preserve">Section 1.7: </w:t>
      </w:r>
      <w:r>
        <w:rPr>
          <w:rFonts w:ascii="Arial" w:cs="Arial" w:eastAsia="Arial" w:hAnsi="Arial"/>
          <w:sz w:val="17"/>
          <w:szCs w:val="17"/>
          <w:b w:val="1"/>
          <w:bCs w:val="1"/>
          <w:u w:val="single" w:color="auto"/>
          <w:color w:val="auto"/>
        </w:rPr>
        <w:t>Voting; Proxies</w:t>
      </w:r>
      <w:r>
        <w:rPr>
          <w:rFonts w:ascii="Arial" w:cs="Arial" w:eastAsia="Arial" w:hAnsi="Arial"/>
          <w:sz w:val="17"/>
          <w:szCs w:val="17"/>
          <w:b w:val="1"/>
          <w:bCs w:val="1"/>
          <w:color w:val="auto"/>
        </w:rPr>
        <w:t xml:space="preserve">. </w:t>
      </w:r>
      <w:r>
        <w:rPr>
          <w:rFonts w:ascii="Arial" w:cs="Arial" w:eastAsia="Arial" w:hAnsi="Arial"/>
          <w:sz w:val="17"/>
          <w:szCs w:val="17"/>
          <w:color w:val="auto"/>
        </w:rPr>
        <w:t>Each stockholder of record entitled to vote at a meeting of stockholders may authorize another person or persons to</w:t>
      </w:r>
      <w:r>
        <w:rPr>
          <w:rFonts w:ascii="Arial" w:cs="Arial" w:eastAsia="Arial" w:hAnsi="Arial"/>
          <w:sz w:val="17"/>
          <w:szCs w:val="17"/>
          <w:b w:val="1"/>
          <w:bCs w:val="1"/>
          <w:color w:val="auto"/>
        </w:rPr>
        <w:t xml:space="preserve"> </w:t>
      </w:r>
      <w:r>
        <w:rPr>
          <w:rFonts w:ascii="Arial" w:cs="Arial" w:eastAsia="Arial" w:hAnsi="Arial"/>
          <w:sz w:val="17"/>
          <w:szCs w:val="17"/>
          <w:color w:val="auto"/>
        </w:rPr>
        <w:t>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128" w:lineRule="exact"/>
        <w:rPr>
          <w:sz w:val="20"/>
          <w:szCs w:val="20"/>
          <w:color w:val="auto"/>
        </w:rPr>
      </w:pPr>
    </w:p>
    <w:p>
      <w:pPr>
        <w:jc w:val="both"/>
        <w:ind w:right="80" w:firstLine="324"/>
        <w:spacing w:after="0" w:line="289"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b w:val="1"/>
          <w:bCs w:val="1"/>
          <w:u w:val="single" w:color="auto"/>
          <w:color w:val="auto"/>
        </w:rPr>
        <w:t>Fixing Date for Determination of Stockholders of Record</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that the Corporation may determine the stockholders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w:t>
      </w:r>
    </w:p>
    <w:p>
      <w:pPr>
        <w:spacing w:after="0" w:line="2" w:lineRule="exact"/>
        <w:rPr>
          <w:sz w:val="20"/>
          <w:szCs w:val="20"/>
          <w:color w:val="auto"/>
        </w:rPr>
      </w:pPr>
    </w:p>
    <w:p>
      <w:pPr>
        <w:jc w:val="both"/>
        <w:ind w:right="80" w:firstLine="8"/>
        <w:spacing w:after="0" w:line="253" w:lineRule="auto"/>
        <w:tabs>
          <w:tab w:leader="none" w:pos="35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 xml:space="preserve">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103"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1.9: </w:t>
      </w:r>
      <w:r>
        <w:rPr>
          <w:rFonts w:ascii="Arial" w:cs="Arial" w:eastAsia="Arial" w:hAnsi="Arial"/>
          <w:sz w:val="17"/>
          <w:szCs w:val="17"/>
          <w:b w:val="1"/>
          <w:bCs w:val="1"/>
          <w:u w:val="single" w:color="auto"/>
          <w:color w:val="auto"/>
        </w:rPr>
        <w:t>List of Stockholders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prepare, at least ten (10) days before every meeting of stockholders, a</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stockholders entitled to vote at the meeting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either (a) on a reasonably accessible electronic network as permitted by applicable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the information required to gain access to the list is provided with the notice of the meeting),or (b) during ordinary business hours, at the principal place of business of the Corporation. If the meeting is held at a location where stockholders may attend in person, a list of stockholders entitled to vote at the meeting shall also be produced and kept at the time and place of the meeting during the whole time thereof and may be inspected by any stockholder who is present at the meeting. If the meeting is held solely by means of remote communication, then the list shall be open to the examination of any stockholder during the whole time of the meeting on a reasonably accessible electronic network, and the information required to access the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22"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5"/>
          <w:szCs w:val="15"/>
          <w:b w:val="1"/>
          <w:bCs w:val="1"/>
          <w:u w:val="single" w:color="auto"/>
          <w:color w:val="auto"/>
        </w:rPr>
        <w:t>Inspectors of Elections.</w:t>
      </w:r>
    </w:p>
    <w:p>
      <w:pPr>
        <w:spacing w:after="0" w:line="175" w:lineRule="exact"/>
        <w:rPr>
          <w:sz w:val="20"/>
          <w:szCs w:val="20"/>
          <w:color w:val="auto"/>
        </w:rPr>
      </w:pPr>
    </w:p>
    <w:p>
      <w:pPr>
        <w:jc w:val="both"/>
        <w:ind w:right="80" w:firstLine="324"/>
        <w:spacing w:after="0" w:line="279"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Applicability</w:t>
      </w:r>
      <w:r>
        <w:rPr>
          <w:rFonts w:ascii="Arial" w:cs="Arial" w:eastAsia="Arial" w:hAnsi="Arial"/>
          <w:sz w:val="17"/>
          <w:szCs w:val="17"/>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117"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Appointment</w:t>
      </w:r>
      <w:r>
        <w:rPr>
          <w:rFonts w:ascii="Arial" w:cs="Arial" w:eastAsia="Arial" w:hAnsi="Arial"/>
          <w:sz w:val="18"/>
          <w:szCs w:val="18"/>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133"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Inspector’s Oath</w:t>
      </w:r>
      <w:r>
        <w:rPr>
          <w:rFonts w:ascii="Arial" w:cs="Arial" w:eastAsia="Arial" w:hAnsi="Arial"/>
          <w:sz w:val="18"/>
          <w:szCs w:val="18"/>
          <w:color w:val="auto"/>
        </w:rPr>
        <w:t>. Each inspector of election, before entering upon the discharge of his or her duties, shall take and sign an oath faithfully to execute the duties of inspector with strict impartiality and according to the best of such inspector’s ability.</w:t>
      </w:r>
    </w:p>
    <w:p>
      <w:pPr>
        <w:spacing w:after="0" w:line="116"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Duties of Inspectors</w:t>
      </w:r>
      <w:r>
        <w:rPr>
          <w:rFonts w:ascii="Arial" w:cs="Arial" w:eastAsia="Arial" w:hAnsi="Arial"/>
          <w:sz w:val="18"/>
          <w:szCs w:val="18"/>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1240"/>
          </w:cols>
          <w:pgMar w:left="320" w:top="1440" w:right="339" w:bottom="1440" w:gutter="0" w:footer="0" w:header="0"/>
        </w:sectPr>
      </w:pPr>
    </w:p>
    <w:bookmarkStart w:id="526" w:name="page527"/>
    <w:bookmarkEnd w:id="526"/>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130"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Opening and Closing of Polls</w:t>
      </w:r>
      <w:r>
        <w:rPr>
          <w:rFonts w:ascii="Arial" w:cs="Arial" w:eastAsia="Arial" w:hAnsi="Arial"/>
          <w:sz w:val="18"/>
          <w:szCs w:val="18"/>
          <w:color w:val="auto"/>
        </w:rPr>
        <w:t>. The date and time of the opening and the closing of the polls for each matter upon which the stockholders will vote at a meeting shall be announced by the chairperson of the meeting at the meeting. No ballot, proxies or votes, nor any revocations thereof or changes thereto, shall be accepted by the inspectors after the closing of the polls unless the Court of Chancery upon application by a stockholder shall determine otherwise.</w:t>
      </w:r>
    </w:p>
    <w:p>
      <w:pPr>
        <w:spacing w:after="0" w:line="133" w:lineRule="exact"/>
        <w:rPr>
          <w:sz w:val="20"/>
          <w:szCs w:val="20"/>
          <w:color w:val="auto"/>
        </w:rPr>
      </w:pPr>
    </w:p>
    <w:p>
      <w:pPr>
        <w:jc w:val="both"/>
        <w:ind w:right="60" w:firstLine="324"/>
        <w:spacing w:after="0" w:line="270"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Determinations</w:t>
      </w:r>
      <w:r>
        <w:rPr>
          <w:rFonts w:ascii="Arial" w:cs="Arial" w:eastAsia="Arial" w:hAnsi="Arial"/>
          <w:sz w:val="17"/>
          <w:szCs w:val="17"/>
          <w:color w:val="auto"/>
        </w:rPr>
        <w:t>. In determining the validity and counting of proxies and ballots, the inspectors shall be limited to an examination of the proxies, any envelopes submitted with those proxies, any information provided in connection with proxies pursuant to Section 211(a)(2)b.(i)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123"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b w:val="1"/>
          <w:bCs w:val="1"/>
          <w:color w:val="auto"/>
        </w:rPr>
        <w:t xml:space="preserve">Section 1.11: </w:t>
      </w:r>
      <w:r>
        <w:rPr>
          <w:rFonts w:ascii="Arial" w:cs="Arial" w:eastAsia="Arial" w:hAnsi="Arial"/>
          <w:sz w:val="16"/>
          <w:szCs w:val="16"/>
          <w:b w:val="1"/>
          <w:bCs w:val="1"/>
          <w:u w:val="single" w:color="auto"/>
          <w:color w:val="auto"/>
        </w:rPr>
        <w:t>Conduct of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adopt by resolution such rules and regulations for the conduct of the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(e) limitations on the time allotted to questions or comments by participants; (f) restricting the use of audio/video recording devices and cell phones; and (g) complying with any state and local laws and regulations concerning safety and security.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113"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u w:val="single" w:color="auto"/>
          <w:color w:val="auto"/>
        </w:rPr>
        <w:t>Notice of Stockholder Business; Nominations.</w:t>
      </w:r>
    </w:p>
    <w:p>
      <w:pPr>
        <w:spacing w:after="0" w:line="175"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u w:val="single" w:color="auto"/>
          <w:color w:val="auto"/>
        </w:rPr>
        <w:t>Annual Meeting of Stockholders</w:t>
      </w:r>
      <w:r>
        <w:rPr>
          <w:rFonts w:ascii="Arial" w:cs="Arial" w:eastAsia="Arial" w:hAnsi="Arial"/>
          <w:sz w:val="16"/>
          <w:szCs w:val="16"/>
          <w:color w:val="auto"/>
        </w:rPr>
        <w:t>.</w:t>
      </w:r>
    </w:p>
    <w:p>
      <w:pPr>
        <w:spacing w:after="0" w:line="171" w:lineRule="exact"/>
        <w:rPr>
          <w:sz w:val="20"/>
          <w:szCs w:val="20"/>
          <w:color w:val="auto"/>
        </w:rPr>
      </w:pPr>
    </w:p>
    <w:p>
      <w:pPr>
        <w:jc w:val="both"/>
        <w:ind w:firstLine="332"/>
        <w:spacing w:after="0" w:line="257" w:lineRule="auto"/>
        <w:tabs>
          <w:tab w:leader="none" w:pos="76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8"/>
          <w:szCs w:val="18"/>
          <w:b w:val="1"/>
          <w:bCs w:val="1"/>
          <w:i w:val="1"/>
          <w:iCs w:val="1"/>
          <w:color w:val="auto"/>
        </w:rPr>
        <w:t>Record Stockholder</w:t>
      </w:r>
      <w:r>
        <w:rPr>
          <w:rFonts w:ascii="Arial" w:cs="Arial" w:eastAsia="Arial" w:hAnsi="Arial"/>
          <w:sz w:val="18"/>
          <w:szCs w:val="18"/>
          <w:color w:val="auto"/>
        </w:rPr>
        <w:t>”), who is entitled to vote at such meeting and who complies with the notice and other procedures set forth in this Section 1.12 in all applicable respects.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1240"/>
          </w:cols>
          <w:pgMar w:left="320" w:top="1440" w:right="339" w:bottom="1440" w:gutter="0" w:footer="0" w:header="0"/>
        </w:sectPr>
      </w:pPr>
    </w:p>
    <w:bookmarkStart w:id="527" w:name="page528"/>
    <w:bookmarkEnd w:id="527"/>
    <w:p>
      <w:pPr>
        <w:spacing w:after="0" w:line="14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at an annual meeting of stockholders, and such stockholder must fully comply with the notice and other procedures set forth in this Section 1.12 to make such nominations or propose business before an annual meeting.</w:t>
      </w:r>
    </w:p>
    <w:p>
      <w:pPr>
        <w:spacing w:after="0" w:line="117" w:lineRule="exact"/>
        <w:rPr>
          <w:sz w:val="20"/>
          <w:szCs w:val="20"/>
          <w:color w:val="auto"/>
        </w:rPr>
      </w:pPr>
    </w:p>
    <w:p>
      <w:pPr>
        <w:ind w:right="20" w:firstLine="332"/>
        <w:spacing w:after="0" w:line="277" w:lineRule="auto"/>
        <w:tabs>
          <w:tab w:leader="none" w:pos="77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by a Record Stockholder pursuant to Section 1.12.1(a) of these Bylaws:</w:t>
      </w:r>
    </w:p>
    <w:p>
      <w:pPr>
        <w:spacing w:after="0" w:line="116" w:lineRule="exact"/>
        <w:rPr>
          <w:rFonts w:ascii="Arial" w:cs="Arial" w:eastAsia="Arial" w:hAnsi="Arial"/>
          <w:sz w:val="18"/>
          <w:szCs w:val="18"/>
          <w:color w:val="auto"/>
        </w:rPr>
      </w:pPr>
    </w:p>
    <w:p>
      <w:pPr>
        <w:ind w:firstLine="980"/>
        <w:spacing w:after="0" w:line="277" w:lineRule="auto"/>
        <w:tabs>
          <w:tab w:leader="none" w:pos="1346" w:val="left"/>
        </w:tabs>
        <w:numPr>
          <w:ilvl w:val="1"/>
          <w:numId w:val="378"/>
        </w:numPr>
        <w:rPr>
          <w:rFonts w:ascii="Arial" w:cs="Arial" w:eastAsia="Arial" w:hAnsi="Arial"/>
          <w:sz w:val="18"/>
          <w:szCs w:val="18"/>
          <w:color w:val="auto"/>
        </w:rPr>
      </w:pPr>
      <w:r>
        <w:rPr>
          <w:rFonts w:ascii="Arial" w:cs="Arial" w:eastAsia="Arial" w:hAnsi="Arial"/>
          <w:sz w:val="18"/>
          <w:szCs w:val="18"/>
          <w:color w:val="auto"/>
        </w:rPr>
        <w:t>the Record Stockholder must have given timely notice thereof in writing to the Secretary of the Corporation and provide any updates or supplements to such notice at the times and in the forms required by this Section 1.12;</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8"/>
        </w:numPr>
        <w:rPr>
          <w:rFonts w:ascii="Arial" w:cs="Arial" w:eastAsia="Arial" w:hAnsi="Arial"/>
          <w:sz w:val="16"/>
          <w:szCs w:val="16"/>
          <w:color w:val="auto"/>
        </w:rPr>
      </w:pPr>
      <w:r>
        <w:rPr>
          <w:rFonts w:ascii="Arial" w:cs="Arial" w:eastAsia="Arial" w:hAnsi="Arial"/>
          <w:sz w:val="16"/>
          <w:szCs w:val="16"/>
          <w:color w:val="auto"/>
        </w:rPr>
        <w:t>such other business (other than the nomination of persons for election to the Board) must otherwise be a proper matter for stockholder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action;</w:t>
      </w:r>
    </w:p>
    <w:p>
      <w:pPr>
        <w:spacing w:after="0" w:line="156" w:lineRule="exact"/>
        <w:rPr>
          <w:rFonts w:ascii="Arial" w:cs="Arial" w:eastAsia="Arial" w:hAnsi="Arial"/>
          <w:sz w:val="16"/>
          <w:szCs w:val="16"/>
          <w:color w:val="auto"/>
        </w:rPr>
      </w:pPr>
    </w:p>
    <w:p>
      <w:pPr>
        <w:jc w:val="both"/>
        <w:ind w:firstLine="980"/>
        <w:spacing w:after="0" w:line="273" w:lineRule="auto"/>
        <w:tabs>
          <w:tab w:leader="none" w:pos="144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if the Proposing Person (as defined below) has provided the Corporation with a Solicitation Notice (as defined below), such Proposing Person must, in the case of a proposal other than the nomination of persons for election to the Board,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Proposing Person to be sufficient to elect the nominee or nominees proposed to be nominated by such Record Stockholder, and must, in either case, have included in such materials the Solicitation Notice; and</w:t>
      </w:r>
    </w:p>
    <w:p>
      <w:pPr>
        <w:spacing w:after="0" w:line="123" w:lineRule="exact"/>
        <w:rPr>
          <w:rFonts w:ascii="Arial" w:cs="Arial" w:eastAsia="Arial" w:hAnsi="Arial"/>
          <w:sz w:val="17"/>
          <w:szCs w:val="17"/>
          <w:color w:val="auto"/>
        </w:rPr>
      </w:pPr>
    </w:p>
    <w:p>
      <w:pPr>
        <w:jc w:val="both"/>
        <w:ind w:firstLine="980"/>
        <w:spacing w:after="0" w:line="263" w:lineRule="auto"/>
        <w:tabs>
          <w:tab w:leader="none" w:pos="145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if no Solicitation Notice relating thereto has been timely provided pursuant to this Section 1.12, the Proposing Person proposing such business or nomination must not have solicited a number of proxies sufficient to have required the delivery of such a Solicitation Notice under this Section 1.12.</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To be timely, a Record Stockholder’s notice must be delivered to the Secretary of the Corporation at the principal executive offices of the Corporation not later than 5:00 p.m. Eastern Time on the seventy-fifth (75th) day nor earlier than 5:00 p.m. Eastern Time on the one hundred and fifth (105th) day prior to the first anniversary of the preceding year’s annual meeting (except in the case of the Corporation’s first annual meeting following the date of these Bylaws, for which such notice shall be timely if delivered in the same time period as if such meeting were a special meeting governed by Section 1.12.3 of these Bylaws);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in the event that the date of the annual meeting is more than thirty (30) days before or more than sixty (60) days after such anniversary date, notice by the Record Stockholder to be timely must be so delivered (A) no earlier than 5:00 p.m. Eastern Time on the one hundred and fifth (105th)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In no event shall an adjournment or postponement of an annual meeting commence a new time period (or extend any time period) for providing the Record Stockholder’s notice.</w:t>
      </w:r>
    </w:p>
    <w:p>
      <w:pPr>
        <w:spacing w:after="0" w:line="131" w:lineRule="exact"/>
        <w:rPr>
          <w:sz w:val="20"/>
          <w:szCs w:val="20"/>
          <w:color w:val="auto"/>
        </w:rPr>
      </w:pPr>
    </w:p>
    <w:p>
      <w:pPr>
        <w:ind w:firstLine="332"/>
        <w:spacing w:after="0" w:line="277" w:lineRule="auto"/>
        <w:tabs>
          <w:tab w:leader="none" w:pos="71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As to each person whom the Record Stockholder proposes to nominate for election or reelection as a director,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ind w:left="1320" w:hanging="340"/>
        <w:spacing w:after="0"/>
        <w:tabs>
          <w:tab w:leader="none" w:pos="13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person;</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principal occupation or employment of such nominee;</w:t>
      </w:r>
    </w:p>
    <w:p>
      <w:pPr>
        <w:spacing w:after="0" w:line="171" w:lineRule="exact"/>
        <w:rPr>
          <w:rFonts w:ascii="Arial" w:cs="Arial" w:eastAsia="Arial" w:hAnsi="Arial"/>
          <w:sz w:val="18"/>
          <w:szCs w:val="18"/>
          <w:color w:val="auto"/>
        </w:rPr>
      </w:pPr>
    </w:p>
    <w:p>
      <w:pPr>
        <w:ind w:left="340" w:firstLine="640"/>
        <w:spacing w:after="0" w:line="277" w:lineRule="auto"/>
        <w:tabs>
          <w:tab w:leader="none" w:pos="144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class, series and number of any shares of stock of the Corporation that are beneficially owned or owned of record by such person or any Associated Person (as defined in Section 1.12.4(c));</w:t>
      </w:r>
    </w:p>
    <w:p>
      <w:pPr>
        <w:spacing w:after="0" w:line="116" w:lineRule="exact"/>
        <w:rPr>
          <w:rFonts w:ascii="Arial" w:cs="Arial" w:eastAsia="Arial" w:hAnsi="Arial"/>
          <w:sz w:val="18"/>
          <w:szCs w:val="18"/>
          <w:color w:val="auto"/>
        </w:rPr>
      </w:pPr>
    </w:p>
    <w:p>
      <w:pPr>
        <w:ind w:left="1420" w:hanging="440"/>
        <w:spacing w:after="0"/>
        <w:tabs>
          <w:tab w:leader="none" w:pos="14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date or dates such shares were acquired and the investment intent of such acquisition;</w:t>
      </w:r>
    </w:p>
    <w:p>
      <w:pPr>
        <w:spacing w:after="0" w:line="171" w:lineRule="exact"/>
        <w:rPr>
          <w:rFonts w:ascii="Arial" w:cs="Arial" w:eastAsia="Arial" w:hAnsi="Arial"/>
          <w:sz w:val="18"/>
          <w:szCs w:val="18"/>
          <w:color w:val="auto"/>
        </w:rPr>
      </w:pPr>
    </w:p>
    <w:p>
      <w:pPr>
        <w:ind w:left="340" w:firstLine="640"/>
        <w:spacing w:after="0" w:line="277" w:lineRule="auto"/>
        <w:tabs>
          <w:tab w:leader="none" w:pos="1396"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all other information relating to such person that would be required to be disclosed in solicitations of proxies for election of directors in an election contest (even if an election contest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14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involved), or would be otherwise required, in each case pursuant to and in accordance with Section 14(a) (or any successor provision) under the Exchange Act and the rules and regulations thereunder;</w:t>
      </w:r>
    </w:p>
    <w:p>
      <w:pPr>
        <w:spacing w:after="0" w:line="116" w:lineRule="exact"/>
        <w:rPr>
          <w:sz w:val="20"/>
          <w:szCs w:val="20"/>
          <w:color w:val="auto"/>
        </w:rPr>
      </w:pPr>
    </w:p>
    <w:p>
      <w:pPr>
        <w:jc w:val="both"/>
        <w:ind w:left="340" w:firstLine="640"/>
        <w:spacing w:after="0" w:line="263" w:lineRule="auto"/>
        <w:tabs>
          <w:tab w:leader="none" w:pos="143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such person’s written consent to being named in the Corporation’s proxy statement as a nominee, to the public disclosure of information regarding or related to such person provided to the Corporation by such person or otherwise pursuant to this Section 1.12 and to serving as a director if elected;</w:t>
      </w:r>
    </w:p>
    <w:p>
      <w:pPr>
        <w:spacing w:after="0" w:line="129" w:lineRule="exact"/>
        <w:rPr>
          <w:rFonts w:ascii="Arial" w:cs="Arial" w:eastAsia="Arial" w:hAnsi="Arial"/>
          <w:sz w:val="18"/>
          <w:szCs w:val="18"/>
          <w:color w:val="auto"/>
        </w:rPr>
      </w:pPr>
    </w:p>
    <w:p>
      <w:pPr>
        <w:ind w:left="1540" w:hanging="560"/>
        <w:spacing w:after="0"/>
        <w:tabs>
          <w:tab w:leader="none" w:pos="154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whether such person meets the independence requirements of the stock exchange upon which the Corporation’s Common Stock is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primarily traded;</w:t>
      </w:r>
    </w:p>
    <w:p>
      <w:pPr>
        <w:spacing w:after="0" w:line="156" w:lineRule="exact"/>
        <w:rPr>
          <w:rFonts w:ascii="Arial" w:cs="Arial" w:eastAsia="Arial" w:hAnsi="Arial"/>
          <w:sz w:val="16"/>
          <w:szCs w:val="16"/>
          <w:color w:val="auto"/>
        </w:rPr>
      </w:pPr>
    </w:p>
    <w:p>
      <w:pPr>
        <w:jc w:val="both"/>
        <w:ind w:left="340" w:firstLine="640"/>
        <w:spacing w:after="0" w:line="296" w:lineRule="auto"/>
        <w:tabs>
          <w:tab w:leader="none" w:pos="153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 and</w:t>
      </w:r>
    </w:p>
    <w:p>
      <w:pPr>
        <w:spacing w:after="0" w:line="107" w:lineRule="exact"/>
        <w:rPr>
          <w:rFonts w:ascii="Arial" w:cs="Arial" w:eastAsia="Arial" w:hAnsi="Arial"/>
          <w:sz w:val="16"/>
          <w:szCs w:val="16"/>
          <w:color w:val="auto"/>
        </w:rPr>
      </w:pPr>
    </w:p>
    <w:p>
      <w:pPr>
        <w:ind w:left="1420" w:hanging="440"/>
        <w:spacing w:after="0"/>
        <w:tabs>
          <w:tab w:leader="none" w:pos="14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completed and signed questionnaire, representation and agreement required by Section 1.12.2 of these Bylaws.</w:t>
      </w:r>
    </w:p>
    <w:p>
      <w:pPr>
        <w:spacing w:after="0" w:line="171" w:lineRule="exact"/>
        <w:rPr>
          <w:rFonts w:ascii="Arial" w:cs="Arial" w:eastAsia="Arial" w:hAnsi="Arial"/>
          <w:sz w:val="18"/>
          <w:szCs w:val="18"/>
          <w:color w:val="auto"/>
        </w:rPr>
      </w:pPr>
    </w:p>
    <w:p>
      <w:pPr>
        <w:ind w:firstLine="332"/>
        <w:spacing w:after="0" w:line="277" w:lineRule="auto"/>
        <w:tabs>
          <w:tab w:leader="none" w:pos="7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116" w:lineRule="exact"/>
        <w:rPr>
          <w:rFonts w:ascii="Arial" w:cs="Arial" w:eastAsia="Arial" w:hAnsi="Arial"/>
          <w:sz w:val="18"/>
          <w:szCs w:val="18"/>
          <w:color w:val="auto"/>
        </w:rPr>
      </w:pPr>
    </w:p>
    <w:p>
      <w:pPr>
        <w:jc w:val="both"/>
        <w:ind w:left="340" w:firstLine="640"/>
        <w:spacing w:after="0" w:line="259" w:lineRule="auto"/>
        <w:tabs>
          <w:tab w:leader="none" w:pos="1345"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132" w:lineRule="exact"/>
        <w:rPr>
          <w:rFonts w:ascii="Arial" w:cs="Arial" w:eastAsia="Arial" w:hAnsi="Arial"/>
          <w:sz w:val="18"/>
          <w:szCs w:val="18"/>
          <w:color w:val="auto"/>
        </w:rPr>
      </w:pPr>
    </w:p>
    <w:p>
      <w:pPr>
        <w:jc w:val="both"/>
        <w:ind w:left="340" w:firstLine="640"/>
        <w:spacing w:after="0" w:line="263" w:lineRule="auto"/>
        <w:tabs>
          <w:tab w:leader="none" w:pos="152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29" w:lineRule="exact"/>
        <w:rPr>
          <w:rFonts w:ascii="Arial" w:cs="Arial" w:eastAsia="Arial" w:hAnsi="Arial"/>
          <w:sz w:val="18"/>
          <w:szCs w:val="18"/>
          <w:color w:val="auto"/>
        </w:rPr>
      </w:pPr>
    </w:p>
    <w:p>
      <w:pPr>
        <w:ind w:left="700" w:hanging="368"/>
        <w:spacing w:after="0"/>
        <w:tabs>
          <w:tab w:leader="none" w:pos="7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As to each Proposing Person giving the notice, such Record Stockholder’s notice shall set forth:</w:t>
      </w:r>
    </w:p>
    <w:p>
      <w:pPr>
        <w:spacing w:after="0" w:line="171" w:lineRule="exact"/>
        <w:rPr>
          <w:rFonts w:ascii="Arial" w:cs="Arial" w:eastAsia="Arial" w:hAnsi="Arial"/>
          <w:sz w:val="18"/>
          <w:szCs w:val="18"/>
          <w:color w:val="auto"/>
        </w:rPr>
      </w:pPr>
    </w:p>
    <w:p>
      <w:pPr>
        <w:ind w:left="340" w:firstLine="640"/>
        <w:spacing w:after="0" w:line="277" w:lineRule="auto"/>
        <w:tabs>
          <w:tab w:leader="none" w:pos="147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current name and address of such Proposing Person, including, if applicable, their name and address as they appear on the Corporation’s stock ledger, if different;</w:t>
      </w:r>
    </w:p>
    <w:p>
      <w:pPr>
        <w:spacing w:after="0" w:line="116" w:lineRule="exact"/>
        <w:rPr>
          <w:rFonts w:ascii="Arial" w:cs="Arial" w:eastAsia="Arial" w:hAnsi="Arial"/>
          <w:sz w:val="18"/>
          <w:szCs w:val="18"/>
          <w:color w:val="auto"/>
        </w:rPr>
      </w:pPr>
    </w:p>
    <w:p>
      <w:pPr>
        <w:jc w:val="both"/>
        <w:ind w:left="340" w:firstLine="640"/>
        <w:spacing w:after="0" w:line="263" w:lineRule="auto"/>
        <w:tabs>
          <w:tab w:leader="none" w:pos="139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w:t>
      </w:r>
    </w:p>
    <w:p>
      <w:pPr>
        <w:spacing w:after="0" w:line="129" w:lineRule="exact"/>
        <w:rPr>
          <w:rFonts w:ascii="Arial" w:cs="Arial" w:eastAsia="Arial" w:hAnsi="Arial"/>
          <w:sz w:val="18"/>
          <w:szCs w:val="18"/>
          <w:color w:val="auto"/>
        </w:rPr>
      </w:pPr>
    </w:p>
    <w:p>
      <w:pPr>
        <w:jc w:val="both"/>
        <w:ind w:left="340" w:firstLine="640"/>
        <w:spacing w:after="0" w:line="271" w:lineRule="auto"/>
        <w:tabs>
          <w:tab w:leader="none" w:pos="147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whether and the extent to which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7"/>
          <w:szCs w:val="17"/>
          <w:b w:val="1"/>
          <w:bCs w:val="1"/>
          <w:i w:val="1"/>
          <w:iCs w:val="1"/>
          <w:color w:val="auto"/>
        </w:rPr>
        <w:t>“Derivative Instrument</w:t>
      </w:r>
      <w:r>
        <w:rPr>
          <w:rFonts w:ascii="Arial" w:cs="Arial" w:eastAsia="Arial" w:hAnsi="Arial"/>
          <w:sz w:val="17"/>
          <w:szCs w:val="17"/>
          <w:color w:val="auto"/>
        </w:rPr>
        <w:t>”), as well as any rights to dividends on the shares of any class or series of shares of the Corporation that are separated or separable from the underlying shares of the Corporation) or any short interest in any security of the Corporation (for purposes of this Bylaw a person shall be deemed to have a short interest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A-94</w:t>
      </w:r>
    </w:p>
    <w:p>
      <w:pPr>
        <w:sectPr>
          <w:pgSz w:w="11900" w:h="16838" w:orient="portrait"/>
          <w:cols w:equalWidth="0" w:num="1">
            <w:col w:w="11240"/>
          </w:cols>
          <w:pgMar w:left="320" w:top="1440" w:right="339" w:bottom="1440" w:gutter="0" w:footer="0" w:header="0"/>
        </w:sectPr>
      </w:pPr>
    </w:p>
    <w:bookmarkStart w:id="529" w:name="page530"/>
    <w:bookmarkEnd w:id="529"/>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is held directly or indirectly by or for the benefit of such Proposing Person,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 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17"/>
          <w:szCs w:val="17"/>
          <w:b w:val="1"/>
          <w:bCs w:val="1"/>
          <w:i w:val="1"/>
          <w:iCs w:val="1"/>
          <w:color w:val="auto"/>
        </w:rPr>
        <w:t>Short Interest</w:t>
      </w:r>
      <w:r>
        <w:rPr>
          <w:rFonts w:ascii="Arial" w:cs="Arial" w:eastAsia="Arial" w:hAnsi="Arial"/>
          <w:sz w:val="17"/>
          <w:szCs w:val="17"/>
          <w:color w:val="auto"/>
        </w:rPr>
        <w:t>”);</w:t>
      </w:r>
    </w:p>
    <w:p>
      <w:pPr>
        <w:spacing w:after="0" w:line="123" w:lineRule="exact"/>
        <w:rPr>
          <w:sz w:val="20"/>
          <w:szCs w:val="20"/>
          <w:color w:val="auto"/>
        </w:rPr>
      </w:pPr>
    </w:p>
    <w:p>
      <w:pPr>
        <w:jc w:val="both"/>
        <w:ind w:firstLine="640"/>
        <w:spacing w:after="0" w:line="263" w:lineRule="auto"/>
        <w:tabs>
          <w:tab w:leader="none" w:pos="1156"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129" w:lineRule="exact"/>
        <w:rPr>
          <w:rFonts w:ascii="Arial" w:cs="Arial" w:eastAsia="Arial" w:hAnsi="Arial"/>
          <w:sz w:val="18"/>
          <w:szCs w:val="18"/>
          <w:color w:val="auto"/>
        </w:rPr>
      </w:pPr>
    </w:p>
    <w:p>
      <w:pPr>
        <w:ind w:right="20" w:firstLine="640"/>
        <w:spacing w:after="0" w:line="342" w:lineRule="auto"/>
        <w:tabs>
          <w:tab w:leader="none" w:pos="104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direct or indirect material interest in any material contract or agreement with the Corporation, any affiliate of the Corporation or any Competitor (as defined below) (including, in any such case, any employment agreement, collective bargaining agreement or consulting agreement);</w:t>
      </w:r>
    </w:p>
    <w:p>
      <w:pPr>
        <w:spacing w:after="0" w:line="69" w:lineRule="exact"/>
        <w:rPr>
          <w:rFonts w:ascii="Arial" w:cs="Arial" w:eastAsia="Arial" w:hAnsi="Arial"/>
          <w:sz w:val="16"/>
          <w:szCs w:val="16"/>
          <w:color w:val="auto"/>
        </w:rPr>
      </w:pPr>
    </w:p>
    <w:p>
      <w:pPr>
        <w:jc w:val="both"/>
        <w:ind w:firstLine="640"/>
        <w:spacing w:after="0" w:line="263" w:lineRule="auto"/>
        <w:tabs>
          <w:tab w:leader="none" w:pos="108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significant equity interests or any Derivative Instruments or Short Interests in any Competitor held by such Proposing Person and/or any of its respective affiliates or associates;(vii) any other material relationship between such Proposing Person, on the one hand, and the Corporation, any affiliate of the Corporation or any Competitor, on the other hand;</w:t>
      </w:r>
    </w:p>
    <w:p>
      <w:pPr>
        <w:spacing w:after="0" w:line="130" w:lineRule="exact"/>
        <w:rPr>
          <w:sz w:val="20"/>
          <w:szCs w:val="20"/>
          <w:color w:val="auto"/>
        </w:rPr>
      </w:pPr>
    </w:p>
    <w:p>
      <w:pPr>
        <w:jc w:val="both"/>
        <w:ind w:firstLine="640"/>
        <w:spacing w:after="0" w:line="263" w:lineRule="auto"/>
        <w:tabs>
          <w:tab w:leader="none" w:pos="121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129" w:lineRule="exact"/>
        <w:rPr>
          <w:rFonts w:ascii="Arial" w:cs="Arial" w:eastAsia="Arial" w:hAnsi="Arial"/>
          <w:sz w:val="18"/>
          <w:szCs w:val="18"/>
          <w:color w:val="auto"/>
        </w:rPr>
      </w:pPr>
    </w:p>
    <w:p>
      <w:pPr>
        <w:jc w:val="both"/>
        <w:ind w:firstLine="640"/>
        <w:spacing w:after="0" w:line="311" w:lineRule="auto"/>
        <w:tabs>
          <w:tab w:leader="none" w:pos="1159"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(or any successor provision) under the Exchange Act and the rules and regulations thereunder;</w:t>
      </w:r>
    </w:p>
    <w:p>
      <w:pPr>
        <w:spacing w:after="0" w:line="94" w:lineRule="exact"/>
        <w:rPr>
          <w:rFonts w:ascii="Arial" w:cs="Arial" w:eastAsia="Arial" w:hAnsi="Arial"/>
          <w:sz w:val="16"/>
          <w:szCs w:val="16"/>
          <w:color w:val="auto"/>
        </w:rPr>
      </w:pPr>
    </w:p>
    <w:p>
      <w:pPr>
        <w:ind w:left="1140" w:hanging="500"/>
        <w:spacing w:after="0"/>
        <w:tabs>
          <w:tab w:leader="none" w:pos="114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such Proposing Person’s written consent to the public disclosure of information provided to the Corporation pursuant to this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1.12;</w:t>
      </w:r>
    </w:p>
    <w:p>
      <w:pPr>
        <w:spacing w:after="0" w:line="156" w:lineRule="exact"/>
        <w:rPr>
          <w:rFonts w:ascii="Arial" w:cs="Arial" w:eastAsia="Arial" w:hAnsi="Arial"/>
          <w:sz w:val="16"/>
          <w:szCs w:val="16"/>
          <w:color w:val="auto"/>
        </w:rPr>
      </w:pPr>
    </w:p>
    <w:p>
      <w:pPr>
        <w:jc w:val="both"/>
        <w:ind w:firstLine="640"/>
        <w:spacing w:after="0" w:line="286" w:lineRule="auto"/>
        <w:tabs>
          <w:tab w:leader="none" w:pos="1116"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111" w:lineRule="exact"/>
        <w:rPr>
          <w:rFonts w:ascii="Arial" w:cs="Arial" w:eastAsia="Arial" w:hAnsi="Arial"/>
          <w:sz w:val="17"/>
          <w:szCs w:val="17"/>
          <w:color w:val="auto"/>
        </w:rPr>
      </w:pPr>
    </w:p>
    <w:p>
      <w:pPr>
        <w:ind w:firstLine="640"/>
        <w:spacing w:after="0" w:line="277" w:lineRule="auto"/>
        <w:tabs>
          <w:tab w:leader="none" w:pos="121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 representation that the Record Stockholder is a holder of record of stock of the Corporation entitled to vote at such meeting and intends to appear in person or by proxy at the meeting to propose such business or nomination;</w:t>
      </w:r>
    </w:p>
    <w:p>
      <w:pPr>
        <w:spacing w:after="0" w:line="116" w:lineRule="exact"/>
        <w:rPr>
          <w:rFonts w:ascii="Arial" w:cs="Arial" w:eastAsia="Arial" w:hAnsi="Arial"/>
          <w:sz w:val="18"/>
          <w:szCs w:val="18"/>
          <w:color w:val="auto"/>
        </w:rPr>
      </w:pPr>
    </w:p>
    <w:p>
      <w:pPr>
        <w:jc w:val="both"/>
        <w:ind w:firstLine="640"/>
        <w:spacing w:after="0" w:line="259" w:lineRule="auto"/>
        <w:tabs>
          <w:tab w:leader="none" w:pos="1248"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 representation whether such Proposing Person intends (or is part of a group that intends) to deliver a proxy statement or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being a “</w:t>
      </w:r>
      <w:r>
        <w:rPr>
          <w:rFonts w:ascii="Arial" w:cs="Arial" w:eastAsia="Arial" w:hAnsi="Arial"/>
          <w:sz w:val="18"/>
          <w:szCs w:val="18"/>
          <w:b w:val="1"/>
          <w:bCs w:val="1"/>
          <w:i w:val="1"/>
          <w:iCs w:val="1"/>
          <w:color w:val="auto"/>
        </w:rPr>
        <w:t>Solicitation Notice</w:t>
      </w:r>
      <w:r>
        <w:rPr>
          <w:rFonts w:ascii="Arial" w:cs="Arial" w:eastAsia="Arial" w:hAnsi="Arial"/>
          <w:sz w:val="18"/>
          <w:szCs w:val="18"/>
          <w:color w:val="auto"/>
        </w:rPr>
        <w:t>”); and</w:t>
      </w:r>
    </w:p>
    <w:p>
      <w:pPr>
        <w:spacing w:after="0" w:line="132" w:lineRule="exact"/>
        <w:rPr>
          <w:rFonts w:ascii="Arial" w:cs="Arial" w:eastAsia="Arial" w:hAnsi="Arial"/>
          <w:sz w:val="18"/>
          <w:szCs w:val="18"/>
          <w:color w:val="auto"/>
        </w:rPr>
      </w:pPr>
    </w:p>
    <w:p>
      <w:pPr>
        <w:ind w:firstLine="640"/>
        <w:spacing w:after="0" w:line="277" w:lineRule="auto"/>
        <w:tabs>
          <w:tab w:leader="none" w:pos="118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proxy, contract, arrangement, or relationship pursuant to which the Proposing Person has a right to vote, directly or indirectly, any shares of any security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A-95</w:t>
      </w:r>
    </w:p>
    <w:p>
      <w:pPr>
        <w:sectPr>
          <w:pgSz w:w="11900" w:h="16838" w:orient="portrait"/>
          <w:cols w:equalWidth="0" w:num="1">
            <w:col w:w="10900"/>
          </w:cols>
          <w:pgMar w:left="660" w:top="1440" w:right="339" w:bottom="1440" w:gutter="0" w:footer="0" w:header="0"/>
        </w:sectPr>
      </w:pPr>
    </w:p>
    <w:bookmarkStart w:id="530" w:name="page531"/>
    <w:bookmarkEnd w:id="530"/>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30" w:lineRule="exact"/>
        <w:rPr>
          <w:sz w:val="20"/>
          <w:szCs w:val="20"/>
          <w:color w:val="auto"/>
        </w:rPr>
      </w:pPr>
    </w:p>
    <w:p>
      <w:pPr>
        <w:jc w:val="both"/>
        <w:ind w:firstLine="332"/>
        <w:spacing w:after="0" w:line="287" w:lineRule="auto"/>
        <w:tabs>
          <w:tab w:leader="none" w:pos="747" w:val="left"/>
        </w:tabs>
        <w:numPr>
          <w:ilvl w:val="0"/>
          <w:numId w:val="384"/>
        </w:numPr>
        <w:rPr>
          <w:rFonts w:ascii="Arial" w:cs="Arial" w:eastAsia="Arial" w:hAnsi="Arial"/>
          <w:sz w:val="16"/>
          <w:szCs w:val="16"/>
          <w:color w:val="auto"/>
        </w:rPr>
      </w:pPr>
      <w:r>
        <w:rPr>
          <w:rFonts w:ascii="Arial" w:cs="Arial" w:eastAsia="Arial" w:hAnsi="Arial"/>
          <w:sz w:val="16"/>
          <w:szCs w:val="16"/>
          <w:color w:val="auto"/>
        </w:rPr>
        <w:t>A stockholder providing written notice required by this Section 1.12 shall update such notice in writing, if necessary,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or postponement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or postponement thereof (and, if not practicable, on the first practicable date prior to the date to which the meeting has been adjourned or postponed). For the avoidance of doubt, the obligation to update as set forth in this paragraph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w:t>
      </w:r>
    </w:p>
    <w:p>
      <w:pPr>
        <w:spacing w:after="0" w:line="113" w:lineRule="exact"/>
        <w:rPr>
          <w:rFonts w:ascii="Arial" w:cs="Arial" w:eastAsia="Arial" w:hAnsi="Arial"/>
          <w:sz w:val="16"/>
          <w:szCs w:val="16"/>
          <w:color w:val="auto"/>
        </w:rPr>
      </w:pPr>
    </w:p>
    <w:p>
      <w:pPr>
        <w:jc w:val="both"/>
        <w:ind w:firstLine="332"/>
        <w:spacing w:after="0" w:line="259" w:lineRule="auto"/>
        <w:tabs>
          <w:tab w:leader="none" w:pos="78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Notwithstanding anything in Section 1.12 or any other provision of these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Submission of Questionnaire, Representation and Agreement</w:t>
      </w:r>
      <w:r>
        <w:rPr>
          <w:rFonts w:ascii="Arial" w:cs="Arial" w:eastAsia="Arial" w:hAnsi="Arial"/>
          <w:sz w:val="16"/>
          <w:szCs w:val="16"/>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of the Corporation at the principal executive offices of the Corporation a completed and signed questionnaire in the form required by the Corporation (which form the stockholder shall request in writing from the Secretary of the Corporation and which the Secretary shall provide to such stockholder within ten days of receiving such request) with respect to the background and qualification of such person to serve as a director of the Corporation and the background of any other person or entity 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6"/>
          <w:szCs w:val="16"/>
          <w:b w:val="1"/>
          <w:bCs w:val="1"/>
          <w:i w:val="1"/>
          <w:iCs w:val="1"/>
          <w:color w:val="auto"/>
        </w:rPr>
        <w:t>Voting Commitment</w:t>
      </w:r>
      <w:r>
        <w:rPr>
          <w:rFonts w:ascii="Arial" w:cs="Arial" w:eastAsia="Arial" w:hAnsi="Arial"/>
          <w:sz w:val="16"/>
          <w:szCs w:val="16"/>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the Corporation’s proxy statement pursuant to Rule 14a-4(d) under the Exchange Act and any associated proxy card of the Corporation and agrees to serve if elected as a director and (g) intends to serve as a director for the full term for which such individual is to stand for election.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1.12.3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 Only such business shall be conducted at a special meeting of stockholders as shall have been brought before the meeting pursuant to the Corporation’s notice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A-96</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stockholder’s notice required by Section 1.12.1(b) of these Bylaws shall be delivered to the Secretary of the Corporation at the principal executive offices of the Corporation (i) no earlier than the one hundred and fifth (105th) day prior to such special meeting and (ii) no later than 5:00 p.m. Eastern Time on the later of the seventy-fifth (75th) day prior to such special meeting or the tenth (10th) day following the day on which Public Announcement is first made of the date of the special meeting and of the nominees proposed by the Board to be elected at such meeting. In no event shall an adjournment or postponement of a special meeting commence a new time period (or extend any time period) for providing such notice.</w:t>
      </w:r>
    </w:p>
    <w:p>
      <w:pPr>
        <w:spacing w:after="0" w:line="11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1.12.4</w:t>
      </w:r>
      <w:r>
        <w:rPr>
          <w:sz w:val="20"/>
          <w:szCs w:val="20"/>
          <w:color w:val="auto"/>
        </w:rPr>
        <w:tab/>
      </w:r>
      <w:r>
        <w:rPr>
          <w:rFonts w:ascii="Arial" w:cs="Arial" w:eastAsia="Arial" w:hAnsi="Arial"/>
          <w:sz w:val="16"/>
          <w:szCs w:val="16"/>
          <w:u w:val="single" w:color="auto"/>
          <w:color w:val="auto"/>
        </w:rPr>
        <w:t>General.</w:t>
      </w:r>
    </w:p>
    <w:p>
      <w:pPr>
        <w:spacing w:after="0" w:line="171" w:lineRule="exact"/>
        <w:rPr>
          <w:sz w:val="20"/>
          <w:szCs w:val="20"/>
          <w:color w:val="auto"/>
        </w:rPr>
      </w:pPr>
    </w:p>
    <w:p>
      <w:pPr>
        <w:jc w:val="both"/>
        <w:ind w:firstLine="332"/>
        <w:spacing w:after="0" w:line="288" w:lineRule="auto"/>
        <w:tabs>
          <w:tab w:leader="none" w:pos="767" w:val="left"/>
        </w:tabs>
        <w:numPr>
          <w:ilvl w:val="1"/>
          <w:numId w:val="385"/>
        </w:numPr>
        <w:rPr>
          <w:rFonts w:ascii="Arial" w:cs="Arial" w:eastAsia="Arial" w:hAnsi="Arial"/>
          <w:sz w:val="16"/>
          <w:szCs w:val="16"/>
          <w:color w:val="auto"/>
        </w:rPr>
      </w:pPr>
      <w:r>
        <w:rPr>
          <w:rFonts w:ascii="Arial" w:cs="Arial" w:eastAsia="Arial" w:hAnsi="Arial"/>
          <w:sz w:val="16"/>
          <w:szCs w:val="16"/>
          <w:color w:val="auto"/>
        </w:rPr>
        <w:t>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and, if any proposed nomination or business is not in compliance herewith, to declare that such defective proposal or nomination shall be disregarded.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w:t>
      </w:r>
    </w:p>
    <w:p>
      <w:pPr>
        <w:spacing w:after="0" w:line="114" w:lineRule="exact"/>
        <w:rPr>
          <w:rFonts w:ascii="Arial" w:cs="Arial" w:eastAsia="Arial" w:hAnsi="Arial"/>
          <w:sz w:val="16"/>
          <w:szCs w:val="16"/>
          <w:color w:val="auto"/>
        </w:rPr>
      </w:pPr>
    </w:p>
    <w:p>
      <w:pPr>
        <w:jc w:val="both"/>
        <w:ind w:firstLine="332"/>
        <w:spacing w:after="0" w:line="291" w:lineRule="auto"/>
        <w:tabs>
          <w:tab w:leader="none" w:pos="737" w:val="left"/>
        </w:tabs>
        <w:numPr>
          <w:ilvl w:val="1"/>
          <w:numId w:val="385"/>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1.12, a stockholder shall also comply with all applicable requirements of the Exchange Act and the rules and regulations thereunder with respect to the matters set forth herein. Nothing in this Section 1.12 shall be deemed to affect any rights of</w:t>
      </w:r>
    </w:p>
    <w:p>
      <w:pPr>
        <w:ind w:firstLine="8"/>
        <w:spacing w:after="0" w:line="290" w:lineRule="auto"/>
        <w:tabs>
          <w:tab w:leader="none" w:pos="247" w:val="left"/>
        </w:tabs>
        <w:numPr>
          <w:ilvl w:val="0"/>
          <w:numId w:val="386"/>
        </w:numPr>
        <w:rPr>
          <w:rFonts w:ascii="Arial" w:cs="Arial" w:eastAsia="Arial" w:hAnsi="Arial"/>
          <w:sz w:val="17"/>
          <w:szCs w:val="17"/>
          <w:color w:val="auto"/>
        </w:rPr>
      </w:pPr>
      <w:r>
        <w:rPr>
          <w:rFonts w:ascii="Arial" w:cs="Arial" w:eastAsia="Arial" w:hAnsi="Arial"/>
          <w:sz w:val="17"/>
          <w:szCs w:val="17"/>
          <w:color w:val="auto"/>
        </w:rPr>
        <w:t>stockholders to request inclusion of proposals in the Corporation’s proxy statement pursuant to Rule 14a-8 under the Exchange Act or (b) the holders of any series of the Corporation’s Preferred Stock to elect directors pursuant to any applicable provisions of the Certificate of Incorporation.</w:t>
      </w:r>
    </w:p>
    <w:p>
      <w:pPr>
        <w:spacing w:after="0" w:line="107" w:lineRule="exact"/>
        <w:rPr>
          <w:rFonts w:ascii="Arial" w:cs="Arial" w:eastAsia="Arial" w:hAnsi="Arial"/>
          <w:sz w:val="17"/>
          <w:szCs w:val="17"/>
          <w:color w:val="auto"/>
        </w:rPr>
      </w:pPr>
    </w:p>
    <w:p>
      <w:pPr>
        <w:ind w:left="720" w:hanging="388"/>
        <w:spacing w:after="0"/>
        <w:tabs>
          <w:tab w:leader="none" w:pos="720" w:val="left"/>
        </w:tabs>
        <w:numPr>
          <w:ilvl w:val="1"/>
          <w:numId w:val="386"/>
        </w:numPr>
        <w:rPr>
          <w:rFonts w:ascii="Arial" w:cs="Arial" w:eastAsia="Arial" w:hAnsi="Arial"/>
          <w:sz w:val="18"/>
          <w:szCs w:val="18"/>
          <w:color w:val="auto"/>
        </w:rPr>
      </w:pPr>
      <w:r>
        <w:rPr>
          <w:rFonts w:ascii="Arial" w:cs="Arial" w:eastAsia="Arial" w:hAnsi="Arial"/>
          <w:sz w:val="18"/>
          <w:szCs w:val="18"/>
          <w:color w:val="auto"/>
        </w:rPr>
        <w:t>For purposes of these Bylaws the following definitions shall apply:</w:t>
      </w:r>
    </w:p>
    <w:p>
      <w:pPr>
        <w:spacing w:after="0" w:line="171" w:lineRule="exact"/>
        <w:rPr>
          <w:rFonts w:ascii="Arial" w:cs="Arial" w:eastAsia="Arial" w:hAnsi="Arial"/>
          <w:sz w:val="18"/>
          <w:szCs w:val="18"/>
          <w:color w:val="auto"/>
        </w:rPr>
      </w:pPr>
    </w:p>
    <w:p>
      <w:pPr>
        <w:jc w:val="both"/>
        <w:ind w:left="980" w:firstLine="648"/>
        <w:spacing w:after="0" w:line="269" w:lineRule="auto"/>
        <w:tabs>
          <w:tab w:leader="none" w:pos="2161" w:val="left"/>
        </w:tabs>
        <w:numPr>
          <w:ilvl w:val="2"/>
          <w:numId w:val="386"/>
        </w:numPr>
        <w:rPr>
          <w:rFonts w:ascii="Arial" w:cs="Arial" w:eastAsia="Arial" w:hAnsi="Arial"/>
          <w:sz w:val="17"/>
          <w:szCs w:val="17"/>
          <w:color w:val="auto"/>
        </w:rPr>
      </w:pPr>
      <w:r>
        <w:rPr>
          <w:rFonts w:ascii="Arial" w:cs="Arial" w:eastAsia="Arial" w:hAnsi="Arial"/>
          <w:sz w:val="17"/>
          <w:szCs w:val="17"/>
          <w:color w:val="auto"/>
        </w:rPr>
        <w:t>a person shall be deemed to be “</w:t>
      </w:r>
      <w:r>
        <w:rPr>
          <w:rFonts w:ascii="Arial" w:cs="Arial" w:eastAsia="Arial" w:hAnsi="Arial"/>
          <w:sz w:val="17"/>
          <w:szCs w:val="17"/>
          <w:b w:val="1"/>
          <w:bCs w:val="1"/>
          <w:i w:val="1"/>
          <w:iCs w:val="1"/>
          <w:color w:val="auto"/>
        </w:rPr>
        <w:t>Acting in Concert</w:t>
      </w:r>
      <w:r>
        <w:rPr>
          <w:rFonts w:ascii="Arial" w:cs="Arial" w:eastAsia="Arial" w:hAnsi="Arial"/>
          <w:sz w:val="17"/>
          <w:szCs w:val="17"/>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A-97</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4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with another person shall be deemed to be Acting in Concert with any third party who is also Acting in Concert with such other person;</w:t>
      </w:r>
    </w:p>
    <w:p>
      <w:pPr>
        <w:spacing w:after="0" w:line="183" w:lineRule="exact"/>
        <w:rPr>
          <w:sz w:val="20"/>
          <w:szCs w:val="20"/>
          <w:color w:val="auto"/>
        </w:rPr>
      </w:pPr>
    </w:p>
    <w:p>
      <w:pPr>
        <w:jc w:val="both"/>
        <w:ind w:left="980" w:firstLine="648"/>
        <w:spacing w:after="0" w:line="263" w:lineRule="auto"/>
        <w:tabs>
          <w:tab w:leader="none" w:pos="206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meanings ascribed thereto in Rule 405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provided, however, that the term “partner” as used in the definition of “associate” shall not include any limited partner that is not involved in the management of the relevant partnership;</w:t>
      </w:r>
    </w:p>
    <w:p>
      <w:pPr>
        <w:spacing w:after="0" w:line="129" w:lineRule="exact"/>
        <w:rPr>
          <w:rFonts w:ascii="Arial" w:cs="Arial" w:eastAsia="Arial" w:hAnsi="Arial"/>
          <w:sz w:val="18"/>
          <w:szCs w:val="18"/>
          <w:color w:val="auto"/>
        </w:rPr>
      </w:pPr>
    </w:p>
    <w:p>
      <w:pPr>
        <w:jc w:val="both"/>
        <w:ind w:left="980" w:firstLine="648"/>
        <w:spacing w:after="0" w:line="257" w:lineRule="auto"/>
        <w:tabs>
          <w:tab w:leader="none" w:pos="2061"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Associated Person</w:t>
      </w:r>
      <w:r>
        <w:rPr>
          <w:rFonts w:ascii="Arial" w:cs="Arial" w:eastAsia="Arial" w:hAnsi="Arial"/>
          <w:sz w:val="18"/>
          <w:szCs w:val="18"/>
          <w:color w:val="auto"/>
        </w:rPr>
        <w:t>” shall mean with respect to any subject stockholder or other person (including any proposed nominee) (1) any person directly or indirectly controlling, controlled by or under common control with such stockholder or other person, (2) 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133" w:lineRule="exact"/>
        <w:rPr>
          <w:rFonts w:ascii="Arial" w:cs="Arial" w:eastAsia="Arial" w:hAnsi="Arial"/>
          <w:sz w:val="18"/>
          <w:szCs w:val="18"/>
          <w:color w:val="auto"/>
        </w:rPr>
      </w:pPr>
    </w:p>
    <w:p>
      <w:pPr>
        <w:jc w:val="both"/>
        <w:ind w:left="980" w:firstLine="648"/>
        <w:spacing w:after="0" w:line="259" w:lineRule="auto"/>
        <w:tabs>
          <w:tab w:leader="none" w:pos="222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Arrangement</w:t>
      </w:r>
      <w:r>
        <w:rPr>
          <w:rFonts w:ascii="Arial" w:cs="Arial" w:eastAsia="Arial" w:hAnsi="Arial"/>
          <w:sz w:val="18"/>
          <w:szCs w:val="18"/>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132" w:lineRule="exact"/>
        <w:rPr>
          <w:rFonts w:ascii="Arial" w:cs="Arial" w:eastAsia="Arial" w:hAnsi="Arial"/>
          <w:sz w:val="18"/>
          <w:szCs w:val="18"/>
          <w:color w:val="auto"/>
        </w:rPr>
      </w:pPr>
    </w:p>
    <w:p>
      <w:pPr>
        <w:ind w:left="980" w:firstLine="648"/>
        <w:spacing w:after="0" w:line="277" w:lineRule="auto"/>
        <w:tabs>
          <w:tab w:leader="none" w:pos="209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Competitor</w:t>
      </w:r>
      <w:r>
        <w:rPr>
          <w:rFonts w:ascii="Arial" w:cs="Arial" w:eastAsia="Arial" w:hAnsi="Arial"/>
          <w:sz w:val="18"/>
          <w:szCs w:val="18"/>
          <w:color w:val="auto"/>
        </w:rPr>
        <w:t>” shall mean any entity that provides products or services that compete with or are alternatives to the principal products produced or services provided by the Corporation or its affiliates;</w:t>
      </w:r>
    </w:p>
    <w:p>
      <w:pPr>
        <w:spacing w:after="0" w:line="116" w:lineRule="exact"/>
        <w:rPr>
          <w:rFonts w:ascii="Arial" w:cs="Arial" w:eastAsia="Arial" w:hAnsi="Arial"/>
          <w:sz w:val="18"/>
          <w:szCs w:val="18"/>
          <w:color w:val="auto"/>
        </w:rPr>
      </w:pPr>
    </w:p>
    <w:p>
      <w:pPr>
        <w:jc w:val="both"/>
        <w:ind w:left="980" w:firstLine="648"/>
        <w:spacing w:after="0" w:line="296" w:lineRule="auto"/>
        <w:tabs>
          <w:tab w:leader="none" w:pos="2041"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Proposing Person</w:t>
      </w:r>
      <w:r>
        <w:rPr>
          <w:rFonts w:ascii="Arial" w:cs="Arial" w:eastAsia="Arial" w:hAnsi="Arial"/>
          <w:sz w:val="16"/>
          <w:szCs w:val="16"/>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107" w:lineRule="exact"/>
        <w:rPr>
          <w:rFonts w:ascii="Arial" w:cs="Arial" w:eastAsia="Arial" w:hAnsi="Arial"/>
          <w:sz w:val="16"/>
          <w:szCs w:val="16"/>
          <w:color w:val="auto"/>
        </w:rPr>
      </w:pPr>
    </w:p>
    <w:p>
      <w:pPr>
        <w:ind w:left="980" w:firstLine="648"/>
        <w:spacing w:after="0" w:line="342" w:lineRule="auto"/>
        <w:tabs>
          <w:tab w:leader="none" w:pos="2058" w:val="left"/>
        </w:tabs>
        <w:numPr>
          <w:ilvl w:val="0"/>
          <w:numId w:val="3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69" w:lineRule="exact"/>
        <w:rPr>
          <w:rFonts w:ascii="Arial" w:cs="Arial" w:eastAsia="Arial" w:hAnsi="Arial"/>
          <w:sz w:val="16"/>
          <w:szCs w:val="16"/>
          <w:color w:val="auto"/>
        </w:rPr>
      </w:pPr>
    </w:p>
    <w:p>
      <w:pPr>
        <w:jc w:val="both"/>
        <w:ind w:left="980" w:firstLine="648"/>
        <w:spacing w:after="0" w:line="273" w:lineRule="auto"/>
        <w:tabs>
          <w:tab w:leader="none" w:pos="2103"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to be considered a “</w:t>
      </w:r>
      <w:r>
        <w:rPr>
          <w:rFonts w:ascii="Arial" w:cs="Arial" w:eastAsia="Arial" w:hAnsi="Arial"/>
          <w:sz w:val="17"/>
          <w:szCs w:val="17"/>
          <w:b w:val="1"/>
          <w:bCs w:val="1"/>
          <w:i w:val="1"/>
          <w:iCs w:val="1"/>
          <w:color w:val="auto"/>
        </w:rPr>
        <w:t>Qualified Representative</w:t>
      </w:r>
      <w:r>
        <w:rPr>
          <w:rFonts w:ascii="Arial" w:cs="Arial" w:eastAsia="Arial" w:hAnsi="Arial"/>
          <w:sz w:val="17"/>
          <w:szCs w:val="17"/>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BOARD OF DIRECTORS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Number;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total number of directors constituting the Whole Board shall be fixed from time to time in the manner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Certificate of Incorporation and the term “</w:t>
      </w:r>
      <w:r>
        <w:rPr>
          <w:rFonts w:ascii="Arial" w:cs="Arial" w:eastAsia="Arial" w:hAnsi="Arial"/>
          <w:sz w:val="18"/>
          <w:szCs w:val="18"/>
          <w:b w:val="1"/>
          <w:bCs w:val="1"/>
          <w:i w:val="1"/>
          <w:iCs w:val="1"/>
          <w:color w:val="auto"/>
        </w:rPr>
        <w:t>Whole Board</w:t>
      </w:r>
      <w:r>
        <w:rPr>
          <w:rFonts w:ascii="Arial" w:cs="Arial" w:eastAsia="Arial" w:hAnsi="Arial"/>
          <w:sz w:val="18"/>
          <w:szCs w:val="18"/>
          <w:color w:val="auto"/>
        </w:rPr>
        <w:t>”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Election; Resignation; Removal; Vacancies.</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Each director shall hold office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annual meeting at which such director’s term expires and until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A-98</w:t>
      </w:r>
    </w:p>
    <w:p>
      <w:pPr>
        <w:sectPr>
          <w:pgSz w:w="11900" w:h="16838" w:orient="portrait"/>
          <w:cols w:equalWidth="0" w:num="1">
            <w:col w:w="11240"/>
          </w:cols>
          <w:pgMar w:left="320" w:top="1440" w:right="339" w:bottom="1440" w:gutter="0" w:footer="0" w:header="0"/>
        </w:sectPr>
      </w:pPr>
    </w:p>
    <w:bookmarkStart w:id="533" w:name="page534"/>
    <w:bookmarkEnd w:id="533"/>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the Corporation’s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12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Regular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meetings of the Board may be held at such places, within or without the State of Delaware, and at such</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the Board may from time to time determine. Notice of regular meetings need not be given if the date, times and places thereof are fixed by resolution of the Board.</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Special Meetings.</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meetings of the Board may be called by the Chairperson of the Board, the Chief Executive Officer, the Lead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telegram, telex, mailgram, facsimile, electronic mail or other means of electronic transmission;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1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b w:val="1"/>
          <w:bCs w:val="1"/>
          <w:u w:val="single" w:color="auto"/>
          <w:color w:val="auto"/>
        </w:rPr>
        <w:t>Remote Meetings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or any committee of the Board, may participate in a meeting of the Board 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Quorum; Vote Required for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At all meetings of the Board, a majority of the Whole Board shall constitute a quorum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Board shall be presided over by (a) the Chairperson of the Board, or (b) in the absence of such person,</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Independent Director, or (c) in such person’s absence, by the Chief Executive Officer, or (d) in such person’s absence, by a chairperson chosen by the Board at the meeting. The Secretary of the Corporation shall act as secretary of the meeting, but in such person’s absence the chairperson of the meeting may appoint any person to act as secretary of the meeting.</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Unanimous Action by Directors in Lieu of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required or permitted to be taken at any meeting of the Board, or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Certificate of Incorporation or the DGCL, the business and affairs of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managed by or under the direction of the Board.</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Compensation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Members of the Board, as such, may receive, pursuant to a resolution of the Board, fees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their services as directors, including without limitation their services as members of committees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A-99</w:t>
      </w:r>
    </w:p>
    <w:p>
      <w:pPr>
        <w:sectPr>
          <w:pgSz w:w="11900" w:h="16838" w:orient="portrait"/>
          <w:cols w:equalWidth="0" w:num="1">
            <w:col w:w="11240"/>
          </w:cols>
          <w:pgMar w:left="320" w:top="1440" w:right="339" w:bottom="1440" w:gutter="0" w:footer="0" w:header="0"/>
        </w:sectPr>
      </w:pPr>
    </w:p>
    <w:bookmarkStart w:id="534" w:name="page535"/>
    <w:bookmarkEnd w:id="534"/>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Each director shall maintain the confidentiality of, and shall not share with any third party person or entity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parties that originally sponsored, nominated or designated such director (the “</w:t>
      </w:r>
      <w:r>
        <w:rPr>
          <w:rFonts w:ascii="Arial" w:cs="Arial" w:eastAsia="Arial" w:hAnsi="Arial"/>
          <w:sz w:val="17"/>
          <w:szCs w:val="17"/>
          <w:b w:val="1"/>
          <w:bCs w:val="1"/>
          <w:i w:val="1"/>
          <w:iCs w:val="1"/>
          <w:color w:val="auto"/>
        </w:rPr>
        <w:t>Sponsoring Party</w:t>
      </w:r>
      <w:r>
        <w:rPr>
          <w:rFonts w:ascii="Arial" w:cs="Arial" w:eastAsia="Arial" w:hAnsi="Arial"/>
          <w:sz w:val="17"/>
          <w:szCs w:val="17"/>
          <w:color w:val="auto"/>
        </w:rPr>
        <w:t xml:space="preserve">”)), any non-public information learned in their capacities as directors, including communications among Board members in their capacities as directors;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directors that are originally nominated or designated by a Sponsoring Party may disclose such information to the Sponsoring Party (or the management company of the Sponsoring Party) if the Sponsoring Party (or the management company of the Sponsoring Party) has applicable confidentiality restrictions in place. The Board may adopt a board confidentiality policy further implementing and interpreting this Section 2.11 (a “</w:t>
      </w:r>
      <w:r>
        <w:rPr>
          <w:rFonts w:ascii="Arial" w:cs="Arial" w:eastAsia="Arial" w:hAnsi="Arial"/>
          <w:sz w:val="17"/>
          <w:szCs w:val="17"/>
          <w:b w:val="1"/>
          <w:bCs w:val="1"/>
          <w:i w:val="1"/>
          <w:iCs w:val="1"/>
          <w:color w:val="auto"/>
        </w:rPr>
        <w:t>Board Confidentiality Policy</w:t>
      </w:r>
      <w:r>
        <w:rPr>
          <w:rFonts w:ascii="Arial" w:cs="Arial" w:eastAsia="Arial" w:hAnsi="Arial"/>
          <w:sz w:val="17"/>
          <w:szCs w:val="17"/>
          <w:color w:val="auto"/>
        </w:rPr>
        <w:t>”). Other than as provided in the first section of this Section 2.11, all directors are required to comply with this Section 2.11 and any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COMMITTEES</w:t>
      </w:r>
    </w:p>
    <w:p>
      <w:pPr>
        <w:spacing w:after="0" w:line="171" w:lineRule="exact"/>
        <w:rPr>
          <w:sz w:val="20"/>
          <w:szCs w:val="20"/>
          <w:color w:val="auto"/>
        </w:rPr>
      </w:pPr>
    </w:p>
    <w:p>
      <w:pPr>
        <w:jc w:val="both"/>
        <w:ind w:right="80" w:firstLine="324"/>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Committees</w:t>
      </w:r>
      <w:r>
        <w:rPr>
          <w:rFonts w:ascii="Arial" w:cs="Arial" w:eastAsia="Arial" w:hAnsi="Arial"/>
          <w:sz w:val="17"/>
          <w:szCs w:val="17"/>
          <w:color w:val="auto"/>
        </w:rPr>
        <w:t>. The Board may designate one or more committees, each committee to consist of one or more of the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123" w:lineRule="exact"/>
        <w:rPr>
          <w:sz w:val="20"/>
          <w:szCs w:val="20"/>
          <w:color w:val="auto"/>
        </w:rPr>
      </w:pPr>
    </w:p>
    <w:p>
      <w:pPr>
        <w:jc w:val="both"/>
        <w:ind w:right="60" w:firstLine="324"/>
        <w:spacing w:after="0" w:line="274"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Committee Rules</w:t>
      </w:r>
      <w:r>
        <w:rPr>
          <w:rFonts w:ascii="Arial" w:cs="Arial" w:eastAsia="Arial" w:hAnsi="Arial"/>
          <w:sz w:val="17"/>
          <w:szCs w:val="17"/>
          <w:b w:val="1"/>
          <w:bCs w:val="1"/>
          <w:color w:val="auto"/>
        </w:rPr>
        <w:t xml:space="preserve">. </w:t>
      </w:r>
      <w:r>
        <w:rPr>
          <w:rFonts w:ascii="Arial" w:cs="Arial" w:eastAsia="Arial" w:hAnsi="Arial"/>
          <w:sz w:val="17"/>
          <w:szCs w:val="17"/>
          <w:color w:val="auto"/>
        </w:rPr>
        <w:t>Each committee shall keep records of its proceedings and make such reports as the Board may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OFFICERS; CHAIRPERSON; LEAD INDEPENDENT DIRECTOR</w:t>
      </w:r>
    </w:p>
    <w:p>
      <w:pPr>
        <w:spacing w:after="0" w:line="171"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7"/>
          <w:szCs w:val="17"/>
          <w:b w:val="1"/>
          <w:bCs w:val="1"/>
          <w:color w:val="auto"/>
        </w:rPr>
        <w:t xml:space="preserve">Section 4.1: </w:t>
      </w:r>
      <w:r>
        <w:rPr>
          <w:rFonts w:ascii="Arial" w:cs="Arial" w:eastAsia="Arial" w:hAnsi="Arial"/>
          <w:sz w:val="17"/>
          <w:szCs w:val="17"/>
          <w:b w:val="1"/>
          <w:bCs w:val="1"/>
          <w:u w:val="single" w:color="auto"/>
          <w:color w:val="auto"/>
        </w:rPr>
        <w:t>Generally</w:t>
      </w:r>
      <w:r>
        <w:rPr>
          <w:rFonts w:ascii="Arial" w:cs="Arial" w:eastAsia="Arial" w:hAnsi="Arial"/>
          <w:sz w:val="17"/>
          <w:szCs w:val="17"/>
          <w:b w:val="1"/>
          <w:bCs w:val="1"/>
          <w:color w:val="auto"/>
        </w:rPr>
        <w:t xml:space="preserve">. </w:t>
      </w:r>
      <w:r>
        <w:rPr>
          <w:rFonts w:ascii="Arial" w:cs="Arial" w:eastAsia="Arial" w:hAnsi="Arial"/>
          <w:sz w:val="17"/>
          <w:szCs w:val="17"/>
          <w:color w:val="auto"/>
        </w:rPr>
        <w:t>The officers of the Corporation shall consist of a Chief Executive Officer (who may be the Chairperson of the Board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President), a President, a Secretary and a Treasurer and may consist of such other officers, including, without limitation, a Chief Financial Officer, and one or more Vice Presidents, as may from time to time be appointed by the Board. All officers shall be elected by the Board;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may empower the Chief Executive Officer of the Corporation to appoint any officer other than the Chief Executive Officer, the President, the Chief Financial Officer or the Treasurer. Except as otherwise provided by law,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A-100</w:t>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hold office for the unexpired term of such officer’s predecessor and until a successor is duly elected and qualified or until such officer’s earlier resignation, death, disqualification or removal.</w:t>
      </w:r>
    </w:p>
    <w:p>
      <w:pPr>
        <w:spacing w:after="0" w:line="112"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4.2: </w:t>
      </w:r>
      <w:r>
        <w:rPr>
          <w:rFonts w:ascii="Arial" w:cs="Arial" w:eastAsia="Arial" w:hAnsi="Arial"/>
          <w:sz w:val="18"/>
          <w:szCs w:val="18"/>
          <w:b w:val="1"/>
          <w:bCs w:val="1"/>
          <w:u w:val="single" w:color="auto"/>
          <w:color w:val="auto"/>
        </w:rPr>
        <w:t>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control of the Board and such supervisory powers, if any, as may be given by the Board,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and duties of the Chief Executive Officer of the Corporation are:</w:t>
      </w:r>
    </w:p>
    <w:p>
      <w:pPr>
        <w:spacing w:after="0" w:line="112" w:lineRule="exact"/>
        <w:rPr>
          <w:sz w:val="20"/>
          <w:szCs w:val="20"/>
          <w:color w:val="auto"/>
        </w:rPr>
      </w:pPr>
    </w:p>
    <w:p>
      <w:pPr>
        <w:ind w:left="340" w:firstLine="640"/>
        <w:spacing w:after="0" w:line="277" w:lineRule="auto"/>
        <w:tabs>
          <w:tab w:leader="none" w:pos="139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to act as the general manager and, subject to the control of the Board, to have general supervision, direction and control of the business and affairs of the Corporation;</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subject to Section 1.6 of these Bylaws, to preside at all meetings of the stockholders;</w:t>
      </w:r>
    </w:p>
    <w:p>
      <w:pPr>
        <w:spacing w:after="0" w:line="171" w:lineRule="exact"/>
        <w:rPr>
          <w:rFonts w:ascii="Arial" w:cs="Arial" w:eastAsia="Arial" w:hAnsi="Arial"/>
          <w:sz w:val="18"/>
          <w:szCs w:val="18"/>
          <w:color w:val="auto"/>
        </w:rPr>
      </w:pPr>
    </w:p>
    <w:p>
      <w:pPr>
        <w:ind w:left="340" w:firstLine="640"/>
        <w:spacing w:after="0" w:line="277" w:lineRule="auto"/>
        <w:tabs>
          <w:tab w:leader="none" w:pos="1373"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subject to Section 1.2 of these Bylaws, to call special meetings of the stockholders to be held at such times and, subject to the limitations prescribed by law or by these Bylaws, at such places as he or she shall deem proper; and</w:t>
      </w:r>
    </w:p>
    <w:p>
      <w:pPr>
        <w:spacing w:after="0" w:line="116" w:lineRule="exact"/>
        <w:rPr>
          <w:rFonts w:ascii="Arial" w:cs="Arial" w:eastAsia="Arial" w:hAnsi="Arial"/>
          <w:sz w:val="18"/>
          <w:szCs w:val="18"/>
          <w:color w:val="auto"/>
        </w:rPr>
      </w:pPr>
    </w:p>
    <w:p>
      <w:pPr>
        <w:jc w:val="both"/>
        <w:ind w:left="340" w:firstLine="640"/>
        <w:spacing w:after="0" w:line="301" w:lineRule="auto"/>
        <w:tabs>
          <w:tab w:leader="none" w:pos="1432"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10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person holding the office of President shall be the Chief Executive Officer of the Corporation unless the Board shall designate another officer to be the Chief Executive Officer.</w:t>
      </w:r>
    </w:p>
    <w:p>
      <w:pPr>
        <w:spacing w:after="0" w:line="112" w:lineRule="exact"/>
        <w:rPr>
          <w:sz w:val="20"/>
          <w:szCs w:val="20"/>
          <w:color w:val="auto"/>
        </w:rPr>
      </w:pPr>
    </w:p>
    <w:p>
      <w:pPr>
        <w:jc w:val="both"/>
        <w:ind w:right="80" w:firstLine="324"/>
        <w:spacing w:after="0" w:line="266"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2.7 of these Bylaws, the Chairperson of the Board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122"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Lead Independent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may, in its discretion, elect a lead independent director from among its members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Directors (as defined below) (such director, the “</w:t>
      </w:r>
      <w:r>
        <w:rPr>
          <w:rFonts w:ascii="Arial" w:cs="Arial" w:eastAsia="Arial" w:hAnsi="Arial"/>
          <w:sz w:val="17"/>
          <w:szCs w:val="17"/>
          <w:b w:val="1"/>
          <w:bCs w:val="1"/>
          <w:i w:val="1"/>
          <w:iCs w:val="1"/>
          <w:color w:val="auto"/>
        </w:rPr>
        <w:t>Lead Independent Director</w:t>
      </w:r>
      <w:r>
        <w:rPr>
          <w:rFonts w:ascii="Arial" w:cs="Arial" w:eastAsia="Arial" w:hAnsi="Arial"/>
          <w:sz w:val="17"/>
          <w:szCs w:val="17"/>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7"/>
          <w:szCs w:val="17"/>
          <w:b w:val="1"/>
          <w:bCs w:val="1"/>
          <w:i w:val="1"/>
          <w:iCs w:val="1"/>
          <w:color w:val="auto"/>
        </w:rPr>
        <w:t>Independent Director</w:t>
      </w:r>
      <w:r>
        <w:rPr>
          <w:rFonts w:ascii="Arial" w:cs="Arial" w:eastAsia="Arial" w:hAnsi="Arial"/>
          <w:sz w:val="17"/>
          <w:szCs w:val="17"/>
          <w:color w:val="auto"/>
        </w:rPr>
        <w:t>” has the meaning ascribed to such term under the rules of the exchange upon which the Corporation’s Common Stock is primarily traded.</w:t>
      </w:r>
    </w:p>
    <w:p>
      <w:pPr>
        <w:spacing w:after="0" w:line="114" w:lineRule="exact"/>
        <w:rPr>
          <w:sz w:val="20"/>
          <w:szCs w:val="20"/>
          <w:color w:val="auto"/>
        </w:rPr>
      </w:pPr>
    </w:p>
    <w:p>
      <w:pPr>
        <w:jc w:val="both"/>
        <w:ind w:right="60" w:firstLine="324"/>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The person holding the office of Chief Executive Officer shall be the President of the Corporation unless the Board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18"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 holding the office of Chief Financial Officer shall be the Treasurer of the Corporation unless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A-101</w:t>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13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person holding the office of Treasurer shall be the Chief Financial Officer of the Corporation unless the Board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designated another officer as the Chief Financial Officer of the Corporation. The Treasurer shall have custody of all monies and securities of the 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129"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Vice President shall have all such powers and duties as are commonly incident to the office of Vice President or</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8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b w:val="1"/>
          <w:bCs w:val="1"/>
          <w:u w:val="single" w:color="auto"/>
          <w:color w:val="auto"/>
        </w:rPr>
        <w:t>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shall issue or cause to be issued all authorized notices for, and shall keep, or cause to be kept, minutes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Delegation of Authority</w:t>
      </w:r>
      <w:r>
        <w:rPr>
          <w:rFonts w:ascii="Arial" w:cs="Arial" w:eastAsia="Arial" w:hAnsi="Arial"/>
          <w:sz w:val="18"/>
          <w:szCs w:val="18"/>
          <w:color w:val="auto"/>
        </w:rPr>
        <w:t>. The Board may from time to time delegate the powers or duties of any officer of the Corporation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officers or agents of the Corporation, notwithstanding any provision hereof.</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b w:val="1"/>
          <w:bCs w:val="1"/>
          <w:u w:val="single" w:color="auto"/>
          <w:color w:val="auto"/>
        </w:rPr>
        <w:t>Removal</w:t>
      </w:r>
      <w:r>
        <w:rPr>
          <w:rFonts w:ascii="Arial" w:cs="Arial" w:eastAsia="Arial" w:hAnsi="Arial"/>
          <w:sz w:val="18"/>
          <w:szCs w:val="18"/>
          <w:b w:val="1"/>
          <w:bCs w:val="1"/>
          <w:color w:val="auto"/>
        </w:rPr>
        <w:t xml:space="preserve">. </w:t>
      </w:r>
      <w:r>
        <w:rPr>
          <w:rFonts w:ascii="Arial" w:cs="Arial" w:eastAsia="Arial" w:hAnsi="Arial"/>
          <w:sz w:val="18"/>
          <w:szCs w:val="18"/>
          <w:color w:val="auto"/>
        </w:rPr>
        <w:t>Any officer of the Corporation shall serve at the pleasure of the Board and may be removed at any time, with or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by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V:STOCK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Certificates;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capital stock of the Corporation shall be uncertificated shares;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by resolution or resolutions that some or all of any or all classes or series of its stock shall be certificated shares. Every holder of stock 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128" w:lineRule="exact"/>
        <w:rPr>
          <w:sz w:val="20"/>
          <w:szCs w:val="20"/>
          <w:color w:val="auto"/>
        </w:rPr>
      </w:pPr>
    </w:p>
    <w:p>
      <w:pPr>
        <w:jc w:val="both"/>
        <w:ind w:right="20" w:firstLine="324"/>
        <w:spacing w:after="0" w:line="274"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Lost, Stolen or Destroyed Stock Certificates; Issuance of New Certificates or Uncertificated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may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A-102</w:t>
      </w:r>
    </w:p>
    <w:p>
      <w:pPr>
        <w:sectPr>
          <w:pgSz w:w="11900" w:h="16838" w:orient="portrait"/>
          <w:cols w:equalWidth="0" w:num="1">
            <w:col w:w="11180"/>
          </w:cols>
          <w:pgMar w:left="320" w:top="1440" w:right="399" w:bottom="1440" w:gutter="0" w:footer="0" w:header="0"/>
        </w:sectPr>
      </w:pPr>
    </w:p>
    <w:bookmarkStart w:id="537" w:name="page538"/>
    <w:bookmarkEnd w:id="537"/>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Other Regulations</w:t>
      </w:r>
      <w:r>
        <w:rPr>
          <w:rFonts w:ascii="Arial" w:cs="Arial" w:eastAsia="Arial" w:hAnsi="Arial"/>
          <w:sz w:val="16"/>
          <w:szCs w:val="16"/>
          <w:color w:val="auto"/>
        </w:rPr>
        <w:t>. Subject to applicable law, the Certificate of Incorporation and these Bylaws, the issue, transfer, conversion and</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of shares represented by certificates and of uncertificated shares shall be governed by such other regulations as the Board may establish.</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 INDEMNIFICATION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Indemnification of Officers and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who was or is made a party to, or is threatened to be made a party to, or is</w:t>
      </w:r>
      <w:r>
        <w:rPr>
          <w:rFonts w:ascii="Arial" w:cs="Arial" w:eastAsia="Arial" w:hAnsi="Arial"/>
          <w:sz w:val="16"/>
          <w:szCs w:val="16"/>
          <w:b w:val="1"/>
          <w:bCs w:val="1"/>
          <w:color w:val="auto"/>
        </w:rPr>
        <w:t xml:space="preserve"> </w:t>
      </w:r>
      <w:r>
        <w:rPr>
          <w:rFonts w:ascii="Arial" w:cs="Arial" w:eastAsia="Arial" w:hAnsi="Arial"/>
          <w:sz w:val="16"/>
          <w:szCs w:val="16"/>
          <w:color w:val="auto"/>
        </w:rPr>
        <w:t>involved in any threatened, pending or completed action, suit or proceeding, whether civil, criminal, administrative, legislative, investigative or any other type whatsoever, preliminary, informal or formal, including any arbitration or other alternative dispute resolution (including but not limited to giving testimony or responding to a subpoena) and including any appeal of any of the foregoing (a “Proceeding”), by reason of the fact that such person (or a person of whom such person is the legal representative), is or was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Such indemnification shall continue as to an Indemnitee who has ceased to be a director or officer of the Corporation or a Reincorporated Predecessor (as defined below) or, while serving as a director or officer of the Corporation or a Reincorporated Predecessor, is or was serving at the request of the Corporation as a director, officer, employee, agent or trustee of another corporation, or of a partnership, joint venture, trust or other enterprise or non-profit entity, including service with respect to employee benefit plans and shall inure to the benefit of such Indemnitees’ heirs, executors and administrators. Notwithstanding the foregoing, subject to Section 6.5 of this Article VI,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 As used herein, the term the “Reincorporated Predecessor” means a corporation that is merged with and into the Corporation in a statutory merger where (a) the Corporation is the surviving corporation of such merger; or (b) the primary purpose of such merger is to change the corporate domicile of the Reincorporated Predecessor to Delaware.</w:t>
      </w:r>
    </w:p>
    <w:p>
      <w:pPr>
        <w:spacing w:after="0" w:line="11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Advancement of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these Bylaws, the Corporation shall pay all reasonable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attorneys’ fees) incurred by an Indemnitee in defending any Proceeding in advance of its final disposition; provided, however,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118" w:lineRule="exact"/>
        <w:rPr>
          <w:sz w:val="20"/>
          <w:szCs w:val="20"/>
          <w:color w:val="auto"/>
        </w:rPr>
      </w:pPr>
    </w:p>
    <w:p>
      <w:pPr>
        <w:jc w:val="both"/>
        <w:ind w:right="20" w:firstLine="324"/>
        <w:spacing w:after="0" w:line="281" w:lineRule="auto"/>
        <w:rPr>
          <w:sz w:val="20"/>
          <w:szCs w:val="20"/>
          <w:color w:val="auto"/>
        </w:rPr>
      </w:pPr>
      <w:r>
        <w:rPr>
          <w:rFonts w:ascii="Arial" w:cs="Arial" w:eastAsia="Arial" w:hAnsi="Arial"/>
          <w:sz w:val="17"/>
          <w:szCs w:val="17"/>
          <w:b w:val="1"/>
          <w:bCs w:val="1"/>
          <w:color w:val="auto"/>
        </w:rPr>
        <w:t xml:space="preserve">Section 6.3: </w:t>
      </w:r>
      <w:r>
        <w:rPr>
          <w:rFonts w:ascii="Arial" w:cs="Arial" w:eastAsia="Arial" w:hAnsi="Arial"/>
          <w:sz w:val="17"/>
          <w:szCs w:val="17"/>
          <w:b w:val="1"/>
          <w:bCs w:val="1"/>
          <w:u w:val="single" w:color="auto"/>
          <w:color w:val="auto"/>
        </w:rPr>
        <w:t>Non-Exclusivity of Rights</w:t>
      </w:r>
      <w:r>
        <w:rPr>
          <w:rFonts w:ascii="Arial" w:cs="Arial" w:eastAsia="Arial" w:hAnsi="Arial"/>
          <w:sz w:val="17"/>
          <w:szCs w:val="17"/>
          <w:color w:val="auto"/>
        </w:rPr>
        <w:t>. The rights conferred on any person in this Article VI shall not be exclusive of any other right that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11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Indemnification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is authorized to cause the Corporation to enter into indemnification contracts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officer, employee or agent of the Corporation, or any person serving at the request of the Corporation as a director, officer, employee, agent or trustee of another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A-103</w:t>
      </w:r>
    </w:p>
    <w:p>
      <w:pPr>
        <w:sectPr>
          <w:pgSz w:w="11900" w:h="16838" w:orient="portrait"/>
          <w:cols w:equalWidth="0" w:num="1">
            <w:col w:w="11180"/>
          </w:cols>
          <w:pgMar w:left="320" w:top="1440" w:right="399" w:bottom="1440" w:gutter="0" w:footer="0" w:header="0"/>
        </w:sectPr>
      </w:pPr>
    </w:p>
    <w:bookmarkStart w:id="538" w:name="page539"/>
    <w:bookmarkEnd w:id="538"/>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partnership, joint venture, trust or other enterprise or non-profit entity, including employee benefit plans, providing indemnification or advancement rights to such person. Such rights may be greater than those provided in this Article VI.</w:t>
      </w:r>
    </w:p>
    <w:p>
      <w:pPr>
        <w:spacing w:after="0" w:line="112"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u w:val="single" w:color="auto"/>
          <w:color w:val="auto"/>
        </w:rPr>
        <w:t>Right to Bring Suit</w:t>
      </w:r>
      <w:r>
        <w:rPr>
          <w:rFonts w:ascii="Arial" w:cs="Arial" w:eastAsia="Arial" w:hAnsi="Arial"/>
          <w:sz w:val="18"/>
          <w:szCs w:val="18"/>
          <w:color w:val="auto"/>
        </w:rPr>
        <w:t>. If a claim under Section 6.1 or 6.2 of this Article VI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w:t>
      </w:r>
    </w:p>
    <w:p>
      <w:pPr>
        <w:spacing w:after="0" w:line="138"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 xml:space="preserve">6.5.2 </w:t>
      </w:r>
      <w:r>
        <w:rPr>
          <w:rFonts w:ascii="Arial" w:cs="Arial" w:eastAsia="Arial" w:hAnsi="Arial"/>
          <w:sz w:val="16"/>
          <w:szCs w:val="16"/>
          <w:u w:val="single" w:color="auto"/>
          <w:color w:val="auto"/>
        </w:rPr>
        <w:t>Effect of Determination</w:t>
      </w:r>
      <w:r>
        <w:rPr>
          <w:rFonts w:ascii="Arial" w:cs="Arial" w:eastAsia="Arial" w:hAnsi="Arial"/>
          <w:sz w:val="16"/>
          <w:szCs w:val="16"/>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103"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u w:val="single" w:color="auto"/>
          <w:color w:val="auto"/>
        </w:rPr>
        <w:t>Burden of Proof</w:t>
      </w:r>
      <w:r>
        <w:rPr>
          <w:rFonts w:ascii="Arial" w:cs="Arial" w:eastAsia="Arial" w:hAnsi="Arial"/>
          <w:sz w:val="17"/>
          <w:szCs w:val="17"/>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1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Section 6.6: </w:t>
      </w:r>
      <w:r>
        <w:rPr>
          <w:rFonts w:ascii="Arial" w:cs="Arial" w:eastAsia="Arial" w:hAnsi="Arial"/>
          <w:sz w:val="17"/>
          <w:szCs w:val="17"/>
          <w:b w:val="1"/>
          <w:bCs w:val="1"/>
          <w:u w:val="single" w:color="auto"/>
          <w:color w:val="auto"/>
        </w:rPr>
        <w:t>Nature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conferred upon Indemnitees in this Article VI 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an Indemnitee who has ceased to be a director or officer and shall inure to the benefit of the Indemnitee’s heirs, executors and administrators.</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b w:val="1"/>
          <w:bCs w:val="1"/>
          <w:u w:val="single" w:color="auto"/>
          <w:color w:val="auto"/>
        </w:rPr>
        <w:t>Amendment or Repeal</w:t>
      </w:r>
      <w:r>
        <w:rPr>
          <w:rFonts w:ascii="Arial" w:cs="Arial" w:eastAsia="Arial" w:hAnsi="Arial"/>
          <w:sz w:val="18"/>
          <w:szCs w:val="18"/>
          <w:color w:val="auto"/>
        </w:rPr>
        <w:t>. Any amendment, repeal or modification of any provision of this Article VI that adversely affects any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an Indemnitee or an Indemnitee’s successors shall be prospective only, and shall not adversely affect any right or protection conferred on a person pursuant to this Article VI and existing at the time of such amendment, repeal or modification.</w:t>
      </w:r>
    </w:p>
    <w:p>
      <w:pPr>
        <w:spacing w:after="0" w:line="122"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may purchase and maintain insurance, at its expense, to protect itself and any director, officer,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VII:NOTICES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u w:val="single" w:color="auto"/>
          <w:color w:val="auto"/>
        </w:rPr>
        <w:t>Notice</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right="20" w:firstLine="324"/>
        <w:spacing w:after="0" w:line="253"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Form and Delivery</w:t>
      </w:r>
      <w:r>
        <w:rPr>
          <w:rFonts w:ascii="Arial" w:cs="Arial" w:eastAsia="Arial" w:hAnsi="Arial"/>
          <w:sz w:val="18"/>
          <w:szCs w:val="18"/>
          <w:color w:val="auto"/>
        </w:rPr>
        <w:t>. Except as otherwise specifically required in these Bylaws (including, without limitation, Section 7.1.2 of these Bylaws) or by applicable law, all notices required to be given pursuant to these Bylaws may (a) in every instance in connection with any delivery to a member of the Board, be effectively given by hand delivery (including use of a delivery service), by depositing such notice in the mail, postage prepaid, or by sending such notice by overnight express courier, facsimile, electronic mail or other form of electronic transmission and (b) be effectively delivered to a stockholder when given by hand delivery, by depositing such notice in the mail, postage prepaid or, if specifically consented to by the stockholder as described in Section 7.1.2 of these Bylaws, by sending such notice by facsimile, electronic mail or other form of electronic transmission. Any such notice shall be addressed to the person to whom notice is to be given at such person’s address as it appears on the records of the Corporation. The notice shall be deemed given (a) in the case of hand delivery, when received by the person to whom notice is to be given or by any person accepting such notice on behalf of such person,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A-104</w:t>
      </w:r>
    </w:p>
    <w:p>
      <w:pPr>
        <w:sectPr>
          <w:pgSz w:w="11900" w:h="16838" w:orient="portrait"/>
          <w:cols w:equalWidth="0" w:num="1">
            <w:col w:w="11180"/>
          </w:cols>
          <w:pgMar w:left="320" w:top="1440" w:right="399" w:bottom="1440" w:gutter="0" w:footer="0" w:header="0"/>
        </w:sectPr>
      </w:pPr>
    </w:p>
    <w:bookmarkStart w:id="539" w:name="page540"/>
    <w:bookmarkEnd w:id="539"/>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case of delivery by mail, upon deposit in the mail, (c) in the case of delivery by overnight express courier, when dispatched, and (d) in the case of delivery via facsimile, electronic mail or other form of electronic transmission, at the time provided in Section 7.1.2 of these Bylaws.</w:t>
      </w:r>
    </w:p>
    <w:p>
      <w:pPr>
        <w:spacing w:after="0" w:line="116"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xml:space="preserve">. 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in accordance with Section 232 of the DGCL. Any such consent shall be revocable by the stockholder by written notice to the Corporation. Any such consent shall be deemed revoked if (a) the Corporation is unable to deliver by electronic transmission two consecutive notices given by the Corporation in accordance with such consent and (b) such inability becomes known to the Secretary or an Assistant Secretary of the Corporation or to the transfer agent, or other person responsible for the giving of notice;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the inadvertent failure to treat such inability as a revocation shall not invalidate any meeting or other action. Notice given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this Section 7.1.2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w:t>
      </w:r>
    </w:p>
    <w:p>
      <w:pPr>
        <w:spacing w:after="0" w:line="11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Affidavit of Giving Notice</w:t>
      </w:r>
      <w:r>
        <w:rPr>
          <w:rFonts w:ascii="Arial" w:cs="Arial" w:eastAsia="Arial" w:hAnsi="Arial"/>
          <w:sz w:val="18"/>
          <w:szCs w:val="18"/>
          <w:color w:val="auto"/>
        </w:rPr>
        <w:t>. An affidavit of the Secretary or an Assistant Secretary or of the transfer agent or other agent of the Corporation that the notice has been given in writing or by a form of electronic transmission shall, in the absence of fraud, be prima facie evidence of the facts stated therein.</w:t>
      </w:r>
    </w:p>
    <w:p>
      <w:pPr>
        <w:spacing w:after="0" w:line="12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Waiver of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notice is required to be given under any provision of the DGCL, the Certificate of Incorporation or these</w:t>
      </w:r>
      <w:r>
        <w:rPr>
          <w:rFonts w:ascii="Arial" w:cs="Arial" w:eastAsia="Arial" w:hAnsi="Arial"/>
          <w:sz w:val="17"/>
          <w:szCs w:val="17"/>
          <w:b w:val="1"/>
          <w:bCs w:val="1"/>
          <w:color w:val="auto"/>
        </w:rPr>
        <w:t xml:space="preserve"> </w:t>
      </w:r>
      <w:r>
        <w:rPr>
          <w:rFonts w:ascii="Arial" w:cs="Arial" w:eastAsia="Arial" w:hAnsi="Arial"/>
          <w:sz w:val="17"/>
          <w:szCs w:val="17"/>
          <w:color w:val="auto"/>
        </w:rPr>
        <w:t>Bylaws, a written waiver of notice, signed by the person entitled to notice, or waiver by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VIII: INTERESTED DIRECTORS</w:t>
      </w:r>
    </w:p>
    <w:p>
      <w:pPr>
        <w:spacing w:after="0" w:line="171" w:lineRule="exact"/>
        <w:rPr>
          <w:sz w:val="20"/>
          <w:szCs w:val="20"/>
          <w:color w:val="auto"/>
        </w:rPr>
      </w:pPr>
    </w:p>
    <w:p>
      <w:pPr>
        <w:jc w:val="both"/>
        <w:ind w:right="20" w:firstLine="324"/>
        <w:spacing w:after="0" w:line="270" w:lineRule="auto"/>
        <w:rPr>
          <w:sz w:val="20"/>
          <w:szCs w:val="20"/>
          <w:color w:val="auto"/>
        </w:rPr>
      </w:pPr>
      <w:r>
        <w:rPr>
          <w:rFonts w:ascii="Arial" w:cs="Arial" w:eastAsia="Arial" w:hAnsi="Arial"/>
          <w:sz w:val="17"/>
          <w:szCs w:val="17"/>
          <w:b w:val="1"/>
          <w:bCs w:val="1"/>
          <w:color w:val="auto"/>
        </w:rPr>
        <w:t xml:space="preserve">Section 8.1: </w:t>
      </w:r>
      <w:r>
        <w:rPr>
          <w:rFonts w:ascii="Arial" w:cs="Arial" w:eastAsia="Arial" w:hAnsi="Arial"/>
          <w:sz w:val="17"/>
          <w:szCs w:val="17"/>
          <w:b w:val="1"/>
          <w:bCs w:val="1"/>
          <w:u w:val="single" w:color="auto"/>
          <w:color w:val="auto"/>
        </w:rPr>
        <w:t>Interested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No contract or transaction between the Corporation and one or more of its members of the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12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Interested directors may be counted in determining the presence of a quorum at a meeting of the Board or of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authorizes the contract or transaction.</w:t>
      </w:r>
    </w:p>
    <w:p>
      <w:pPr>
        <w:spacing w:after="0" w:line="10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IX: MISCELLANEOUS</w:t>
      </w:r>
    </w:p>
    <w:p>
      <w:pPr>
        <w:spacing w:after="0" w:line="171" w:lineRule="exact"/>
        <w:rPr>
          <w:sz w:val="20"/>
          <w:szCs w:val="20"/>
          <w:color w:val="auto"/>
        </w:rPr>
      </w:pPr>
    </w:p>
    <w:p>
      <w:pPr>
        <w:ind w:left="340"/>
        <w:spacing w:after="0"/>
        <w:tabs>
          <w:tab w:leader="none" w:pos="13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The fiscal year of the Corporation shall be determined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A-105</w:t>
      </w:r>
    </w:p>
    <w:p>
      <w:pPr>
        <w:sectPr>
          <w:pgSz w:w="11900" w:h="16838" w:orient="portrait"/>
          <w:cols w:equalWidth="0" w:num="1">
            <w:col w:w="11180"/>
          </w:cols>
          <w:pgMar w:left="320" w:top="1440" w:right="399" w:bottom="1440" w:gutter="0" w:footer="0" w:header="0"/>
        </w:sectPr>
      </w:pPr>
    </w:p>
    <w:bookmarkStart w:id="540" w:name="page541"/>
    <w:bookmarkEnd w:id="540"/>
    <w:p>
      <w:pPr>
        <w:spacing w:after="0" w:line="13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9.2: </w:t>
      </w:r>
      <w:r>
        <w:rPr>
          <w:rFonts w:ascii="Arial" w:cs="Arial" w:eastAsia="Arial" w:hAnsi="Arial"/>
          <w:sz w:val="18"/>
          <w:szCs w:val="18"/>
          <w:b w:val="1"/>
          <w:bCs w:val="1"/>
          <w:u w:val="single" w:color="auto"/>
          <w:color w:val="auto"/>
        </w:rPr>
        <w:t>Seal</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provide for a corporate seal, which may have the name of the Corporation inscribed thereon and shall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may be approved from time to time by the Board.</w:t>
      </w:r>
    </w:p>
    <w:p>
      <w:pPr>
        <w:spacing w:after="0" w:line="108" w:lineRule="exact"/>
        <w:rPr>
          <w:sz w:val="20"/>
          <w:szCs w:val="20"/>
          <w:color w:val="auto"/>
        </w:rPr>
      </w:pPr>
    </w:p>
    <w:p>
      <w:pPr>
        <w:jc w:val="both"/>
        <w:ind w:right="80" w:firstLine="324"/>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Form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records administered by or on behalf of the Corporation in the regular course of its business, including its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100" w:lineRule="exact"/>
        <w:rPr>
          <w:sz w:val="20"/>
          <w:szCs w:val="20"/>
          <w:color w:val="auto"/>
        </w:rPr>
      </w:pPr>
    </w:p>
    <w:p>
      <w:pPr>
        <w:jc w:val="both"/>
        <w:ind w:right="80" w:firstLine="324"/>
        <w:spacing w:after="0" w:line="258"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Reliance Upon Books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Board, or a member of any committee designated by the Board shall,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29"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b w:val="1"/>
          <w:bCs w:val="1"/>
          <w:color w:val="auto"/>
        </w:rPr>
        <w:t xml:space="preserve">Section 9.5: </w:t>
      </w:r>
      <w:r>
        <w:rPr>
          <w:rFonts w:ascii="Arial" w:cs="Arial" w:eastAsia="Arial" w:hAnsi="Arial"/>
          <w:sz w:val="18"/>
          <w:szCs w:val="18"/>
          <w:b w:val="1"/>
          <w:bCs w:val="1"/>
          <w:u w:val="single" w:color="auto"/>
          <w:color w:val="auto"/>
        </w:rPr>
        <w:t>Certificate of Incorporation Governs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conflict between the provisions of the Certificate of Incorporation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the provisions of the Certificate of Incorporation shall govern.</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these Bylaws shall be held to be invalid, illegal, unenforceable or in conflict with the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1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In applying any provision of these Bylaws which requires that an act be done or not be done a specified number of days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an event or that an act be done during a period of a specified number of days prior to an event, calendar days shall be used, the day of the doing of the act shall be excluded, and the day of the event shall be included.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EXCLUSIVE FORUM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A-106</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 [ ], certify that I am Secretary of [Company Name],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that I am duly authorized to make and deliver this certification, that the attached Bylaws are a true and complete copy of the Restated Bylaws of the Corporation in effect as of the date of this certificate.</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528955</wp:posOffset>
            </wp:positionV>
            <wp:extent cx="30175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A-107</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3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Form of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A-108</w:t>
      </w:r>
    </w:p>
    <w:p>
      <w:pPr>
        <w:sectPr>
          <w:pgSz w:w="11900" w:h="16838" w:orient="portrait"/>
          <w:cols w:equalWidth="0" w:num="1">
            <w:col w:w="9019"/>
          </w:cols>
          <w:pgMar w:left="1440" w:top="1440" w:right="1440" w:bottom="1440" w:gutter="0" w:footer="0" w:header="0"/>
        </w:sectPr>
      </w:pPr>
    </w:p>
    <w:bookmarkStart w:id="543" w:name="page544"/>
    <w:bookmarkEnd w:id="543"/>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C-1</w:t>
      </w:r>
    </w:p>
    <w:p>
      <w:pPr>
        <w:spacing w:after="0" w:line="16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color w:val="auto"/>
        </w:rPr>
        <w:t>.</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2.1. Number of Shares Available. Subject to Sections 2.6 and 21 and any other applicable provisions hereof, the total number of Shares reserved and available for grant and issuance pursuant to this Plan as of the date of adoption of the Plan by the Board is [[l] ([l])] Shares plus (a) any reserved shares not issued or subject to outstanding grants under the Company’s 2017 Stock Incentive Plan (the “</w:t>
      </w:r>
      <w:r>
        <w:rPr>
          <w:rFonts w:ascii="Arial" w:cs="Arial" w:eastAsia="Arial" w:hAnsi="Arial"/>
          <w:sz w:val="17"/>
          <w:szCs w:val="17"/>
          <w:b w:val="1"/>
          <w:bCs w:val="1"/>
          <w:i w:val="1"/>
          <w:iCs w:val="1"/>
          <w:color w:val="auto"/>
        </w:rPr>
        <w:t>Prior Plan</w:t>
      </w:r>
      <w:r>
        <w:rPr>
          <w:rFonts w:ascii="Arial" w:cs="Arial" w:eastAsia="Arial" w:hAnsi="Arial"/>
          <w:sz w:val="17"/>
          <w:szCs w:val="17"/>
          <w:color w:val="auto"/>
        </w:rPr>
        <w:t xml:space="preserve">”) on the Effective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 grant and</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all outstanding Awards granted under this Plan.</w:t>
      </w:r>
    </w:p>
    <w:p>
      <w:pPr>
        <w:spacing w:after="0" w:line="10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Automatic Share Reserve Increase</w:t>
      </w:r>
      <w:r>
        <w:rPr>
          <w:rFonts w:ascii="Arial" w:cs="Arial" w:eastAsia="Arial" w:hAnsi="Arial"/>
          <w:sz w:val="16"/>
          <w:szCs w:val="16"/>
          <w:color w:val="auto"/>
        </w:rPr>
        <w:t>. The number of Shares available for grant and issuance under the Plan shall be increased on January 1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2022 through 2031, by the lesser of (a) [[l] ([l]%)]of the total number of shares of all classes of the Company’s common stock issued and outstanding on the immediately preceding December 31 (rounded down to the nearest whole share), or (b) such lesser number of shares determined by the Board.</w:t>
      </w:r>
    </w:p>
    <w:p>
      <w:pPr>
        <w:spacing w:after="0" w:line="8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[[l] ([l])] Shares shall be issued pursuant to the exercise of ISOs.</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A-109</w:t>
      </w:r>
    </w:p>
    <w:p>
      <w:pPr>
        <w:sectPr>
          <w:pgSz w:w="11900" w:h="16838" w:orient="portrait"/>
          <w:cols w:equalWidth="0" w:num="1">
            <w:col w:w="11240"/>
          </w:cols>
          <w:pgMar w:left="320" w:top="1440" w:right="339" w:bottom="1440" w:gutter="0" w:footer="0" w:header="0"/>
        </w:sectPr>
      </w:pPr>
    </w:p>
    <w:bookmarkStart w:id="544" w:name="page545"/>
    <w:bookmarkEnd w:id="544"/>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Shares reserved for issuance and future grant under the Plan set forth in Section 2.1, including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0" w:lineRule="exact"/>
        <w:rPr>
          <w:sz w:val="20"/>
          <w:szCs w:val="20"/>
          <w:color w:val="auto"/>
        </w:rPr>
      </w:pPr>
    </w:p>
    <w:p>
      <w:pPr>
        <w:jc w:val="both"/>
        <w:ind w:firstLine="332"/>
        <w:spacing w:after="0" w:line="261" w:lineRule="auto"/>
        <w:tabs>
          <w:tab w:leader="none" w:pos="72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xml:space="preserve">. ISOs may be granted only to Employees. All other Awards may be granted to Employees, Consultants, Directors and 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u w:val="single" w:color="auto"/>
          <w:color w:val="auto"/>
        </w:rPr>
        <w:t>Committee Composition; Authority</w:t>
      </w:r>
      <w:r>
        <w:rPr>
          <w:rFonts w:ascii="Arial" w:cs="Arial" w:eastAsia="Arial" w:hAnsi="Arial"/>
          <w:sz w:val="16"/>
          <w:szCs w:val="16"/>
          <w:color w:val="auto"/>
        </w:rPr>
        <w:t>. This Plan will be administered by the Committee or by the Board acting as the Committee.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92" w:lineRule="exact"/>
        <w:rPr>
          <w:sz w:val="20"/>
          <w:szCs w:val="20"/>
          <w:color w:val="auto"/>
        </w:rPr>
      </w:pPr>
    </w:p>
    <w:p>
      <w:pPr>
        <w:ind w:left="1360" w:hanging="380"/>
        <w:spacing w:after="0"/>
        <w:tabs>
          <w:tab w:leader="none" w:pos="13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construe and interpret this Plan, any Award Agreement and any other agreement or document executed pursuant to this Plan;</w:t>
      </w:r>
    </w:p>
    <w:p>
      <w:pPr>
        <w:spacing w:after="0" w:line="182" w:lineRule="exact"/>
        <w:rPr>
          <w:rFonts w:ascii="Arial" w:cs="Arial" w:eastAsia="Arial" w:hAnsi="Arial"/>
          <w:sz w:val="17"/>
          <w:szCs w:val="17"/>
          <w:color w:val="auto"/>
        </w:rPr>
      </w:pPr>
    </w:p>
    <w:p>
      <w:pPr>
        <w:ind w:left="1420" w:hanging="440"/>
        <w:spacing w:after="0"/>
        <w:tabs>
          <w:tab w:leader="none" w:pos="1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9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980"/>
        <w:spacing w:after="0" w:line="277" w:lineRule="auto"/>
        <w:tabs>
          <w:tab w:leader="none" w:pos="133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980"/>
        <w:spacing w:after="0" w:line="277" w:lineRule="auto"/>
        <w:tabs>
          <w:tab w:leader="none" w:pos="141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this Plan, any Award or any Award Agreement;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1240"/>
          </w:cols>
          <w:pgMar w:left="320" w:top="1440" w:right="339" w:bottom="1440" w:gutter="0" w:footer="0" w:header="0"/>
        </w:sectPr>
      </w:pPr>
    </w:p>
    <w:bookmarkStart w:id="545" w:name="page546"/>
    <w:bookmarkEnd w:id="545"/>
    <w:p>
      <w:pPr>
        <w:spacing w:after="0" w:line="143" w:lineRule="exact"/>
        <w:rPr>
          <w:sz w:val="20"/>
          <w:szCs w:val="20"/>
          <w:color w:val="auto"/>
        </w:rPr>
      </w:pPr>
    </w:p>
    <w:p>
      <w:pPr>
        <w:ind w:left="1320" w:hanging="340"/>
        <w:spacing w:after="0"/>
        <w:tabs>
          <w:tab w:leader="none" w:pos="13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firstLine="980"/>
        <w:spacing w:after="0" w:line="277" w:lineRule="auto"/>
        <w:tabs>
          <w:tab w:leader="none" w:pos="145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37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980"/>
        <w:spacing w:after="0" w:line="277" w:lineRule="auto"/>
        <w:tabs>
          <w:tab w:leader="none" w:pos="1367" w:val="left"/>
        </w:tabs>
        <w:numPr>
          <w:ilvl w:val="0"/>
          <w:numId w:val="392"/>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 by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“non-employee directors” (as defined in the regulations promulgated under Section 16 of the Exchange Act).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Documentation</w:t>
      </w:r>
      <w:r>
        <w:rPr>
          <w:rFonts w:ascii="Arial" w:cs="Arial" w:eastAsia="Arial" w:hAnsi="Arial"/>
          <w:sz w:val="18"/>
          <w:szCs w:val="18"/>
          <w:color w:val="auto"/>
        </w:rPr>
        <w:t>. The Award Agreement for a given Award, the Plan and any other documents may be delivered to, and accepted by,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person in any manner (including electronic distribution or posting) that meets applicable legal requirements.</w:t>
      </w:r>
    </w:p>
    <w:p>
      <w:pPr>
        <w:spacing w:after="0" w:line="1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 practices in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1240"/>
          </w:cols>
          <w:pgMar w:left="320" w:top="1440" w:right="339" w:bottom="1440" w:gutter="0" w:footer="0" w:header="0"/>
        </w:sectPr>
      </w:pPr>
    </w:p>
    <w:bookmarkStart w:id="546" w:name="page547"/>
    <w:bookmarkEnd w:id="546"/>
    <w:p>
      <w:pPr>
        <w:spacing w:after="0" w:line="139" w:lineRule="exact"/>
        <w:rPr>
          <w:sz w:val="20"/>
          <w:szCs w:val="20"/>
          <w:color w:val="auto"/>
        </w:rPr>
      </w:pPr>
    </w:p>
    <w:p>
      <w:pPr>
        <w:jc w:val="both"/>
        <w:ind w:firstLine="332"/>
        <w:spacing w:after="0" w:line="281" w:lineRule="auto"/>
        <w:tabs>
          <w:tab w:leader="none" w:pos="652"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color w:val="auto"/>
        </w:rPr>
        <w:t>. 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 awarded</w:t>
      </w:r>
      <w:r>
        <w:rPr>
          <w:rFonts w:ascii="Arial" w:cs="Arial" w:eastAsia="Arial" w:hAnsi="Arial"/>
          <w:sz w:val="18"/>
          <w:szCs w:val="18"/>
          <w:b w:val="1"/>
          <w:bCs w:val="1"/>
          <w:color w:val="auto"/>
        </w:rPr>
        <w:t xml:space="preserve"> </w:t>
      </w:r>
      <w:r>
        <w:rPr>
          <w:rFonts w:ascii="Arial" w:cs="Arial" w:eastAsia="Arial" w:hAnsi="Arial"/>
          <w:sz w:val="18"/>
          <w:szCs w:val="18"/>
          <w:color w:val="auto"/>
        </w:rPr>
        <w:t>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 a</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Exercise Period</w:t>
      </w:r>
      <w:r>
        <w:rPr>
          <w:rFonts w:ascii="Arial" w:cs="Arial" w:eastAsia="Arial" w:hAnsi="Arial"/>
          <w:sz w:val="17"/>
          <w:szCs w:val="17"/>
          <w:color w:val="auto"/>
        </w:rPr>
        <w:t>. Options may be vested and exercisable within the times or upon the conditions as set forth in the Award Agreement governing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Option will be exercisable after the expiration of ten (10) years from the date the Option is granted;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1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 that: (a)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7"/>
          <w:szCs w:val="17"/>
          <w:u w:val="single" w:color="auto"/>
          <w:color w:val="auto"/>
        </w:rPr>
        <w:t>Method of Exercise</w:t>
      </w:r>
      <w:r>
        <w:rPr>
          <w:rFonts w:ascii="Arial" w:cs="Arial" w:eastAsia="Arial" w:hAnsi="Arial"/>
          <w:sz w:val="17"/>
          <w:szCs w:val="17"/>
          <w:color w:val="auto"/>
        </w:rPr>
        <w:t>. Any Option granted hereunder will be vested and exercisable according to the terms of the Plan and at such times and under</w:t>
      </w:r>
      <w:r>
        <w:rPr>
          <w:rFonts w:ascii="Arial" w:cs="Arial" w:eastAsia="Arial" w:hAnsi="Arial"/>
          <w:sz w:val="17"/>
          <w:szCs w:val="17"/>
          <w:b w:val="1"/>
          <w:bCs w:val="1"/>
          <w:color w:val="auto"/>
        </w:rPr>
        <w:t xml:space="preserve"> </w:t>
      </w:r>
      <w:r>
        <w:rPr>
          <w:rFonts w:ascii="Arial" w:cs="Arial" w:eastAsia="Arial" w:hAnsi="Arial"/>
          <w:sz w:val="17"/>
          <w:szCs w:val="17"/>
          <w:color w:val="auto"/>
        </w:rPr>
        <w:t>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or retirement, then the Participant may exercise his or her Options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1240"/>
          </w:cols>
          <w:pgMar w:left="320" w:top="1440" w:right="339" w:bottom="1440" w:gutter="0" w:footer="0" w:header="0"/>
        </w:sectPr>
      </w:pPr>
    </w:p>
    <w:bookmarkStart w:id="547" w:name="page548"/>
    <w:bookmarkEnd w:id="547"/>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3" w:lineRule="exact"/>
        <w:rPr>
          <w:sz w:val="20"/>
          <w:szCs w:val="20"/>
          <w:color w:val="auto"/>
        </w:rPr>
      </w:pPr>
    </w:p>
    <w:p>
      <w:pPr>
        <w:jc w:val="both"/>
        <w:ind w:firstLine="980"/>
        <w:spacing w:after="0" w:line="255" w:lineRule="auto"/>
        <w:tabs>
          <w:tab w:leader="none" w:pos="1392"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980"/>
        <w:spacing w:after="0" w:line="271" w:lineRule="auto"/>
        <w:tabs>
          <w:tab w:leader="none" w:pos="1402"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980"/>
        <w:spacing w:after="0" w:line="275" w:lineRule="auto"/>
        <w:tabs>
          <w:tab w:leader="none" w:pos="1473" w:val="left"/>
        </w:tabs>
        <w:numPr>
          <w:ilvl w:val="0"/>
          <w:numId w:val="394"/>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980"/>
        <w:spacing w:after="0" w:line="254" w:lineRule="auto"/>
        <w:tabs>
          <w:tab w:leader="none" w:pos="1483"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3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substitution therefor, provided that any such action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1240"/>
          </w:cols>
          <w:pgMar w:left="320" w:top="1440" w:right="339" w:bottom="1440" w:gutter="0" w:footer="0" w:header="0"/>
        </w:sectPr>
      </w:pPr>
    </w:p>
    <w:bookmarkStart w:id="548" w:name="page549"/>
    <w:bookmarkEnd w:id="548"/>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may not be reduced below the minimum Exercise Price that would be permitted under Section 5.4 for Options granted on the date the action is taken to reduce the Exercise Price.</w:t>
      </w:r>
    </w:p>
    <w:p>
      <w:pPr>
        <w:spacing w:after="0" w:line="1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 Except as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 required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9" w:lineRule="auto"/>
        <w:tabs>
          <w:tab w:leader="none" w:pos="693"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BONUS AWARDS</w:t>
      </w:r>
      <w:r>
        <w:rPr>
          <w:rFonts w:ascii="Arial" w:cs="Arial" w:eastAsia="Arial" w:hAnsi="Arial"/>
          <w:sz w:val="17"/>
          <w:szCs w:val="17"/>
          <w:color w:val="auto"/>
        </w:rPr>
        <w:t>. A Stock Bonus Award is an award to an eligible Employee, Consultant, or Director of Shares for Services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10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Terms of Stock Bonus Awards</w:t>
      </w:r>
      <w:r>
        <w:rPr>
          <w:rFonts w:ascii="Arial" w:cs="Arial" w:eastAsia="Arial" w:hAnsi="Arial"/>
          <w:sz w:val="18"/>
          <w:szCs w:val="18"/>
          <w:color w:val="auto"/>
        </w:rPr>
        <w:t>. The Committee will determine the number of Shares to be awarded to the Participant under a Stock Bonus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1240"/>
          </w:cols>
          <w:pgMar w:left="320" w:top="1440" w:right="339" w:bottom="1440" w:gutter="0" w:footer="0" w:header="0"/>
        </w:sectPr>
      </w:pPr>
    </w:p>
    <w:bookmarkStart w:id="549" w:name="page550"/>
    <w:bookmarkEnd w:id="549"/>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0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color w:val="auto"/>
        </w:rPr>
        <w:t>. 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u w:val="single" w:color="auto"/>
          <w:color w:val="auto"/>
        </w:rPr>
        <w:t>Terms of SARs</w:t>
      </w:r>
      <w:r>
        <w:rPr>
          <w:rFonts w:ascii="Arial" w:cs="Arial" w:eastAsia="Arial" w:hAnsi="Arial"/>
          <w:sz w:val="16"/>
          <w:szCs w:val="16"/>
          <w:color w:val="auto"/>
        </w:rPr>
        <w:t>. The Committee will determine the terms of each SAR including, without limitation: (a) the number of Shares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ind w:firstLine="332"/>
        <w:spacing w:after="0" w:line="282" w:lineRule="auto"/>
        <w:tabs>
          <w:tab w:leader="none" w:pos="72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color w:val="auto"/>
        </w:rPr>
        <w:t>. 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A-115</w:t>
      </w:r>
    </w:p>
    <w:p>
      <w:pPr>
        <w:sectPr>
          <w:pgSz w:w="11900" w:h="16838" w:orient="portrait"/>
          <w:cols w:equalWidth="0" w:num="1">
            <w:col w:w="11240"/>
          </w:cols>
          <w:pgMar w:left="320" w:top="1440" w:right="339" w:bottom="1440" w:gutter="0" w:footer="0" w:header="0"/>
        </w:sectPr>
      </w:pPr>
    </w:p>
    <w:bookmarkStart w:id="550" w:name="page551"/>
    <w:bookmarkEnd w:id="550"/>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(which may consist of Restricted Stock). No Purchase Price shall apply to an RSU settled in Shares. All RSUs shall be made pursuant to an Award Agreement.</w:t>
      </w:r>
    </w:p>
    <w:p>
      <w:pPr>
        <w:spacing w:after="0" w:line="112"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u w:val="single" w:color="auto"/>
          <w:color w:val="auto"/>
        </w:rPr>
        <w:t>Terms of RSUs</w:t>
      </w:r>
      <w:r>
        <w:rPr>
          <w:rFonts w:ascii="Arial" w:cs="Arial" w:eastAsia="Arial" w:hAnsi="Arial"/>
          <w:sz w:val="16"/>
          <w:szCs w:val="16"/>
          <w:color w:val="auto"/>
        </w:rPr>
        <w:t>. The Committee will determine the terms of an RSU including, without limitation: (a) the number of Shares subject to the RSU;</w:t>
      </w:r>
    </w:p>
    <w:p>
      <w:pPr>
        <w:spacing w:after="0" w:line="27" w:lineRule="exact"/>
        <w:rPr>
          <w:sz w:val="20"/>
          <w:szCs w:val="20"/>
          <w:color w:val="auto"/>
        </w:rPr>
      </w:pPr>
    </w:p>
    <w:p>
      <w:pPr>
        <w:jc w:val="both"/>
        <w:ind w:firstLine="8"/>
        <w:spacing w:after="0" w:line="269" w:lineRule="auto"/>
        <w:tabs>
          <w:tab w:leader="none" w:pos="278"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color w:val="auto"/>
        </w:rPr>
        <w:t>. 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Sections 10.1(a), 10.1(b) and 10.1(c) below.</w:t>
      </w:r>
    </w:p>
    <w:p>
      <w:pPr>
        <w:spacing w:after="0" w:line="112" w:lineRule="exact"/>
        <w:rPr>
          <w:sz w:val="20"/>
          <w:szCs w:val="20"/>
          <w:color w:val="auto"/>
        </w:rPr>
      </w:pPr>
    </w:p>
    <w:p>
      <w:pPr>
        <w:ind w:firstLine="980"/>
        <w:spacing w:after="0" w:line="308" w:lineRule="auto"/>
        <w:tabs>
          <w:tab w:leader="none" w:pos="1365" w:val="left"/>
        </w:tabs>
        <w:numPr>
          <w:ilvl w:val="0"/>
          <w:numId w:val="401"/>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92" w:lineRule="exact"/>
        <w:rPr>
          <w:rFonts w:ascii="Arial" w:cs="Arial" w:eastAsia="Arial" w:hAnsi="Arial"/>
          <w:sz w:val="17"/>
          <w:szCs w:val="17"/>
          <w:color w:val="auto"/>
        </w:rPr>
      </w:pPr>
    </w:p>
    <w:p>
      <w:pPr>
        <w:ind w:right="20" w:firstLine="980"/>
        <w:spacing w:after="0" w:line="277" w:lineRule="auto"/>
        <w:tabs>
          <w:tab w:leader="none" w:pos="1375"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1400" w:hanging="420"/>
        <w:spacing w:after="0"/>
        <w:tabs>
          <w:tab w:leader="none" w:pos="1400"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Plan.</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A-116</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13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Awards will be based on the attainment of performance goals using the Performance Factors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color w:val="auto"/>
        </w:rPr>
        <w:t>. 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289" w:lineRule="auto"/>
        <w:tabs>
          <w:tab w:leader="none" w:pos="769" w:val="left"/>
        </w:tabs>
        <w:numPr>
          <w:ilvl w:val="0"/>
          <w:numId w:val="4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color w:val="auto"/>
        </w:rPr>
        <w:t>. 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 ● ] in a calendar year.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A-117</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she was serving in the capacity as an Employee or while he or she was a Consultant but not a Non-Employee Director will not count for purposes of the limitations set forth in this Section 12.</w:t>
      </w:r>
    </w:p>
    <w:p>
      <w:pPr>
        <w:spacing w:after="0" w:line="1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re-elected as a member of the Board will be eligible to receive an Award under this Section 12.</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u w:val="single" w:color="auto"/>
          <w:color w:val="auto"/>
        </w:rPr>
        <w:t>Election to Receive Awards in Lieu of Cash</w:t>
      </w:r>
      <w:r>
        <w:rPr>
          <w:rFonts w:ascii="Arial" w:cs="Arial" w:eastAsia="Arial" w:hAnsi="Arial"/>
          <w:sz w:val="17"/>
          <w:szCs w:val="17"/>
          <w:color w:val="auto"/>
        </w:rPr>
        <w:t>. A Non-Employee Director may elect to receive his or her annual retainer payments and/or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104" w:lineRule="exact"/>
        <w:rPr>
          <w:sz w:val="20"/>
          <w:szCs w:val="20"/>
          <w:color w:val="auto"/>
        </w:rPr>
      </w:pPr>
    </w:p>
    <w:p>
      <w:pPr>
        <w:ind w:left="740" w:hanging="408"/>
        <w:spacing w:after="0"/>
        <w:tabs>
          <w:tab w:leader="none" w:pos="7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u w:val="single" w:color="auto"/>
          <w:color w:val="auto"/>
        </w:rPr>
        <w:t>Stock Withholding</w:t>
      </w:r>
      <w:r>
        <w:rPr>
          <w:rFonts w:ascii="Arial" w:cs="Arial" w:eastAsia="Arial" w:hAnsi="Arial"/>
          <w:sz w:val="17"/>
          <w:szCs w:val="17"/>
          <w:color w:val="auto"/>
        </w:rPr>
        <w:t>. The Committee, or its delegate(s), as permitted by applicable law, may, in its sole discretion and pursuant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740" w:hanging="408"/>
        <w:spacing w:after="0"/>
        <w:tabs>
          <w:tab w:leader="none" w:pos="7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u w:val="single" w:color="auto"/>
          <w:color w:val="auto"/>
        </w:rPr>
        <w:t>Transfer Generally</w:t>
      </w:r>
      <w:r>
        <w:rPr>
          <w:rFonts w:ascii="Arial" w:cs="Arial" w:eastAsia="Arial" w:hAnsi="Arial"/>
          <w:sz w:val="18"/>
          <w:szCs w:val="18"/>
          <w:color w:val="auto"/>
        </w:rPr>
        <w:t>. Unless determined otherwise by the Committee or pursuant to Section 15.2, an Award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A-118</w:t>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or (ii) the Participant’s guardian or legal representative; (b) after the Participant’s death, by the legal representative of the Participant’s heirs or legatees; and</w:t>
      </w:r>
    </w:p>
    <w:p>
      <w:pPr>
        <w:spacing w:after="0" w:line="46" w:lineRule="exact"/>
        <w:rPr>
          <w:sz w:val="20"/>
          <w:szCs w:val="20"/>
          <w:color w:val="auto"/>
        </w:rPr>
      </w:pPr>
    </w:p>
    <w:p>
      <w:pPr>
        <w:ind w:left="260" w:hanging="252"/>
        <w:spacing w:after="0"/>
        <w:tabs>
          <w:tab w:leader="none" w:pos="26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the case of all awards except ISOs, by a Permitted Transferee.</w:t>
      </w:r>
    </w:p>
    <w:p>
      <w:pPr>
        <w:spacing w:after="0" w:line="152" w:lineRule="exact"/>
        <w:rPr>
          <w:rFonts w:ascii="Arial" w:cs="Arial" w:eastAsia="Arial" w:hAnsi="Arial"/>
          <w:sz w:val="18"/>
          <w:szCs w:val="18"/>
          <w:color w:val="auto"/>
        </w:rPr>
      </w:pPr>
    </w:p>
    <w:p>
      <w:pPr>
        <w:ind w:left="740" w:hanging="408"/>
        <w:spacing w:after="0"/>
        <w:tabs>
          <w:tab w:leader="none" w:pos="740" w:val="left"/>
        </w:tabs>
        <w:numPr>
          <w:ilvl w:val="1"/>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u w:val="single" w:color="auto"/>
          <w:color w:val="auto"/>
        </w:rPr>
        <w:t>Voting and Dividends</w:t>
      </w:r>
      <w:r>
        <w:rPr>
          <w:rFonts w:ascii="Arial" w:cs="Arial" w:eastAsia="Arial" w:hAnsi="Arial"/>
          <w:sz w:val="17"/>
          <w:szCs w:val="17"/>
          <w:color w:val="auto"/>
        </w:rPr>
        <w:t>. No Participant will have any of the rights of a stockholder with respect to any Shares until the Shares are issued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12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 repurchase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4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color w:val="auto"/>
        </w:rPr>
        <w:t>. 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jc w:val="both"/>
        <w:ind w:firstLine="332"/>
        <w:spacing w:after="0" w:line="289" w:lineRule="auto"/>
        <w:tabs>
          <w:tab w:leader="none" w:pos="729" w:val="left"/>
        </w:tabs>
        <w:numPr>
          <w:ilvl w:val="0"/>
          <w:numId w:val="40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ESCROW; PLEDGE OF SHARES</w:t>
      </w:r>
      <w:r>
        <w:rPr>
          <w:rFonts w:ascii="Arial" w:cs="Arial" w:eastAsia="Arial" w:hAnsi="Arial"/>
          <w:sz w:val="16"/>
          <w:szCs w:val="16"/>
          <w:color w:val="auto"/>
        </w:rPr>
        <w:t>. To enforce any restrictions on a Participant’s Shares, the Committee may require the Participant to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A-119</w:t>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the Committee will from time to time approve. The Shares purchased with the promissory note may be released from the pledge on a pro rata basis as the promissory note is paid.</w:t>
      </w:r>
    </w:p>
    <w:p>
      <w:pPr>
        <w:spacing w:after="0" w:line="112" w:lineRule="exact"/>
        <w:rPr>
          <w:sz w:val="20"/>
          <w:szCs w:val="20"/>
          <w:color w:val="auto"/>
        </w:rPr>
      </w:pPr>
    </w:p>
    <w:p>
      <w:pPr>
        <w:jc w:val="both"/>
        <w:ind w:firstLine="332"/>
        <w:spacing w:after="0" w:line="258" w:lineRule="auto"/>
        <w:tabs>
          <w:tab w:leader="none" w:pos="769"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color w:val="auto"/>
        </w:rPr>
        <w:t>. 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color w:val="auto"/>
        </w:rPr>
        <w:t>. 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1360" w:hanging="380"/>
        <w:spacing w:after="0"/>
        <w:tabs>
          <w:tab w:leader="none" w:pos="13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67"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right="20" w:firstLine="980"/>
        <w:spacing w:after="0" w:line="342" w:lineRule="auto"/>
        <w:tabs>
          <w:tab w:leader="none" w:pos="1488" w:val="left"/>
        </w:tabs>
        <w:numPr>
          <w:ilvl w:val="0"/>
          <w:numId w:val="409"/>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A-120</w:t>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143" w:lineRule="exact"/>
        <w:rPr>
          <w:sz w:val="20"/>
          <w:szCs w:val="20"/>
          <w:color w:val="auto"/>
        </w:rPr>
      </w:pPr>
    </w:p>
    <w:p>
      <w:pPr>
        <w:jc w:val="both"/>
        <w:ind w:firstLine="980"/>
        <w:spacing w:after="0" w:line="272" w:lineRule="auto"/>
        <w:tabs>
          <w:tab w:leader="none" w:pos="1422" w:val="left"/>
        </w:tabs>
        <w:numPr>
          <w:ilvl w:val="0"/>
          <w:numId w:val="410"/>
        </w:numPr>
        <w:rPr>
          <w:rFonts w:ascii="Arial" w:cs="Arial" w:eastAsia="Arial" w:hAnsi="Arial"/>
          <w:sz w:val="17"/>
          <w:szCs w:val="17"/>
          <w:color w:val="auto"/>
        </w:rPr>
      </w:pPr>
      <w:r>
        <w:rPr>
          <w:rFonts w:ascii="Arial" w:cs="Arial" w:eastAsia="Arial" w:hAnsi="Arial"/>
          <w:sz w:val="17"/>
          <w:szCs w:val="17"/>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3" w:lineRule="exact"/>
        <w:rPr>
          <w:rFonts w:ascii="Arial" w:cs="Arial" w:eastAsia="Arial" w:hAnsi="Arial"/>
          <w:sz w:val="17"/>
          <w:szCs w:val="17"/>
          <w:color w:val="auto"/>
        </w:rPr>
      </w:pPr>
    </w:p>
    <w:p>
      <w:pPr>
        <w:ind w:left="1340" w:hanging="360"/>
        <w:spacing w:after="0"/>
        <w:tabs>
          <w:tab w:leader="none" w:pos="13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 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 by</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 vesting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color w:val="auto"/>
        </w:rPr>
        <w:t>. 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729"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742"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color w:val="auto"/>
        </w:rPr>
        <w:t>. 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A-121</w:t>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26" w:lineRule="exact"/>
        <w:rPr>
          <w:sz w:val="20"/>
          <w:szCs w:val="20"/>
          <w:color w:val="auto"/>
        </w:rPr>
      </w:pPr>
    </w:p>
    <w:p>
      <w:pPr>
        <w:jc w:val="both"/>
        <w:ind w:firstLine="332"/>
        <w:spacing w:after="0" w:line="281" w:lineRule="auto"/>
        <w:tabs>
          <w:tab w:leader="none" w:pos="756" w:val="left"/>
        </w:tabs>
        <w:numPr>
          <w:ilvl w:val="0"/>
          <w:numId w:val="4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color w:val="auto"/>
        </w:rPr>
        <w:t>. 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color w:val="auto"/>
        </w:rPr>
        <w:t>. 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28.1. </w:t>
      </w: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 any entity that, directly or indirectly, is controlled by, controls, or is under common control with, the Company, and (b)</w:t>
      </w:r>
      <w:r>
        <w:rPr>
          <w:rFonts w:ascii="Arial" w:cs="Arial" w:eastAsia="Arial" w:hAnsi="Arial"/>
          <w:sz w:val="17"/>
          <w:szCs w:val="17"/>
          <w:b w:val="1"/>
          <w:bCs w:val="1"/>
          <w:color w:val="auto"/>
        </w:rPr>
        <w:t xml:space="preserve"> </w:t>
      </w:r>
      <w:r>
        <w:rPr>
          <w:rFonts w:ascii="Arial" w:cs="Arial" w:eastAsia="Arial" w:hAnsi="Arial"/>
          <w:sz w:val="17"/>
          <w:szCs w:val="17"/>
          <w:color w:val="auto"/>
        </w:rPr>
        <w:t>any entity in which the Company has a significant equity interest, in either case as determined by the Committee, whether now or hereafter existing.</w:t>
      </w:r>
    </w:p>
    <w:p>
      <w:pPr>
        <w:spacing w:after="0" w:line="8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Restricted Stock Unit.</w:t>
      </w:r>
    </w:p>
    <w:p>
      <w:pPr>
        <w:spacing w:after="0" w:line="10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 </w:t>
      </w: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with respect to each Award, the written or electronic agreement between the Company and the Participant setting</w:t>
      </w:r>
      <w:r>
        <w:rPr>
          <w:rFonts w:ascii="Arial" w:cs="Arial" w:eastAsia="Arial" w:hAnsi="Arial"/>
          <w:sz w:val="17"/>
          <w:szCs w:val="17"/>
          <w:b w:val="1"/>
          <w:bCs w:val="1"/>
          <w:color w:val="auto"/>
        </w:rPr>
        <w:t xml:space="preserve"> </w:t>
      </w:r>
      <w:r>
        <w:rPr>
          <w:rFonts w:ascii="Arial" w:cs="Arial" w:eastAsia="Arial" w:hAnsi="Arial"/>
          <w:sz w:val="17"/>
          <w:szCs w:val="17"/>
          <w:color w:val="auto"/>
        </w:rPr>
        <w:t>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1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other parties thereto.</w:t>
      </w:r>
    </w:p>
    <w:p>
      <w:pPr>
        <w:spacing w:after="0" w:line="10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28.7.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[Participant’s (a) willful failure substantially to perform his or her duties and responsibilities to the Company or deliberate</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A-122</w:t>
      </w:r>
    </w:p>
    <w:p>
      <w:pPr>
        <w:sectPr>
          <w:pgSz w:w="11900" w:h="16838" w:orient="portrait"/>
          <w:cols w:equalWidth="0" w:num="1">
            <w:col w:w="11240"/>
          </w:cols>
          <w:pgMar w:left="320" w:top="1440" w:right="339" w:bottom="1440" w:gutter="0" w:footer="0" w:header="0"/>
        </w:sectPr>
      </w:pPr>
    </w:p>
    <w:bookmarkStart w:id="557" w:name="page558"/>
    <w:bookmarkEnd w:id="557"/>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20"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delegated as permitted by law.</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 Subsidiary or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to render services to such entity.</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980"/>
        <w:spacing w:after="0" w:line="257" w:lineRule="auto"/>
        <w:tabs>
          <w:tab w:leader="none" w:pos="135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980"/>
        <w:spacing w:after="0" w:line="279" w:lineRule="auto"/>
        <w:tabs>
          <w:tab w:leader="none" w:pos="1372" w:val="left"/>
        </w:tabs>
        <w:numPr>
          <w:ilvl w:val="0"/>
          <w:numId w:val="413"/>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3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9" w:lineRule="exact"/>
        <w:rPr>
          <w:rFonts w:ascii="Arial" w:cs="Arial" w:eastAsia="Arial" w:hAnsi="Arial"/>
          <w:sz w:val="18"/>
          <w:szCs w:val="18"/>
          <w:color w:val="auto"/>
        </w:rPr>
      </w:pPr>
    </w:p>
    <w:p>
      <w:pPr>
        <w:jc w:val="both"/>
        <w:ind w:firstLine="980"/>
        <w:spacing w:after="0" w:line="279" w:lineRule="auto"/>
        <w:tabs>
          <w:tab w:leader="none" w:pos="1368"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A-123</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4"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28.14. </w:t>
      </w: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in the case of ISOs, total and permanent disability as defined in Section 22(e)(3) of the Code and in the case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shall mean the closing date of the Business Combination, subject to approval of the Plan by the Company’s stockholders.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28.19. </w:t>
      </w: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means a program pursuant to which (a) outstanding Awards are surrendered, cancelled or exchanged for cash,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type of Award or a different Award (or combination thereof) or (b) the Exercise Price of an outstanding Award is increased or reduced.</w:t>
      </w:r>
    </w:p>
    <w:p>
      <w:pPr>
        <w:spacing w:after="0" w:line="8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respect to a SAR, the price at which the SAR is granted to the holder thereof.</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jc w:val="both"/>
        <w:ind w:firstLine="980"/>
        <w:spacing w:after="0" w:line="263" w:lineRule="auto"/>
        <w:tabs>
          <w:tab w:leader="none" w:pos="135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9" w:lineRule="exact"/>
        <w:rPr>
          <w:rFonts w:ascii="Arial" w:cs="Arial" w:eastAsia="Arial" w:hAnsi="Arial"/>
          <w:sz w:val="18"/>
          <w:szCs w:val="18"/>
          <w:color w:val="auto"/>
        </w:rPr>
      </w:pPr>
    </w:p>
    <w:p>
      <w:pPr>
        <w:ind w:firstLine="980"/>
        <w:spacing w:after="0" w:line="342" w:lineRule="auto"/>
        <w:tabs>
          <w:tab w:leader="none" w:pos="1372"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Committee deems reliable; or</w:t>
      </w:r>
    </w:p>
    <w:p>
      <w:pPr>
        <w:spacing w:after="0" w:line="69" w:lineRule="exact"/>
        <w:rPr>
          <w:rFonts w:ascii="Arial" w:cs="Arial" w:eastAsia="Arial" w:hAnsi="Arial"/>
          <w:sz w:val="16"/>
          <w:szCs w:val="16"/>
          <w:color w:val="auto"/>
        </w:rPr>
      </w:pPr>
    </w:p>
    <w:p>
      <w:pPr>
        <w:ind w:left="1360" w:hanging="380"/>
        <w:spacing w:after="0"/>
        <w:tabs>
          <w:tab w:leader="none" w:pos="13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A-124</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13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award covering cash, Shares or other property granted pursuant to Section 10 or Section 12 of the Plan.</w:t>
      </w:r>
    </w:p>
    <w:p>
      <w:pPr>
        <w:spacing w:after="0" w:line="171"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28.29. </w:t>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Factors</w:t>
      </w:r>
      <w:r>
        <w:rPr>
          <w:rFonts w:ascii="Arial" w:cs="Arial" w:eastAsia="Arial" w:hAnsi="Arial"/>
          <w:sz w:val="16"/>
          <w:szCs w:val="16"/>
          <w:color w:val="auto"/>
        </w:rPr>
        <w:t>” means any of the factors selected by the Committee and specified in an Award Agreement, from among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01" w:lineRule="exact"/>
        <w:rPr>
          <w:sz w:val="20"/>
          <w:szCs w:val="20"/>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right="20" w:firstLine="980"/>
        <w:spacing w:after="0" w:line="277" w:lineRule="auto"/>
        <w:tabs>
          <w:tab w:leader="none" w:pos="1357"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1340" w:hanging="360"/>
        <w:spacing w:after="0"/>
        <w:tabs>
          <w:tab w:leader="none" w:pos="134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A-125</w:t>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143" w:lineRule="exact"/>
        <w:rPr>
          <w:sz w:val="20"/>
          <w:szCs w:val="20"/>
          <w:color w:val="auto"/>
        </w:rPr>
      </w:pPr>
    </w:p>
    <w:p>
      <w:pPr>
        <w:ind w:left="1340" w:hanging="360"/>
        <w:spacing w:after="0"/>
        <w:tabs>
          <w:tab w:leader="none" w:pos="134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growth in stockholder value relative to a pre-determined index;</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1440" w:hanging="460"/>
        <w:spacing w:after="0"/>
        <w:tabs>
          <w:tab w:leader="none" w:pos="14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1440" w:hanging="460"/>
        <w:spacing w:after="0"/>
        <w:tabs>
          <w:tab w:leader="none" w:pos="14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560" w:hanging="580"/>
        <w:spacing w:after="0"/>
        <w:tabs>
          <w:tab w:leader="none" w:pos="15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71" w:lineRule="exact"/>
        <w:rPr>
          <w:rFonts w:ascii="Arial" w:cs="Arial" w:eastAsia="Arial" w:hAnsi="Arial"/>
          <w:sz w:val="18"/>
          <w:szCs w:val="18"/>
          <w:color w:val="auto"/>
        </w:rPr>
      </w:pPr>
    </w:p>
    <w:p>
      <w:pPr>
        <w:ind w:left="1460" w:hanging="480"/>
        <w:spacing w:after="0"/>
        <w:tabs>
          <w:tab w:leader="none" w:pos="146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1400" w:hanging="420"/>
        <w:spacing w:after="0"/>
        <w:tabs>
          <w:tab w:leader="none" w:pos="14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1380" w:hanging="400"/>
        <w:spacing w:after="0"/>
        <w:tabs>
          <w:tab w:leader="none" w:pos="138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A-126</w:t>
      </w:r>
    </w:p>
    <w:p>
      <w:pPr>
        <w:sectPr>
          <w:pgSz w:w="11900" w:h="16838" w:orient="portrait"/>
          <w:cols w:equalWidth="0" w:num="1">
            <w:col w:w="11240"/>
          </w:cols>
          <w:pgMar w:left="320" w:top="1440" w:right="339" w:bottom="1440" w:gutter="0" w:footer="0" w:header="0"/>
          <w:type w:val="continuous"/>
        </w:sectPr>
      </w:pPr>
    </w:p>
    <w:bookmarkStart w:id="561" w:name="page562"/>
    <w:bookmarkEnd w:id="561"/>
    <w:p>
      <w:pPr>
        <w:spacing w:after="0" w:line="13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 may select,</w:t>
      </w:r>
      <w:r>
        <w:rPr>
          <w:rFonts w:ascii="Arial" w:cs="Arial" w:eastAsia="Arial" w:hAnsi="Arial"/>
          <w:sz w:val="18"/>
          <w:szCs w:val="18"/>
          <w:b w:val="1"/>
          <w:bCs w:val="1"/>
          <w:color w:val="auto"/>
        </w:rPr>
        <w:t xml:space="preserve"> </w:t>
      </w:r>
      <w:r>
        <w:rPr>
          <w:rFonts w:ascii="Arial" w:cs="Arial" w:eastAsia="Arial" w:hAnsi="Arial"/>
          <w:sz w:val="18"/>
          <w:szCs w:val="18"/>
          <w:color w:val="auto"/>
        </w:rPr>
        <w:t>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 niece,</w:t>
      </w:r>
      <w:r>
        <w:rPr>
          <w:rFonts w:ascii="Arial" w:cs="Arial" w:eastAsia="Arial" w:hAnsi="Arial"/>
          <w:sz w:val="18"/>
          <w:szCs w:val="18"/>
          <w:b w:val="1"/>
          <w:bCs w:val="1"/>
          <w:color w:val="auto"/>
        </w:rPr>
        <w:t xml:space="preserve"> </w:t>
      </w:r>
      <w:r>
        <w:rPr>
          <w:rFonts w:ascii="Arial" w:cs="Arial" w:eastAsia="Arial" w:hAnsi="Arial"/>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[PubCo] 2021 Equity Incentive Plan.</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28.35. </w:t>
      </w: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means the price to be paid for Shares acquired under the Plan, other than Shares acquired upon exercise of an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28.36. </w:t>
      </w: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Shares pursuant to Section 6 or Section 12 of the Plan, or issued pursuant to the early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w:t>
      </w:r>
    </w:p>
    <w:p>
      <w:pPr>
        <w:spacing w:after="0" w:line="108"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color w:val="auto"/>
        </w:rPr>
        <w:t xml:space="preserve">28.40. </w:t>
      </w:r>
      <w:r>
        <w:rPr>
          <w:rFonts w:ascii="Arial" w:cs="Arial" w:eastAsia="Arial" w:hAnsi="Arial"/>
          <w:sz w:val="16"/>
          <w:szCs w:val="16"/>
          <w:color w:val="auto"/>
        </w:rPr>
        <w:t>“</w:t>
      </w:r>
      <w:r>
        <w:rPr>
          <w:rFonts w:ascii="Arial" w:cs="Arial" w:eastAsia="Arial" w:hAnsi="Arial"/>
          <w:sz w:val="16"/>
          <w:szCs w:val="16"/>
          <w:b w:val="1"/>
          <w:bCs w:val="1"/>
          <w:i w:val="1"/>
          <w:iCs w:val="1"/>
          <w:color w:val="auto"/>
        </w:rPr>
        <w:t>Service</w:t>
      </w:r>
      <w:r>
        <w:rPr>
          <w:rFonts w:ascii="Arial" w:cs="Arial" w:eastAsia="Arial" w:hAnsi="Arial"/>
          <w:sz w:val="16"/>
          <w:szCs w:val="16"/>
          <w:color w:val="auto"/>
        </w:rPr>
        <w:t>” shall mean service as an Employee, Consultant, Director or Non-Employee Director, subject to such further limitations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 Employee Director shall not terminate the service provider’s Service, unless determined by the Committee, in its discretion or to the extent set forth in the applicable Award Agreement. The Committee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A-127</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have sole discretion to determine whether a Participant has ceased to provide Service and the effective date on which the Participant ceased to provide Service.</w:t>
      </w:r>
    </w:p>
    <w:p>
      <w:pPr>
        <w:spacing w:after="0" w:line="11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08" w:lineRule="exact"/>
        <w:rPr>
          <w:sz w:val="20"/>
          <w:szCs w:val="20"/>
          <w:color w:val="auto"/>
        </w:rPr>
      </w:pPr>
    </w:p>
    <w:p>
      <w:pPr>
        <w:jc w:val="both"/>
        <w:ind w:firstLine="332"/>
        <w:spacing w:after="0" w:line="287" w:lineRule="auto"/>
        <w:tabs>
          <w:tab w:leader="none" w:pos="769" w:val="left"/>
        </w:tabs>
        <w:numPr>
          <w:ilvl w:val="0"/>
          <w:numId w:val="4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A-128</w:t>
      </w:r>
    </w:p>
    <w:p>
      <w:pPr>
        <w:sectPr>
          <w:pgSz w:w="11900" w:h="16838" w:orient="portrait"/>
          <w:cols w:equalWidth="0" w:num="1">
            <w:col w:w="11240"/>
          </w:cols>
          <w:pgMar w:left="320" w:top="1440" w:right="339" w:bottom="1440" w:gutter="0" w:footer="0" w:header="0"/>
        </w:sectPr>
      </w:pPr>
    </w:p>
    <w:bookmarkStart w:id="563" w:name="page564"/>
    <w:bookmarkEnd w:id="56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A-129</w:t>
      </w:r>
    </w:p>
    <w:p>
      <w:pPr>
        <w:sectPr>
          <w:pgSz w:w="11900" w:h="16838" w:orient="portrait"/>
          <w:cols w:equalWidth="0" w:num="1">
            <w:col w:w="9019"/>
          </w:cols>
          <w:pgMar w:left="1440" w:top="1440" w:right="1440" w:bottom="1440" w:gutter="0" w:footer="0" w:header="0"/>
        </w:sectPr>
      </w:pPr>
    </w:p>
    <w:bookmarkStart w:id="564" w:name="page565"/>
    <w:bookmarkEnd w:id="564"/>
    <w:p>
      <w:pPr>
        <w:spacing w:after="0" w:line="1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EXHIBIT D-1</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[PUBCO]</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9"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8" w:lineRule="auto"/>
        <w:tabs>
          <w:tab w:leader="none" w:pos="651" w:val="left"/>
        </w:tabs>
        <w:numPr>
          <w:ilvl w:val="0"/>
          <w:numId w:val="4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A-130</w:t>
      </w:r>
    </w:p>
    <w:p>
      <w:pPr>
        <w:sectPr>
          <w:pgSz w:w="11900" w:h="16838" w:orient="portrait"/>
          <w:cols w:equalWidth="0" w:num="1">
            <w:col w:w="11240"/>
          </w:cols>
          <w:pgMar w:left="320" w:top="1440" w:right="339" w:bottom="1440" w:gutter="0" w:footer="0" w:header="0"/>
        </w:sectPr>
      </w:pPr>
    </w:p>
    <w:bookmarkStart w:id="565" w:name="page566"/>
    <w:bookmarkEnd w:id="565"/>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26" w:lineRule="exact"/>
        <w:rPr>
          <w:sz w:val="20"/>
          <w:szCs w:val="20"/>
          <w:color w:val="auto"/>
        </w:rPr>
      </w:pPr>
    </w:p>
    <w:p>
      <w:pPr>
        <w:ind w:left="640" w:hanging="308"/>
        <w:spacing w:after="0"/>
        <w:tabs>
          <w:tab w:leader="none" w:pos="64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421"/>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5" w:val="left"/>
        </w:tabs>
        <w:numPr>
          <w:ilvl w:val="1"/>
          <w:numId w:val="421"/>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497" w:val="left"/>
        </w:tabs>
        <w:numPr>
          <w:ilvl w:val="1"/>
          <w:numId w:val="421"/>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422"/>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423"/>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A-131</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39" w:lineRule="exact"/>
        <w:rPr>
          <w:sz w:val="20"/>
          <w:szCs w:val="20"/>
          <w:color w:val="auto"/>
        </w:rPr>
      </w:pPr>
    </w:p>
    <w:p>
      <w:pPr>
        <w:ind w:left="640" w:hanging="308"/>
        <w:spacing w:after="0"/>
        <w:tabs>
          <w:tab w:leader="none" w:pos="6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2"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424"/>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3" w:val="left"/>
        </w:tabs>
        <w:numPr>
          <w:ilvl w:val="0"/>
          <w:numId w:val="4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5"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87" w:lineRule="auto"/>
        <w:tabs>
          <w:tab w:leader="none" w:pos="1467" w:val="left"/>
        </w:tabs>
        <w:numPr>
          <w:ilvl w:val="1"/>
          <w:numId w:val="424"/>
        </w:numPr>
        <w:rPr>
          <w:rFonts w:ascii="Arial" w:cs="Arial" w:eastAsia="Arial" w:hAnsi="Arial"/>
          <w:sz w:val="16"/>
          <w:szCs w:val="16"/>
          <w:color w:val="auto"/>
        </w:rPr>
      </w:pPr>
      <w:r>
        <w:rPr>
          <w:rFonts w:ascii="Arial" w:cs="Arial" w:eastAsia="Arial" w:hAnsi="Arial"/>
          <w:sz w:val="16"/>
          <w:szCs w:val="16"/>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A-132</w:t>
      </w:r>
    </w:p>
    <w:p>
      <w:pPr>
        <w:sectPr>
          <w:pgSz w:w="11900" w:h="16838" w:orient="portrait"/>
          <w:cols w:equalWidth="0" w:num="1">
            <w:col w:w="11240"/>
          </w:cols>
          <w:pgMar w:left="320" w:top="1440" w:right="339" w:bottom="1440" w:gutter="0" w:footer="0" w:header="0"/>
        </w:sectPr>
      </w:pPr>
    </w:p>
    <w:bookmarkStart w:id="567" w:name="page568"/>
    <w:bookmarkEnd w:id="567"/>
    <w:p>
      <w:pPr>
        <w:spacing w:after="0" w:line="143" w:lineRule="exact"/>
        <w:rPr>
          <w:sz w:val="20"/>
          <w:szCs w:val="20"/>
          <w:color w:val="auto"/>
        </w:rPr>
      </w:pPr>
    </w:p>
    <w:p>
      <w:pPr>
        <w:jc w:val="both"/>
        <w:ind w:firstLine="980"/>
        <w:spacing w:after="0" w:line="293" w:lineRule="auto"/>
        <w:tabs>
          <w:tab w:leader="none" w:pos="135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425"/>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425"/>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116" w:lineRule="exact"/>
        <w:rPr>
          <w:rFonts w:ascii="Arial" w:cs="Arial" w:eastAsia="Arial" w:hAnsi="Arial"/>
          <w:sz w:val="18"/>
          <w:szCs w:val="18"/>
          <w:color w:val="auto"/>
        </w:rPr>
      </w:pPr>
    </w:p>
    <w:p>
      <w:pPr>
        <w:jc w:val="both"/>
        <w:ind w:firstLine="980"/>
        <w:spacing w:after="0" w:line="263" w:lineRule="auto"/>
        <w:tabs>
          <w:tab w:leader="none" w:pos="146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A-133</w:t>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99" w:lineRule="exact"/>
        <w:rPr>
          <w:sz w:val="20"/>
          <w:szCs w:val="20"/>
          <w:color w:val="auto"/>
        </w:rPr>
      </w:pPr>
    </w:p>
    <w:p>
      <w:pPr>
        <w:ind w:left="740" w:hanging="408"/>
        <w:spacing w:after="0"/>
        <w:tabs>
          <w:tab w:leader="none" w:pos="74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426"/>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42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[l]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427"/>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427"/>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428"/>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69" w:lineRule="exact"/>
        <w:rPr>
          <w:rFonts w:ascii="Arial" w:cs="Arial" w:eastAsia="Arial" w:hAnsi="Arial"/>
          <w:sz w:val="16"/>
          <w:szCs w:val="16"/>
          <w:color w:val="auto"/>
        </w:rPr>
      </w:pPr>
    </w:p>
    <w:p>
      <w:pPr>
        <w:jc w:val="both"/>
        <w:ind w:firstLine="980"/>
        <w:spacing w:after="0" w:line="263" w:lineRule="auto"/>
        <w:tabs>
          <w:tab w:leader="none" w:pos="1385" w:val="left"/>
        </w:tabs>
        <w:numPr>
          <w:ilvl w:val="1"/>
          <w:numId w:val="428"/>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A-134</w:t>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0" w:lineRule="exact"/>
        <w:rPr>
          <w:sz w:val="20"/>
          <w:szCs w:val="20"/>
          <w:color w:val="auto"/>
        </w:rPr>
      </w:pPr>
    </w:p>
    <w:p>
      <w:pPr>
        <w:jc w:val="both"/>
        <w:ind w:firstLine="980"/>
        <w:spacing w:after="0" w:line="279" w:lineRule="auto"/>
        <w:tabs>
          <w:tab w:leader="none" w:pos="1406"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1"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83"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A-135</w:t>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39" w:lineRule="exact"/>
        <w:rPr>
          <w:sz w:val="20"/>
          <w:szCs w:val="20"/>
          <w:color w:val="auto"/>
        </w:rPr>
      </w:pPr>
    </w:p>
    <w:p>
      <w:pPr>
        <w:jc w:val="both"/>
        <w:ind w:firstLine="332"/>
        <w:spacing w:after="0" w:line="256" w:lineRule="auto"/>
        <w:tabs>
          <w:tab w:leader="none" w:pos="806" w:val="left"/>
        </w:tabs>
        <w:numPr>
          <w:ilvl w:val="1"/>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0" w:val="left"/>
        </w:tabs>
        <w:numPr>
          <w:ilvl w:val="1"/>
          <w:numId w:val="4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0" w:val="left"/>
        </w:tabs>
        <w:numPr>
          <w:ilvl w:val="1"/>
          <w:numId w:val="4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4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432"/>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432"/>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34" w:lineRule="exact"/>
        <w:rPr>
          <w:rFonts w:ascii="Arial" w:cs="Arial" w:eastAsia="Arial" w:hAnsi="Arial"/>
          <w:sz w:val="18"/>
          <w:szCs w:val="18"/>
          <w:color w:val="auto"/>
        </w:rPr>
      </w:pPr>
    </w:p>
    <w:p>
      <w:pPr>
        <w:ind w:firstLine="332"/>
        <w:spacing w:after="0" w:line="282" w:lineRule="auto"/>
        <w:tabs>
          <w:tab w:leader="none" w:pos="802" w:val="left"/>
        </w:tabs>
        <w:numPr>
          <w:ilvl w:val="1"/>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UPON ISSUANCE OF SHARES; LIMITATION ON SALE OF SHARES. </w:t>
      </w:r>
      <w:r>
        <w:rPr>
          <w:rFonts w:ascii="Arial" w:cs="Arial" w:eastAsia="Arial" w:hAnsi="Arial"/>
          <w:sz w:val="18"/>
          <w:szCs w:val="18"/>
          <w:color w:val="auto"/>
        </w:rPr>
        <w:t>Shares shall not be issued with respect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unless the exercise of such option and the issuance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A-136</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30" w:lineRule="exact"/>
        <w:rPr>
          <w:sz w:val="20"/>
          <w:szCs w:val="20"/>
          <w:color w:val="auto"/>
        </w:rPr>
      </w:pPr>
    </w:p>
    <w:p>
      <w:pPr>
        <w:ind w:left="720" w:hanging="388"/>
        <w:spacing w:after="0"/>
        <w:tabs>
          <w:tab w:leader="none" w:pos="720" w:val="left"/>
        </w:tabs>
        <w:numPr>
          <w:ilvl w:val="0"/>
          <w:numId w:val="4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4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jc w:val="both"/>
        <w:ind w:firstLine="980"/>
        <w:spacing w:after="0" w:line="286" w:lineRule="auto"/>
        <w:tabs>
          <w:tab w:leader="none" w:pos="1408" w:val="left"/>
        </w:tabs>
        <w:numPr>
          <w:ilvl w:val="1"/>
          <w:numId w:val="433"/>
        </w:numPr>
        <w:rPr>
          <w:rFonts w:ascii="Arial" w:cs="Arial" w:eastAsia="Arial" w:hAnsi="Arial"/>
          <w:sz w:val="17"/>
          <w:szCs w:val="17"/>
          <w:color w:val="auto"/>
        </w:rPr>
      </w:pPr>
      <w:r>
        <w:rPr>
          <w:rFonts w:ascii="Arial" w:cs="Arial" w:eastAsia="Arial" w:hAnsi="Arial"/>
          <w:sz w:val="17"/>
          <w:szCs w:val="17"/>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A-137</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27" w:lineRule="exact"/>
        <w:rPr>
          <w:sz w:val="20"/>
          <w:szCs w:val="20"/>
          <w:color w:val="auto"/>
        </w:rPr>
      </w:pPr>
    </w:p>
    <w:p>
      <w:pPr>
        <w:jc w:val="both"/>
        <w:ind w:firstLine="980"/>
        <w:spacing w:after="0" w:line="257" w:lineRule="auto"/>
        <w:tabs>
          <w:tab w:leader="none" w:pos="146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both"/>
        <w:ind w:left="660" w:hanging="328"/>
        <w:spacing w:after="0" w:line="263" w:lineRule="auto"/>
        <w:tabs>
          <w:tab w:leader="none" w:pos="71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55" w:lineRule="auto"/>
        <w:tabs>
          <w:tab w:leader="none" w:pos="1349" w:val="left"/>
        </w:tabs>
        <w:numPr>
          <w:ilvl w:val="1"/>
          <w:numId w:val="4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A-138</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30" w:lineRule="exact"/>
        <w:rPr>
          <w:sz w:val="20"/>
          <w:szCs w:val="20"/>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59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31"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3"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29" w:lineRule="exact"/>
        <w:rPr>
          <w:rFonts w:ascii="Arial" w:cs="Arial" w:eastAsia="Arial" w:hAnsi="Arial"/>
          <w:sz w:val="18"/>
          <w:szCs w:val="18"/>
          <w:color w:val="auto"/>
        </w:rPr>
      </w:pPr>
    </w:p>
    <w:p>
      <w:pPr>
        <w:ind w:left="1700" w:hanging="396"/>
        <w:spacing w:after="0"/>
        <w:tabs>
          <w:tab w:leader="none" w:pos="17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56" w:lineRule="exact"/>
        <w:rPr>
          <w:rFonts w:ascii="Arial" w:cs="Arial" w:eastAsia="Arial" w:hAnsi="Arial"/>
          <w:sz w:val="16"/>
          <w:szCs w:val="16"/>
          <w:color w:val="auto"/>
        </w:rPr>
      </w:pPr>
    </w:p>
    <w:p>
      <w:pPr>
        <w:ind w:firstLine="980"/>
        <w:spacing w:after="0" w:line="277" w:lineRule="auto"/>
        <w:tabs>
          <w:tab w:leader="none" w:pos="1434"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right="20" w:firstLine="980"/>
        <w:spacing w:after="0" w:line="277" w:lineRule="auto"/>
        <w:tabs>
          <w:tab w:leader="none" w:pos="134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33"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A-139</w:t>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43" w:lineRule="exact"/>
        <w:rPr>
          <w:sz w:val="20"/>
          <w:szCs w:val="20"/>
          <w:color w:val="auto"/>
        </w:rPr>
      </w:pPr>
    </w:p>
    <w:p>
      <w:pPr>
        <w:ind w:left="-20" w:firstLine="980"/>
        <w:spacing w:after="0" w:line="277" w:lineRule="auto"/>
        <w:tabs>
          <w:tab w:leader="none" w:pos="143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right="20" w:firstLine="980"/>
        <w:spacing w:after="0" w:line="263" w:lineRule="auto"/>
        <w:tabs>
          <w:tab w:leader="none" w:pos="1369"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 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A-140</w:t>
      </w:r>
    </w:p>
    <w:p>
      <w:pPr>
        <w:sectPr>
          <w:pgSz w:w="11900" w:h="16838" w:orient="portrait"/>
          <w:cols w:equalWidth="0" w:num="1">
            <w:col w:w="11220"/>
          </w:cols>
          <w:pgMar w:left="340" w:top="1440" w:right="339" w:bottom="1440" w:gutter="0" w:footer="0" w:header="0"/>
        </w:sectPr>
      </w:pPr>
    </w:p>
    <w:bookmarkStart w:id="575" w:name="page576"/>
    <w:bookmarkEnd w:id="575"/>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Amended and Restated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A-141</w:t>
      </w:r>
    </w:p>
    <w:p>
      <w:pPr>
        <w:sectPr>
          <w:pgSz w:w="11900" w:h="16838" w:orient="portrait"/>
          <w:cols w:equalWidth="0" w:num="1">
            <w:col w:w="9019"/>
          </w:cols>
          <w:pgMar w:left="1440" w:top="1440" w:right="1440" w:bottom="1440" w:gutter="0" w:footer="0" w:header="0"/>
        </w:sectPr>
      </w:pPr>
    </w:p>
    <w:bookmarkStart w:id="576" w:name="page577"/>
    <w:bookmarkEnd w:id="576"/>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EXHIBIT E-1</w:t>
      </w:r>
    </w:p>
    <w:p>
      <w:pPr>
        <w:spacing w:after="0" w:line="16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AMENDED AND RESTATED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[__], 2021, is made and entered into by and among CM Life Sciences,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CMLS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the undersigned parties listed on the signature page hereto under “Existing Holders” (the “</w:t>
      </w:r>
      <w:r>
        <w:rPr>
          <w:rFonts w:ascii="Arial" w:cs="Arial" w:eastAsia="Arial" w:hAnsi="Arial"/>
          <w:sz w:val="17"/>
          <w:szCs w:val="17"/>
          <w:b w:val="1"/>
          <w:bCs w:val="1"/>
          <w:i w:val="1"/>
          <w:iCs w:val="1"/>
          <w:color w:val="auto"/>
        </w:rPr>
        <w:t>Existing Holders</w:t>
      </w:r>
      <w:r>
        <w:rPr>
          <w:rFonts w:ascii="Arial" w:cs="Arial" w:eastAsia="Arial" w:hAnsi="Arial"/>
          <w:sz w:val="17"/>
          <w:szCs w:val="17"/>
          <w:color w:val="auto"/>
        </w:rPr>
        <w:t>”), the undersigned parties listed on the signature page hereto as “</w:t>
      </w:r>
      <w:r>
        <w:rPr>
          <w:rFonts w:ascii="Arial" w:cs="Arial" w:eastAsia="Arial" w:hAnsi="Arial"/>
          <w:sz w:val="17"/>
          <w:szCs w:val="17"/>
          <w:b w:val="1"/>
          <w:bCs w:val="1"/>
          <w:i w:val="1"/>
          <w:iCs w:val="1"/>
          <w:color w:val="auto"/>
        </w:rPr>
        <w:t>New Holders</w:t>
      </w:r>
      <w:r>
        <w:rPr>
          <w:rFonts w:ascii="Arial" w:cs="Arial" w:eastAsia="Arial" w:hAnsi="Arial"/>
          <w:sz w:val="17"/>
          <w:szCs w:val="17"/>
          <w:color w:val="auto"/>
        </w:rPr>
        <w:t xml:space="preserve">” (the “New Holders” and, together with the Existing Holders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September 1, 2020, the Company and the Sponsor entered into that certain Registration Rights Agreement (the “</w:t>
      </w:r>
      <w:r>
        <w:rPr>
          <w:rFonts w:ascii="Arial" w:cs="Arial" w:eastAsia="Arial" w:hAnsi="Arial"/>
          <w:sz w:val="18"/>
          <w:szCs w:val="18"/>
          <w:b w:val="1"/>
          <w:bCs w:val="1"/>
          <w:i w:val="1"/>
          <w:iCs w:val="1"/>
          <w:color w:val="auto"/>
        </w:rPr>
        <w:t>Existing Registration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pursuant to which the Company granted the Existing Holders certain registration rights with respect to certain securities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entered into that certain Agreement and Plan of Merger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dated as of February 9, 2021, by</w:t>
      </w:r>
      <w:r>
        <w:rPr>
          <w:rFonts w:ascii="Arial" w:cs="Arial" w:eastAsia="Arial" w:hAnsi="Arial"/>
          <w:sz w:val="17"/>
          <w:szCs w:val="17"/>
          <w:b w:val="1"/>
          <w:bCs w:val="1"/>
          <w:color w:val="auto"/>
        </w:rPr>
        <w:t xml:space="preserve"> </w:t>
      </w:r>
      <w:r>
        <w:rPr>
          <w:rFonts w:ascii="Arial" w:cs="Arial" w:eastAsia="Arial" w:hAnsi="Arial"/>
          <w:sz w:val="17"/>
          <w:szCs w:val="17"/>
          <w:color w:val="auto"/>
        </w:rPr>
        <w:t>and among the Company, S-IV Sub, Inc., a Delaware corporation, and Mount Sinai Genomics D/B/A Sema4, a Delaware corporation (“</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the closing of the transactions contemplated by the Merger Agreement and subject to the terms and conditions set forth therein,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Holders and New Holders will hold shares of Class A common stock, par value $0.0001 per share, of the Company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in each case, in such amounts and subject to such terms and conditions as set forth in the Merger Agreement;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by the Merger Agreement, the Company is conducting a private placement of its Class</w:t>
      </w:r>
      <w:r>
        <w:rPr>
          <w:rFonts w:ascii="Arial" w:cs="Arial" w:eastAsia="Arial" w:hAnsi="Arial"/>
          <w:sz w:val="18"/>
          <w:szCs w:val="18"/>
          <w:b w:val="1"/>
          <w:bCs w:val="1"/>
          <w:color w:val="auto"/>
        </w:rPr>
        <w:t xml:space="preserve"> </w:t>
      </w:r>
      <w:r>
        <w:rPr>
          <w:rFonts w:ascii="Arial" w:cs="Arial" w:eastAsia="Arial" w:hAnsi="Arial"/>
          <w:sz w:val="18"/>
          <w:szCs w:val="18"/>
          <w:color w:val="auto"/>
        </w:rPr>
        <w:t>A Common Stock (the “</w:t>
      </w:r>
      <w:r>
        <w:rPr>
          <w:rFonts w:ascii="Arial" w:cs="Arial" w:eastAsia="Arial" w:hAnsi="Arial"/>
          <w:sz w:val="18"/>
          <w:szCs w:val="18"/>
          <w:b w:val="1"/>
          <w:bCs w:val="1"/>
          <w:i w:val="1"/>
          <w:iCs w:val="1"/>
          <w:color w:val="auto"/>
        </w:rPr>
        <w:t>PIPE Investment</w:t>
      </w:r>
      <w:r>
        <w:rPr>
          <w:rFonts w:ascii="Arial" w:cs="Arial" w:eastAsia="Arial" w:hAnsi="Arial"/>
          <w:sz w:val="18"/>
          <w:szCs w:val="18"/>
          <w:color w:val="auto"/>
        </w:rPr>
        <w:t>”) pursuant to the terms of one or more Subscription Agreements, and certain Holders may purchase additional shares of Class A Common Stock pursuant thereto (the “</w:t>
      </w:r>
      <w:r>
        <w:rPr>
          <w:rFonts w:ascii="Arial" w:cs="Arial" w:eastAsia="Arial" w:hAnsi="Arial"/>
          <w:sz w:val="18"/>
          <w:szCs w:val="18"/>
          <w:b w:val="1"/>
          <w:bCs w:val="1"/>
          <w:i w:val="1"/>
          <w:iCs w:val="1"/>
          <w:color w:val="auto"/>
        </w:rPr>
        <w:t>PIPE Shares</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New Holders may receive additional shares of Class A Common Stock (the “</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pursuant to certain provisions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Agreement;</w:t>
      </w:r>
    </w:p>
    <w:p>
      <w:pPr>
        <w:spacing w:after="0" w:line="10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Existing Registration Rights Agreement, the provisions, covenants and conditions set forth therein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modified upon the written consent of the Company and the holders of a majority-in-interest of the “Registrable Securities” (as such term is defined in the Existing Registration Rights Agreement) at the time in question;</w:t>
      </w:r>
    </w:p>
    <w:p>
      <w:pPr>
        <w:spacing w:after="0" w:line="12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Target and certain of the signatories hereto are parties to that certain Second Amended and Restated Stockholders Agreement, among</w:t>
      </w:r>
      <w:r>
        <w:rPr>
          <w:rFonts w:ascii="Arial" w:cs="Arial" w:eastAsia="Arial" w:hAnsi="Arial"/>
          <w:sz w:val="18"/>
          <w:szCs w:val="18"/>
          <w:b w:val="1"/>
          <w:bCs w:val="1"/>
          <w:color w:val="auto"/>
        </w:rPr>
        <w:t xml:space="preserve"> </w:t>
      </w:r>
      <w:r>
        <w:rPr>
          <w:rFonts w:ascii="Arial" w:cs="Arial" w:eastAsia="Arial" w:hAnsi="Arial"/>
          <w:sz w:val="18"/>
          <w:szCs w:val="18"/>
          <w:color w:val="auto"/>
        </w:rPr>
        <w:t>Mount Sinai Genomics, Inc. d/b/a Sema4 and the Stockholders named therein, dated as of July 27, 2020 (the “</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and that certain Registration Rights Agreement, by and between Icahn School of Medicine at Mount Sinai and Mount Sinai Genomics, Inc., dated as of March 28, 2016 (the “</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w:t>
      </w:r>
    </w:p>
    <w:p>
      <w:pPr>
        <w:spacing w:after="0" w:line="12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inducement for the Company, the Target and Merger Sub to enter into the Merger Agreement, the Target and the New Holders will</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effective at the Closing Date, the Stockholders’ Agreement, the ISMMS Registration Rights Agreement and certain other agreements with the Target will terminate and be of no further force and effect; and</w:t>
      </w:r>
    </w:p>
    <w:p>
      <w:pPr>
        <w:spacing w:after="0" w:line="12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Sponsor desire to amend and restate the Existing Registration Rights Agreement in its entirety in order to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Holders and the New Holders certain registration rights with respect to certain securities of the Company,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A-142</w:t>
      </w:r>
    </w:p>
    <w:p>
      <w:pPr>
        <w:sectPr>
          <w:pgSz w:w="11900" w:h="16838" w:orient="portrait"/>
          <w:cols w:equalWidth="0" w:num="1">
            <w:col w:w="11240"/>
          </w:cols>
          <w:pgMar w:left="320" w:top="125" w:right="339" w:bottom="1440" w:gutter="0" w:footer="0" w:header="0"/>
        </w:sectPr>
      </w:pPr>
    </w:p>
    <w:bookmarkStart w:id="577" w:name="page578"/>
    <w:bookmarkEnd w:id="577"/>
    <w:p>
      <w:pPr>
        <w:spacing w:after="0" w:line="139" w:lineRule="exact"/>
        <w:rPr>
          <w:sz w:val="20"/>
          <w:szCs w:val="20"/>
          <w:color w:val="auto"/>
        </w:rPr>
      </w:pPr>
    </w:p>
    <w:p>
      <w:pPr>
        <w:jc w:val="both"/>
        <w:ind w:right="2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The terms defined in this Article I shall, for all purposes of this Agreement, have the respective meanings set forth below: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Adverse Disclosure</w:t>
      </w:r>
      <w:r>
        <w:rPr>
          <w:rFonts w:ascii="Arial" w:cs="Arial" w:eastAsia="Arial" w:hAnsi="Arial"/>
          <w:sz w:val="17"/>
          <w:szCs w:val="17"/>
          <w:color w:val="auto"/>
        </w:rPr>
        <w:t>” shall mean any public disclosure of material non-public information the disclosure of which, in the good-faith determination of the Company, after consultation with counsel to the Company, (i) would be required to be made in any Registration Statement or Prospectus in order for the applicable Registration Statement or Prospectus not to contain any Misstatement, (ii) would not be required to be made at such time if the Registration Statement were not being filed, and (iii) which the Company has a bona fide business purpose for not making public.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“Block Trade</w:t>
      </w:r>
      <w:r>
        <w:rPr>
          <w:rFonts w:ascii="Arial" w:cs="Arial" w:eastAsia="Arial" w:hAnsi="Arial"/>
          <w:sz w:val="18"/>
          <w:szCs w:val="18"/>
          <w:color w:val="auto"/>
        </w:rPr>
        <w:t>” means an offering or sale of Registrable Securities by any Holder on a block trade or underwritten basis (whether firm commitment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effected pursuant to a Registration Statement without substantial marketing efforts prior to pricing, including, without limitation, a same day trade, overnight trade or similar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that is not a Saturday or Sunday or a day on which banks in New York City are authorized or requested by law to close.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shall mean Class B common stock, par value $0.0001 per share,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shall mean the date of the consummation of the transactions contemplated by the Merger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w:t>
      </w:r>
      <w:r>
        <w:rPr>
          <w:rFonts w:ascii="Arial" w:cs="Arial" w:eastAsia="Arial" w:hAnsi="Arial"/>
          <w:sz w:val="17"/>
          <w:szCs w:val="17"/>
          <w:b w:val="1"/>
          <w:bCs w:val="1"/>
          <w:i w:val="1"/>
          <w:iCs w:val="1"/>
          <w:color w:val="auto"/>
        </w:rPr>
        <w:t>Commission’s Notice</w:t>
      </w:r>
      <w:r>
        <w:rPr>
          <w:rFonts w:ascii="Arial" w:cs="Arial" w:eastAsia="Arial" w:hAnsi="Arial"/>
          <w:sz w:val="17"/>
          <w:szCs w:val="17"/>
          <w:color w:val="auto"/>
        </w:rPr>
        <w:t xml:space="preserve">” shall have the meaning given in </w:t>
      </w:r>
      <w:r>
        <w:rPr>
          <w:rFonts w:ascii="Arial" w:cs="Arial" w:eastAsia="Arial" w:hAnsi="Arial"/>
          <w:sz w:val="17"/>
          <w:szCs w:val="17"/>
          <w:u w:val="single" w:color="auto"/>
          <w:color w:val="auto"/>
        </w:rPr>
        <w:t>subsection 2.1.5</w:t>
      </w:r>
      <w:r>
        <w:rPr>
          <w:rFonts w:ascii="Arial" w:cs="Arial" w:eastAsia="Arial" w:hAnsi="Arial"/>
          <w:sz w:val="17"/>
          <w:szCs w:val="17"/>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Shelf Takedown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A-143</w:t>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Holders</w:t>
      </w:r>
      <w:r>
        <w:rPr>
          <w:rFonts w:ascii="Arial" w:cs="Arial" w:eastAsia="Arial" w:hAnsi="Arial"/>
          <w:sz w:val="18"/>
          <w:szCs w:val="18"/>
          <w:color w:val="auto"/>
        </w:rPr>
        <w:t>” shall mean, as applicable, (a) the Existing Holders of at least a majority in interest of the then-outstanding number of Registrable Securities held by the Existing Holders, (b) the New Holders of at least a majority in interest of the then-outstanding number of Registrable Securities held by the New Holders or (c) any Holder meeting the Minimum Amount.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DWAC</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Earnout Shares</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mean all shares of Class B Common Stock that are issued and outstanding as of the date hereof and all shares of Class A Common Stock issued upon conversion thereof.</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held by the Existing Holders or their Permitted Transferees, the period ending on the earlier of (a) one year after the Closing Date, (b) the first date that the closing price of the Class A Common Stock equals or exceeds $12.00 per share (as adjusted for stock splits, stock dividends, reorganizations, recapitalizations and the like) for any twenty (20) trading days within any thirty (30)-trading-day period commencing at least one hundred and fifty (150) days after the Closing Date, and (c)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xml:space="preserve">” shall mean the Existing Holders and the New Holders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sister-in-law and shall include adoptive relationships.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September 1, 2020, by and among the Company, the Sponsor and each of the Company’s officers, directors and director nominees.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ISMMS Registration Rights Agreement</w:t>
      </w:r>
      <w:r>
        <w:rPr>
          <w:rFonts w:ascii="Arial" w:cs="Arial" w:eastAsia="Arial" w:hAnsi="Arial"/>
          <w:sz w:val="18"/>
          <w:szCs w:val="18"/>
          <w:color w:val="auto"/>
        </w:rPr>
        <w:t>” shall have the meaning given in the Recitals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shall have the meaning given in the Recitals hereto.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any Prospectus in the light of the circumstances under which they were made) not misleading.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 Provisions</w:t>
      </w:r>
      <w:r>
        <w:rPr>
          <w:rFonts w:ascii="Arial" w:cs="Arial" w:eastAsia="Arial" w:hAnsi="Arial"/>
          <w:sz w:val="18"/>
          <w:szCs w:val="18"/>
          <w:color w:val="auto"/>
        </w:rPr>
        <w:t xml:space="preserve">” shall have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A-144</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Holder(s)</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Registration Statement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Transferees</w:t>
      </w:r>
      <w:r>
        <w:rPr>
          <w:rFonts w:ascii="Arial" w:cs="Arial" w:eastAsia="Arial" w:hAnsi="Arial"/>
          <w:sz w:val="17"/>
          <w:szCs w:val="17"/>
          <w:color w:val="auto"/>
        </w:rPr>
        <w:t xml:space="preserve">” shall mean (a) with respect to an Existing Holder, any Person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Existing Holder and the Company, and to any transferee thereafter; and (b) with respect to a New Holder, (i) in the case of an individual, any Person to whom a Holder transfers Registrable Securities (1) by gift to a member of the individual’s Immediate Family, to a trust, the beneficiary of which is a member of the individual’s Immediate Family or an Affiliate of such Person, or to a charitable organization, (2) by virtue of laws of descent and distribution upon death of the individual and (3) pursuant to a qualified domestic relations order; or (ii) in the case of an entity, any Person to whom a Holder transfers Registrable Securities (1) by distribution to such entity’s members, partners, stockholders or equityholders, (2) to any of such entity’s Affiliates or to any fund or other entity controlled or managed by such entity or any of its Affiliates, or to investment manager or investment advisor of such entity or an Affiliate of any such investment manager or investment advisor, and (3) to a nominee or custodian of a person or entity to whom a disposition or transfer would be permissible under clause (b) of this definition,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to which a transfer is being made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if not a Holder, enters into a written agreement with the Company agreeing to be bound by the restrictions, including restrictions specific to certain holders, herein.</w:t>
      </w:r>
    </w:p>
    <w:p>
      <w:pPr>
        <w:spacing w:after="0" w:line="12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partnership, limited liability company, unincorporated association or other legal entity or business organization.</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Class A Common Stock issuable upon the exercise or conversion of the Private Placement Warrants, and that are held by the initial purchasers of the Private Placement Warrants or their Permitted Transferees, the period ending thirty (30) days after the Closing Date.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mean the warrants to purchase shares of Class A Common Stock purchased by the Sponsor pursuant to the Private Placement Warrants Purchase Agreement.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mean that certain Private Placement Warrants Purchase Agreement by and between the Company and the Sponsor, dated as of September 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2.2.4</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shall mean the prospectus included in any Registration Statement, including any preliminary prospectus and free writing prospectus, in each case, as supplemented by any and all prospectus supplements and as amended by any and all post-effective amendments and including all material incorporated by reference in such prospectus.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shall mean (a) the Founder Shares and the shares of Class A Common Stock issued or issuable upon the conversion of the Founder Shares, (b) the Private Placement Warrants (including any shares of Class A Common Stock issued or issuable upon the exercise of the Private Placement Warrants), (c) any issued and outstanding shares of Class A Common Stock or any other equity security (including the shares of Class A Common Stock issued or issuable upon the exercise of any other equity security) of the Company held by a Holder as of the date of this Agreement, (d) any equity securities (including the shares of Class A Common Stock issued or issuable upon the exercise of any such equity security) of the Company issuable upon conversion of any working capital loans in an amount up to $1,500,000 made to the Company by a Holder (including the Working Capital Warrants and shares of Class A Common Stock issued or issuable upon the exercise of the Working Capital Warrants), (e) any outstanding shares of Class A Common Stock or any other equity security of the Company held by a New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A-145</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issued in connection with the transactions contemplated by the Merger Agreement (including any Earnout Shares), (f) any PIPE Shares, (g) any other equity securities (including shares of Class A Common Stock) of the Company held by a New Holder at the Closing Date and (h) any other equity security of the Company issued or issuable with respect to any such share of Class A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ceased to be outstanding; (iii) such securities have been otherwise transferred, new certificates for such securities not bearing a legend restricting further transfer shall have been delivered by the Company and subsequent public distribution of such securities shall not require registration under the Securities Act; (iv) with respect to a Holder, all such securities held by such Holder could be sold pursuant to Rule 144 promulgated under the Securities Act (or any successor rule promulgated thereafter by the Commission) without restriction on volume or manner of sale in any three-month period and without the requirement for the Company to be in compliance with the public information required under Rule 144; or (v) such securities have been sold to, or through, a broker, dealer or underwriter in a public distribution or other public securities transaction. For purposes of this Agreement, a Person shall be deemed to be a holder of Registrable Securities, and the Registrable Securities shall be deemed to be in existence, whenever such Person holds such Registrable Securities of record or in “street name” or has the right to acquire directly or indirectly such Registrable Securities (upon conversion or exercise in connection with a transfer of securities or otherwise, but disregarding any restrictions or limitations upon the exercise of such right and, in the case of Registrable Securities issuable upon exercise of warrants, assuming the exercise thereof for cash), whether or not such acquisition has actually been effected, and such Person shall be entitled to exercise the rights of a holder of Registrable Securities hereunder; provided a holder of Registrable Securities may only request that Registrable Securities in the form of Class A Common Stock be registered pursuant to this Agreement.</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71" w:lineRule="exact"/>
        <w:rPr>
          <w:sz w:val="20"/>
          <w:szCs w:val="20"/>
          <w:color w:val="auto"/>
        </w:rPr>
      </w:pPr>
    </w:p>
    <w:p>
      <w:pPr>
        <w:ind w:left="340" w:right="20" w:firstLine="640"/>
        <w:spacing w:after="0" w:line="277" w:lineRule="auto"/>
        <w:tabs>
          <w:tab w:leader="none" w:pos="146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all registration, qualification and filing fees (including fees with respect to filings required to be made with the Financial Industry Regulatory Authority, Inc.) and any securities exchange on which the Class A Common Stock is then listed;</w:t>
      </w:r>
    </w:p>
    <w:p>
      <w:pPr>
        <w:spacing w:after="0" w:line="116" w:lineRule="exact"/>
        <w:rPr>
          <w:rFonts w:ascii="Arial" w:cs="Arial" w:eastAsia="Arial" w:hAnsi="Arial"/>
          <w:sz w:val="18"/>
          <w:szCs w:val="18"/>
          <w:color w:val="auto"/>
        </w:rPr>
      </w:pPr>
    </w:p>
    <w:p>
      <w:pPr>
        <w:ind w:left="340" w:firstLine="640"/>
        <w:spacing w:after="0" w:line="277" w:lineRule="auto"/>
        <w:tabs>
          <w:tab w:leader="none" w:pos="147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firstLine="640"/>
        <w:spacing w:after="0" w:line="277" w:lineRule="auto"/>
        <w:tabs>
          <w:tab w:leader="none" w:pos="14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Demanding Holders, not to exceed $75,000.</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A-146</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amendments (including post-effective amendments) and supplements to such registration statement, and all exhibits to and all material incorporated by reference in such registration statement.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 Guidance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and the rules and regulations of the Commission promulgated thereafter, all as the same shall be in effect from time to time.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 Down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Underwritten Offering</w:t>
      </w:r>
      <w:r>
        <w:rPr>
          <w:rFonts w:ascii="Arial" w:cs="Arial" w:eastAsia="Arial" w:hAnsi="Arial"/>
          <w:sz w:val="18"/>
          <w:szCs w:val="18"/>
          <w:color w:val="auto"/>
        </w:rPr>
        <w:t>” shall mean an underwritten offering that is registered pursuant to a Shelf, including a Block Trade.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Preamble.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Subscription Agreements</w:t>
      </w:r>
      <w:r>
        <w:rPr>
          <w:rFonts w:ascii="Arial" w:cs="Arial" w:eastAsia="Arial" w:hAnsi="Arial"/>
          <w:sz w:val="18"/>
          <w:szCs w:val="18"/>
          <w:color w:val="auto"/>
        </w:rPr>
        <w:t>” shall means those certain subscription agreements dated February 9, 2021 by and between the Company and certain subscribers to shares of Class A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Event</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Suspension Notice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2.1.6</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Unrestricted Conditions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3.5.2</w:t>
      </w:r>
      <w:r>
        <w:rPr>
          <w:rFonts w:ascii="Arial" w:cs="Arial" w:eastAsia="Arial" w:hAnsi="Arial"/>
          <w:sz w:val="18"/>
          <w:szCs w:val="18"/>
          <w:color w:val="auto"/>
        </w:rPr>
        <w:t>.</w:t>
      </w:r>
    </w:p>
    <w:p>
      <w:pPr>
        <w:spacing w:after="0" w:line="16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REGISTRATIONS</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Shelf Registration.</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2.1.1 The Company shall, as soon as practicable, but in any event within thirty (30) days after the Closing Date (the “</w:t>
      </w:r>
      <w:r>
        <w:rPr>
          <w:rFonts w:ascii="Arial" w:cs="Arial" w:eastAsia="Arial" w:hAnsi="Arial"/>
          <w:sz w:val="16"/>
          <w:szCs w:val="16"/>
          <w:b w:val="1"/>
          <w:bCs w:val="1"/>
          <w:i w:val="1"/>
          <w:iCs w:val="1"/>
          <w:color w:val="auto"/>
        </w:rPr>
        <w:t>Filing Deadline</w:t>
      </w:r>
      <w:r>
        <w:rPr>
          <w:rFonts w:ascii="Arial" w:cs="Arial" w:eastAsia="Arial" w:hAnsi="Arial"/>
          <w:sz w:val="16"/>
          <w:szCs w:val="16"/>
          <w:color w:val="auto"/>
        </w:rPr>
        <w:t>”), file a Registration Statement under the Securities Act (the “</w:t>
      </w:r>
      <w:r>
        <w:rPr>
          <w:rFonts w:ascii="Arial" w:cs="Arial" w:eastAsia="Arial" w:hAnsi="Arial"/>
          <w:sz w:val="16"/>
          <w:szCs w:val="16"/>
          <w:b w:val="1"/>
          <w:bCs w:val="1"/>
          <w:i w:val="1"/>
          <w:iCs w:val="1"/>
          <w:color w:val="auto"/>
        </w:rPr>
        <w:t>Initial Shelf</w:t>
      </w:r>
      <w:r>
        <w:rPr>
          <w:rFonts w:ascii="Arial" w:cs="Arial" w:eastAsia="Arial" w:hAnsi="Arial"/>
          <w:sz w:val="16"/>
          <w:szCs w:val="16"/>
          <w:color w:val="auto"/>
        </w:rPr>
        <w:t xml:space="preserve">”) to permit the public resale of all the Registrable Securities held by the Holders from time to time as permitted by Rule 415 under the Securities Act (or any successor or similar provision adopted by the Commission then in effect) on the terms and conditions specified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use its commercially reasonable efforts to cause such Initial Shelf to be declared effective as soon as practicable after the filing thereof, but in no event later than the earlier of (i) sixty (60) days following the Filing Deadline and (ii) five (5) Business Days after the Commission notifies the Company that it will not review the Initial Shelf, if applicable (the “</w:t>
      </w:r>
      <w:r>
        <w:rPr>
          <w:rFonts w:ascii="Arial" w:cs="Arial" w:eastAsia="Arial" w:hAnsi="Arial"/>
          <w:sz w:val="16"/>
          <w:szCs w:val="16"/>
          <w:b w:val="1"/>
          <w:bCs w:val="1"/>
          <w:i w:val="1"/>
          <w:iCs w:val="1"/>
          <w:color w:val="auto"/>
        </w:rPr>
        <w:t>Effectiveness Deadline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Deadline shall be extended to ninety (90) days after the Filing Deadline if the Initial Shelf is reviewed by, and receives comments from, the Commission. Without limiting the foregoing, as soon as practicable, but in no event later than three (3) Business Days, following the resolution or clearance of all Commission comments or, if applicable, following notification by the Commission that the Initial Shelf or any amendment thereto will not be subject to review, the Company shall file a request for acceleration of effectiveness of such Initial Shelf (to the extent required, by declaration or ordering of effectiveness, of such Initial Shelf or amendment thereto by the Commission) to a time and date not later than two (2) Business Days after the submission of such request. The Initial Shelf filed with the Commission pursuant to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be on Form S-1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A-147</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form of registration statement as is then available to effect a registration for resale of the Registrable Securities, provided, that the Company shall file, within thirty (30) days of such time as Form S-3 is available for the Initial Shelf, a post-effective amendment to the Initial Shelf then in effect, or otherwise file a Registration Statement on Form S-3, registering the Registrable Securities for resale on Form S-3 (provided that the Company shall use commercially reasonable efforts to maintain the effectiveness of the Initial Shelf then in effect until such time as a Registration Statement (or post-effective amendment) on Form S-3 covering such Registrable Securities has been declared effective by the Commission. The Initial Shelf shall cover all Registrable Securities, and shall contain a Prospectus in such form as permits any Holder to sell such Registrable Securities pursuant to Rule 415 under the Securities Act (or any successor or similar provision adopted by the Commission then in effect) at any time beginning on the effective date for such Initial Shelf and the Company shall file with the Commission the final form of such Prospectus pursuant to Rule 424 (or successor thereto) under the Securities Act no later than the second (2nd) Business Day after the Initial Shelf becomes effective. The Initial Shelf shall provide for the resale pursuant to any method or combination of methods legally available to, and requested by, the Holders and shall include a customary “plan of distribution.” The Company shall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As soon as practicable following the effective date of the Initial Shelf, but in any event within three (3) Business Days of such date, the Company shall notify the Holders of the effectiveness of such the Initial Shelf.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Form of Registration</w:t>
      </w:r>
      <w:r>
        <w:rPr>
          <w:rFonts w:ascii="Arial" w:cs="Arial" w:eastAsia="Arial" w:hAnsi="Arial"/>
          <w:sz w:val="18"/>
          <w:szCs w:val="18"/>
          <w:color w:val="auto"/>
        </w:rPr>
        <w:t>. If the Company files the Initial Shelf on Form S-3 (a “</w:t>
      </w:r>
      <w:r>
        <w:rPr>
          <w:rFonts w:ascii="Arial" w:cs="Arial" w:eastAsia="Arial" w:hAnsi="Arial"/>
          <w:sz w:val="18"/>
          <w:szCs w:val="18"/>
          <w:b w:val="1"/>
          <w:bCs w:val="1"/>
          <w:i w:val="1"/>
          <w:iCs w:val="1"/>
          <w:color w:val="auto"/>
        </w:rPr>
        <w:t>Form S-3 Shelf</w:t>
      </w:r>
      <w:r>
        <w:rPr>
          <w:rFonts w:ascii="Arial" w:cs="Arial" w:eastAsia="Arial" w:hAnsi="Arial"/>
          <w:sz w:val="18"/>
          <w:szCs w:val="18"/>
          <w:color w:val="auto"/>
        </w:rPr>
        <w:t>”) and thereafter the Company becomes ineligible to use Form S-3 for secondary sales, the Company shall use its commercially reasonable efforts to file the Initial Shelf on Form S-1 as promptly as practicable to replace the shelf registration statement that is on Form S-3 and have the Initial Shelf declared effective as promptly as practicable and to cause such Initial Shelf to remain effective, and to be supplemented and amended to the extent necessary to ensure that such Initial Shelf is available or, if not available, that another Registration Statement is available, for the public resale of all the Registrable Securities held by the Holders until all such Registrable Securities have ceased to be Registrable Securities.</w:t>
      </w:r>
    </w:p>
    <w:p>
      <w:pPr>
        <w:spacing w:after="0" w:line="138"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Shelf Takedowns</w:t>
      </w:r>
      <w:r>
        <w:rPr>
          <w:rFonts w:ascii="Arial" w:cs="Arial" w:eastAsia="Arial" w:hAnsi="Arial"/>
          <w:sz w:val="16"/>
          <w:szCs w:val="16"/>
          <w:color w:val="auto"/>
        </w:rPr>
        <w:t xml:space="preserve">. At any time and from time to time following the effectiveness of the Initial Shelf, any Holder may request to sell all or a portion of their Registrable Securities in a Shelf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6"/>
          <w:szCs w:val="16"/>
          <w:b w:val="1"/>
          <w:bCs w:val="1"/>
          <w:i w:val="1"/>
          <w:iCs w:val="1"/>
          <w:color w:val="auto"/>
        </w:rPr>
        <w:t>Minimum Amount</w:t>
      </w:r>
      <w:r>
        <w:rPr>
          <w:rFonts w:ascii="Arial" w:cs="Arial" w:eastAsia="Arial" w:hAnsi="Arial"/>
          <w:sz w:val="16"/>
          <w:szCs w:val="16"/>
          <w:color w:val="auto"/>
        </w:rPr>
        <w:t>”). All requests for a Shelf Underwritten Offering shall be made by giving written notice to the Company (the “</w:t>
      </w:r>
      <w:r>
        <w:rPr>
          <w:rFonts w:ascii="Arial" w:cs="Arial" w:eastAsia="Arial" w:hAnsi="Arial"/>
          <w:sz w:val="16"/>
          <w:szCs w:val="16"/>
          <w:b w:val="1"/>
          <w:bCs w:val="1"/>
          <w:i w:val="1"/>
          <w:iCs w:val="1"/>
          <w:color w:val="auto"/>
        </w:rPr>
        <w:t>Shelf Take 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Each Shelf Take Down Notice shall specify the approximate number of Registrable Securities proposed to be sold in the Shelf Underwritten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Offering and the expected price range (net of underwriting discounts and commissions) of such Shelf Underwritten Offering. Except with respect to any Registrable Securities distributed by the Sponsor to its members following the expiration of the Founder Shares Lock-up Period or the Private Placement Lock-up Period, as applicable, within five (5) days after receipt of any Shelf Take Down Notice, the Company shall, subject to </w:t>
      </w:r>
      <w:r>
        <w:rPr>
          <w:rFonts w:ascii="Arial" w:cs="Arial" w:eastAsia="Arial" w:hAnsi="Arial"/>
          <w:sz w:val="16"/>
          <w:szCs w:val="16"/>
          <w:u w:val="single" w:color="auto"/>
          <w:color w:val="auto"/>
        </w:rPr>
        <w:t>subsections 3.5.3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3.5.4</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MNPI Provisions</w:t>
      </w:r>
      <w:r>
        <w:rPr>
          <w:rFonts w:ascii="Arial" w:cs="Arial" w:eastAsia="Arial" w:hAnsi="Arial"/>
          <w:sz w:val="16"/>
          <w:szCs w:val="16"/>
          <w:color w:val="auto"/>
        </w:rPr>
        <w:t>”), give written notice of such requested Shelf Underwritten Offering to all other Holders of Registrable Securities (the “</w:t>
      </w:r>
      <w:r>
        <w:rPr>
          <w:rFonts w:ascii="Arial" w:cs="Arial" w:eastAsia="Arial" w:hAnsi="Arial"/>
          <w:sz w:val="16"/>
          <w:szCs w:val="16"/>
          <w:b w:val="1"/>
          <w:bCs w:val="1"/>
          <w:i w:val="1"/>
          <w:iCs w:val="1"/>
          <w:color w:val="auto"/>
        </w:rPr>
        <w:t>Company Shelf Takedown Notice</w:t>
      </w:r>
      <w:r>
        <w:rPr>
          <w:rFonts w:ascii="Arial" w:cs="Arial" w:eastAsia="Arial" w:hAnsi="Arial"/>
          <w:sz w:val="16"/>
          <w:szCs w:val="16"/>
          <w:color w:val="auto"/>
        </w:rPr>
        <w:t xml:space="preserve">”) and, subject to the provisions of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shall include in such Shelf Underwritten Offering all Registrable Securities with respect to which the Company has received written requests for inclusion therein, within five (5) days after sending the Company Shelf Takedown Notice. The Company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the Company and shall take all such other reasonable actions as are requested by the managing Underwriter or Underwriters in order to expedite or facilitate the disposition of such Registrable Securities. In connection with any Shelf Underwritten Offering contemplated by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the underwriting agreement into which each Holder and the Company shall enter shall contain such representations, covenants, indemnities and other rights and obligations of the Company and the selling stockholders as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A-148</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customary in underwritten offerings of securities by the Company. The New Holders, on the one hand, and the Existing Holders, on the other hand, may each demand not more than two (2) Shelf Underwritten Offerings pursuant to this Section 2.1.3 in any 12-month period.</w:t>
      </w:r>
    </w:p>
    <w:p>
      <w:pPr>
        <w:spacing w:after="0" w:line="116"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2.1.4 At least ten (10) Business Days prior to the first anticipated filing date of a Registration Statement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the Company shall use reasonable efforts to notify each Holder in writing (which may be by email) of the information reasonably necessary about the Holder to include such Holder’s Registrable Securities in such Registration Statement. Notwithstanding anything else in this Agreement, the Company shall not be obligated to include such Holder’s Registrable Securities to the extent the Company has not received such information, and received any other reasonably requested agreements or certificates, on or prior to the third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Business Day prior to the first anticipated filing date of a Registration Statement pursuant to this </w:t>
      </w:r>
      <w:r>
        <w:rPr>
          <w:rFonts w:ascii="Arial" w:cs="Arial" w:eastAsia="Arial" w:hAnsi="Arial"/>
          <w:sz w:val="18"/>
          <w:szCs w:val="18"/>
          <w:u w:val="single" w:color="auto"/>
          <w:color w:val="auto"/>
        </w:rPr>
        <w:t>Article II.</w:t>
      </w:r>
    </w:p>
    <w:p>
      <w:pPr>
        <w:spacing w:after="0" w:line="14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2.1.5 Notwithstanding the registration obligations set forth in this Section 2, in the event that, despite the Company’s efforts to include all of the Registrable Securities in any Registration Statement filed pursuant to subsection 2.1.1, the Commission informs the Company (the “</w:t>
      </w:r>
      <w:r>
        <w:rPr>
          <w:rFonts w:ascii="Arial" w:cs="Arial" w:eastAsia="Arial" w:hAnsi="Arial"/>
          <w:sz w:val="16"/>
          <w:szCs w:val="16"/>
          <w:b w:val="1"/>
          <w:bCs w:val="1"/>
          <w:i w:val="1"/>
          <w:iCs w:val="1"/>
          <w:color w:val="auto"/>
        </w:rPr>
        <w:t>Commission’s Notice</w:t>
      </w:r>
      <w:r>
        <w:rPr>
          <w:rFonts w:ascii="Arial" w:cs="Arial" w:eastAsia="Arial" w:hAnsi="Arial"/>
          <w:sz w:val="16"/>
          <w:szCs w:val="16"/>
          <w:color w:val="auto"/>
        </w:rPr>
        <w:t>”) that all of the Registrable Securities cannot, as a result of the application of Rule 415 or otherwise, be registered for resale as a secondary offering on a single Registration Statement, the Company agrees to promptly (i) inform each of the holders thereof and use its commercially reasonable efforts to file amendments to the Initial Shelf as required by the Commission and (ii) as soon as practicable but in no event later than the twentieth (20th) day following the first date on which such Registrable Securities may then be included in a Registration Statement, file an additional Registration Statement (a “</w:t>
      </w:r>
      <w:r>
        <w:rPr>
          <w:rFonts w:ascii="Arial" w:cs="Arial" w:eastAsia="Arial" w:hAnsi="Arial"/>
          <w:sz w:val="16"/>
          <w:szCs w:val="16"/>
          <w:b w:val="1"/>
          <w:bCs w:val="1"/>
          <w:i w:val="1"/>
          <w:i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on Form S-3, or if Form S-3 is not then available to the Company for such Registration Statement, on such other form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i w:val="1"/>
          <w:iCs w:val="1"/>
          <w:color w:val="auto"/>
        </w:rPr>
        <w:t>SEC Guidance</w:t>
      </w:r>
      <w:r>
        <w:rPr>
          <w:rFonts w:ascii="Arial" w:cs="Arial" w:eastAsia="Arial" w:hAnsi="Arial"/>
          <w:sz w:val="16"/>
          <w:szCs w:val="16"/>
          <w:color w:val="auto"/>
        </w:rPr>
        <w:t>”), including without limitation, the Manual of Publicly Available Telephone Interpretations D.29. The Holders shall have the right to participate or have their respective legal counsel participate in any meetings or discussions with the Commission regarding the Commission’s position and to comment or have their respective counsel comment on any written submission made to the Commission with respect thereto. No such written submission shall be made to the Commission to which any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In the event the Company amends the Initial Shelf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Shelf, as amended, or the New Registration Statement.</w:t>
      </w:r>
    </w:p>
    <w:p>
      <w:pPr>
        <w:spacing w:after="0" w:line="34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2.1.6 No Holder shall be named as an “underwriter” in any Registration Statement filed pursuant to this Section 2 without the Holder’s prior written consent; provided that if the Commission requests that a Holder be identified as a statutory underwriter in the Registration Statement, then such Holder will have the option, in its sole and absolute discretion, to either (i) have the opportunity to withdraw from the Registration Statement upon its prompt written request to the Company, in which case the Company’s obligation to register such Holder’s Registrable Securities shall be deemed satisfied or (ii) be included as such in the Registration Statement. Each Registration Statement (and each amendment or supplement thereto) shall be provided to (and shall be subject to the approval, which shall not be unreasonably withheld or delayed, of) the Holders prior to its filing with, or other submission to, the Commission.</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2.1.7 In the event that on any Trading Day (as defined below) (the “</w:t>
      </w:r>
      <w:r>
        <w:rPr>
          <w:rFonts w:ascii="Arial" w:cs="Arial" w:eastAsia="Arial" w:hAnsi="Arial"/>
          <w:sz w:val="18"/>
          <w:szCs w:val="18"/>
          <w:b w:val="1"/>
          <w:bCs w:val="1"/>
          <w:i w:val="1"/>
          <w:iCs w:val="1"/>
          <w:color w:val="auto"/>
        </w:rPr>
        <w:t>Registration Trigger Date</w:t>
      </w:r>
      <w:r>
        <w:rPr>
          <w:rFonts w:ascii="Arial" w:cs="Arial" w:eastAsia="Arial" w:hAnsi="Arial"/>
          <w:sz w:val="18"/>
          <w:szCs w:val="18"/>
          <w:color w:val="auto"/>
        </w:rPr>
        <w:t>”) the number of shares available under the Registration Statements filed pursuant to this Section 2 is insufficient to cover all of the Registrable Securities (without giving effect to any limitations on the exercise or conversion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A-149</w:t>
      </w:r>
    </w:p>
    <w:p>
      <w:pPr>
        <w:sectPr>
          <w:pgSz w:w="11900" w:h="16838" w:orient="portrait"/>
          <w:cols w:equalWidth="0" w:num="1">
            <w:col w:w="11240"/>
          </w:cols>
          <w:pgMar w:left="320" w:top="1440" w:right="339" w:bottom="1440" w:gutter="0" w:footer="0" w:header="0"/>
        </w:sectPr>
      </w:pPr>
    </w:p>
    <w:bookmarkStart w:id="584" w:name="page585"/>
    <w:bookmarkEnd w:id="584"/>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exercisable for, or convertible into, Registrable Securities and, in the case of Registrable Securities issuable upon the exercise of warrants, assuming the exercise of such warrants for cash), the Company shall amend such Registration Statements, or file a new Registration Statement (on the short form available therefor, if applicable), or both, so as to cover the total number of Registrable Securities so issued or issuable (without giving effect to any limitations on the exercise or conversion of any securities exercisable for, or convertible into, Registrable Securities and, in the case of Registrable Securities issuable upon the exercise of warrants, assuming the exercise of such warrants for cash) as of the Registration Trigger Date as soon as practicable, but in any event within fifteen (15) days after the Registration Trigger Date. The Company shall use its commercially reasonable efforts to cause such amendment and/or new Registration Statement to become effective as soon as practicable following the filing thereof, but in any event no later than sixty (60) days of the Registration Trigger Date (or ninety (90) days if the applicable Registration Statement or amendment is reviewed by, and comments are thereto provided from, the Commission) or as promptly as practicable in the event the Company is required to increase its authorized shares. “</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shall mean any day on which the Class A Common Stock is traded for any period on the principal securities exchange or market on which the Class A Common Stock is then being traded.</w:t>
      </w:r>
    </w:p>
    <w:p>
      <w:pPr>
        <w:spacing w:after="0" w:line="128"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Demand Registration.</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does not have an effective Registration Statement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outstanding covering all of the Registrable Securities, following the expiration of the Founder Shares Lock-up Period, the Private Placement Lock-up Period or any other applicable lock-up period, as the case may be,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Subject to the MNPI Provisions,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subject to </w:t>
      </w:r>
      <w:r>
        <w:rPr>
          <w:rFonts w:ascii="Arial" w:cs="Arial" w:eastAsia="Arial" w:hAnsi="Arial"/>
          <w:sz w:val="16"/>
          <w:szCs w:val="16"/>
          <w:u w:val="single" w:color="auto"/>
          <w:color w:val="auto"/>
        </w:rPr>
        <w:t>subsection 2.2.4</w:t>
      </w:r>
      <w:r>
        <w:rPr>
          <w:rFonts w:ascii="Arial" w:cs="Arial" w:eastAsia="Arial" w:hAnsi="Arial"/>
          <w:sz w:val="16"/>
          <w:szCs w:val="16"/>
          <w:color w:val="auto"/>
        </w:rPr>
        <w:t xml:space="preserve"> below, such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by the Existing Holders and an aggregate of five (5) Registration pursuant to a Demand Registration by the New Holders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Notwithstanding the foregoing, (i) the Company shall not be required to give effect to a Demand Registration from a Demanding Holder if the Company has registered Registrable Securities pursuant to a Demand Registration (which has become effective) from such Demanding Holder in the preceding one hundred and twenty (120) days, and (ii) the Company’s obligations with respect to any Demand Registration shall be deemed satisfied so long as the Registration Statement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includes all of such Demanding Holder’s Registrable Securities and is effective.</w:t>
      </w:r>
    </w:p>
    <w:p>
      <w:pPr>
        <w:spacing w:after="0" w:line="33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above or any other part of this Agreement, a Registration pursuant to a Demand Registration shall not count as a Registration unless and until (a) the Registration Statement filed with the Commission with respect to a Registration pursuant to a Demand Registration has been declared effective by the Commission and, (b)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A-150</w:t>
      </w:r>
    </w:p>
    <w:p>
      <w:pPr>
        <w:sectPr>
          <w:pgSz w:w="11900" w:h="16838" w:orient="portrait"/>
          <w:cols w:equalWidth="0" w:num="1">
            <w:col w:w="11240"/>
          </w:cols>
          <w:pgMar w:left="320" w:top="1440" w:right="339" w:bottom="1440" w:gutter="0" w:footer="0" w:header="0"/>
        </w:sectPr>
      </w:pPr>
    </w:p>
    <w:bookmarkStart w:id="585" w:name="page586"/>
    <w:bookmarkEnd w:id="585"/>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affirmatively elect to continue with such Registration and accordingly notify the Company in writing, but in no event later than five (5) days thereafter, of such election. The Company shall not be obligated or required to file another Registration Statement until the Registration Statement that has been previously filed with respect to a Registration pursuant to a Demand Registration by the same Demanding Holder becomes effective or is subsequently terminated.</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shall enter into an underwriting agreement in customary form with the Company and the Underwriter(s) selected for such Underwritten Offering by a majority-in-interest of the Demanding Holders initiating the Demand Registration after consultation with, and approval by, the Company (which shall not be unreasonably withheld, conditioned or delayed).</w:t>
      </w:r>
    </w:p>
    <w:p>
      <w:pPr>
        <w:spacing w:after="0" w:line="14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Underwritten Offering</w:t>
      </w:r>
      <w:r>
        <w:rPr>
          <w:rFonts w:ascii="Arial" w:cs="Arial" w:eastAsia="Arial" w:hAnsi="Arial"/>
          <w:sz w:val="18"/>
          <w:szCs w:val="18"/>
          <w:color w:val="auto"/>
        </w:rPr>
        <w:t>. If a Demand Registration is to be an Underwritten Offering and the managing Underwriter or Underwriters, in good faith, advises the Company, the Demanding Holders and the Requesting Holders (if any) in writing that, in its opinion, the dollar amount or number of Registrable Securities that the Demanding Holders and the Requesting Holders (if any) desire to sell, taken together with all other Class A Common Stock or other equity securities that the Company desires to sell for its own account and the Class A Common Stock, if any, as to which a Registration has been requested pursuant to separate written contractual piggy-back registration rights held by any other stockholders of the Company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then the Company shall include in such Underwritten Offering, as follows:</w:t>
      </w:r>
    </w:p>
    <w:p>
      <w:pPr>
        <w:spacing w:after="0" w:line="142" w:lineRule="exact"/>
        <w:rPr>
          <w:sz w:val="20"/>
          <w:szCs w:val="20"/>
          <w:color w:val="auto"/>
        </w:rPr>
      </w:pPr>
    </w:p>
    <w:p>
      <w:pPr>
        <w:jc w:val="both"/>
        <w:ind w:firstLine="1304"/>
        <w:spacing w:after="0" w:line="259" w:lineRule="auto"/>
        <w:tabs>
          <w:tab w:leader="none" w:pos="1741" w:val="left"/>
        </w:tabs>
        <w:numPr>
          <w:ilvl w:val="0"/>
          <w:numId w:val="440"/>
        </w:numPr>
        <w:rPr>
          <w:rFonts w:ascii="Arial" w:cs="Arial" w:eastAsia="Arial" w:hAnsi="Arial"/>
          <w:sz w:val="18"/>
          <w:szCs w:val="18"/>
          <w:color w:val="auto"/>
        </w:rPr>
      </w:pPr>
      <w:r>
        <w:rPr>
          <w:rFonts w:ascii="Arial" w:cs="Arial" w:eastAsia="Arial" w:hAnsi="Arial"/>
          <w:sz w:val="18"/>
          <w:szCs w:val="18"/>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(such proportion is referred to herein as “</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that can be sold without exceeding the Maximum Number of Securities;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758" w:val="left"/>
        </w:tabs>
        <w:numPr>
          <w:ilvl w:val="0"/>
          <w:numId w:val="440"/>
        </w:numPr>
        <w:rPr>
          <w:rFonts w:ascii="Arial" w:cs="Arial" w:eastAsia="Arial" w:hAnsi="Arial"/>
          <w:sz w:val="18"/>
          <w:szCs w:val="18"/>
          <w:color w:val="auto"/>
        </w:rPr>
      </w:pPr>
      <w:r>
        <w:rPr>
          <w:rFonts w:ascii="Arial" w:cs="Arial" w:eastAsia="Arial" w:hAnsi="Arial"/>
          <w:sz w:val="18"/>
          <w:szCs w:val="18"/>
          <w:color w:val="auto"/>
        </w:rPr>
        <w:t>second, to the extent that the Maximum Number of Securities has not been reached under the foregoing clause (a), the Registrable Securities of Holders (Pro Rata, based on the respective number of Registrable Securities held by each Holder) exercising their rights to register their Registrable Securities pursuant to subsection 2.3.1 hereof, without exceeding the Maximum Number of Securities;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699"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third, to the extent that the Maximum Number of Securities has not been reached under the foregoing </w:t>
      </w:r>
      <w:r>
        <w:rPr>
          <w:rFonts w:ascii="Arial" w:cs="Arial" w:eastAsia="Arial" w:hAnsi="Arial"/>
          <w:sz w:val="18"/>
          <w:szCs w:val="18"/>
          <w:u w:val="single" w:color="auto"/>
          <w:color w:val="auto"/>
        </w:rPr>
        <w:t>clauses (a) and (b),</w:t>
      </w:r>
      <w:r>
        <w:rPr>
          <w:rFonts w:ascii="Arial" w:cs="Arial" w:eastAsia="Arial" w:hAnsi="Arial"/>
          <w:sz w:val="18"/>
          <w:szCs w:val="18"/>
          <w:color w:val="auto"/>
        </w:rPr>
        <w:t xml:space="preserve"> the Class A Common Stock or other equity securities that the Company desires to sell for its own account, which can be sold without exceeding the Maximum Number of Securities; and</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714" w:val="left"/>
        </w:tabs>
        <w:numPr>
          <w:ilvl w:val="0"/>
          <w:numId w:val="440"/>
        </w:numPr>
        <w:rPr>
          <w:rFonts w:ascii="Arial" w:cs="Arial" w:eastAsia="Arial" w:hAnsi="Arial"/>
          <w:sz w:val="17"/>
          <w:szCs w:val="17"/>
          <w:color w:val="auto"/>
        </w:rPr>
      </w:pPr>
      <w:r>
        <w:rPr>
          <w:rFonts w:ascii="Arial" w:cs="Arial" w:eastAsia="Arial" w:hAnsi="Arial"/>
          <w:sz w:val="17"/>
          <w:szCs w:val="17"/>
          <w:color w:val="auto"/>
        </w:rPr>
        <w:t xml:space="preserve">fourth, to the extent that the Maximum Number of Securities has not been reached under the foregoing </w:t>
      </w:r>
      <w:r>
        <w:rPr>
          <w:rFonts w:ascii="Arial" w:cs="Arial" w:eastAsia="Arial" w:hAnsi="Arial"/>
          <w:sz w:val="17"/>
          <w:szCs w:val="17"/>
          <w:u w:val="single" w:color="auto"/>
          <w:color w:val="auto"/>
        </w:rPr>
        <w:t>clauses (a), (b) and (c),</w:t>
      </w:r>
      <w:r>
        <w:rPr>
          <w:rFonts w:ascii="Arial" w:cs="Arial" w:eastAsia="Arial" w:hAnsi="Arial"/>
          <w:sz w:val="17"/>
          <w:szCs w:val="17"/>
          <w:color w:val="auto"/>
        </w:rPr>
        <w:t xml:space="preserve"> the Class A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Demanding Holder or a Requesting Holder shall have the right to withdraw all or a portion of its Registrable Securities included in a Demand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or a Shelf Underwritten Offering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for any or no reason whatsoever upon written notification to the Company and the Underwriter or Underwriters (if any) of its intention to so withdraw (a) in the case of a Demand Registration not involving an Underwritten Offering, one (1) Business Day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A-151</w:t>
      </w:r>
    </w:p>
    <w:p>
      <w:pPr>
        <w:sectPr>
          <w:pgSz w:w="11900" w:h="16838" w:orient="portrait"/>
          <w:cols w:equalWidth="0" w:num="1">
            <w:col w:w="11240"/>
          </w:cols>
          <w:pgMar w:left="320" w:top="1440" w:right="339" w:bottom="1440" w:gutter="0" w:footer="0" w:header="0"/>
        </w:sectPr>
      </w:pPr>
    </w:p>
    <w:bookmarkStart w:id="586" w:name="page587"/>
    <w:bookmarkEnd w:id="586"/>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effectiveness 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the Company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7"/>
          <w:szCs w:val="17"/>
          <w:u w:val="single" w:color="auto"/>
          <w:color w:val="auto"/>
        </w:rPr>
        <w:t>subsection 2.2.5</w:t>
      </w:r>
      <w:r>
        <w:rPr>
          <w:rFonts w:ascii="Arial" w:cs="Arial" w:eastAsia="Arial" w:hAnsi="Arial"/>
          <w:sz w:val="17"/>
          <w:szCs w:val="17"/>
          <w:color w:val="auto"/>
        </w:rPr>
        <w:t xml:space="preserve"> shall be counted toward the aggregate number of Demand Registrations the Company is obligated to effect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unless (A)(1) the Demanding Holders reimburse the Company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the Company or the underwriters in connection with such Demand Registration, or (B) such withdrawal or revocation occurs following the issuance by the Company of a Suspension Notice. Notwithstanding anything to the contrary in this Agreement, the Company shall be responsible for the Registration Expenses incurred by it in connection with a Registration pursuant to a Demand Registration or a Shelf Underwritten Offering prior to its withdrawal under this subsection 2.2.5.</w:t>
      </w:r>
    </w:p>
    <w:p>
      <w:pPr>
        <w:spacing w:after="0" w:line="132"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Piggyback Registration.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other than a Registration Statement (a) filed in connection with any employee stock option or other benefit plan, (b) for an exchange offer or offering of securities solely to the Company’s existing stockholders, (c) for an offering solely of debt that is convertible into equity securities of the Company, (d) for a dividend reinvestment plan, (e) for any issuances of securities in connection with a transaction involving a merger, consolidation, sale, exchange, issuance, transfer, reorganization or other extraordinary transaction between the Company or any of its Affiliates and any third party, or (f) filed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then, subject to the MNPI Provisions, the Company shall give written notice of such proposed filing to all of the Holders of Registrable Securities (excluding the Sponsor with respect to any Registrable Securities distributed by the Sponsor to its members following the expiration of the Founder Shares Lock-up Period or the Private Placement Lock-up Period, as applicable) as soon as practicable but not less than twenty (20)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(iii)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 xml:space="preserve">”). The Company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to be included in a Piggyback Registration on the same terms and conditions as any similar securities of the Company or Company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shall enter into an underwriting agreement in customary form with the Underwriter(s) selected for such Underwritten Offering by the Company.</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Reduction of Piggyback Registration.</w:t>
      </w:r>
      <w:r>
        <w:rPr>
          <w:rFonts w:ascii="Arial" w:cs="Arial" w:eastAsia="Arial" w:hAnsi="Arial"/>
          <w:sz w:val="18"/>
          <w:szCs w:val="18"/>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in its opinion, the dollar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A-152</w:t>
      </w:r>
    </w:p>
    <w:p>
      <w:pPr>
        <w:sectPr>
          <w:pgSz w:w="11900" w:h="16838" w:orient="portrait"/>
          <w:cols w:equalWidth="0" w:num="1">
            <w:col w:w="11240"/>
          </w:cols>
          <w:pgMar w:left="320" w:top="1440" w:right="339" w:bottom="1440" w:gutter="0" w:footer="0" w:header="0"/>
        </w:sectPr>
      </w:pPr>
    </w:p>
    <w:bookmarkStart w:id="587" w:name="page588"/>
    <w:bookmarkEnd w:id="587"/>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number of the Class A Common Stock that the Company desires to sell, taken together with (a) the Class A Common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2.3 hereof, and (c) the Class A Common Stock, if any, as to which Registration has been requested pursuant to separate written contractual piggy-back registration rights of other stockholders of the Company, exceeds the Maximum Number of Securities, then:</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2.3.2.1 if the Registration is undertaken for the Company’s account, the Company shall include in any such Registration (a) first, the Class A Common Stock or other equity securities that the Company desires to sell, which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the Registrable Securities of Holders exercising their rights to register their Registrable Securities pursuant to </w:t>
      </w:r>
      <w:r>
        <w:rPr>
          <w:rFonts w:ascii="Arial" w:cs="Arial" w:eastAsia="Arial" w:hAnsi="Arial"/>
          <w:sz w:val="17"/>
          <w:szCs w:val="17"/>
          <w:u w:val="single" w:color="auto"/>
          <w:color w:val="auto"/>
        </w:rPr>
        <w:t>subsection 2.3.1</w:t>
      </w:r>
      <w:r>
        <w:rPr>
          <w:rFonts w:ascii="Arial" w:cs="Arial" w:eastAsia="Arial" w:hAnsi="Arial"/>
          <w:sz w:val="17"/>
          <w:szCs w:val="17"/>
          <w:color w:val="auto"/>
        </w:rPr>
        <w:t xml:space="preserve"> hereof, Pro Rata, which can be sold without exceeding the Maximum Number of Securities; and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the Class A Common Stock, if any, as to which Registration has been requested pursuant to written contractual piggy-back registration rights of other stockholders of the Company, which can be sold without exceeding the Maximum Number of Securities; and</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2.3.2.2 if the Registration is pursuant to a request by persons or entities other than the Holders of Registrable Securities, then the Company shall include in any such Registration (a) first, the Class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Holders exercising their rights to register their Registrable Securities pursuant to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hereof, Pro Rata, which can be sold without exceeding the Maximum Number of Securities; (c) third, to the extent that the Maximum Number of Securities has not been reached under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(b), the Class A Common Stock or other equity securities that the Company desires to sell for its own account, which can be sold without exceeding the Maximum Number of Securities; and (d) fourth, to the extent that the Maximum Number of Securities has not been reached under the foregoing clauses (a), (b) and (c), the Class A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5147945</wp:posOffset>
            </wp:positionH>
            <wp:positionV relativeFrom="paragraph">
              <wp:posOffset>-594995</wp:posOffset>
            </wp:positionV>
            <wp:extent cx="1701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Withdrawal. Any Holder of Registrable Securities shall have the right to withdraw all or any portion of its Registrable Securities in a Piggyback Registration for any or no reason whatsoever upon written notification to the Company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The Company (whether on its own good-faith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xml:space="preserve"> For purposes of clarity, any Registration effected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shall not be counted as a Registration pursuant to a Demand Registration effected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or a Shelf Underwritten Offering effected under </w:t>
      </w:r>
      <w:r>
        <w:rPr>
          <w:rFonts w:ascii="Arial" w:cs="Arial" w:eastAsia="Arial" w:hAnsi="Arial"/>
          <w:sz w:val="16"/>
          <w:szCs w:val="16"/>
          <w:u w:val="single" w:color="auto"/>
          <w:color w:val="auto"/>
        </w:rPr>
        <w:t>subsection 2.1.3</w:t>
      </w:r>
      <w:r>
        <w:rPr>
          <w:rFonts w:ascii="Arial" w:cs="Arial" w:eastAsia="Arial" w:hAnsi="Arial"/>
          <w:sz w:val="16"/>
          <w:szCs w:val="16"/>
          <w:color w:val="auto"/>
        </w:rPr>
        <w:t>.</w:t>
      </w:r>
    </w:p>
    <w:p>
      <w:pPr>
        <w:spacing w:after="0" w:line="70" w:lineRule="exact"/>
        <w:rPr>
          <w:sz w:val="20"/>
          <w:szCs w:val="20"/>
          <w:color w:val="auto"/>
        </w:rPr>
      </w:pPr>
    </w:p>
    <w:p>
      <w:pPr>
        <w:ind w:left="340"/>
        <w:spacing w:after="0"/>
        <w:tabs>
          <w:tab w:leader="none" w:pos="13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Block Trades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2.5.1 Notwithstanding any other provision of this Agreement, but subject to </w:t>
      </w:r>
      <w:r>
        <w:rPr>
          <w:rFonts w:ascii="Arial" w:cs="Arial" w:eastAsia="Arial" w:hAnsi="Arial"/>
          <w:sz w:val="18"/>
          <w:szCs w:val="18"/>
          <w:u w:val="single" w:color="auto"/>
          <w:color w:val="auto"/>
        </w:rPr>
        <w:t>Sections 2.4 and 3.4</w:t>
      </w:r>
      <w:r>
        <w:rPr>
          <w:rFonts w:ascii="Arial" w:cs="Arial" w:eastAsia="Arial" w:hAnsi="Arial"/>
          <w:sz w:val="18"/>
          <w:szCs w:val="18"/>
          <w:color w:val="auto"/>
        </w:rPr>
        <w:t>, if a Demanding Holder desires to effect a Block Trade with a total offering price reasonably expected to exceed, in the aggregate, either (x) the Minimum Amount or (y) all remaining Registrable Securities held by the Demanding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A-153</w:t>
      </w:r>
    </w:p>
    <w:p>
      <w:pPr>
        <w:sectPr>
          <w:pgSz w:w="11900" w:h="16838" w:orient="portrait"/>
          <w:cols w:equalWidth="0" w:num="1">
            <w:col w:w="11240"/>
          </w:cols>
          <w:pgMar w:left="320" w:top="1440" w:right="339" w:bottom="1440" w:gutter="0" w:footer="0" w:header="0"/>
        </w:sectPr>
      </w:pPr>
    </w:p>
    <w:bookmarkStart w:id="588" w:name="page589"/>
    <w:bookmarkEnd w:id="588"/>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Holder, then notwithstanding the time periods provided for in </w:t>
      </w:r>
      <w:r>
        <w:rPr>
          <w:rFonts w:ascii="Arial" w:cs="Arial" w:eastAsia="Arial" w:hAnsi="Arial"/>
          <w:sz w:val="17"/>
          <w:szCs w:val="17"/>
          <w:u w:val="single" w:color="auto"/>
          <w:color w:val="auto"/>
        </w:rPr>
        <w:t>subsection 2.1.4</w:t>
      </w:r>
      <w:r>
        <w:rPr>
          <w:rFonts w:ascii="Arial" w:cs="Arial" w:eastAsia="Arial" w:hAnsi="Arial"/>
          <w:sz w:val="17"/>
          <w:szCs w:val="17"/>
          <w:color w:val="auto"/>
        </w:rPr>
        <w:t xml:space="preserve">, such Demanding Holder shall notify the Company of the Block Trade at least five (5) Business Days prior to the day such offering is to commence and the Company shall as expeditiously as possible use its commercially reasonable efforts to facilitate such Block Trade;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Demanding Holders wishing to engage in the Block Trade shall use commercially reasonable efforts to work with the Company and any Underwriters or placement agents or sales agents prior to making such request in order to facilitate preparation of the registration statement, prospectus and other offering documentation related to the Block Trade.</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2.5.2 Prior to the filing of the applicable “red herring” prospectus or prospectus supplement used in connection with a Block Trade, any Demanding Holders shall have the right to submit a Withdrawal Notice to the Company and the Underwriter or Underwriters or placement agents or sales agents (if any) of their intention to withdraw from such Block Trade.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Market Stand-Off.</w:t>
      </w:r>
      <w:r>
        <w:rPr>
          <w:rFonts w:ascii="Arial" w:cs="Arial" w:eastAsia="Arial" w:hAnsi="Arial"/>
          <w:sz w:val="17"/>
          <w:szCs w:val="17"/>
          <w:color w:val="auto"/>
        </w:rPr>
        <w:t xml:space="preserve"> In connection with any Underwritten Offering of equity securities of the Company (other than a Block Trade), each Holder participating in the Underwritten Offering pursuant to the terms of this Agreement agrees that it shall not Transfer any shares of Class A Common Stock or other equity securities of the Company (other than those included in such offering pursuant to this Agreement), without the prior written consent of the Company, during the 90-day period beginning on the date of pricing of such offering or such shorter period during which the Company agrees not to conduct an underwritten primary offering of Class A Common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PROCEDURES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Procedures</w:t>
      </w:r>
      <w:r>
        <w:rPr>
          <w:rFonts w:ascii="Arial" w:cs="Arial" w:eastAsia="Arial" w:hAnsi="Arial"/>
          <w:sz w:val="18"/>
          <w:szCs w:val="18"/>
          <w:color w:val="auto"/>
        </w:rPr>
        <w:t>. If the Company is required to effect the Registration of Registrable Securities, the Company shall use its commercially reasonable efforts to effect such Registration to permit the sale of such Registrable Securities in accordance with the intended plan of distribution thereof. When effective, the Registration Statements filed pursuant to this Agreement (including the documents incorporated therein by reference) will comply as to form in all material respects with all applicable requirements of the Securities Act and the Exchange Act and will not contain a Misstatement. In connection with effecting a Registration of Registrable Securities pursuant to this Agreement, the Company shall, as expeditiously as possible: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except as otherwise set forth herein, use its commercially reasonable efforts to cause such Registration Statement to become effective and remain effective until all Registrable Securities covered by such Registration Statement have been sold;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A-154</w:t>
      </w:r>
    </w:p>
    <w:p>
      <w:pPr>
        <w:sectPr>
          <w:pgSz w:w="11900" w:h="16838" w:orient="portrait"/>
          <w:cols w:equalWidth="0" w:num="1">
            <w:col w:w="11240"/>
          </w:cols>
          <w:pgMar w:left="320" w:top="1440" w:right="339" w:bottom="1440" w:gutter="0" w:footer="0" w:header="0"/>
        </w:sectPr>
      </w:pPr>
    </w:p>
    <w:bookmarkStart w:id="589" w:name="page590"/>
    <w:bookmarkEnd w:id="589"/>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Registrable Securities owned by such Holders, and no document shall be filed with the Commission to which any Holder or its counsel reasonably objects in good faith;</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3.1.4 prior to any public offering of Registrable Securities, but in any case no later than the effective date of the applicable Registration Statement, use its commercially reasonable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(b) take such action necessary to cause such Registrable Securities covered by the Registration Statement to be registered with or approved by such other governmental authorities or securities exchanges, including the applicable Nasdaq Stock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xml:space="preserve">”), as may be necessary by virtue of the business and operations of the Company or otherwise and do any and all other acts and things that may be necessary or advisable, in each case,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 no later than the effective date of such Registration Statement;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3.1.7 advise each seller of such Registrable Securities, promptly after it shall receive notice or obtain knowledge thereof, of (i) subject to the MNPI Provisions, any request by the Commission that the Company amend or supplement such Registration Statement or Prospectus or (ii) the issuance of any stop order by the Commission suspending the effectiveness of such Registration Statement or Prospectus or the initiation or threatening of any proceeding for such purpose and promptly use its commercially reasonable efforts to amend or supplement such Registration Statement or Prospectus or prevent the issuance of any stop order or to obtain its withdrawal if such stop order should be issued, as applicable;</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3.1.8 at least five (5) Business Days (or, in the case of a Block Trade, at least one (1) day)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3.1.9 notify the Holders promptly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correct such Misstatement or include such information as is necessary to comply with law, in each case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3.1.10 permit a representative of a majority-in-interest of the New Holders, the Underwriters, if any, and any attorney or accountant retained by such Holders or Underwriter to participate, at each such person’s own expense, in the preparation of any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requested by the Company, such representatives or Underwriters shall be required to enter into a confidentiality agreement, in form and substance reasonably satisfactory to the Company, prior to the release or disclosure of any such information;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3.1.11 obtain a “cold comfort” letter (including a bring-down letter dated as of the date the Registrable Securities are delivered for sale pursuant to such Registration) from the Company’s independent registered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A-155</w:t>
      </w:r>
    </w:p>
    <w:p>
      <w:pPr>
        <w:sectPr>
          <w:pgSz w:w="11900" w:h="16838" w:orient="portrait"/>
          <w:cols w:equalWidth="0" w:num="1">
            <w:col w:w="11240"/>
          </w:cols>
          <w:pgMar w:left="320" w:top="1440" w:right="339" w:bottom="1440" w:gutter="0" w:footer="0" w:header="0"/>
        </w:sectPr>
      </w:pPr>
    </w:p>
    <w:bookmarkStart w:id="590" w:name="page591"/>
    <w:bookmarkEnd w:id="59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and negative assurance letter,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3.1.14 otherwise use its commercially reasonable efforts to comply with all applicable rules and regulations of the Commission, and to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the rules and regulations thereunder, including Rule 158 thereunder (or any successor rule promulgated thereafter by the Commission);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a majority-in-interest of the participating Holders or the Underwriter in any Underwritten Offering;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3.1.16 if applicable, promptly effect a filing with FINRA pursuant to FINRA Rule 5110 (or successor thereto) with respect to the public offering contemplated by resales of securities under the Initial Shelf (an “</w:t>
      </w:r>
      <w:r>
        <w:rPr>
          <w:rFonts w:ascii="Arial" w:cs="Arial" w:eastAsia="Arial" w:hAnsi="Arial"/>
          <w:sz w:val="18"/>
          <w:szCs w:val="18"/>
          <w:b w:val="1"/>
          <w:bCs w:val="1"/>
          <w:i w:val="1"/>
          <w:iCs w:val="1"/>
          <w:color w:val="auto"/>
        </w:rPr>
        <w:t>Issuer Filing</w:t>
      </w:r>
      <w:r>
        <w:rPr>
          <w:rFonts w:ascii="Arial" w:cs="Arial" w:eastAsia="Arial" w:hAnsi="Arial"/>
          <w:sz w:val="18"/>
          <w:szCs w:val="18"/>
          <w:color w:val="auto"/>
        </w:rPr>
        <w:t>”), pay the filing fee required by such Issuer Filing and use its commercially reasonable efforts to complete the Issuer Filing until FINRA issues a letter confirming that it does not object to the terms of the offering contemplated by the Initial Shelf.</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3.1.17 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w:t>
      </w:r>
      <w:r>
        <w:rPr>
          <w:rFonts w:ascii="Arial" w:cs="Arial" w:eastAsia="Arial" w:hAnsi="Arial"/>
          <w:sz w:val="17"/>
          <w:szCs w:val="17"/>
          <w:b w:val="1"/>
          <w:bCs w:val="1"/>
          <w:i w:val="1"/>
          <w:iCs w:val="1"/>
          <w:color w:val="auto"/>
        </w:rPr>
        <w:t>DWAC</w:t>
      </w:r>
      <w:r>
        <w:rPr>
          <w:rFonts w:ascii="Arial" w:cs="Arial" w:eastAsia="Arial" w:hAnsi="Arial"/>
          <w:sz w:val="17"/>
          <w:szCs w:val="17"/>
          <w:color w:val="auto"/>
        </w:rPr>
        <w:t>”) system, in any such case as such Holder or Underwriter, if any, may reasonably request;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3.1.18 for so long as this Agreement remains effective, use reasonable best effects to (a) cause the Class A Common Stock to be eligible for clearing through DTC, through its DWAC system; (b) be eligible and participating in the Direct Registration System (DRS) of DTC with respect to the Class A Common Stock; and (c) ensure that the transfer agent for the Class A Common Stock is a participant in, and that the Class A Common Stock is eligible for transfer pursuant to, DTC’s Fast Automated Securities Transfer Program (or successor thereto); and</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3.1.19 otherwise, in good faith, cooperate reasonably with, and take such customary actions as may reasonably be requested by the Holders in connection with such Registration.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Except as otherwise provided herein, the Registration Expenses of all Registrations shall be borne by the Company. It is acknowledged by the Holders that the Holders shall bear all incremental selling expenses relating to the sale of Registrable Securities, such as Underwriters’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A-156</w:t>
      </w:r>
    </w:p>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discounts, brokerage fees and, other than as set forth in the definition of “Registration Expenses,” all reasonable fees and expenses of any legal counsel representing the Holders except as otherwise provided herein.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 xml:space="preserve">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34"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Suspension of Sales; Adverse Disclosure. If (a) during the period starting with the date sixty (60) days prior to the Company’s good-faith estimate of the date of the filing of, and ending on a date one hundred and twenty (120) days after the effective date of, a Registration Statement in respect of a Company initiated underwritten Registration the Company receives a Demand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and it continues to actively employ, in good faith, all reasonable efforts to cause the applicable Company-initiated Registration Statement to become effective, (b) the Holders have requested an Underwritten Registration and the Company and the Holders are unable to obtain the commitment of the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good-faith judgment of the Board it would be seriously detrimental to the Company for a Registration Statement with respect to such Demand Registration to be filed in the near future and that it is therefore essential to defer the filing of such Registration Statement, the Company shall have the right to defer such filing for a period of not more than sixty (60) days. For the avoidance of doubt, the foregoing ability to defer the filing of a Registration Statement shall not apply to the Company’s obligation to file the Initial Shelf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Upon receipt of written notice from the Company that a Registration Statement or Prospectus contains a Misstatement, or in the opinion of counsel for the Company it is necessary to supplement or amend such Prospectus to comply with law, each of the Holders shall forthwith discontinue disposition of Registrable Securities until it has received copies of a supplemented or amended Prospectus correcting the Misstatement or including the information counsel for the Company instructs is necessary to comply with law (it being understood that the Company hereby covenants to prepare and file such supplement or amendment as soon as practicable after the time of such notice such that the Registration Statement or Prospectus, as so amended or supplemented, as applicable, will not include a Misstatement and complies with law), or until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(a “</w:t>
      </w:r>
      <w:r>
        <w:rPr>
          <w:rFonts w:ascii="Arial" w:cs="Arial" w:eastAsia="Arial" w:hAnsi="Arial"/>
          <w:sz w:val="16"/>
          <w:szCs w:val="16"/>
          <w:b w:val="1"/>
          <w:bCs w:val="1"/>
          <w:i w:val="1"/>
          <w:iCs w:val="1"/>
          <w:color w:val="auto"/>
        </w:rPr>
        <w:t>Suspension Event</w:t>
      </w:r>
      <w:r>
        <w:rPr>
          <w:rFonts w:ascii="Arial" w:cs="Arial" w:eastAsia="Arial" w:hAnsi="Arial"/>
          <w:sz w:val="16"/>
          <w:szCs w:val="16"/>
          <w:color w:val="auto"/>
        </w:rPr>
        <w:t>”), the Company may, subject to the MNPI Provisions, upon giving prompt written notice of such action to the Holders (a “</w:t>
      </w:r>
      <w:r>
        <w:rPr>
          <w:rFonts w:ascii="Arial" w:cs="Arial" w:eastAsia="Arial" w:hAnsi="Arial"/>
          <w:sz w:val="16"/>
          <w:szCs w:val="16"/>
          <w:b w:val="1"/>
          <w:bCs w:val="1"/>
          <w:i w:val="1"/>
          <w:iCs w:val="1"/>
          <w:color w:val="auto"/>
        </w:rPr>
        <w:t>Suspension Notice</w:t>
      </w:r>
      <w:r>
        <w:rPr>
          <w:rFonts w:ascii="Arial" w:cs="Arial" w:eastAsia="Arial" w:hAnsi="Arial"/>
          <w:sz w:val="16"/>
          <w:szCs w:val="16"/>
          <w:color w:val="auto"/>
        </w:rPr>
        <w:t xml:space="preserve">”), no later than three (3) Business Days from the date of such Suspension Event, delay the filing or initial effectiveness of, or suspend use of, such Registration Statement for the shortest period of time required to resolve such issue, but in no event more than forty-five (45) consecutive days, determined in good faith by the Board to be necessary for such purpose;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defer its obligations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more than twice during any twelve (12)-month period; provided further, that in no event shall the Company be entitled to delay or defer the filing or effectiveness of the Initial Shelf pursuant to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In the event the Company exercises its rights under the preceding sentence, the Holders agree to suspend, immediately upon their receipt of the Suspension Notice, their use of the Prospectus relating to any Registration in connection with any sale or offer to sell Registrable Securities; provided, for the avoidance of doubt, that the foregoing shall not restrict or otherwise affect the consummation of any sale pursuant to a contract entered into, or order placed, by any Holder prior to delivery of the Suspension Notice. The Company shall immediately notify the Holders of the expiration of any period during which it exercised its rights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The Holders agree that, except as required by applicable law, the Holders shall treat as confidential the receipt of a Suspension Notice from the Company under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(provided that in no event shall such notice disclose the basis for suspension or contain any material nonpublic information) and shall not disclose the information contained in such written notice without the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A-157</w:t>
      </w:r>
    </w:p>
    <w:p>
      <w:pPr>
        <w:sectPr>
          <w:pgSz w:w="11900" w:h="16838" w:orient="portrait"/>
          <w:cols w:equalWidth="0" w:num="1">
            <w:col w:w="11240"/>
          </w:cols>
          <w:pgMar w:left="320" w:top="1440" w:right="339" w:bottom="1440" w:gutter="0" w:footer="0" w:header="0"/>
        </w:sectPr>
      </w:pPr>
    </w:p>
    <w:bookmarkStart w:id="592" w:name="page593"/>
    <w:bookmarkEnd w:id="592"/>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Company until such time as the information contained therein is or becomes public, other than as a result of disclosure by a holder of Registrable Securities in breach of the terms of this Agreement.</w:t>
      </w:r>
    </w:p>
    <w:p>
      <w:pPr>
        <w:spacing w:after="0" w:line="116"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Covenants of the Company.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3.5.1 The Company will use its commercially reasonable efforts to make and keep public information available, as those terms are understood and defined in Rule 144. Without limiting the foregoing, as long as any Holder shall own Registrable Securities (without taking into account the exclusion of the definition of such term contained in clause (iv) thereof), the Company, at all times while it shall be a reporting company under the Exchange Act, covenants to file timely all reports required to be filed by the Company after the date hereof pursuant to Sections 13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Class A Common Stock held by such Holder without registration under the Securities Act within the limitation of the exemptions provided by Rule 144 promulgated under the Securities Act (or any successor rule promulgated thereafter by the Commission), including providing any legal opinions.</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3.5.2 Other than with respect to any contractual restriction applicable to any Holder, the stock certificates evidencing the Registrable Securities (without taking into account the exclusion of the definition of such term contained in clause (iv) thereof)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will sell,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Holder (collectively, the “</w:t>
      </w:r>
      <w:r>
        <w:rPr>
          <w:rFonts w:ascii="Arial" w:cs="Arial" w:eastAsia="Arial" w:hAnsi="Arial"/>
          <w:sz w:val="17"/>
          <w:szCs w:val="17"/>
          <w:b w:val="1"/>
          <w:bCs w:val="1"/>
          <w:i w:val="1"/>
          <w:iCs w:val="1"/>
          <w:color w:val="auto"/>
        </w:rPr>
        <w:t>Unrestricted Conditions</w:t>
      </w:r>
      <w:r>
        <w:rPr>
          <w:rFonts w:ascii="Arial" w:cs="Arial" w:eastAsia="Arial" w:hAnsi="Arial"/>
          <w:sz w:val="17"/>
          <w:szCs w:val="17"/>
          <w:color w:val="auto"/>
        </w:rPr>
        <w:t>”). The Company agrees that at such time as any of the Unrestricted Conditions is met or such legend is otherwise no longer required it will, no later than two (2) Business Days following the delivery by a Holder to the Company or the Company’s transfer agent of a certificate representing any Registrable Securities, issued with a restrictive legend, (or, in the case of Registrable Securities represented by book entries, delivery by a Holder to the Company or the Company’s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3.5.3 Notwithstanding anything in this Agreement to the contrary, the Company will not provide any material, nonpublic information to any Holder without the prior written consent of such Holder, and in the event that the Company believes that a notice or communication required by this Agreement to be delivered to any Holder contains material, nonpublic information relating to the Company, its securities, any of its Affiliates or any other Person, the Company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subsection 3.5.3.</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3.5.4 Notwithstanding the foregoing, to the extent the Company reasonably and in good faith determines that it is necessary to disclose material non-public information to a Holder in order to comply with its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A-158</w:t>
      </w:r>
    </w:p>
    <w:p>
      <w:pPr>
        <w:sectPr>
          <w:pgSz w:w="11900" w:h="16838" w:orient="portrait"/>
          <w:cols w:equalWidth="0" w:num="1">
            <w:col w:w="11240"/>
          </w:cols>
          <w:pgMar w:left="320" w:top="1440" w:right="339" w:bottom="1440" w:gutter="0" w:footer="0" w:header="0"/>
        </w:sectPr>
      </w:pPr>
    </w:p>
    <w:bookmarkStart w:id="593" w:name="page594"/>
    <w:bookmarkEnd w:id="593"/>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hereunder (a “</w:t>
      </w:r>
      <w:r>
        <w:rPr>
          <w:rFonts w:ascii="Arial" w:cs="Arial" w:eastAsia="Arial" w:hAnsi="Arial"/>
          <w:sz w:val="18"/>
          <w:szCs w:val="18"/>
          <w:b w:val="1"/>
          <w:bCs w:val="1"/>
          <w:i w:val="1"/>
          <w:iCs w:val="1"/>
          <w:color w:val="auto"/>
        </w:rPr>
        <w:t>Necessary Disclosure</w:t>
      </w:r>
      <w:r>
        <w:rPr>
          <w:rFonts w:ascii="Arial" w:cs="Arial" w:eastAsia="Arial" w:hAnsi="Arial"/>
          <w:sz w:val="18"/>
          <w:szCs w:val="18"/>
          <w:color w:val="auto"/>
        </w:rPr>
        <w:t>”), the Company shall inform counsel to such Holder to the extent such counsel has been identified in writing to the Company in advance of such determination without disclosing the applicable material non-public information, and the Company and such counsel on behalf of the applicable Holder shall endeavor to agree upon a process for making such Necessary Disclosure to the applicable Holder or its representatives that is mutually acceptable to such Holder and the Company (an “</w:t>
      </w:r>
      <w:r>
        <w:rPr>
          <w:rFonts w:ascii="Arial" w:cs="Arial" w:eastAsia="Arial" w:hAnsi="Arial"/>
          <w:sz w:val="18"/>
          <w:szCs w:val="18"/>
          <w:b w:val="1"/>
          <w:bCs w:val="1"/>
          <w:i w:val="1"/>
          <w:iCs w:val="1"/>
          <w:color w:val="auto"/>
        </w:rPr>
        <w:t>Agreed Disclosure Process</w:t>
      </w:r>
      <w:r>
        <w:rPr>
          <w:rFonts w:ascii="Arial" w:cs="Arial" w:eastAsia="Arial" w:hAnsi="Arial"/>
          <w:sz w:val="18"/>
          <w:szCs w:val="18"/>
          <w:color w:val="auto"/>
        </w:rPr>
        <w:t>”). Thereafter, the Company shall be permitted to make such Necessary Disclosure (only) in accordance with the Agreed Disclosure Process.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The Holders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Article II and in connection with the Company’s obligation to comply with federal and applicable state securities laws.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75"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u w:val="single" w:color="auto"/>
          <w:color w:val="auto"/>
        </w:rPr>
        <w:t>Indemnification.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4.1.1 The Company agrees to indemnify, defend and hold harmless, to the fullest extent permitted by law, each Holder of Registrable Securities, each Person who controls such Holder (within the meaning of the Securities Act) and each Holder’s and control Person’s officers, directors, members, partners, and managers against all losses, claims, actions, damages, liabilities and expenses (including, without limitation, reasonable attorneys’ fees) resulting from any Misstatement or alleged Misstatement, except insofar as the same are contained in any information furnished in writing to the Company by such Holder expressly for use in a Registration Statement or Prospectus. The Company shall indemnify the Underwriters, their officers and directors and agents and each Person who controls such Underwriters (within the meaning of the Securities Act) to the same extent as provided in the foregoing with respect to the indemnification of the Holder.</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4.1.2 In connection with any Registration Statement in which a Holder of Registrable Securities is participating, such Holder shall furnish to the Company in writing such information relating to such Holder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Misstatement or alleged Misstatement, but only to the extent that such Misstatement or alleged Misstatement is contained in any information so furnished in writing by such Holder expressly for use in such Registration Statement or Prospectus; provided, however,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in such offering giving rise to such liability.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A-159</w:t>
      </w:r>
    </w:p>
    <w:p>
      <w:pPr>
        <w:sectPr>
          <w:pgSz w:w="11900" w:h="16838" w:orient="portrait"/>
          <w:cols w:equalWidth="0" w:num="1">
            <w:col w:w="11240"/>
          </w:cols>
          <w:pgMar w:left="320" w:top="1440" w:right="339" w:bottom="1440" w:gutter="0" w:footer="0" w:header="0"/>
        </w:sectPr>
      </w:pPr>
    </w:p>
    <w:bookmarkStart w:id="594" w:name="page595"/>
    <w:bookmarkEnd w:id="594"/>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4.1.4 The indemnification and contribution provided for under this Agreement shall remain in full force and effect regardless of any investigation made by or on behalf of the indemnified party or any officer, director, manager, or controlling Person of such indemnified party and shall survive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Misstatement or alleged Misstatement, was made by, or relates to information supplied by,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(3rd) Business Day following the date on which it is mailed and, in the case of notices delivered by courier service, hand delivery, electronic mail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no “bounce back” or notice of non-delivery is received) or facsimile, at such time as it is delivered to the addressee (except in the case of electronic mail, with the delivery receipt) or at such time as delivery is refused by the addressee upon presentation. Any notice or communication under this Agreement must be addressed, if to the Company, to: 333 Ludlow Street, Stamford, CT 06902,and, if to any Holder, at such Holder’s address or contact information as set forth in the Company’s books and records. Any party may change its address for notice at any time and from time to time by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A-160</w:t>
      </w:r>
    </w:p>
    <w:p>
      <w:pPr>
        <w:sectPr>
          <w:pgSz w:w="11900" w:h="16838" w:orient="portrait"/>
          <w:cols w:equalWidth="0" w:num="1">
            <w:col w:w="11240"/>
          </w:cols>
          <w:pgMar w:left="320" w:top="1440" w:right="339" w:bottom="1440" w:gutter="0" w:footer="0" w:header="0"/>
        </w:sectPr>
      </w:pPr>
    </w:p>
    <w:bookmarkStart w:id="595" w:name="page596"/>
    <w:bookmarkEnd w:id="59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parties hereto, and such change of address shall become effective after delivery of such notice as provided in this </w:t>
      </w:r>
      <w:r>
        <w:rPr>
          <w:rFonts w:ascii="Arial" w:cs="Arial" w:eastAsia="Arial" w:hAnsi="Arial"/>
          <w:sz w:val="18"/>
          <w:szCs w:val="18"/>
          <w:u w:val="single" w:color="auto"/>
          <w:color w:val="auto"/>
        </w:rPr>
        <w:t>Section 5.1.</w:t>
      </w:r>
    </w:p>
    <w:p>
      <w:pPr>
        <w:spacing w:after="0" w:line="171"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5.2.1 This Agreement and the rights, duties and obligations of the Company and the Holders hereunder may not be assigned or delegated by the Company or the Holders, as the case may be, in whole or in part.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Existing Holder who is subject to either or both the Founder Shares Lock-up Period or the Private Placement Lock-up Period may assign or delegate such Existing Holder’s rights, duties or obligations under this Agreement, in whole or in part, except in connection with a transfer of Registrable Securities by such Holder to a Permitted Transferee, to an Affiliate or as otherwise permitted pursuant to the terms of the Founder Shares Lock-up Period, the Private Placement Lock-up Period or other lock-up period, as applicable.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applicable Holders, which shall include Permitted Transferees.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5.2.5 No assignment (including to a Permitted Transferee)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(including facsimile, PDF counterparts or other electronic transmission), each of which shall be deemed an original, and all of which together shall constitute the same instrument, but only one of which need be produced.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THAT WOULD REQUIRE THE APPLICATION OF THE LAWS OF ANOTHER JURISDICTION AND (II) THE VENUE FOR ANY ACTION TAKEN WITH RESPECT TO THIS AGREEMENT SHALL BE ANY STATE OR FEDERAL COURT IN NEW YORK COUNTY IN THE STATE OF NEW YORK.</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xml:space="preserve">. Upon the written consent of the Company and the Holders of at least a majority-in-interest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any amendment hereto or waiver hereof that adversely affects either the Existing Holders as a group or the New Holders as a group, respectively, in a manner that is materially adversely different from the Existing Holders or New Holders, as applicable, shall require the consent of at least a majority-in-interest of the Registrable Securities held by such Existing Holders or New Holders, as applicable, at the time in question;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provided, further, that notwithstanding the foregoing, any amendment to Section 2.6 that affects a party hereto shall require the written consent of such party. No course of dealing between any Holder or the Company and any other party hereto or any failure or delay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A-161</w:t>
      </w:r>
    </w:p>
    <w:p>
      <w:pPr>
        <w:sectPr>
          <w:pgSz w:w="11900" w:h="16838" w:orient="portrait"/>
          <w:cols w:equalWidth="0" w:num="1">
            <w:col w:w="11240"/>
          </w:cols>
          <w:pgMar w:left="320" w:top="1440" w:right="339" w:bottom="1440" w:gutter="0" w:footer="0" w:header="0"/>
        </w:sectPr>
      </w:pPr>
    </w:p>
    <w:bookmarkStart w:id="596" w:name="page597"/>
    <w:bookmarkEnd w:id="596"/>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Other than pursuant to the terms of the Subscription Agreements in connection with the PIPE Investment,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The Company represents, warrants and agrees that this Agreement supersedes any other registration rights agreement or agreement with similar terms and conditions among the parties thereto, and in the event of a conflict between any such agreement or agreements and this Agreement, the terms of this Agreement shall prevail. To the extent the Company grants any Person(s) the right to request the Company or any of its subsidiaries to register any equity securities of the Company or any of its subsidiaries or any securities convertible or exchangeable into or exercisable for such securities, the Company shall grant piggyback registration rights to the New Holders in connection therewith.</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terminate upon the earlier of (a) the tenth anniversary of the date of this Agreement, (b) the date as of which all of the Registrable Securities have been sold pursuant to a Registration Statement (but in no event prior to the applicable period referred to in Section 4(a)(3) of the Securities Act and Rule 174 thereunder (or any successor rule promulgated thereafter by the Commission)) or (c) with respect to a particular Holder, the date as of which all Registrable Securities held by such Holder have been sold (x) pursuant to a Registration Statement (but in no event prior to the applicable period referred to in Section 4(a)(3) of the Securities Act and Rule 174 thereunder (or any successor rule promulgated thereafter by the Commission)) or (y) under Rule 144 or another exemption from registration under the Securities Act.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Section 5.8 </w:t>
      </w:r>
      <w:r>
        <w:rPr>
          <w:rFonts w:ascii="Arial" w:cs="Arial" w:eastAsia="Arial" w:hAnsi="Arial"/>
          <w:sz w:val="17"/>
          <w:szCs w:val="17"/>
          <w:u w:val="single" w:color="auto"/>
          <w:color w:val="auto"/>
        </w:rPr>
        <w:t>Rules of Construction</w:t>
      </w:r>
      <w:r>
        <w:rPr>
          <w:rFonts w:ascii="Arial" w:cs="Arial" w:eastAsia="Arial" w:hAnsi="Arial"/>
          <w:sz w:val="17"/>
          <w:szCs w:val="17"/>
          <w:color w:val="auto"/>
        </w:rPr>
        <w:t>. Any provision of this Agreement that refers to the words “include,” “includes” or “including” shall be deemed to be followed by the words “without limitation.” References to numbered or letter articles, sections and subsections refer to articles, sections and subsections, respectively, of this Agreement unless expressly stated otherwise. All references to this Agreement include, whether or not expressly referenced, the exhibits and schedules attached hereto. References to a Section, paragraph, Exhibit or Schedule, such reference shall be to a Section or paragraph of, or Exhibit or Schedule to, this Agreement unless otherwise indicated. The words “hereof,” “herein” and “hereunder” and words of similar import when used in this Agreement shall refer to this Agreement as a whole and not to any particular provision of this Agreement. The word “or” when used in this Agreement is not exclusive. The definitions contained in this Agreement are applicable to the singular as well as the plural forms of such terms and to the masculine as well as to the feminine and neuter genders of such term. Any agreement, instrument, law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includes references to all attachments thereto and instruments incorporated therein unless otherwise indicated. References to a Person are also to its permitted successors and assigns. In the event that any claim is made by any Person relating to any conflict, omission or ambiguity in this Agreement, no presumption or burden of proof or persuasion shall be implied by virtue of the fact that this Agreement was prepared by or at the request of a particular Person or its counsel.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A-162</w:t>
      </w:r>
    </w:p>
    <w:p>
      <w:pPr>
        <w:sectPr>
          <w:pgSz w:w="11900" w:h="16838" w:orient="portrait"/>
          <w:cols w:equalWidth="0" w:num="1">
            <w:col w:w="11240"/>
          </w:cols>
          <w:pgMar w:left="320" w:top="1440" w:right="339" w:bottom="1440" w:gutter="0" w:footer="0" w:header="0"/>
        </w:sectPr>
      </w:pPr>
    </w:p>
    <w:bookmarkStart w:id="597" w:name="page598"/>
    <w:bookmarkEnd w:id="597"/>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2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COMPANY:</w:t>
      </w:r>
    </w:p>
    <w:p>
      <w:pPr>
        <w:spacing w:after="0" w:line="29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CM LIFE SCIENCES, INC., a Delaware corporation</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EXISTING HOLDERS:</w:t>
      </w:r>
    </w:p>
    <w:p>
      <w:pPr>
        <w:spacing w:after="0" w:line="29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CMLS HOLDINGS LLC, a Delaware limited liability company</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14605</wp:posOffset>
            </wp:positionV>
            <wp:extent cx="3300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8653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Munib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6772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340360</wp:posOffset>
            </wp:positionV>
            <wp:extent cx="3986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8653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Name: Nat Turner</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Signature Page to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A-163</w:t>
      </w:r>
    </w:p>
    <w:p>
      <w:pPr>
        <w:sectPr>
          <w:pgSz w:w="11900" w:h="16838" w:orient="portrait"/>
          <w:cols w:equalWidth="0" w:num="1">
            <w:col w:w="9799"/>
          </w:cols>
          <w:pgMar w:left="660" w:top="1440" w:right="1440" w:bottom="1440" w:gutter="0" w:footer="0" w:header="0"/>
        </w:sectPr>
      </w:pPr>
    </w:p>
    <w:bookmarkStart w:id="598" w:name="page599"/>
    <w:bookmarkEnd w:id="598"/>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caused this Agreement to be executed as of the date first written above.</w:t>
      </w:r>
    </w:p>
    <w:p>
      <w:pPr>
        <w:spacing w:after="0" w:line="19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[NEW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A-164</w:t>
      </w:r>
    </w:p>
    <w:p>
      <w:pPr>
        <w:sectPr>
          <w:pgSz w:w="11900" w:h="16838" w:orient="portrait"/>
          <w:cols w:equalWidth="0" w:num="1">
            <w:col w:w="9799"/>
          </w:cols>
          <w:pgMar w:left="660" w:top="1440" w:right="1440" w:bottom="1440" w:gutter="0" w:footer="0" w:header="0"/>
        </w:sectPr>
      </w:pPr>
    </w:p>
    <w:bookmarkStart w:id="599" w:name="page600"/>
    <w:bookmarkEnd w:id="599"/>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71"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This Amendment (this “</w:t>
      </w:r>
      <w:r>
        <w:rPr>
          <w:rFonts w:ascii="Arial" w:cs="Arial" w:eastAsia="Arial" w:hAnsi="Arial"/>
          <w:sz w:val="17"/>
          <w:szCs w:val="17"/>
          <w:b w:val="1"/>
          <w:bCs w:val="1"/>
          <w:color w:val="auto"/>
        </w:rPr>
        <w:t>Amendment</w:t>
      </w:r>
      <w:r>
        <w:rPr>
          <w:rFonts w:ascii="Arial" w:cs="Arial" w:eastAsia="Arial" w:hAnsi="Arial"/>
          <w:sz w:val="17"/>
          <w:szCs w:val="17"/>
          <w:color w:val="auto"/>
        </w:rPr>
        <w:t>”) is made as of May 3, 2021 and amends that certain Agreement and Plan of Merger (the “</w:t>
      </w:r>
      <w:r>
        <w:rPr>
          <w:rFonts w:ascii="Arial" w:cs="Arial" w:eastAsia="Arial" w:hAnsi="Arial"/>
          <w:sz w:val="17"/>
          <w:szCs w:val="17"/>
          <w:b w:val="1"/>
          <w:bCs w:val="1"/>
          <w:color w:val="auto"/>
        </w:rPr>
        <w:t>Agreement</w:t>
      </w:r>
      <w:r>
        <w:rPr>
          <w:rFonts w:ascii="Arial" w:cs="Arial" w:eastAsia="Arial" w:hAnsi="Arial"/>
          <w:sz w:val="17"/>
          <w:szCs w:val="17"/>
          <w:color w:val="auto"/>
        </w:rPr>
        <w:t>”), dated February 9, 2021, by and among CM Life Sciences,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S-IV Sub, Inc., a Delaware corporation and a direct, wholly-owned subsidiary of Parent (“</w:t>
      </w:r>
      <w:r>
        <w:rPr>
          <w:rFonts w:ascii="Arial" w:cs="Arial" w:eastAsia="Arial" w:hAnsi="Arial"/>
          <w:sz w:val="17"/>
          <w:szCs w:val="17"/>
          <w:b w:val="1"/>
          <w:bCs w:val="1"/>
          <w:color w:val="auto"/>
        </w:rPr>
        <w:t>Merger Sub</w:t>
      </w:r>
      <w:r>
        <w:rPr>
          <w:rFonts w:ascii="Arial" w:cs="Arial" w:eastAsia="Arial" w:hAnsi="Arial"/>
          <w:sz w:val="17"/>
          <w:szCs w:val="17"/>
          <w:color w:val="auto"/>
        </w:rPr>
        <w:t>”), and Mount Sinai Genomics, Inc., a Delaware corporation, d/b/a Sema4 (the “</w:t>
      </w:r>
      <w:r>
        <w:rPr>
          <w:rFonts w:ascii="Arial" w:cs="Arial" w:eastAsia="Arial" w:hAnsi="Arial"/>
          <w:sz w:val="17"/>
          <w:szCs w:val="17"/>
          <w:b w:val="1"/>
          <w:bCs w:val="1"/>
          <w:color w:val="auto"/>
        </w:rPr>
        <w:t>Company</w:t>
      </w:r>
      <w:r>
        <w:rPr>
          <w:rFonts w:ascii="Arial" w:cs="Arial" w:eastAsia="Arial" w:hAnsi="Arial"/>
          <w:sz w:val="17"/>
          <w:szCs w:val="17"/>
          <w:color w:val="auto"/>
        </w:rPr>
        <w:t>”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not herein defined shall have the meanings ascribed to them in the Agreement.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each of the Parties now desire to amend the Agreement as set forth herein, on the terms set forth herein.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WHEREAS, Section 11.12 of the Agreement provides that the Agreement may be amended pursuant to an instrument in writing signed by each of the Parties thereto.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mutual promises herein contained, and other consideration, the receipt and adequacy of which hereby is acknowledged, the Parties hereby agree as follows:</w:t>
      </w:r>
    </w:p>
    <w:p>
      <w:pPr>
        <w:spacing w:after="0" w:line="116" w:lineRule="exact"/>
        <w:rPr>
          <w:sz w:val="20"/>
          <w:szCs w:val="20"/>
          <w:color w:val="auto"/>
        </w:rPr>
      </w:pPr>
    </w:p>
    <w:p>
      <w:pPr>
        <w:ind w:left="660" w:hanging="328"/>
        <w:spacing w:after="0"/>
        <w:tabs>
          <w:tab w:leader="none" w:pos="660"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980" w:hanging="324"/>
        <w:spacing w:after="0" w:line="277" w:lineRule="auto"/>
        <w:tabs>
          <w:tab w:leader="none" w:pos="97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The definition of the term “Closing Number of Securities” in Section 1.2 of the Agreement is hereby amended and restated in its entirety to read as follows:</w:t>
      </w:r>
    </w:p>
    <w:p>
      <w:pPr>
        <w:spacing w:after="0" w:line="116"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 “Closing Number of Securities” shall mean the aggregate number of shares of Parent Class A Stock to be issued at Closing to equityholders of the Company pursuant to Section 2.7 and Section 2.12.”</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Section 3.1(b) of the Agreement is hereby amended and restated to read in its entirety as follows:</w:t>
      </w:r>
    </w:p>
    <w:p>
      <w:pPr>
        <w:spacing w:after="0" w:line="171" w:lineRule="exact"/>
        <w:rPr>
          <w:sz w:val="20"/>
          <w:szCs w:val="20"/>
          <w:color w:val="auto"/>
        </w:rPr>
      </w:pPr>
    </w:p>
    <w:p>
      <w:pPr>
        <w:jc w:val="both"/>
        <w:ind w:left="1060"/>
        <w:spacing w:after="0" w:line="275" w:lineRule="auto"/>
        <w:rPr>
          <w:sz w:val="20"/>
          <w:szCs w:val="20"/>
          <w:color w:val="auto"/>
        </w:rPr>
      </w:pPr>
      <w:r>
        <w:rPr>
          <w:rFonts w:ascii="Arial" w:cs="Arial" w:eastAsia="Arial" w:hAnsi="Arial"/>
          <w:sz w:val="17"/>
          <w:szCs w:val="17"/>
          <w:color w:val="auto"/>
        </w:rPr>
        <w:t>“(b) Upon the last day of any calendar year, Parent shall issue or cause to be issued to each Company Stockholder (other than holders of Dissenting Shares) and Earn-Out Service Provider (in accordance with its respective Earn-Out Pro Rata Share and, in the case of the Earn-Out Service Providers, in accordance with the terms of the applicable Earn-Out Award Agreement) the Earn-Out Shares that (i) are in the Forfeiture Pool as in effect as of such date and (ii) would have been issuable to Company Stockholders pursuant to Section 3.1(a) as a result of the occurrence of a Triggering Event had they not been made subject to an award of Earn-Out RSUs.”</w:t>
      </w:r>
    </w:p>
    <w:p>
      <w:pPr>
        <w:spacing w:after="0" w:line="122" w:lineRule="exact"/>
        <w:rPr>
          <w:sz w:val="20"/>
          <w:szCs w:val="20"/>
          <w:color w:val="auto"/>
        </w:rPr>
      </w:pPr>
    </w:p>
    <w:p>
      <w:pPr>
        <w:ind w:left="960" w:hanging="304"/>
        <w:spacing w:after="0"/>
        <w:tabs>
          <w:tab w:leader="none" w:pos="9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Section 3.4 of the Agreement is hereby amended and restated to read in its entirety as follows:</w:t>
      </w:r>
    </w:p>
    <w:p>
      <w:pPr>
        <w:spacing w:after="0" w:line="171" w:lineRule="exact"/>
        <w:rPr>
          <w:sz w:val="20"/>
          <w:szCs w:val="20"/>
          <w:color w:val="auto"/>
        </w:rPr>
      </w:pPr>
    </w:p>
    <w:p>
      <w:pPr>
        <w:jc w:val="both"/>
        <w:ind w:left="1060"/>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Earn-Out Service Providers</w:t>
      </w:r>
      <w:r>
        <w:rPr>
          <w:rFonts w:ascii="Arial" w:cs="Arial" w:eastAsia="Arial" w:hAnsi="Arial"/>
          <w:sz w:val="17"/>
          <w:szCs w:val="17"/>
          <w:color w:val="auto"/>
        </w:rPr>
        <w:t>. Earn-Out Shares issuable upon the occurrence of a Triggering Event may be issued to Earn-Out Service Providers as described in this Section 3.4 rather than to Company Stockholders. The terms of the issuance of the Earn-Out Shares underlying an award of Earn-Out RSUs to the Earn-Out Service Providers shall be set forth in a written agreement between the Company and such Earn-Out Service Provider (each, an “Earn Out Award Agreement”), in a form reasonably acceptable to Parent, which may provide that the Earn-Out Shares that would otherwise become issuable to an Earn-Out Service Provider pursuant to Section 3.1(a) or 3.1(b) shall remain subject to certain additional vesting conditions as set forth therein, and which may provide for accelerated vesting in the event of a Change in Control. In the event that an Earn-Out Service Provider does not satisfy the vesting conditions set forth in his or her Earn-Out Award Agreement (an “Earn-Out Forfeiture”), such Earn-Out Service Provider shall be deemed to have forfeited his or her right to receive the applicable Earn-Out Shares for no consideration. Any such Earn-Out Shares that are forfeited under the terms of an Earn-Out Award Agreement shall accumulate in the “Forfeiture Pool” until such time as they are issued in accordance with Section 3.1(b). For clarity, no shares of Parent Class A Common Stock shall be issuable pursuant to Section 3.1(b) other than Earn-Out Shares that have been included in the Forfeiture Pool and that become issuable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A-165</w:t>
      </w:r>
    </w:p>
    <w:p>
      <w:pPr>
        <w:sectPr>
          <w:pgSz w:w="11900" w:h="16838" w:orient="portrait"/>
          <w:cols w:equalWidth="0" w:num="1">
            <w:col w:w="11240"/>
          </w:cols>
          <w:pgMar w:left="320" w:top="1440" w:right="339" w:bottom="1440" w:gutter="0" w:footer="0" w:header="0"/>
        </w:sectPr>
      </w:pPr>
    </w:p>
    <w:bookmarkStart w:id="600" w:name="page601"/>
    <w:bookmarkEnd w:id="600"/>
    <w:p>
      <w:pPr>
        <w:spacing w:after="0" w:line="143" w:lineRule="exact"/>
        <w:rPr>
          <w:sz w:val="20"/>
          <w:szCs w:val="20"/>
          <w:color w:val="auto"/>
        </w:rPr>
      </w:pPr>
    </w:p>
    <w:p>
      <w:pPr>
        <w:ind w:left="728" w:right="20"/>
        <w:spacing w:after="0" w:line="277" w:lineRule="auto"/>
        <w:rPr>
          <w:sz w:val="20"/>
          <w:szCs w:val="20"/>
          <w:color w:val="auto"/>
        </w:rPr>
      </w:pPr>
      <w:r>
        <w:rPr>
          <w:rFonts w:ascii="Arial" w:cs="Arial" w:eastAsia="Arial" w:hAnsi="Arial"/>
          <w:sz w:val="18"/>
          <w:szCs w:val="18"/>
          <w:color w:val="auto"/>
        </w:rPr>
        <w:t>occurrence of a Triggering Event. The delivery of Earn-Out Shares underlying the Earn-Out RSUs shall be subject to the payment of any applicable Tax withholdings and compliance with any applicable requirements of the securities and other laws.”</w:t>
      </w:r>
    </w:p>
    <w:p>
      <w:pPr>
        <w:spacing w:after="0" w:line="116" w:lineRule="exact"/>
        <w:rPr>
          <w:sz w:val="20"/>
          <w:szCs w:val="20"/>
          <w:color w:val="auto"/>
        </w:rPr>
      </w:pPr>
    </w:p>
    <w:p>
      <w:pPr>
        <w:jc w:val="both"/>
        <w:ind w:left="328" w:hanging="328"/>
        <w:spacing w:after="0" w:line="263" w:lineRule="auto"/>
        <w:tabs>
          <w:tab w:leader="none" w:pos="32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Amendment. The parties acknowledge and agree that this Amendment does not require the further approval of the stockholders of the Company under the DGCL or other Applicable Legal Requirements. Except as expressly set forth in this Amendment, the Agreement shall continue in full force in all respects.</w:t>
      </w:r>
    </w:p>
    <w:p>
      <w:pPr>
        <w:spacing w:after="0" w:line="129"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443"/>
        </w:numPr>
        <w:rPr>
          <w:rFonts w:ascii="Arial" w:cs="Arial" w:eastAsia="Arial" w:hAnsi="Arial"/>
          <w:sz w:val="17"/>
          <w:szCs w:val="17"/>
          <w:color w:val="auto"/>
        </w:rPr>
      </w:pPr>
      <w:r>
        <w:rPr>
          <w:rFonts w:ascii="Arial" w:cs="Arial" w:eastAsia="Arial" w:hAnsi="Arial"/>
          <w:sz w:val="17"/>
          <w:szCs w:val="17"/>
          <w:color w:val="auto"/>
        </w:rPr>
        <w:t>Counterparts; Electronic Delivery. This Amendment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w:t>
      </w:r>
    </w:p>
    <w:p>
      <w:pPr>
        <w:spacing w:after="0" w:line="117"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443"/>
        </w:numPr>
        <w:rPr>
          <w:rFonts w:ascii="Arial" w:cs="Arial" w:eastAsia="Arial" w:hAnsi="Arial"/>
          <w:sz w:val="18"/>
          <w:szCs w:val="18"/>
          <w:color w:val="auto"/>
        </w:rPr>
      </w:pPr>
      <w:r>
        <w:rPr>
          <w:rFonts w:ascii="Arial" w:cs="Arial" w:eastAsia="Arial" w:hAnsi="Arial"/>
          <w:sz w:val="18"/>
          <w:szCs w:val="18"/>
          <w:color w:val="auto"/>
        </w:rPr>
        <w:t>Governing Law. This Amendment shall be governed by and construed in accordance with the internal law of the State of Delaware regardless of the law that might otherwise govern under applicable principles of conflicts of law thereof.</w:t>
      </w:r>
    </w:p>
    <w:p>
      <w:pPr>
        <w:spacing w:after="0" w:line="116" w:lineRule="exact"/>
        <w:rPr>
          <w:sz w:val="20"/>
          <w:szCs w:val="20"/>
          <w:color w:val="auto"/>
        </w:rPr>
      </w:pPr>
    </w:p>
    <w:p>
      <w:pPr>
        <w:jc w:val="center"/>
        <w:ind w:right="312"/>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A-166</w:t>
      </w:r>
    </w:p>
    <w:p>
      <w:pPr>
        <w:sectPr>
          <w:pgSz w:w="11900" w:h="16838" w:orient="portrait"/>
          <w:cols w:equalWidth="0" w:num="1">
            <w:col w:w="10908"/>
          </w:cols>
          <w:pgMar w:left="652" w:top="1440" w:right="339" w:bottom="1440" w:gutter="0" w:footer="0" w:header="0"/>
        </w:sectPr>
      </w:pPr>
    </w:p>
    <w:bookmarkStart w:id="601" w:name="page602"/>
    <w:bookmarkEnd w:id="601"/>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be duly executed, as of the date first above written.</w:t>
      </w:r>
    </w:p>
    <w:p>
      <w:pPr>
        <w:spacing w:after="0" w:line="200" w:lineRule="exact"/>
        <w:rPr>
          <w:sz w:val="20"/>
          <w:szCs w:val="20"/>
          <w:color w:val="auto"/>
        </w:rPr>
      </w:pPr>
    </w:p>
    <w:p>
      <w:pPr>
        <w:spacing w:after="0" w:line="282"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CM LIFE SCIENCES, INC.</w:t>
      </w:r>
    </w:p>
    <w:p>
      <w:pPr>
        <w:spacing w:after="0" w:line="17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32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S-IV SUB, INC</w:t>
            </w:r>
          </w:p>
        </w:tc>
      </w:tr>
      <w:tr>
        <w:trPr>
          <w:trHeight w:val="37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Brian Emes</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600" w:type="dxa"/>
            <w:vAlign w:val="bottom"/>
          </w:tcPr>
          <w:p>
            <w:pPr>
              <w:ind w:left="240"/>
              <w:spacing w:after="0"/>
              <w:rPr>
                <w:sz w:val="20"/>
                <w:szCs w:val="20"/>
                <w:color w:val="auto"/>
              </w:rPr>
            </w:pPr>
            <w:r>
              <w:rPr>
                <w:rFonts w:ascii="Arial" w:cs="Arial" w:eastAsia="Arial" w:hAnsi="Arial"/>
                <w:sz w:val="18"/>
                <w:szCs w:val="18"/>
                <w:color w:val="auto"/>
              </w:rPr>
              <w:t>Brian Emes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pacing w:after="0" w:line="144"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MOUNT SINAI GENOMICS, INC</w:t>
      </w:r>
    </w:p>
    <w:p>
      <w:pPr>
        <w:spacing w:after="0" w:line="27"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Schadt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14605</wp:posOffset>
            </wp:positionV>
            <wp:extent cx="29146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Eric Schadt, PhD</w:t>
      </w:r>
    </w:p>
    <w:p>
      <w:pPr>
        <w:spacing w:after="0" w:line="23" w:lineRule="exact"/>
        <w:rPr>
          <w:sz w:val="20"/>
          <w:szCs w:val="20"/>
          <w:color w:val="auto"/>
        </w:rPr>
      </w:pPr>
    </w:p>
    <w:p>
      <w:pPr>
        <w:ind w:left="57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A-167</w:t>
      </w:r>
    </w:p>
    <w:p>
      <w:pPr>
        <w:sectPr>
          <w:pgSz w:w="11900" w:h="16838" w:orient="portrait"/>
          <w:cols w:equalWidth="0" w:num="1">
            <w:col w:w="10900"/>
          </w:cols>
          <w:pgMar w:left="660" w:top="1440" w:right="339" w:bottom="1440" w:gutter="0" w:footer="0" w:header="0"/>
        </w:sectPr>
      </w:pPr>
    </w:p>
    <w:bookmarkStart w:id="602" w:name="page603"/>
    <w:bookmarkEnd w:id="602"/>
    <w:p>
      <w:pPr>
        <w:spacing w:after="0" w:line="139" w:lineRule="exact"/>
        <w:rPr>
          <w:sz w:val="20"/>
          <w:szCs w:val="20"/>
          <w:color w:val="auto"/>
        </w:rPr>
      </w:pPr>
    </w:p>
    <w:p>
      <w:pPr>
        <w:ind w:left="5220"/>
        <w:spacing w:after="0"/>
        <w:rPr>
          <w:sz w:val="20"/>
          <w:szCs w:val="20"/>
          <w:color w:val="auto"/>
        </w:rPr>
      </w:pPr>
      <w:r>
        <w:rPr>
          <w:rFonts w:ascii="Arial" w:cs="Arial" w:eastAsia="Arial" w:hAnsi="Arial"/>
          <w:sz w:val="18"/>
          <w:szCs w:val="18"/>
          <w:b w:val="1"/>
          <w:bCs w:val="1"/>
          <w:u w:val="single" w:color="auto"/>
          <w:color w:val="auto"/>
        </w:rPr>
        <w:t>ANNEX B</w:t>
      </w:r>
    </w:p>
    <w:p>
      <w:pPr>
        <w:spacing w:after="0" w:line="17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[CM LIFE SCIENCES,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[CM Life Sciences, Inc.], a Delaware corporation, hereby certifies as follows:</w:t>
      </w:r>
    </w:p>
    <w:p>
      <w:pPr>
        <w:spacing w:after="0" w:line="171" w:lineRule="exact"/>
        <w:rPr>
          <w:sz w:val="20"/>
          <w:szCs w:val="20"/>
          <w:color w:val="auto"/>
        </w:rPr>
      </w:pPr>
    </w:p>
    <w:p>
      <w:pPr>
        <w:jc w:val="both"/>
        <w:ind w:firstLine="332"/>
        <w:spacing w:after="0" w:line="301" w:lineRule="auto"/>
        <w:tabs>
          <w:tab w:leader="none" w:pos="66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name of this corporation is “[CM Life Sciences, Inc.]” The date of the filing of its original Certificate of Incorporation with the Secretary of State of the State of Delaware was July 10,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the First Amendment and Restatement to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xml:space="preserve"> was filed with the Secretary of State of the State of Delaware on July 13, 2020 (the “</w:t>
      </w:r>
      <w:r>
        <w:rPr>
          <w:rFonts w:ascii="Arial" w:cs="Arial" w:eastAsia="Arial" w:hAnsi="Arial"/>
          <w:sz w:val="16"/>
          <w:szCs w:val="16"/>
          <w:b w:val="1"/>
          <w:bCs w:val="1"/>
          <w:i w:val="1"/>
          <w:iCs w:val="1"/>
          <w:color w:val="auto"/>
        </w:rPr>
        <w:t>First Amended Certificate</w:t>
      </w:r>
      <w:r>
        <w:rPr>
          <w:rFonts w:ascii="Arial" w:cs="Arial" w:eastAsia="Arial" w:hAnsi="Arial"/>
          <w:sz w:val="16"/>
          <w:szCs w:val="16"/>
          <w:color w:val="auto"/>
        </w:rPr>
        <w:t>”), and Second Amended and Restated Certificate of Incorporation was filed with the Secretary of State of the State of Delaware on September 1, 2020 (the “</w:t>
      </w:r>
      <w:r>
        <w:rPr>
          <w:rFonts w:ascii="Arial" w:cs="Arial" w:eastAsia="Arial" w:hAnsi="Arial"/>
          <w:sz w:val="16"/>
          <w:szCs w:val="16"/>
          <w:b w:val="1"/>
          <w:bCs w:val="1"/>
          <w:i w:val="1"/>
          <w:iCs w:val="1"/>
          <w:color w:val="auto"/>
        </w:rPr>
        <w:t>Second Amended Certificate</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jc w:val="both"/>
        <w:ind w:firstLine="332"/>
        <w:spacing w:after="0" w:line="275" w:lineRule="auto"/>
        <w:tabs>
          <w:tab w:leader="none" w:pos="636" w:val="left"/>
        </w:tabs>
        <w:numPr>
          <w:ilvl w:val="0"/>
          <w:numId w:val="444"/>
        </w:numPr>
        <w:rPr>
          <w:rFonts w:ascii="Arial" w:cs="Arial" w:eastAsia="Arial" w:hAnsi="Arial"/>
          <w:sz w:val="17"/>
          <w:szCs w:val="17"/>
          <w:color w:val="auto"/>
        </w:rPr>
      </w:pPr>
      <w:r>
        <w:rPr>
          <w:rFonts w:ascii="Arial" w:cs="Arial" w:eastAsia="Arial" w:hAnsi="Arial"/>
          <w:sz w:val="17"/>
          <w:szCs w:val="17"/>
          <w:color w:val="auto"/>
        </w:rPr>
        <w:t xml:space="preserve">This Third Amended and Restated Certificate of Incorporation of the corporation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which is incorporated herein by this reference, and which restates, integrates and further amends the provisions of the Certificate of Incorporation of this corporation as previously amended and/or restated, has been duly adopted by this corporation’s Board of Directors and by the stockholders in accordance with Sections 242 and 245 of the General Corporation Law of the State of Delaware, with the approval of this corporation’s stockholders having been given by written consent without a meeting in accordance with Section 228 of the General Corporation Law of the State of Delaware.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WITNESS WHEREOF, this corporation has caused this Restated Certificate of Incorporation to be signed by its duly authorized officer and the foregoing facts stated herein are true and correct.</w:t>
      </w:r>
    </w:p>
    <w:p>
      <w:pPr>
        <w:spacing w:after="0" w:line="157" w:lineRule="exact"/>
        <w:rPr>
          <w:sz w:val="20"/>
          <w:szCs w:val="20"/>
          <w:color w:val="auto"/>
        </w:rPr>
      </w:pPr>
    </w:p>
    <w:p>
      <w:pPr>
        <w:ind w:left="20"/>
        <w:spacing w:after="0"/>
        <w:tabs>
          <w:tab w:leader="none" w:pos="5200" w:val="left"/>
        </w:tabs>
        <w:rPr>
          <w:sz w:val="20"/>
          <w:szCs w:val="20"/>
          <w:color w:val="auto"/>
        </w:rPr>
      </w:pPr>
      <w:r>
        <w:rPr>
          <w:rFonts w:ascii="Arial" w:cs="Arial" w:eastAsia="Arial" w:hAnsi="Arial"/>
          <w:sz w:val="18"/>
          <w:szCs w:val="18"/>
          <w:color w:val="auto"/>
        </w:rPr>
        <w:t>Dated: [●], 2021</w:t>
      </w:r>
      <w:r>
        <w:rPr>
          <w:sz w:val="20"/>
          <w:szCs w:val="20"/>
          <w:color w:val="auto"/>
        </w:rPr>
        <w:tab/>
      </w:r>
      <w:r>
        <w:rPr>
          <w:rFonts w:ascii="Arial" w:cs="Arial" w:eastAsia="Arial" w:hAnsi="Arial"/>
          <w:sz w:val="17"/>
          <w:szCs w:val="17"/>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40" w:right="339" w:bottom="1440" w:gutter="0" w:footer="0" w:header="0"/>
        </w:sectPr>
      </w:pPr>
    </w:p>
    <w:bookmarkStart w:id="603" w:name="page604"/>
    <w:bookmarkEnd w:id="603"/>
    <w:p>
      <w:pPr>
        <w:spacing w:after="0" w:line="13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[COMPANY NAME]</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THIRD AMENDED AND RESTATED CERTIFICATE OF INCORPORATION</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ARTICLE I: NAME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of the corporation is [Company Name]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16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ARTICLE II: AGENT FOR SERVICE OF PROCESS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address of the registered office of this Corporation in the State of Delaware is 1209 Orange Street, in the City of Wilmington, County of New Castle 19801, and the name of the registered agent of this Corporation in the State of Delaware at such address is The Corporation Trust Company.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PURPOSE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AUTHORIZED STOCK</w:t>
      </w:r>
    </w:p>
    <w:p>
      <w:pPr>
        <w:spacing w:after="0" w:line="171" w:lineRule="exact"/>
        <w:rPr>
          <w:sz w:val="20"/>
          <w:szCs w:val="20"/>
          <w:color w:val="auto"/>
        </w:rPr>
      </w:pPr>
    </w:p>
    <w:p>
      <w:pPr>
        <w:ind w:left="680" w:hanging="348"/>
        <w:spacing w:after="0"/>
        <w:tabs>
          <w:tab w:leader="none" w:pos="680"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Total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The total number of shares of all classes of stock that the Corporation has authority to issue is [●] shares, consisting of two</w:t>
      </w:r>
    </w:p>
    <w:p>
      <w:pPr>
        <w:spacing w:after="0" w:line="50"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classes: [●] shares of Class A Common Stock, $0.0001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27" w:lineRule="exact"/>
        <w:rPr>
          <w:rFonts w:ascii="Arial" w:cs="Arial" w:eastAsia="Arial" w:hAnsi="Arial"/>
          <w:sz w:val="16"/>
          <w:szCs w:val="16"/>
          <w:b w:val="1"/>
          <w:bCs w:val="1"/>
          <w:color w:val="auto"/>
        </w:rPr>
      </w:pPr>
    </w:p>
    <w:p>
      <w:pPr>
        <w:ind w:left="640" w:hanging="308"/>
        <w:spacing w:after="0"/>
        <w:tabs>
          <w:tab w:leader="none" w:pos="64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of Additional Series.</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2.1. The Board of Directors of the Corporation (the “</w:t>
      </w:r>
      <w:r>
        <w:rPr>
          <w:rFonts w:ascii="Arial" w:cs="Arial" w:eastAsia="Arial" w:hAnsi="Arial"/>
          <w:sz w:val="16"/>
          <w:szCs w:val="16"/>
          <w:b w:val="1"/>
          <w:bCs w:val="1"/>
          <w:color w:val="auto"/>
        </w:rPr>
        <w:t>Board</w:t>
      </w:r>
      <w:r>
        <w:rPr>
          <w:rFonts w:ascii="Arial" w:cs="Arial" w:eastAsia="Arial" w:hAnsi="Arial"/>
          <w:sz w:val="16"/>
          <w:szCs w:val="16"/>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6"/>
          <w:szCs w:val="16"/>
          <w:b w:val="1"/>
          <w:bCs w:val="1"/>
          <w:color w:val="auto"/>
        </w:rPr>
        <w:t>Certificate of Designation</w:t>
      </w:r>
      <w:r>
        <w:rPr>
          <w:rFonts w:ascii="Arial" w:cs="Arial" w:eastAsia="Arial" w:hAnsi="Arial"/>
          <w:sz w:val="16"/>
          <w:szCs w:val="16"/>
          <w:color w:val="auto"/>
        </w:rPr>
        <w:t xml:space="preserve">”), to establish from time to time the number of shares to be included in each such series, to fix the designation, vesting, 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Third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40" w:right="339" w:bottom="1440" w:gutter="0" w:footer="0" w:header="0"/>
        </w:sectPr>
      </w:pPr>
    </w:p>
    <w:bookmarkStart w:id="604" w:name="page605"/>
    <w:bookmarkEnd w:id="604"/>
    <w:p>
      <w:pPr>
        <w:spacing w:after="0" w:line="14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2.3. Each outstanding share of Common Stock shall entitle the holder thereof to one vote on each matter properly submitted to the stockholders of the Corporation for their vote;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color w:val="auto"/>
        </w:rPr>
        <w:t>,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AMENDMENT OF BYLAWS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Board shall have the power to adopt, amend or repeal the Bylaws of the Corporation (as the same may be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color w:val="auto"/>
        </w:rPr>
        <w:t xml:space="preserve">,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MATTERS RELATING TO THE BOARD OF DIRECTORS</w:t>
      </w:r>
    </w:p>
    <w:p>
      <w:pPr>
        <w:spacing w:after="0" w:line="171" w:lineRule="exact"/>
        <w:rPr>
          <w:sz w:val="20"/>
          <w:szCs w:val="20"/>
          <w:color w:val="auto"/>
        </w:rPr>
      </w:pPr>
    </w:p>
    <w:p>
      <w:pPr>
        <w:ind w:firstLine="332"/>
        <w:spacing w:after="0" w:line="282" w:lineRule="auto"/>
        <w:tabs>
          <w:tab w:leader="none" w:pos="801"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 Powers.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by the General Corporation Law, the Bylaws of the Corporation or this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business and affairs of the Corporation shall be managed by or under the direction of the Board.</w:t>
      </w:r>
    </w:p>
    <w:p>
      <w:pPr>
        <w:spacing w:after="0" w:line="107" w:lineRule="exact"/>
        <w:rPr>
          <w:rFonts w:ascii="Arial" w:cs="Arial" w:eastAsia="Arial" w:hAnsi="Arial"/>
          <w:sz w:val="18"/>
          <w:szCs w:val="18"/>
          <w:b w:val="1"/>
          <w:bCs w:val="1"/>
          <w:color w:val="auto"/>
        </w:rPr>
      </w:pPr>
    </w:p>
    <w:p>
      <w:pPr>
        <w:jc w:val="both"/>
        <w:ind w:firstLine="332"/>
        <w:spacing w:after="0" w:line="266" w:lineRule="auto"/>
        <w:tabs>
          <w:tab w:leader="none" w:pos="693" w:val="left"/>
        </w:tabs>
        <w:numPr>
          <w:ilvl w:val="0"/>
          <w:numId w:val="4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special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total number of directors constituting the Whole Board shall be fixed from time to time exclusively by resolution adopted by a majority of the Whole Board.</w:t>
      </w:r>
    </w:p>
    <w:p>
      <w:pPr>
        <w:spacing w:after="0" w:line="121" w:lineRule="exact"/>
        <w:rPr>
          <w:rFonts w:ascii="Arial" w:cs="Arial" w:eastAsia="Arial" w:hAnsi="Arial"/>
          <w:sz w:val="18"/>
          <w:szCs w:val="18"/>
          <w:b w:val="1"/>
          <w:bCs w:val="1"/>
          <w:color w:val="auto"/>
        </w:rPr>
      </w:pPr>
    </w:p>
    <w:p>
      <w:pPr>
        <w:jc w:val="both"/>
        <w:ind w:right="80" w:firstLine="332"/>
        <w:spacing w:after="0" w:line="294" w:lineRule="auto"/>
        <w:tabs>
          <w:tab w:leader="none" w:pos="639" w:val="left"/>
        </w:tabs>
        <w:numPr>
          <w:ilvl w:val="0"/>
          <w:numId w:val="4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Classified Board</w:t>
      </w:r>
      <w:r>
        <w:rPr>
          <w:rFonts w:ascii="Arial" w:cs="Arial" w:eastAsia="Arial" w:hAnsi="Arial"/>
          <w:sz w:val="16"/>
          <w:szCs w:val="16"/>
          <w:color w:val="auto"/>
        </w:rPr>
        <w:t>. Subject to the special rights of the holders of one or more series of Preferred Stock to elect additional directors under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the directors shall be divided, with respect to the time for which they severally hold office, into three classes designated as Class I, Class II and Class III, respectively (the “</w:t>
      </w: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effectiveness of this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440" w:right="339" w:bottom="1440" w:gutter="0" w:footer="0" w:header="0"/>
        </w:sectPr>
      </w:pPr>
    </w:p>
    <w:bookmarkStart w:id="605" w:name="page606"/>
    <w:bookmarkEnd w:id="605"/>
    <w:p>
      <w:pPr>
        <w:spacing w:after="0" w:line="143"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Incorporation, the initial term of office of the Class II directors shall expire at the Corporation’s second annual meeting of stockholders following the effectiveness of this Certificate of Incorporation and the initial term of office of the Class III directors shall expire at the Corporation’s third annual meeting of stockholders following the effectiveness of this Certificate of Incorporation. At each annual meeting of stockholders following the effectiveness of this Certificate of Incorporation, directors elected to succeed those directors of the class whose terms then expire shall be elected for a term of office expiring at the third succeeding annual meeting of stockholders after their election.</w:t>
      </w:r>
    </w:p>
    <w:p>
      <w:pPr>
        <w:spacing w:after="0" w:line="130" w:lineRule="exact"/>
        <w:rPr>
          <w:sz w:val="20"/>
          <w:szCs w:val="20"/>
          <w:color w:val="auto"/>
        </w:rPr>
      </w:pPr>
    </w:p>
    <w:p>
      <w:pPr>
        <w:jc w:val="both"/>
        <w:ind w:right="80" w:firstLine="332"/>
        <w:spacing w:after="0" w:line="253" w:lineRule="auto"/>
        <w:tabs>
          <w:tab w:leader="none" w:pos="720" w:val="left"/>
        </w:tabs>
        <w:numPr>
          <w:ilvl w:val="1"/>
          <w:numId w:val="4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Removal</w:t>
      </w:r>
      <w:r>
        <w:rPr>
          <w:rFonts w:ascii="Arial" w:cs="Arial" w:eastAsia="Arial" w:hAnsi="Arial"/>
          <w:sz w:val="18"/>
          <w:szCs w:val="18"/>
          <w:color w:val="auto"/>
        </w:rPr>
        <w:t>. Each director shall hold office until the annual meeting at which such director’s term expires and until such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40" w:lineRule="exact"/>
        <w:rPr>
          <w:rFonts w:ascii="Arial" w:cs="Arial" w:eastAsia="Arial" w:hAnsi="Arial"/>
          <w:sz w:val="18"/>
          <w:szCs w:val="18"/>
          <w:b w:val="1"/>
          <w:bCs w:val="1"/>
          <w:color w:val="auto"/>
        </w:rPr>
      </w:pPr>
    </w:p>
    <w:p>
      <w:pPr>
        <w:jc w:val="both"/>
        <w:ind w:right="80" w:firstLine="332"/>
        <w:spacing w:after="0" w:line="293" w:lineRule="auto"/>
        <w:tabs>
          <w:tab w:leader="none" w:pos="666" w:val="left"/>
        </w:tabs>
        <w:numPr>
          <w:ilvl w:val="1"/>
          <w:numId w:val="4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Board Vacancies and Newly Created Directorships</w:t>
      </w:r>
      <w:r>
        <w:rPr>
          <w:rFonts w:ascii="Arial" w:cs="Arial" w:eastAsia="Arial" w:hAnsi="Arial"/>
          <w:sz w:val="16"/>
          <w:szCs w:val="16"/>
          <w:color w:val="auto"/>
        </w:rPr>
        <w:t>. Subject to the special rights of the holders of any series of Preferred Stock, any vacancy</w:t>
      </w:r>
      <w:r>
        <w:rPr>
          <w:rFonts w:ascii="Arial" w:cs="Arial" w:eastAsia="Arial" w:hAnsi="Arial"/>
          <w:sz w:val="16"/>
          <w:szCs w:val="16"/>
          <w:b w:val="1"/>
          <w:bCs w:val="1"/>
          <w:color w:val="auto"/>
        </w:rPr>
        <w:t xml:space="preserve"> </w:t>
      </w:r>
      <w:r>
        <w:rPr>
          <w:rFonts w:ascii="Arial" w:cs="Arial" w:eastAsia="Arial" w:hAnsi="Arial"/>
          <w:sz w:val="16"/>
          <w:szCs w:val="16"/>
          <w:color w:val="auto"/>
        </w:rPr>
        <w:t>occurring in the Board for any cause, and any newly created directorship resulting from any increase in the authorized number of directors, shall, unless</w:t>
      </w:r>
    </w:p>
    <w:p>
      <w:pPr>
        <w:spacing w:after="0" w:line="1" w:lineRule="exact"/>
        <w:rPr>
          <w:rFonts w:ascii="Arial" w:cs="Arial" w:eastAsia="Arial" w:hAnsi="Arial"/>
          <w:sz w:val="16"/>
          <w:szCs w:val="16"/>
          <w:b w:val="1"/>
          <w:bCs w:val="1"/>
          <w:color w:val="auto"/>
        </w:rPr>
      </w:pPr>
    </w:p>
    <w:p>
      <w:pPr>
        <w:jc w:val="both"/>
        <w:ind w:right="80" w:firstLine="8"/>
        <w:spacing w:after="0" w:line="271" w:lineRule="auto"/>
        <w:tabs>
          <w:tab w:leader="none" w:pos="269"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20" w:lineRule="exact"/>
        <w:rPr>
          <w:rFonts w:ascii="Arial" w:cs="Arial" w:eastAsia="Arial" w:hAnsi="Arial"/>
          <w:sz w:val="17"/>
          <w:szCs w:val="17"/>
          <w:color w:val="auto"/>
        </w:rPr>
      </w:pPr>
    </w:p>
    <w:p>
      <w:pPr>
        <w:ind w:left="640" w:hanging="308"/>
        <w:spacing w:after="0"/>
        <w:tabs>
          <w:tab w:leader="none" w:pos="640" w:val="left"/>
        </w:tabs>
        <w:numPr>
          <w:ilvl w:val="1"/>
          <w:numId w:val="4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Vote by Ballot.</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directors need not be by written ballot unless the Bylaws shall so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DIRECTOR LIABILITY</w:t>
      </w:r>
    </w:p>
    <w:p>
      <w:pPr>
        <w:spacing w:after="0" w:line="171" w:lineRule="exact"/>
        <w:rPr>
          <w:sz w:val="20"/>
          <w:szCs w:val="20"/>
          <w:color w:val="auto"/>
        </w:rPr>
      </w:pPr>
    </w:p>
    <w:p>
      <w:pPr>
        <w:jc w:val="both"/>
        <w:ind w:firstLine="332"/>
        <w:spacing w:after="0" w:line="261" w:lineRule="auto"/>
        <w:tabs>
          <w:tab w:leader="none" w:pos="652"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law, no director of the Corporation shall be personally liable for monetary damages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fiduciary duty as a director. Without limiting the effect of the preceding sentence, if the General Corporation Law is hereafter amended to authorize the further elimination or limitation of the liability of a director, then the liability of a director of the Corporation shall be eliminated or limited to the fullest extent permitted by the General Corporation Law, as so amended.</w:t>
      </w:r>
    </w:p>
    <w:p>
      <w:pPr>
        <w:spacing w:after="0" w:line="125" w:lineRule="exact"/>
        <w:rPr>
          <w:rFonts w:ascii="Arial" w:cs="Arial" w:eastAsia="Arial" w:hAnsi="Arial"/>
          <w:sz w:val="18"/>
          <w:szCs w:val="18"/>
          <w:b w:val="1"/>
          <w:bCs w:val="1"/>
          <w:color w:val="auto"/>
        </w:rPr>
      </w:pPr>
    </w:p>
    <w:p>
      <w:pPr>
        <w:jc w:val="both"/>
        <w:ind w:firstLine="332"/>
        <w:spacing w:after="0" w:line="266" w:lineRule="auto"/>
        <w:tabs>
          <w:tab w:leader="none" w:pos="679"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any amendment nor repeal of this Article VII, nor the adoption of any provision of this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inconsistent with this Article VII, shall eliminate, reduce or otherwise adversely affect any limitation on the personal liability of a director of the Corporation existing at the time of such amendment, repeal or adoption of such an inconsistent provision.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MATTERS RELATING TO STOCKHOLDERS</w:t>
      </w:r>
    </w:p>
    <w:p>
      <w:pPr>
        <w:spacing w:after="0" w:line="171" w:lineRule="exact"/>
        <w:rPr>
          <w:sz w:val="20"/>
          <w:szCs w:val="20"/>
          <w:color w:val="auto"/>
        </w:rPr>
      </w:pPr>
    </w:p>
    <w:p>
      <w:pPr>
        <w:jc w:val="both"/>
        <w:ind w:firstLine="332"/>
        <w:spacing w:after="0" w:line="266" w:lineRule="auto"/>
        <w:tabs>
          <w:tab w:leader="none" w:pos="652"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Action by Written Consent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rights of any series of Preferred Stock then outstanding, no action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Corporation except at a duly called annual or special meeting of stockholders and no action shall be taken by the stockholders of the Corporation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40"/>
          </w:cols>
          <w:pgMar w:left="320" w:top="1440" w:right="339" w:bottom="1440" w:gutter="0" w:footer="0" w:header="0"/>
        </w:sectPr>
      </w:pPr>
    </w:p>
    <w:bookmarkStart w:id="606" w:name="page607"/>
    <w:bookmarkEnd w:id="606"/>
    <w:p>
      <w:pPr>
        <w:spacing w:after="0" w:line="139" w:lineRule="exact"/>
        <w:rPr>
          <w:sz w:val="20"/>
          <w:szCs w:val="20"/>
          <w:color w:val="auto"/>
        </w:rPr>
      </w:pPr>
    </w:p>
    <w:p>
      <w:pPr>
        <w:jc w:val="both"/>
        <w:ind w:firstLine="332"/>
        <w:spacing w:after="0" w:line="266" w:lineRule="auto"/>
        <w:tabs>
          <w:tab w:leader="none" w:pos="666"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meetings of the stockholders of the Corporation may be called only by the Chairperson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21" w:lineRule="exact"/>
        <w:rPr>
          <w:rFonts w:ascii="Arial" w:cs="Arial" w:eastAsia="Arial" w:hAnsi="Arial"/>
          <w:sz w:val="18"/>
          <w:szCs w:val="18"/>
          <w:b w:val="1"/>
          <w:bCs w:val="1"/>
          <w:color w:val="auto"/>
        </w:rPr>
      </w:pPr>
    </w:p>
    <w:p>
      <w:pPr>
        <w:jc w:val="both"/>
        <w:ind w:firstLine="332"/>
        <w:spacing w:after="0" w:line="261" w:lineRule="auto"/>
        <w:tabs>
          <w:tab w:leader="none" w:pos="679"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 Notice of Stockholder Nominations and Business Transacted at Special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 notice of stockholder nominations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CHOICE OF FORUM</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 (c) 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 any interest in shares of capital stock of the Corporation shall be deemed to have notice of and to have consented to the provisions of this Article IX.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 AMENDMENT OF CERTIFICATE OF INCORPORATION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provided, further,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or by this Certificate of Incorporation or any Certificate of Designation), shall be required to amend or repeal such provisions of this Certificate of Incorporation.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240"/>
          </w:cols>
          <w:pgMar w:left="320" w:top="1440" w:right="339" w:bottom="1440" w:gutter="0" w:footer="0" w:header="0"/>
        </w:sectPr>
      </w:pPr>
    </w:p>
    <w:bookmarkStart w:id="607" w:name="page608"/>
    <w:bookmarkEnd w:id="60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SUBSCRIPTION AGREEMENT (this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is entered into on February 9, 2021, by and between CM Life Sciences,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and the subscriber party set forth on the signature page hereto (“</w:t>
      </w:r>
      <w:r>
        <w:rPr>
          <w:rFonts w:ascii="Arial" w:cs="Arial" w:eastAsia="Arial" w:hAnsi="Arial"/>
          <w:sz w:val="18"/>
          <w:szCs w:val="18"/>
          <w:u w:val="single" w:color="auto"/>
          <w:color w:val="auto"/>
        </w:rPr>
        <w:t>Subscriber</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the Issuer is concurrently with the execution and delivery hereof entering into that certain Agreement and Plan of Merger (as amended or modified, the “</w:t>
      </w:r>
      <w:r>
        <w:rPr>
          <w:rFonts w:ascii="Arial" w:cs="Arial" w:eastAsia="Arial" w:hAnsi="Arial"/>
          <w:sz w:val="17"/>
          <w:szCs w:val="17"/>
          <w:u w:val="single" w:color="auto"/>
          <w:color w:val="auto"/>
        </w:rPr>
        <w:t>Business Combination Agreement</w:t>
      </w:r>
      <w:r>
        <w:rPr>
          <w:rFonts w:ascii="Arial" w:cs="Arial" w:eastAsia="Arial" w:hAnsi="Arial"/>
          <w:sz w:val="17"/>
          <w:szCs w:val="17"/>
          <w:color w:val="auto"/>
        </w:rPr>
        <w:t>”; capitalized terms used herein without definition shall have the meanings ascribed thereto in the Business Combination Agreement), by and among the Issuer, S-IV Sub, Inc., a Delaware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Mount Sinai Genomics, Inc. (d/b/a Sema4) (together with its direct and indirect subsidiaries, “</w:t>
      </w:r>
      <w:r>
        <w:rPr>
          <w:rFonts w:ascii="Arial" w:cs="Arial" w:eastAsia="Arial" w:hAnsi="Arial"/>
          <w:sz w:val="17"/>
          <w:szCs w:val="17"/>
          <w:u w:val="single" w:color="auto"/>
          <w:color w:val="auto"/>
        </w:rPr>
        <w:t>Target</w:t>
      </w:r>
      <w:r>
        <w:rPr>
          <w:rFonts w:ascii="Arial" w:cs="Arial" w:eastAsia="Arial" w:hAnsi="Arial"/>
          <w:sz w:val="17"/>
          <w:szCs w:val="17"/>
          <w:color w:val="auto"/>
        </w:rPr>
        <w:t>”), in substantially the same form provided to Subscriber prior to the date hereof, pursuant to which, among other transactions, Merger Sub is to merge with and into Target, with Target continuing on as the surviving entity and a wholly owned subsidiary of Issuer, on the terms and conditions set forth therein (the “</w:t>
      </w:r>
      <w:r>
        <w:rPr>
          <w:rFonts w:ascii="Arial" w:cs="Arial" w:eastAsia="Arial" w:hAnsi="Arial"/>
          <w:sz w:val="17"/>
          <w:szCs w:val="17"/>
          <w:u w:val="single" w:color="auto"/>
          <w:color w:val="auto"/>
        </w:rPr>
        <w:t>Transactions</w:t>
      </w:r>
      <w:r>
        <w:rPr>
          <w:rFonts w:ascii="Arial" w:cs="Arial" w:eastAsia="Arial" w:hAnsi="Arial"/>
          <w:sz w:val="17"/>
          <w:szCs w:val="17"/>
          <w:color w:val="auto"/>
        </w:rPr>
        <w: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WHEREAS, in connection with the Transactions, Subscriber desires to subscribe for and purchase from the Issuer that number of shares of the Issuer’s Class A common stock, par value $0.0001 per share (the “</w:t>
      </w:r>
      <w:r>
        <w:rPr>
          <w:rFonts w:ascii="Arial" w:cs="Arial" w:eastAsia="Arial" w:hAnsi="Arial"/>
          <w:sz w:val="18"/>
          <w:szCs w:val="18"/>
          <w:u w:val="single" w:color="auto"/>
          <w:color w:val="auto"/>
        </w:rPr>
        <w:t>Class A Shares</w:t>
      </w:r>
      <w:r>
        <w:rPr>
          <w:rFonts w:ascii="Arial" w:cs="Arial" w:eastAsia="Arial" w:hAnsi="Arial"/>
          <w:sz w:val="18"/>
          <w:szCs w:val="18"/>
          <w:color w:val="auto"/>
        </w:rPr>
        <w:t>”), as set forth on the signature page hereto (the “</w:t>
      </w:r>
      <w:r>
        <w:rPr>
          <w:rFonts w:ascii="Arial" w:cs="Arial" w:eastAsia="Arial" w:hAnsi="Arial"/>
          <w:sz w:val="18"/>
          <w:szCs w:val="18"/>
          <w:u w:val="single" w:color="auto"/>
          <w:color w:val="auto"/>
        </w:rPr>
        <w:t>Acquired Shares</w:t>
      </w:r>
      <w:r>
        <w:rPr>
          <w:rFonts w:ascii="Arial" w:cs="Arial" w:eastAsia="Arial" w:hAnsi="Arial"/>
          <w:sz w:val="18"/>
          <w:szCs w:val="18"/>
          <w:color w:val="auto"/>
        </w:rPr>
        <w:t>”), for a purchase price of $10.00 per share (the “</w:t>
      </w:r>
      <w:r>
        <w:rPr>
          <w:rFonts w:ascii="Arial" w:cs="Arial" w:eastAsia="Arial" w:hAnsi="Arial"/>
          <w:sz w:val="18"/>
          <w:szCs w:val="18"/>
          <w:u w:val="single" w:color="auto"/>
          <w:color w:val="auto"/>
        </w:rPr>
        <w:t>Per Share Price</w:t>
      </w:r>
      <w:r>
        <w:rPr>
          <w:rFonts w:ascii="Arial" w:cs="Arial" w:eastAsia="Arial" w:hAnsi="Arial"/>
          <w:sz w:val="18"/>
          <w:szCs w:val="18"/>
          <w:color w:val="auto"/>
        </w:rPr>
        <w:t>”) and an aggregate purchase price set forth on the signature page hereto (the “</w:t>
      </w:r>
      <w:r>
        <w:rPr>
          <w:rFonts w:ascii="Arial" w:cs="Arial" w:eastAsia="Arial" w:hAnsi="Arial"/>
          <w:sz w:val="18"/>
          <w:szCs w:val="18"/>
          <w:u w:val="single" w:color="auto"/>
          <w:color w:val="auto"/>
        </w:rPr>
        <w:t>Purchase Price</w:t>
      </w:r>
      <w:r>
        <w:rPr>
          <w:rFonts w:ascii="Arial" w:cs="Arial" w:eastAsia="Arial" w:hAnsi="Arial"/>
          <w:sz w:val="18"/>
          <w:szCs w:val="18"/>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7"/>
          <w:szCs w:val="17"/>
          <w:u w:val="single" w:color="auto"/>
          <w:color w:val="auto"/>
        </w:rPr>
        <w:t>Other Subscriber</w:t>
      </w:r>
      <w:r>
        <w:rPr>
          <w:rFonts w:ascii="Arial" w:cs="Arial" w:eastAsia="Arial" w:hAnsi="Arial"/>
          <w:sz w:val="17"/>
          <w:szCs w:val="17"/>
          <w:color w:val="auto"/>
        </w:rPr>
        <w:t>”), have (severally and not jointly) entered into separate subscription agreements with the Issuer (the “</w:t>
      </w:r>
      <w:r>
        <w:rPr>
          <w:rFonts w:ascii="Arial" w:cs="Arial" w:eastAsia="Arial" w:hAnsi="Arial"/>
          <w:sz w:val="17"/>
          <w:szCs w:val="17"/>
          <w:u w:val="single" w:color="auto"/>
          <w:color w:val="auto"/>
        </w:rPr>
        <w:t>Other Subscription Agreements</w:t>
      </w:r>
      <w:r>
        <w:rPr>
          <w:rFonts w:ascii="Arial" w:cs="Arial" w:eastAsia="Arial" w:hAnsi="Arial"/>
          <w:sz w:val="17"/>
          <w:szCs w:val="17"/>
          <w:color w:val="auto"/>
        </w:rPr>
        <w:t>”), pursuant to which such investors have agreed to purchase Class A Shares on the Closing Date (as defined below) at the Per Share Price (the “</w:t>
      </w:r>
      <w:r>
        <w:rPr>
          <w:rFonts w:ascii="Arial" w:cs="Arial" w:eastAsia="Arial" w:hAnsi="Arial"/>
          <w:sz w:val="17"/>
          <w:szCs w:val="17"/>
          <w:u w:val="single" w:color="auto"/>
          <w:color w:val="auto"/>
        </w:rPr>
        <w:t>Other Acquired Shares</w:t>
      </w:r>
      <w:r>
        <w:rPr>
          <w:rFonts w:ascii="Arial" w:cs="Arial" w:eastAsia="Arial" w:hAnsi="Arial"/>
          <w:sz w:val="17"/>
          <w:szCs w:val="17"/>
          <w:color w:val="auto"/>
        </w:rPr>
        <w: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Class A Shares to be sold by Issuer pursuant to this Subscription Agreement and the Other Subscription Agreements equals 35 million Class A Shares; and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aggregate amount of proceeds to the Issuer in connection with the purchase and sale of the Acquired Shares and the Other Acquired Shares equals $350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16" w:lineRule="exact"/>
        <w:rPr>
          <w:sz w:val="20"/>
          <w:szCs w:val="20"/>
          <w:color w:val="auto"/>
        </w:rPr>
      </w:pPr>
    </w:p>
    <w:p>
      <w:pPr>
        <w:ind w:firstLine="332"/>
        <w:spacing w:after="0" w:line="342" w:lineRule="auto"/>
        <w:tabs>
          <w:tab w:leader="none" w:pos="666" w:val="left"/>
        </w:tabs>
        <w:numPr>
          <w:ilvl w:val="0"/>
          <w:numId w:val="452"/>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6"/>
          <w:szCs w:val="16"/>
          <w:u w:val="single" w:color="auto"/>
          <w:color w:val="auto"/>
        </w:rPr>
        <w:t>Subscription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640" w:hanging="308"/>
        <w:spacing w:after="0"/>
        <w:tabs>
          <w:tab w:leader="none" w:pos="640" w:val="left"/>
        </w:tabs>
        <w:numPr>
          <w:ilvl w:val="0"/>
          <w:numId w:val="452"/>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389"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 closing of the Subscription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8"/>
          <w:szCs w:val="18"/>
          <w:u w:val="single" w:color="auto"/>
          <w:color w:val="auto"/>
        </w:rPr>
        <w:t>Closing Date</w:t>
      </w:r>
      <w:r>
        <w:rPr>
          <w:rFonts w:ascii="Arial" w:cs="Arial" w:eastAsia="Arial" w:hAnsi="Arial"/>
          <w:sz w:val="18"/>
          <w:szCs w:val="18"/>
          <w:color w:val="auto"/>
        </w:rPr>
        <w:t>”), the Issuer shall provide written notice to Subscriber (the “</w:t>
      </w:r>
      <w:r>
        <w:rPr>
          <w:rFonts w:ascii="Arial" w:cs="Arial" w:eastAsia="Arial" w:hAnsi="Arial"/>
          <w:sz w:val="18"/>
          <w:szCs w:val="18"/>
          <w:u w:val="single" w:color="auto"/>
          <w:color w:val="auto"/>
        </w:rPr>
        <w:t>Closing Notice</w:t>
      </w:r>
      <w:r>
        <w:rPr>
          <w:rFonts w:ascii="Arial" w:cs="Arial" w:eastAsia="Arial" w:hAnsi="Arial"/>
          <w:sz w:val="18"/>
          <w:szCs w:val="18"/>
          <w:color w:val="auto"/>
        </w:rPr>
        <w:t>”) of such Closing Date. Subscriber shall deliver to the Issuer no later than one (1) business day before the Closing Date (as specified in the Closing Notice or such other date as otherwise agreed to by the Issuer and the Subscriber, the “</w:t>
      </w:r>
      <w:r>
        <w:rPr>
          <w:rFonts w:ascii="Arial" w:cs="Arial" w:eastAsia="Arial" w:hAnsi="Arial"/>
          <w:sz w:val="18"/>
          <w:szCs w:val="18"/>
          <w:u w:val="single" w:color="auto"/>
          <w:color w:val="auto"/>
        </w:rPr>
        <w:t>Purchase Price Payment Date</w:t>
      </w:r>
      <w:r>
        <w:rPr>
          <w:rFonts w:ascii="Arial" w:cs="Arial" w:eastAsia="Arial" w:hAnsi="Arial"/>
          <w:sz w:val="18"/>
          <w:szCs w:val="18"/>
          <w:color w:val="auto"/>
        </w:rPr>
        <w:t>”)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40"/>
          </w:cols>
          <w:pgMar w:left="320" w:top="121" w:right="339" w:bottom="1440" w:gutter="0" w:footer="0" w:header="0"/>
        </w:sectPr>
      </w:pPr>
    </w:p>
    <w:bookmarkStart w:id="608" w:name="page609"/>
    <w:bookmarkEnd w:id="608"/>
    <w:p>
      <w:pPr>
        <w:spacing w:after="0" w:line="14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Acquired Shares by wire transfer of U.S. dollars in immediately available funds (i) to the account specified by the Issuer in the Closing Notice, to be held in a third-party escrow account (the “</w:t>
      </w:r>
      <w:r>
        <w:rPr>
          <w:rFonts w:ascii="Arial" w:cs="Arial" w:eastAsia="Arial" w:hAnsi="Arial"/>
          <w:sz w:val="16"/>
          <w:szCs w:val="16"/>
          <w:u w:val="single" w:color="auto"/>
          <w:color w:val="auto"/>
        </w:rPr>
        <w:t>Escrow Account</w:t>
      </w:r>
      <w:r>
        <w:rPr>
          <w:rFonts w:ascii="Arial" w:cs="Arial" w:eastAsia="Arial" w:hAnsi="Arial"/>
          <w:sz w:val="16"/>
          <w:szCs w:val="16"/>
          <w:color w:val="auto"/>
        </w:rPr>
        <w:t>”) designated by the Issuer prior to the Closing Date for the benefit of the Subscriber until the Closing Date or (ii) in the case of a Subscriber that is an “investment company” registered under the Investment Company Act of 1940, as amended, to an account specified by the Issuer otherwise mutually agreed by the Subscriber and the Issuer (“</w:t>
      </w:r>
      <w:r>
        <w:rPr>
          <w:rFonts w:ascii="Arial" w:cs="Arial" w:eastAsia="Arial" w:hAnsi="Arial"/>
          <w:sz w:val="16"/>
          <w:szCs w:val="16"/>
          <w:u w:val="single" w:color="auto"/>
          <w:color w:val="auto"/>
        </w:rPr>
        <w:t>Alternative Settlement Procedures</w:t>
      </w:r>
      <w:r>
        <w:rPr>
          <w:rFonts w:ascii="Arial" w:cs="Arial" w:eastAsia="Arial" w:hAnsi="Arial"/>
          <w:sz w:val="16"/>
          <w:szCs w:val="16"/>
          <w:color w:val="auto"/>
        </w:rPr>
        <w:t>”). For the avoidance of doubt, mutually agreeable Alternative Settlement Procedures shall include, without limitation, the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the Subscriber in writing in advance of the Closing, in certificated form, duly executed on behalf of the Issuer and countersigned by the Issuer’s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6"/>
          <w:szCs w:val="16"/>
          <w:u w:val="single" w:color="auto"/>
          <w:color w:val="auto"/>
        </w:rPr>
        <w:t>Subscriber’s Deliveries</w:t>
      </w:r>
      <w:r>
        <w:rPr>
          <w:rFonts w:ascii="Arial" w:cs="Arial" w:eastAsia="Arial" w:hAnsi="Arial"/>
          <w:sz w:val="16"/>
          <w:szCs w:val="16"/>
          <w:color w:val="auto"/>
        </w:rPr>
        <w:t>”). Unless otherwise provided pursuant to Alternative Settlement Procedures, upon the transfer of the Subscriber’s Deliveries by the Issuer to the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the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share certificates shall be deemed cancelled.</w:t>
      </w:r>
    </w:p>
    <w:p>
      <w:pPr>
        <w:spacing w:after="0" w:line="117" w:lineRule="exact"/>
        <w:rPr>
          <w:sz w:val="20"/>
          <w:szCs w:val="20"/>
          <w:color w:val="auto"/>
        </w:rPr>
      </w:pPr>
    </w:p>
    <w:p>
      <w:pPr>
        <w:ind w:left="1360" w:hanging="380"/>
        <w:spacing w:after="0"/>
        <w:tabs>
          <w:tab w:leader="none" w:pos="1360"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The Closing shall be subject to the satisfaction, or valid waiver by each of the parties hereto, of the conditions that, on the Closing Date:</w:t>
      </w:r>
    </w:p>
    <w:p>
      <w:pPr>
        <w:spacing w:after="0" w:line="194" w:lineRule="exact"/>
        <w:rPr>
          <w:rFonts w:ascii="Arial" w:cs="Arial" w:eastAsia="Arial" w:hAnsi="Arial"/>
          <w:sz w:val="16"/>
          <w:szCs w:val="16"/>
          <w:color w:val="auto"/>
        </w:rPr>
      </w:pPr>
    </w:p>
    <w:p>
      <w:pPr>
        <w:jc w:val="both"/>
        <w:ind w:firstLine="1628"/>
        <w:spacing w:after="0" w:line="271" w:lineRule="auto"/>
        <w:tabs>
          <w:tab w:leader="none" w:pos="2055" w:val="left"/>
        </w:tabs>
        <w:numPr>
          <w:ilvl w:val="1"/>
          <w:numId w:val="453"/>
        </w:numPr>
        <w:rPr>
          <w:rFonts w:ascii="Arial" w:cs="Arial" w:eastAsia="Arial" w:hAnsi="Arial"/>
          <w:sz w:val="17"/>
          <w:szCs w:val="17"/>
          <w:color w:val="auto"/>
        </w:rPr>
      </w:pPr>
      <w:r>
        <w:rPr>
          <w:rFonts w:ascii="Arial" w:cs="Arial" w:eastAsia="Arial" w:hAnsi="Arial"/>
          <w:sz w:val="17"/>
          <w:szCs w:val="17"/>
          <w:color w:val="auto"/>
        </w:rPr>
        <w:t xml:space="preserve">solely with respect to Subscriber, the representations and warranties made by the Issuer (other than the representations and warranties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(as defined below), which shall be true and correct in all respects as of the Closing Date), after giving effect to the consummation of the Transactions, and the representations and warranties made by the Issuer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be true and correct in all respects as of the Closing Date (other than those representations and warranties expressly made as of an earlier date, which shall be true and correct in all respects as of such date), in each case without giving effect to the consummation of the Transactions;</w:t>
      </w:r>
    </w:p>
    <w:p>
      <w:pPr>
        <w:spacing w:after="0" w:line="124" w:lineRule="exact"/>
        <w:rPr>
          <w:rFonts w:ascii="Arial" w:cs="Arial" w:eastAsia="Arial" w:hAnsi="Arial"/>
          <w:sz w:val="17"/>
          <w:szCs w:val="17"/>
          <w:color w:val="auto"/>
        </w:rPr>
      </w:pPr>
    </w:p>
    <w:p>
      <w:pPr>
        <w:jc w:val="both"/>
        <w:ind w:firstLine="1628"/>
        <w:spacing w:after="0" w:line="257" w:lineRule="auto"/>
        <w:tabs>
          <w:tab w:leader="none" w:pos="2089" w:val="left"/>
        </w:tabs>
        <w:numPr>
          <w:ilvl w:val="1"/>
          <w:numId w:val="453"/>
        </w:numPr>
        <w:rPr>
          <w:rFonts w:ascii="Arial" w:cs="Arial" w:eastAsia="Arial" w:hAnsi="Arial"/>
          <w:sz w:val="18"/>
          <w:szCs w:val="18"/>
          <w:color w:val="auto"/>
        </w:rPr>
      </w:pPr>
      <w:r>
        <w:rPr>
          <w:rFonts w:ascii="Arial" w:cs="Arial" w:eastAsia="Arial" w:hAnsi="Arial"/>
          <w:sz w:val="18"/>
          <w:szCs w:val="18"/>
          <w:color w:val="auto"/>
        </w:rPr>
        <w:t>solely with respect to the Issuer, the representations and warranties made by the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33" w:lineRule="exact"/>
        <w:rPr>
          <w:rFonts w:ascii="Arial" w:cs="Arial" w:eastAsia="Arial" w:hAnsi="Arial"/>
          <w:sz w:val="18"/>
          <w:szCs w:val="18"/>
          <w:color w:val="auto"/>
        </w:rPr>
      </w:pPr>
    </w:p>
    <w:p>
      <w:pPr>
        <w:ind w:left="2180" w:hanging="552"/>
        <w:spacing w:after="0"/>
        <w:tabs>
          <w:tab w:leader="none" w:pos="2180" w:val="left"/>
        </w:tabs>
        <w:numPr>
          <w:ilvl w:val="1"/>
          <w:numId w:val="453"/>
        </w:numPr>
        <w:rPr>
          <w:rFonts w:ascii="Arial" w:cs="Arial" w:eastAsia="Arial" w:hAnsi="Arial"/>
          <w:sz w:val="17"/>
          <w:szCs w:val="17"/>
          <w:color w:val="auto"/>
        </w:rPr>
      </w:pPr>
      <w:r>
        <w:rPr>
          <w:rFonts w:ascii="Arial" w:cs="Arial" w:eastAsia="Arial" w:hAnsi="Arial"/>
          <w:sz w:val="17"/>
          <w:szCs w:val="17"/>
          <w:color w:val="auto"/>
        </w:rPr>
        <w:t>solely with respect to the Issuer, Subscriber shall have delivered the Purchase Price in compliance with the terms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Subscription Agreement;</w:t>
      </w:r>
    </w:p>
    <w:p>
      <w:pPr>
        <w:spacing w:after="0" w:line="156" w:lineRule="exact"/>
        <w:rPr>
          <w:rFonts w:ascii="Arial" w:cs="Arial" w:eastAsia="Arial" w:hAnsi="Arial"/>
          <w:sz w:val="17"/>
          <w:szCs w:val="17"/>
          <w:color w:val="auto"/>
        </w:rPr>
      </w:pPr>
    </w:p>
    <w:p>
      <w:pPr>
        <w:jc w:val="both"/>
        <w:ind w:firstLine="1628"/>
        <w:spacing w:after="0" w:line="286" w:lineRule="auto"/>
        <w:tabs>
          <w:tab w:leader="none" w:pos="2144" w:val="left"/>
        </w:tabs>
        <w:numPr>
          <w:ilvl w:val="1"/>
          <w:numId w:val="453"/>
        </w:numPr>
        <w:rPr>
          <w:rFonts w:ascii="Arial" w:cs="Arial" w:eastAsia="Arial" w:hAnsi="Arial"/>
          <w:sz w:val="17"/>
          <w:szCs w:val="17"/>
          <w:color w:val="auto"/>
        </w:rPr>
      </w:pPr>
      <w:r>
        <w:rPr>
          <w:rFonts w:ascii="Arial" w:cs="Arial" w:eastAsia="Arial" w:hAnsi="Arial"/>
          <w:sz w:val="17"/>
          <w:szCs w:val="17"/>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44" w:lineRule="exact"/>
        <w:rPr>
          <w:sz w:val="20"/>
          <w:szCs w:val="20"/>
          <w:color w:val="auto"/>
        </w:rPr>
      </w:pPr>
    </w:p>
    <w:p>
      <w:pPr>
        <w:jc w:val="both"/>
        <w:ind w:firstLine="1628"/>
        <w:spacing w:after="0" w:line="263" w:lineRule="auto"/>
        <w:tabs>
          <w:tab w:leader="none" w:pos="2115" w:val="left"/>
        </w:tabs>
        <w:numPr>
          <w:ilvl w:val="2"/>
          <w:numId w:val="454"/>
        </w:numPr>
        <w:rPr>
          <w:rFonts w:ascii="Arial" w:cs="Arial" w:eastAsia="Arial" w:hAnsi="Arial"/>
          <w:sz w:val="18"/>
          <w:szCs w:val="18"/>
          <w:color w:val="auto"/>
        </w:rPr>
      </w:pPr>
      <w:r>
        <w:rPr>
          <w:rFonts w:ascii="Arial" w:cs="Arial" w:eastAsia="Arial" w:hAnsi="Arial"/>
          <w:sz w:val="18"/>
          <w:szCs w:val="18"/>
          <w:color w:val="auto"/>
        </w:rPr>
        <w:t>no suspension of the qualification of the Class A Shares for offering or sale or trading in any applicable jurisdiction, no suspension or removal from listing of the Acquired Shares on The Nasdaq Capital Market (“</w:t>
      </w:r>
      <w:r>
        <w:rPr>
          <w:rFonts w:ascii="Arial" w:cs="Arial" w:eastAsia="Arial" w:hAnsi="Arial"/>
          <w:sz w:val="18"/>
          <w:szCs w:val="18"/>
          <w:u w:val="single" w:color="auto"/>
          <w:color w:val="auto"/>
        </w:rPr>
        <w:t>Nasdaq</w:t>
      </w:r>
      <w:r>
        <w:rPr>
          <w:rFonts w:ascii="Arial" w:cs="Arial" w:eastAsia="Arial" w:hAnsi="Arial"/>
          <w:sz w:val="18"/>
          <w:szCs w:val="18"/>
          <w:color w:val="auto"/>
        </w:rPr>
        <w:t>”) and no initiation or threatening of any proceedings for any of such purposes or delisting, shall have occurred;</w:t>
      </w:r>
    </w:p>
    <w:p>
      <w:pPr>
        <w:spacing w:after="0" w:line="129" w:lineRule="exact"/>
        <w:rPr>
          <w:rFonts w:ascii="Arial" w:cs="Arial" w:eastAsia="Arial" w:hAnsi="Arial"/>
          <w:sz w:val="18"/>
          <w:szCs w:val="18"/>
          <w:color w:val="auto"/>
        </w:rPr>
      </w:pPr>
    </w:p>
    <w:p>
      <w:pPr>
        <w:ind w:left="2180" w:hanging="552"/>
        <w:spacing w:after="0"/>
        <w:tabs>
          <w:tab w:leader="none" w:pos="2180" w:val="left"/>
        </w:tabs>
        <w:numPr>
          <w:ilvl w:val="2"/>
          <w:numId w:val="454"/>
        </w:numPr>
        <w:rPr>
          <w:rFonts w:ascii="Arial" w:cs="Arial" w:eastAsia="Arial" w:hAnsi="Arial"/>
          <w:sz w:val="17"/>
          <w:szCs w:val="17"/>
          <w:color w:val="auto"/>
        </w:rPr>
      </w:pPr>
      <w:r>
        <w:rPr>
          <w:rFonts w:ascii="Arial" w:cs="Arial" w:eastAsia="Arial" w:hAnsi="Arial"/>
          <w:sz w:val="17"/>
          <w:szCs w:val="17"/>
          <w:color w:val="auto"/>
        </w:rPr>
        <w:t>the Issuer’s stockholders shall have approved the issuance of the Acquired Shares and Other Acquired Shares as and if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required by Nasdaq rules;</w:t>
      </w:r>
    </w:p>
    <w:p>
      <w:pPr>
        <w:spacing w:after="0" w:line="156" w:lineRule="exact"/>
        <w:rPr>
          <w:rFonts w:ascii="Arial" w:cs="Arial" w:eastAsia="Arial" w:hAnsi="Arial"/>
          <w:sz w:val="17"/>
          <w:szCs w:val="17"/>
          <w:color w:val="auto"/>
        </w:rPr>
      </w:pPr>
    </w:p>
    <w:p>
      <w:pPr>
        <w:ind w:right="20" w:firstLine="1628"/>
        <w:spacing w:after="0" w:line="277" w:lineRule="auto"/>
        <w:tabs>
          <w:tab w:leader="none" w:pos="2159" w:val="left"/>
        </w:tabs>
        <w:numPr>
          <w:ilvl w:val="2"/>
          <w:numId w:val="454"/>
        </w:numPr>
        <w:rPr>
          <w:rFonts w:ascii="Arial" w:cs="Arial" w:eastAsia="Arial" w:hAnsi="Arial"/>
          <w:sz w:val="18"/>
          <w:szCs w:val="18"/>
          <w:color w:val="auto"/>
        </w:rPr>
      </w:pPr>
      <w:r>
        <w:rPr>
          <w:rFonts w:ascii="Arial" w:cs="Arial" w:eastAsia="Arial" w:hAnsi="Arial"/>
          <w:sz w:val="18"/>
          <w:szCs w:val="18"/>
          <w:color w:val="auto"/>
        </w:rPr>
        <w:t>solely with respect to Subscriber, the Issuer shall have filed with Nasdaq a true and complete Notification Form: Listing of Additional Shares covering the Acquired Shares and Other Acquired Shares;</w:t>
      </w:r>
    </w:p>
    <w:p>
      <w:pPr>
        <w:spacing w:after="0" w:line="116" w:lineRule="exact"/>
        <w:rPr>
          <w:rFonts w:ascii="Arial" w:cs="Arial" w:eastAsia="Arial" w:hAnsi="Arial"/>
          <w:sz w:val="18"/>
          <w:szCs w:val="18"/>
          <w:color w:val="auto"/>
        </w:rPr>
      </w:pPr>
    </w:p>
    <w:p>
      <w:pPr>
        <w:jc w:val="both"/>
        <w:ind w:firstLine="1628"/>
        <w:spacing w:after="0" w:line="301" w:lineRule="auto"/>
        <w:tabs>
          <w:tab w:leader="none" w:pos="2179" w:val="left"/>
        </w:tabs>
        <w:numPr>
          <w:ilvl w:val="2"/>
          <w:numId w:val="454"/>
        </w:numPr>
        <w:rPr>
          <w:rFonts w:ascii="Arial" w:cs="Arial" w:eastAsia="Arial" w:hAnsi="Arial"/>
          <w:sz w:val="16"/>
          <w:szCs w:val="16"/>
          <w:color w:val="auto"/>
        </w:rPr>
      </w:pPr>
      <w:r>
        <w:rPr>
          <w:rFonts w:ascii="Arial" w:cs="Arial" w:eastAsia="Arial" w:hAnsi="Arial"/>
          <w:sz w:val="16"/>
          <w:szCs w:val="16"/>
          <w:color w:val="auto"/>
        </w:rPr>
        <w:t>all conditions precedent to the closing of the Transactions set forth in the Business Combination Agreement, shall have been satisfied or waived (as determined by the Business Combination Agreement and related documentation)(other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and</w:t>
      </w:r>
    </w:p>
    <w:p>
      <w:pPr>
        <w:spacing w:after="0" w:line="103" w:lineRule="exact"/>
        <w:rPr>
          <w:rFonts w:ascii="Arial" w:cs="Arial" w:eastAsia="Arial" w:hAnsi="Arial"/>
          <w:sz w:val="16"/>
          <w:szCs w:val="16"/>
          <w:color w:val="auto"/>
        </w:rPr>
      </w:pPr>
    </w:p>
    <w:p>
      <w:pPr>
        <w:ind w:right="20" w:firstLine="1628"/>
        <w:spacing w:after="0" w:line="342" w:lineRule="auto"/>
        <w:tabs>
          <w:tab w:leader="none" w:pos="2104" w:val="left"/>
        </w:tabs>
        <w:numPr>
          <w:ilvl w:val="2"/>
          <w:numId w:val="454"/>
        </w:numPr>
        <w:rPr>
          <w:rFonts w:ascii="Arial" w:cs="Arial" w:eastAsia="Arial" w:hAnsi="Arial"/>
          <w:sz w:val="16"/>
          <w:szCs w:val="16"/>
          <w:color w:val="auto"/>
        </w:rPr>
      </w:pPr>
      <w:r>
        <w:rPr>
          <w:rFonts w:ascii="Arial" w:cs="Arial" w:eastAsia="Arial" w:hAnsi="Arial"/>
          <w:sz w:val="16"/>
          <w:szCs w:val="16"/>
          <w:color w:val="auto"/>
        </w:rPr>
        <w:t>solely with respect to the Subscriber, there shall have been no amendment, waiver or modification to the Other Subscription Agreements that materially benefits any Other Subscriber thereunder unless the Subscriber has been offered substantially the same benefits.</w:t>
      </w:r>
    </w:p>
    <w:p>
      <w:pPr>
        <w:spacing w:after="0" w:line="69" w:lineRule="exact"/>
        <w:rPr>
          <w:rFonts w:ascii="Arial" w:cs="Arial" w:eastAsia="Arial" w:hAnsi="Arial"/>
          <w:sz w:val="16"/>
          <w:szCs w:val="16"/>
          <w:color w:val="auto"/>
        </w:rPr>
      </w:pPr>
    </w:p>
    <w:p>
      <w:pPr>
        <w:ind w:right="20" w:firstLine="980"/>
        <w:spacing w:after="0" w:line="277" w:lineRule="auto"/>
        <w:tabs>
          <w:tab w:leader="none" w:pos="141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 xml:space="preserve">In addition to the conditions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the obligation of Subscriber to consummate the Closing shall be subject to the satisfaction or valid waiver by Subscriber of the additional conditions that, on the Closing Date:</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011" w:val="left"/>
        </w:tabs>
        <w:numPr>
          <w:ilvl w:val="2"/>
          <w:numId w:val="455"/>
        </w:numPr>
        <w:rPr>
          <w:rFonts w:ascii="Arial" w:cs="Arial" w:eastAsia="Arial" w:hAnsi="Arial"/>
          <w:sz w:val="18"/>
          <w:szCs w:val="18"/>
          <w:color w:val="auto"/>
        </w:rPr>
      </w:pPr>
      <w:r>
        <w:rPr>
          <w:rFonts w:ascii="Arial" w:cs="Arial" w:eastAsia="Arial" w:hAnsi="Arial"/>
          <w:sz w:val="18"/>
          <w:szCs w:val="18"/>
          <w:color w:val="auto"/>
        </w:rPr>
        <w:t>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32" w:lineRule="exact"/>
        <w:rPr>
          <w:rFonts w:ascii="Arial" w:cs="Arial" w:eastAsia="Arial" w:hAnsi="Arial"/>
          <w:sz w:val="18"/>
          <w:szCs w:val="18"/>
          <w:color w:val="auto"/>
        </w:rPr>
      </w:pPr>
    </w:p>
    <w:p>
      <w:pPr>
        <w:ind w:firstLine="1628"/>
        <w:spacing w:after="0" w:line="277" w:lineRule="auto"/>
        <w:tabs>
          <w:tab w:leader="none" w:pos="2038" w:val="left"/>
        </w:tabs>
        <w:numPr>
          <w:ilvl w:val="2"/>
          <w:numId w:val="455"/>
        </w:numPr>
        <w:rPr>
          <w:rFonts w:ascii="Arial" w:cs="Arial" w:eastAsia="Arial" w:hAnsi="Arial"/>
          <w:sz w:val="18"/>
          <w:szCs w:val="18"/>
          <w:color w:val="auto"/>
        </w:rPr>
      </w:pPr>
      <w:r>
        <w:rPr>
          <w:rFonts w:ascii="Arial" w:cs="Arial" w:eastAsia="Arial" w:hAnsi="Arial"/>
          <w:sz w:val="18"/>
          <w:szCs w:val="18"/>
          <w:color w:val="auto"/>
        </w:rPr>
        <w:t>since the date of this Subscription Agreement and as of the Closing Date, there has been no Company Material Adverse Effect (as such term is defined in the Business Combination Agreement)</w:t>
      </w:r>
    </w:p>
    <w:p>
      <w:pPr>
        <w:spacing w:after="0" w:line="116" w:lineRule="exact"/>
        <w:rPr>
          <w:rFonts w:ascii="Arial" w:cs="Arial" w:eastAsia="Arial" w:hAnsi="Arial"/>
          <w:sz w:val="18"/>
          <w:szCs w:val="18"/>
          <w:color w:val="auto"/>
        </w:rPr>
      </w:pPr>
    </w:p>
    <w:p>
      <w:pPr>
        <w:jc w:val="both"/>
        <w:ind w:firstLine="1628"/>
        <w:spacing w:after="0" w:line="259" w:lineRule="auto"/>
        <w:tabs>
          <w:tab w:leader="none" w:pos="2247" w:val="left"/>
        </w:tabs>
        <w:numPr>
          <w:ilvl w:val="2"/>
          <w:numId w:val="455"/>
        </w:numPr>
        <w:rPr>
          <w:rFonts w:ascii="Arial" w:cs="Arial" w:eastAsia="Arial" w:hAnsi="Arial"/>
          <w:sz w:val="18"/>
          <w:szCs w:val="18"/>
          <w:color w:val="auto"/>
        </w:rPr>
      </w:pPr>
      <w:r>
        <w:rPr>
          <w:rFonts w:ascii="Arial" w:cs="Arial" w:eastAsia="Arial" w:hAnsi="Arial"/>
          <w:sz w:val="18"/>
          <w:szCs w:val="18"/>
          <w:color w:val="auto"/>
        </w:rPr>
        <w:t>except to the extent consented to in writing by Subscriber, the Business Combination Agreement (as filed with the Commission on or immediately following the date hereof) shall not have been amended, modified, supplemented or waived in a manner that would reasonably be expected to materially and adversely affect the economic benefits that Subscriber would reasonably expect to receive under this Subscription Agreement; and</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2" w:lineRule="exact"/>
        <w:rPr>
          <w:rFonts w:ascii="Arial" w:cs="Arial" w:eastAsia="Arial" w:hAnsi="Arial"/>
          <w:sz w:val="18"/>
          <w:szCs w:val="18"/>
          <w:color w:val="auto"/>
        </w:rPr>
      </w:pPr>
    </w:p>
    <w:p>
      <w:pPr>
        <w:ind w:left="640" w:hanging="308"/>
        <w:spacing w:after="0"/>
        <w:tabs>
          <w:tab w:leader="none" w:pos="640" w:val="left"/>
        </w:tabs>
        <w:numPr>
          <w:ilvl w:val="0"/>
          <w:numId w:val="456"/>
        </w:numPr>
        <w:rPr>
          <w:rFonts w:ascii="Arial" w:cs="Arial" w:eastAsia="Arial" w:hAnsi="Arial"/>
          <w:sz w:val="18"/>
          <w:szCs w:val="18"/>
          <w:color w:val="auto"/>
        </w:rPr>
      </w:pPr>
      <w:r>
        <w:rPr>
          <w:rFonts w:ascii="Arial" w:cs="Arial" w:eastAsia="Arial" w:hAnsi="Arial"/>
          <w:sz w:val="18"/>
          <w:szCs w:val="18"/>
          <w:u w:val="single" w:color="auto"/>
          <w:color w:val="auto"/>
        </w:rPr>
        <w:t>Issuer Representations and Warranties</w:t>
      </w:r>
      <w:r>
        <w:rPr>
          <w:rFonts w:ascii="Arial" w:cs="Arial" w:eastAsia="Arial" w:hAnsi="Arial"/>
          <w:sz w:val="18"/>
          <w:szCs w:val="18"/>
          <w:color w:val="auto"/>
        </w:rPr>
        <w:t>. The Issuer represents and warrants to the Subscriber that: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368"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7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restrictions except as otherwise stated herein and will not have been issued in violation of or subject to any preemptive or similar rights created under the Issuer’s certificate of incorporation and bylaws (each, as amended concurrently with the Closing) or under the laws of the State of Delaware or otherwise.</w:t>
      </w:r>
    </w:p>
    <w:p>
      <w:pPr>
        <w:spacing w:after="0" w:line="130" w:lineRule="exact"/>
        <w:rPr>
          <w:sz w:val="20"/>
          <w:szCs w:val="20"/>
          <w:color w:val="auto"/>
        </w:rPr>
      </w:pPr>
    </w:p>
    <w:p>
      <w:pPr>
        <w:jc w:val="both"/>
        <w:ind w:firstLine="980"/>
        <w:spacing w:after="0" w:line="275" w:lineRule="auto"/>
        <w:tabs>
          <w:tab w:leader="none" w:pos="1536" w:val="left"/>
        </w:tabs>
        <w:numPr>
          <w:ilvl w:val="1"/>
          <w:numId w:val="457"/>
        </w:numPr>
        <w:rPr>
          <w:rFonts w:ascii="Arial" w:cs="Arial" w:eastAsia="Arial" w:hAnsi="Arial"/>
          <w:sz w:val="17"/>
          <w:szCs w:val="17"/>
          <w:color w:val="auto"/>
        </w:rPr>
      </w:pPr>
      <w:r>
        <w:rPr>
          <w:rFonts w:ascii="Arial" w:cs="Arial" w:eastAsia="Arial" w:hAnsi="Arial"/>
          <w:sz w:val="17"/>
          <w:szCs w:val="17"/>
          <w:color w:val="auto"/>
        </w:rPr>
        <w:t>This Subscription Agreement, the Business Combination Agreement and the Other Subscription Agreements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22" w:lineRule="exact"/>
        <w:rPr>
          <w:rFonts w:ascii="Arial" w:cs="Arial" w:eastAsia="Arial" w:hAnsi="Arial"/>
          <w:sz w:val="17"/>
          <w:szCs w:val="17"/>
          <w:color w:val="auto"/>
        </w:rPr>
      </w:pPr>
    </w:p>
    <w:p>
      <w:pPr>
        <w:jc w:val="both"/>
        <w:ind w:firstLine="980"/>
        <w:spacing w:after="0" w:line="286" w:lineRule="auto"/>
        <w:tabs>
          <w:tab w:leader="none" w:pos="1394" w:val="left"/>
        </w:tabs>
        <w:numPr>
          <w:ilvl w:val="1"/>
          <w:numId w:val="457"/>
        </w:numPr>
        <w:rPr>
          <w:rFonts w:ascii="Arial" w:cs="Arial" w:eastAsia="Arial" w:hAnsi="Arial"/>
          <w:sz w:val="16"/>
          <w:szCs w:val="16"/>
          <w:color w:val="auto"/>
        </w:rPr>
      </w:pPr>
      <w:r>
        <w:rPr>
          <w:rFonts w:ascii="Arial" w:cs="Arial" w:eastAsia="Arial" w:hAnsi="Arial"/>
          <w:sz w:val="16"/>
          <w:szCs w:val="16"/>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is a party or by which the Issuer is bound or to which any of the property or assets of the Issuer is subject; (ii) the organizational documents of the Issuer; or (iii) any statute or any judgment, order, rule or regulation of any court or governmental agency, taxing authority or regulatory body, domestic or foreign, having jurisdiction over the Issuer or any of its properties, that, in the case of clause (i) or (iii), would reasonably be expected to have a Material Adverse Effect. For purposes of this Subscription Agreement, a “Material Adverse Effect” means an event, change, development, occurrence, condition or effect with respect to the Issuer and its subsidiaries, taken together as a whole (on a consolidated basis), that, individually or in the aggregate, would reasonably be expected to have a material adverse effect on the business, properties, financial condition, stockholders’ equity or results of operations of the Issuer or Target or their respective subsidiaries individually or taken as a whole and including the combined company after giving effect to the Transactions, or materially affects the Issuer’s ability to consummate the (i) transactions contemplated hereby, including the issuance and sale of the Acquired Shares or (ii) the Transactions.</w:t>
      </w:r>
    </w:p>
    <w:p>
      <w:pPr>
        <w:spacing w:after="0" w:line="119" w:lineRule="exact"/>
        <w:rPr>
          <w:rFonts w:ascii="Arial" w:cs="Arial" w:eastAsia="Arial" w:hAnsi="Arial"/>
          <w:sz w:val="16"/>
          <w:szCs w:val="16"/>
          <w:color w:val="auto"/>
        </w:rPr>
      </w:pPr>
    </w:p>
    <w:p>
      <w:pPr>
        <w:jc w:val="both"/>
        <w:ind w:firstLine="980"/>
        <w:spacing w:after="0" w:line="301" w:lineRule="auto"/>
        <w:tabs>
          <w:tab w:leader="none" w:pos="1350" w:val="left"/>
        </w:tabs>
        <w:numPr>
          <w:ilvl w:val="1"/>
          <w:numId w:val="457"/>
        </w:numPr>
        <w:rPr>
          <w:rFonts w:ascii="Arial" w:cs="Arial" w:eastAsia="Arial" w:hAnsi="Arial"/>
          <w:sz w:val="16"/>
          <w:szCs w:val="16"/>
          <w:color w:val="auto"/>
        </w:rPr>
      </w:pPr>
      <w:r>
        <w:rPr>
          <w:rFonts w:ascii="Arial" w:cs="Arial" w:eastAsia="Arial" w:hAnsi="Arial"/>
          <w:sz w:val="16"/>
          <w:szCs w:val="16"/>
          <w:color w:val="auto"/>
        </w:rPr>
        <w:t>There are no securities or instruments issued by or to which the Issuer is a party containing anti-dilution or similar provisions that will be triggered by the issuance of (i) the Acquired Shares, (ii) the shares to be issued pursuant to any Other Subscription Agreement or (iii) the shares to be issued pursuant to the Transactions, in each case, that have not been or will not be validly waived on or prior to the Closing Date, including such provisions in the Issuer’s Class B common stock, par value $0.0001 per share (the “</w:t>
      </w:r>
      <w:r>
        <w:rPr>
          <w:rFonts w:ascii="Arial" w:cs="Arial" w:eastAsia="Arial" w:hAnsi="Arial"/>
          <w:sz w:val="16"/>
          <w:szCs w:val="16"/>
          <w:u w:val="single" w:color="auto"/>
          <w:color w:val="auto"/>
        </w:rPr>
        <w:t>Class B Shares</w:t>
      </w:r>
      <w:r>
        <w:rPr>
          <w:rFonts w:ascii="Arial" w:cs="Arial" w:eastAsia="Arial" w:hAnsi="Arial"/>
          <w:sz w:val="16"/>
          <w:szCs w:val="16"/>
          <w:color w:val="auto"/>
        </w:rPr>
        <w:t>”), pursuant to the terms of the Issuer’s certificate of incorporation.</w:t>
      </w:r>
    </w:p>
    <w:p>
      <w:pPr>
        <w:spacing w:after="0" w:line="103" w:lineRule="exact"/>
        <w:rPr>
          <w:rFonts w:ascii="Arial" w:cs="Arial" w:eastAsia="Arial" w:hAnsi="Arial"/>
          <w:sz w:val="16"/>
          <w:szCs w:val="16"/>
          <w:color w:val="auto"/>
        </w:rPr>
      </w:pPr>
    </w:p>
    <w:p>
      <w:pPr>
        <w:jc w:val="both"/>
        <w:ind w:firstLine="980"/>
        <w:spacing w:after="0" w:line="285" w:lineRule="auto"/>
        <w:tabs>
          <w:tab w:leader="none" w:pos="1373" w:val="left"/>
        </w:tabs>
        <w:numPr>
          <w:ilvl w:val="1"/>
          <w:numId w:val="457"/>
        </w:numPr>
        <w:rPr>
          <w:rFonts w:ascii="Arial" w:cs="Arial" w:eastAsia="Arial" w:hAnsi="Arial"/>
          <w:sz w:val="16"/>
          <w:szCs w:val="16"/>
          <w:color w:val="auto"/>
        </w:rPr>
      </w:pPr>
      <w:r>
        <w:rPr>
          <w:rFonts w:ascii="Arial" w:cs="Arial" w:eastAsia="Arial" w:hAnsi="Arial"/>
          <w:sz w:val="16"/>
          <w:szCs w:val="16"/>
          <w:color w:val="auto"/>
        </w:rPr>
        <w:t>The Issuer is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is a party or by which the Issuer’s properties or assets are bound or (iii) any statute or any judgment, order, rule or regulation of any court or governmental agency, taxing authority or regulatory body, domestic or foreign, having jurisdiction over the Issuer or any of its properties, except, in the case of clauses</w:t>
      </w:r>
    </w:p>
    <w:p>
      <w:pPr>
        <w:spacing w:after="0" w:line="1" w:lineRule="exact"/>
        <w:rPr>
          <w:rFonts w:ascii="Arial" w:cs="Arial" w:eastAsia="Arial" w:hAnsi="Arial"/>
          <w:sz w:val="16"/>
          <w:szCs w:val="16"/>
          <w:color w:val="auto"/>
        </w:rPr>
      </w:pPr>
    </w:p>
    <w:p>
      <w:pPr>
        <w:ind w:right="20" w:firstLine="8"/>
        <w:spacing w:after="0" w:line="260" w:lineRule="auto"/>
        <w:tabs>
          <w:tab w:leader="none" w:pos="267"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and (iii), for defaults or violations that have not had and would not reasonably be expected to have, individually or in the aggregate, a Material Adverse Effect.</w:t>
      </w:r>
    </w:p>
    <w:p>
      <w:pPr>
        <w:spacing w:after="0" w:line="131" w:lineRule="exact"/>
        <w:rPr>
          <w:rFonts w:ascii="Arial" w:cs="Arial" w:eastAsia="Arial" w:hAnsi="Arial"/>
          <w:sz w:val="18"/>
          <w:szCs w:val="18"/>
          <w:color w:val="auto"/>
        </w:rPr>
      </w:pPr>
    </w:p>
    <w:p>
      <w:pPr>
        <w:jc w:val="both"/>
        <w:ind w:firstLine="980"/>
        <w:spacing w:after="0" w:line="293" w:lineRule="auto"/>
        <w:tabs>
          <w:tab w:leader="none" w:pos="1384" w:val="left"/>
        </w:tabs>
        <w:numPr>
          <w:ilvl w:val="1"/>
          <w:numId w:val="458"/>
        </w:numPr>
        <w:rPr>
          <w:rFonts w:ascii="Arial" w:cs="Arial" w:eastAsia="Arial" w:hAnsi="Arial"/>
          <w:sz w:val="16"/>
          <w:szCs w:val="16"/>
          <w:color w:val="auto"/>
        </w:rPr>
      </w:pPr>
      <w:r>
        <w:rPr>
          <w:rFonts w:ascii="Arial" w:cs="Arial" w:eastAsia="Arial" w:hAnsi="Arial"/>
          <w:sz w:val="16"/>
          <w:szCs w:val="16"/>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or prior to the Closing, (vi) any filing, the failure of which to obtain would not reasonably be expected to have, individually or in the aggregate, a Material Adverse Effect; (vii) as set forth in the Business Combination Agreement; and (viii) the filing of a Notice of Exempt Offering of Securities on Form D with the Commission under Regulation D of the Securities Act.</w:t>
      </w:r>
    </w:p>
    <w:p>
      <w:pPr>
        <w:spacing w:after="0" w:line="130" w:lineRule="exact"/>
        <w:rPr>
          <w:sz w:val="20"/>
          <w:szCs w:val="20"/>
          <w:color w:val="auto"/>
        </w:rPr>
      </w:pPr>
    </w:p>
    <w:p>
      <w:pPr>
        <w:jc w:val="both"/>
        <w:ind w:firstLine="980"/>
        <w:spacing w:after="0" w:line="286" w:lineRule="auto"/>
        <w:tabs>
          <w:tab w:leader="none" w:pos="1366" w:val="left"/>
        </w:tabs>
        <w:numPr>
          <w:ilvl w:val="0"/>
          <w:numId w:val="459"/>
        </w:numPr>
        <w:rPr>
          <w:rFonts w:ascii="Arial" w:cs="Arial" w:eastAsia="Arial" w:hAnsi="Arial"/>
          <w:sz w:val="16"/>
          <w:szCs w:val="16"/>
          <w:color w:val="auto"/>
        </w:rPr>
      </w:pPr>
      <w:r>
        <w:rPr>
          <w:rFonts w:ascii="Arial" w:cs="Arial" w:eastAsia="Arial" w:hAnsi="Arial"/>
          <w:sz w:val="16"/>
          <w:szCs w:val="16"/>
          <w:color w:val="auto"/>
        </w:rPr>
        <w:t>As of the date of this Subscription Agreement and as of immediately prior to the Closing Date, the authorized capital stock of the Issuer consists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400,000,000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including (1) 380,000,000 Class A Shares and (2) 20,000,000 Class B Shares. As of the date of this Subscription Agreement, (i) no shares of Preferred Stock are issued and outstanding, (ii) 44,275,000 Class A Shares are issued and outstanding, (iii) 11,068,750 Class B Shares are issued and outstanding and (iv) 14,758,333 redeemable warrants and 7,236,667 private placement warrants are outstanding. All (i) issued and outstanding Class A Shares and Class B Shares have been duly authorized and validly issued, are fully paid and are non-assessable and are not subject to and were not issued in violation of any preemptive rights and (ii) outstanding warrants have been duly authorized and validly issued, are fully paid and are not subject to and were not issued in violation of any preemptive rights. Except as set forth above and pursuant to the Other Subscription Agreements and the Business Combination Agreement, there are no outstanding options, warrants or other rights to subscribe for, purchase or acquire from the Issuer any shares of Common Stock or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(i) as set forth in the SEC Reports and (ii) as contemplated by the Business Combination Agreement. Except as disclosed in the SEC Reports, as of the date hereof, the Issuer had no outstanding indebtedness and will not have any outstanding long-term indebtedness as of the Closing Date.</w:t>
      </w:r>
    </w:p>
    <w:p>
      <w:pPr>
        <w:spacing w:after="0" w:line="113" w:lineRule="exact"/>
        <w:rPr>
          <w:rFonts w:ascii="Arial" w:cs="Arial" w:eastAsia="Arial" w:hAnsi="Arial"/>
          <w:sz w:val="16"/>
          <w:szCs w:val="16"/>
          <w:color w:val="auto"/>
        </w:rPr>
      </w:pPr>
    </w:p>
    <w:p>
      <w:pPr>
        <w:jc w:val="both"/>
        <w:ind w:firstLine="980"/>
        <w:spacing w:after="0" w:line="263" w:lineRule="auto"/>
        <w:tabs>
          <w:tab w:leader="none" w:pos="137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Issuer is in compliance with all applicable laws and has not received any written communication from a governmental entity that alleges that the Issuer is not in compliance with or is in default or violation of any applicable law, except where such non-compliance, default or violation would not, individually or in the aggregate, be reasonably likely to be material.</w:t>
      </w:r>
    </w:p>
    <w:p>
      <w:pPr>
        <w:spacing w:after="0" w:line="129" w:lineRule="exact"/>
        <w:rPr>
          <w:rFonts w:ascii="Arial" w:cs="Arial" w:eastAsia="Arial" w:hAnsi="Arial"/>
          <w:sz w:val="18"/>
          <w:szCs w:val="18"/>
          <w:color w:val="auto"/>
        </w:rPr>
      </w:pPr>
    </w:p>
    <w:p>
      <w:pPr>
        <w:jc w:val="both"/>
        <w:ind w:firstLine="980"/>
        <w:spacing w:after="0" w:line="254" w:lineRule="auto"/>
        <w:tabs>
          <w:tab w:leader="none" w:pos="1338"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issued and outstanding Class A Shares are registered pursuant to Section 12(b)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are listed for trading on Nasdaq under the symbol “CMLF” (it being understood that the trading symbol will be changed in connection with the Transaction).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continued listing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37" w:lineRule="exact"/>
        <w:rPr>
          <w:rFonts w:ascii="Arial" w:cs="Arial" w:eastAsia="Arial" w:hAnsi="Arial"/>
          <w:sz w:val="18"/>
          <w:szCs w:val="18"/>
          <w:color w:val="auto"/>
        </w:rPr>
      </w:pPr>
    </w:p>
    <w:p>
      <w:pPr>
        <w:jc w:val="both"/>
        <w:ind w:firstLine="980"/>
        <w:spacing w:after="0" w:line="273" w:lineRule="auto"/>
        <w:tabs>
          <w:tab w:leader="none" w:pos="137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 xml:space="preserve">Assuming the accuracy of Subscriber’s representations and warranties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23" w:lineRule="exact"/>
        <w:rPr>
          <w:rFonts w:ascii="Arial" w:cs="Arial" w:eastAsia="Arial" w:hAnsi="Arial"/>
          <w:sz w:val="17"/>
          <w:szCs w:val="17"/>
          <w:color w:val="auto"/>
        </w:rPr>
      </w:pPr>
    </w:p>
    <w:p>
      <w:pPr>
        <w:jc w:val="both"/>
        <w:ind w:firstLine="980"/>
        <w:spacing w:after="0" w:line="311" w:lineRule="auto"/>
        <w:tabs>
          <w:tab w:leader="none" w:pos="1339" w:val="left"/>
        </w:tabs>
        <w:numPr>
          <w:ilvl w:val="0"/>
          <w:numId w:val="459"/>
        </w:numPr>
        <w:rPr>
          <w:rFonts w:ascii="Arial" w:cs="Arial" w:eastAsia="Arial" w:hAnsi="Arial"/>
          <w:sz w:val="16"/>
          <w:szCs w:val="16"/>
          <w:color w:val="auto"/>
        </w:rPr>
      </w:pPr>
      <w:r>
        <w:rPr>
          <w:rFonts w:ascii="Arial" w:cs="Arial" w:eastAsia="Arial" w:hAnsi="Arial"/>
          <w:sz w:val="16"/>
          <w:szCs w:val="16"/>
          <w:color w:val="auto"/>
        </w:rPr>
        <w:t>Each report, statement and form (including exhibits and other information incorporated therein) filed by the Issuer with the Commission under Sections 13(a), 14(a) or 15(d) of the Exchange Act or filed pursuant to the Securities Act since its initial registration of the Class A Shares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Reports</w:t>
      </w:r>
      <w:r>
        <w:rPr>
          <w:rFonts w:ascii="Arial" w:cs="Arial" w:eastAsia="Arial" w:hAnsi="Arial"/>
          <w:sz w:val="16"/>
          <w:szCs w:val="16"/>
          <w:color w:val="auto"/>
        </w:rPr>
        <w:t>”) when filed complied in all material respects with the requirements of the Securities Act and the Exchange Act and the rules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320" w:top="1440" w:right="339" w:bottom="1440" w:gutter="0" w:footer="0" w:header="0"/>
        </w:sectPr>
      </w:pPr>
    </w:p>
    <w:bookmarkStart w:id="612" w:name="page613"/>
    <w:bookmarkEnd w:id="612"/>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the proxy statement to be filed by the Issuer with respect to the Transactions included in any SEC Report or filed as an exhibit thereto, the representation and warranty in this sentence is made to the Issuer’s knowledge. The Issuer has timely filed each SEC Report that the Issuer was required to file with the Commission since its inception.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its initial registration of the Class A Shares with the Commission.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as at the respective dates thereof and for the respective periods indicated therein.</w:t>
      </w:r>
    </w:p>
    <w:p>
      <w:pPr>
        <w:spacing w:after="0" w:line="128" w:lineRule="exact"/>
        <w:rPr>
          <w:sz w:val="20"/>
          <w:szCs w:val="20"/>
          <w:color w:val="auto"/>
        </w:rPr>
      </w:pPr>
    </w:p>
    <w:p>
      <w:pPr>
        <w:jc w:val="both"/>
        <w:ind w:firstLine="980"/>
        <w:spacing w:after="0" w:line="259" w:lineRule="auto"/>
        <w:tabs>
          <w:tab w:leader="none" w:pos="1474"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Target or (ii) judgment, decree, injunction, ruling or order of any governmental entity outstanding against the Issuer or Target.</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98" w:val="left"/>
        </w:tabs>
        <w:numPr>
          <w:ilvl w:val="0"/>
          <w:numId w:val="460"/>
        </w:numPr>
        <w:rPr>
          <w:rFonts w:ascii="Arial" w:cs="Arial" w:eastAsia="Arial" w:hAnsi="Arial"/>
          <w:sz w:val="17"/>
          <w:szCs w:val="17"/>
          <w:color w:val="auto"/>
        </w:rPr>
      </w:pPr>
      <w:r>
        <w:rPr>
          <w:rFonts w:ascii="Arial" w:cs="Arial" w:eastAsia="Arial" w:hAnsi="Arial"/>
          <w:sz w:val="17"/>
          <w:szCs w:val="17"/>
          <w:color w:val="auto"/>
        </w:rPr>
        <w:t>Except for placement fees payable to the Placement Agent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the Subscriber. The Issuer is solely responsible for the payment of any fees, costs, expenses and commissions of the Placement Agent.</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37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32" w:lineRule="exact"/>
        <w:rPr>
          <w:rFonts w:ascii="Arial" w:cs="Arial" w:eastAsia="Arial" w:hAnsi="Arial"/>
          <w:sz w:val="18"/>
          <w:szCs w:val="18"/>
          <w:color w:val="auto"/>
        </w:rPr>
      </w:pPr>
    </w:p>
    <w:p>
      <w:pPr>
        <w:jc w:val="both"/>
        <w:ind w:firstLine="980"/>
        <w:spacing w:after="0" w:line="259" w:lineRule="auto"/>
        <w:tabs>
          <w:tab w:leader="none" w:pos="1378"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32" w:lineRule="exact"/>
        <w:rPr>
          <w:rFonts w:ascii="Arial" w:cs="Arial" w:eastAsia="Arial" w:hAnsi="Arial"/>
          <w:sz w:val="18"/>
          <w:szCs w:val="18"/>
          <w:color w:val="auto"/>
        </w:rPr>
      </w:pPr>
    </w:p>
    <w:p>
      <w:pPr>
        <w:jc w:val="both"/>
        <w:ind w:firstLine="980"/>
        <w:spacing w:after="0" w:line="254" w:lineRule="auto"/>
        <w:tabs>
          <w:tab w:leader="none" w:pos="145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Issuer has not entered into any side letter or similar agreement with any Other Subscriber relating to such Other Subscriber’s purchase of its respective Other Acquired Shares other than the Other Subscription Agreements, the Registration Rights Agreement to the extent that a Subscriber is party thereto, or any side letter or similar agreement unrelated to such Other Acquired Shares or whose terms are not materially more advantageous to such Other Subscriber than the Subscriber hereunder. The Other Subscription Agreements (and any amendments thereto) reflect the same Per Share Price and other material terms with respect to the purchase of the Other Acquired Shares that are no more favorable to such Other Subscriber thereunder than the terms of this Subscription Agreement other than terms particular to the regulatory requirements of such subscriber or its affiliates or related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40"/>
          </w:cols>
          <w:pgMar w:left="320" w:top="1440" w:right="339" w:bottom="1440" w:gutter="0" w:footer="0" w:header="0"/>
        </w:sectPr>
      </w:pPr>
    </w:p>
    <w:bookmarkStart w:id="613" w:name="page614"/>
    <w:bookmarkEnd w:id="613"/>
    <w:p>
      <w:pPr>
        <w:spacing w:after="0" w:line="144" w:lineRule="exact"/>
        <w:rPr>
          <w:sz w:val="20"/>
          <w:szCs w:val="20"/>
          <w:color w:val="auto"/>
        </w:rPr>
      </w:pPr>
    </w:p>
    <w:p>
      <w:pPr>
        <w:ind w:firstLine="980"/>
        <w:spacing w:after="0" w:line="277" w:lineRule="auto"/>
        <w:tabs>
          <w:tab w:leader="none" w:pos="134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16" w:lineRule="exact"/>
        <w:rPr>
          <w:rFonts w:ascii="Arial" w:cs="Arial" w:eastAsia="Arial" w:hAnsi="Arial"/>
          <w:sz w:val="18"/>
          <w:szCs w:val="18"/>
          <w:color w:val="auto"/>
        </w:rPr>
      </w:pPr>
    </w:p>
    <w:p>
      <w:pPr>
        <w:jc w:val="both"/>
        <w:ind w:firstLine="980"/>
        <w:spacing w:after="0" w:line="290" w:lineRule="auto"/>
        <w:tabs>
          <w:tab w:leader="none" w:pos="1367"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any applicable laws relating to corruption and bribery, including the U.S. Foreign Corrupt Practices Act of 1977 (as amended), the UK Bribery Act 2010, and any similar law that prohibits bribery or corruption.</w:t>
      </w:r>
    </w:p>
    <w:p>
      <w:pPr>
        <w:spacing w:after="0" w:line="111" w:lineRule="exact"/>
        <w:rPr>
          <w:rFonts w:ascii="Arial" w:cs="Arial" w:eastAsia="Arial" w:hAnsi="Arial"/>
          <w:sz w:val="16"/>
          <w:szCs w:val="16"/>
          <w:color w:val="auto"/>
        </w:rPr>
      </w:pPr>
    </w:p>
    <w:p>
      <w:pPr>
        <w:jc w:val="both"/>
        <w:ind w:firstLine="980"/>
        <w:spacing w:after="0" w:line="263" w:lineRule="auto"/>
        <w:tabs>
          <w:tab w:leader="none" w:pos="1373"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 Class A Shares are eligible for clearing through The Depository Trust Company (the “</w:t>
      </w:r>
      <w:r>
        <w:rPr>
          <w:rFonts w:ascii="Arial" w:cs="Arial" w:eastAsia="Arial" w:hAnsi="Arial"/>
          <w:sz w:val="18"/>
          <w:szCs w:val="18"/>
          <w:u w:val="single" w:color="auto"/>
          <w:color w:val="auto"/>
        </w:rPr>
        <w:t>DTC</w:t>
      </w:r>
      <w:r>
        <w:rPr>
          <w:rFonts w:ascii="Arial" w:cs="Arial" w:eastAsia="Arial" w:hAnsi="Arial"/>
          <w:sz w:val="18"/>
          <w:szCs w:val="18"/>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129" w:lineRule="exact"/>
        <w:rPr>
          <w:rFonts w:ascii="Arial" w:cs="Arial" w:eastAsia="Arial" w:hAnsi="Arial"/>
          <w:sz w:val="18"/>
          <w:szCs w:val="18"/>
          <w:color w:val="auto"/>
        </w:rPr>
      </w:pPr>
    </w:p>
    <w:p>
      <w:pPr>
        <w:jc w:val="both"/>
        <w:ind w:firstLine="980"/>
        <w:spacing w:after="0" w:line="311" w:lineRule="auto"/>
        <w:tabs>
          <w:tab w:leader="none" w:pos="140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391" w:val="left"/>
        </w:tabs>
        <w:numPr>
          <w:ilvl w:val="1"/>
          <w:numId w:val="461"/>
        </w:numPr>
        <w:rPr>
          <w:rFonts w:ascii="Arial" w:cs="Arial" w:eastAsia="Arial" w:hAnsi="Arial"/>
          <w:sz w:val="18"/>
          <w:szCs w:val="18"/>
          <w:color w:val="auto"/>
        </w:rPr>
      </w:pPr>
      <w:r>
        <w:rPr>
          <w:rFonts w:ascii="Arial" w:cs="Arial" w:eastAsia="Arial" w:hAnsi="Arial"/>
          <w:sz w:val="18"/>
          <w:szCs w:val="18"/>
          <w:color w:val="auto"/>
        </w:rPr>
        <w:t>Following the Closing, the Acquired Shares will not be subject to any Transfer Restriction. The term “</w:t>
      </w:r>
      <w:r>
        <w:rPr>
          <w:rFonts w:ascii="Arial" w:cs="Arial" w:eastAsia="Arial" w:hAnsi="Arial"/>
          <w:sz w:val="18"/>
          <w:szCs w:val="18"/>
          <w:u w:val="single" w:color="auto"/>
          <w:color w:val="auto"/>
        </w:rPr>
        <w:t>Transfer Restriction</w:t>
      </w:r>
      <w:r>
        <w:rPr>
          <w:rFonts w:ascii="Arial" w:cs="Arial" w:eastAsia="Arial" w:hAnsi="Arial"/>
          <w:sz w:val="18"/>
          <w:szCs w:val="18"/>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 with respect to the status of the Acquired Shares as “restricted securities” pending their registration for resale under the Securities Act in accordance with the terms of this Subscription Agreement or the Registration Rights Agreement.</w:t>
      </w:r>
    </w:p>
    <w:p>
      <w:pPr>
        <w:spacing w:after="0" w:line="133" w:lineRule="exact"/>
        <w:rPr>
          <w:rFonts w:ascii="Arial" w:cs="Arial" w:eastAsia="Arial" w:hAnsi="Arial"/>
          <w:sz w:val="18"/>
          <w:szCs w:val="18"/>
          <w:color w:val="auto"/>
        </w:rPr>
      </w:pPr>
    </w:p>
    <w:p>
      <w:pPr>
        <w:ind w:left="640" w:hanging="308"/>
        <w:spacing w:after="0"/>
        <w:tabs>
          <w:tab w:leader="none" w:pos="640"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Subscriber Representations and Warranties</w:t>
      </w:r>
      <w:r>
        <w:rPr>
          <w:rFonts w:ascii="Arial" w:cs="Arial" w:eastAsia="Arial" w:hAnsi="Arial"/>
          <w:sz w:val="18"/>
          <w:szCs w:val="18"/>
          <w:color w:val="auto"/>
        </w:rPr>
        <w:t>. Subscriber represents and warrants that:</w:t>
      </w:r>
    </w:p>
    <w:p>
      <w:pPr>
        <w:spacing w:after="0" w:line="171" w:lineRule="exact"/>
        <w:rPr>
          <w:rFonts w:ascii="Arial" w:cs="Arial" w:eastAsia="Arial" w:hAnsi="Arial"/>
          <w:sz w:val="18"/>
          <w:szCs w:val="18"/>
          <w:color w:val="auto"/>
        </w:rPr>
      </w:pPr>
    </w:p>
    <w:p>
      <w:pPr>
        <w:jc w:val="both"/>
        <w:ind w:firstLine="980"/>
        <w:spacing w:after="0" w:line="311" w:lineRule="auto"/>
        <w:tabs>
          <w:tab w:leader="none" w:pos="1352" w:val="left"/>
        </w:tabs>
        <w:numPr>
          <w:ilvl w:val="1"/>
          <w:numId w:val="462"/>
        </w:numPr>
        <w:rPr>
          <w:rFonts w:ascii="Arial" w:cs="Arial" w:eastAsia="Arial" w:hAnsi="Arial"/>
          <w:sz w:val="16"/>
          <w:szCs w:val="16"/>
          <w:color w:val="auto"/>
        </w:rPr>
      </w:pPr>
      <w:r>
        <w:rPr>
          <w:rFonts w:ascii="Arial" w:cs="Arial" w:eastAsia="Arial" w:hAnsi="Arial"/>
          <w:sz w:val="16"/>
          <w:szCs w:val="16"/>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94" w:lineRule="exact"/>
        <w:rPr>
          <w:rFonts w:ascii="Arial" w:cs="Arial" w:eastAsia="Arial" w:hAnsi="Arial"/>
          <w:sz w:val="16"/>
          <w:szCs w:val="16"/>
          <w:color w:val="auto"/>
        </w:rPr>
      </w:pPr>
    </w:p>
    <w:p>
      <w:pPr>
        <w:jc w:val="both"/>
        <w:ind w:firstLine="980"/>
        <w:spacing w:after="0" w:line="257" w:lineRule="auto"/>
        <w:tabs>
          <w:tab w:leader="none" w:pos="1453" w:val="left"/>
        </w:tabs>
        <w:numPr>
          <w:ilvl w:val="1"/>
          <w:numId w:val="462"/>
        </w:numPr>
        <w:rPr>
          <w:rFonts w:ascii="Arial" w:cs="Arial" w:eastAsia="Arial" w:hAnsi="Arial"/>
          <w:sz w:val="18"/>
          <w:szCs w:val="18"/>
          <w:color w:val="auto"/>
        </w:rPr>
      </w:pPr>
      <w:r>
        <w:rPr>
          <w:rFonts w:ascii="Arial" w:cs="Arial" w:eastAsia="Arial" w:hAnsi="Arial"/>
          <w:sz w:val="18"/>
          <w:szCs w:val="18"/>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33" w:lineRule="exact"/>
        <w:rPr>
          <w:rFonts w:ascii="Arial" w:cs="Arial" w:eastAsia="Arial" w:hAnsi="Arial"/>
          <w:sz w:val="18"/>
          <w:szCs w:val="18"/>
          <w:color w:val="auto"/>
        </w:rPr>
      </w:pPr>
    </w:p>
    <w:p>
      <w:pPr>
        <w:jc w:val="both"/>
        <w:ind w:firstLine="980"/>
        <w:spacing w:after="0" w:line="275" w:lineRule="auto"/>
        <w:tabs>
          <w:tab w:leader="none" w:pos="1362" w:val="left"/>
        </w:tabs>
        <w:numPr>
          <w:ilvl w:val="1"/>
          <w:numId w:val="462"/>
        </w:numPr>
        <w:rPr>
          <w:rFonts w:ascii="Arial" w:cs="Arial" w:eastAsia="Arial" w:hAnsi="Arial"/>
          <w:sz w:val="17"/>
          <w:szCs w:val="17"/>
          <w:color w:val="auto"/>
        </w:rPr>
      </w:pPr>
      <w:r>
        <w:rPr>
          <w:rFonts w:ascii="Arial" w:cs="Arial" w:eastAsia="Arial" w:hAnsi="Arial"/>
          <w:sz w:val="17"/>
          <w:szCs w:val="17"/>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neither the Issuer nor Target nor any of their respective affiliates, have provided any tax advice or any other representation or guarantee, whether written or oral, regarding the tax consequences of the transactions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40"/>
          </w:cols>
          <w:pgMar w:left="320" w:top="1440" w:right="339" w:bottom="1440" w:gutter="0" w:footer="0" w:header="0"/>
        </w:sectPr>
      </w:pPr>
    </w:p>
    <w:bookmarkStart w:id="614" w:name="page615"/>
    <w:bookmarkEnd w:id="614"/>
    <w:p>
      <w:pPr>
        <w:spacing w:after="0" w:line="145" w:lineRule="exact"/>
        <w:rPr>
          <w:sz w:val="20"/>
          <w:szCs w:val="20"/>
          <w:color w:val="auto"/>
        </w:rPr>
      </w:pPr>
    </w:p>
    <w:p>
      <w:pPr>
        <w:jc w:val="both"/>
        <w:ind w:firstLine="980"/>
        <w:spacing w:after="0" w:line="289" w:lineRule="auto"/>
        <w:tabs>
          <w:tab w:leader="none" w:pos="1372"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12" w:lineRule="exact"/>
        <w:rPr>
          <w:rFonts w:ascii="Arial" w:cs="Arial" w:eastAsia="Arial" w:hAnsi="Arial"/>
          <w:sz w:val="16"/>
          <w:szCs w:val="16"/>
          <w:color w:val="auto"/>
        </w:rPr>
      </w:pPr>
    </w:p>
    <w:p>
      <w:pPr>
        <w:jc w:val="both"/>
        <w:ind w:firstLine="980"/>
        <w:spacing w:after="0" w:line="269" w:lineRule="auto"/>
        <w:tabs>
          <w:tab w:leader="none" w:pos="1443" w:val="left"/>
        </w:tabs>
        <w:numPr>
          <w:ilvl w:val="0"/>
          <w:numId w:val="463"/>
        </w:numPr>
        <w:rPr>
          <w:rFonts w:ascii="Arial" w:cs="Arial" w:eastAsia="Arial" w:hAnsi="Arial"/>
          <w:sz w:val="17"/>
          <w:szCs w:val="17"/>
          <w:color w:val="auto"/>
        </w:rPr>
      </w:pPr>
      <w:r>
        <w:rPr>
          <w:rFonts w:ascii="Arial" w:cs="Arial" w:eastAsia="Arial" w:hAnsi="Arial"/>
          <w:sz w:val="17"/>
          <w:szCs w:val="17"/>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acknowledgments, representations and agreements herein on behalf of each owner of each such account, and (iii)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31" w:lineRule="exact"/>
        <w:rPr>
          <w:rFonts w:ascii="Arial" w:cs="Arial" w:eastAsia="Arial" w:hAnsi="Arial"/>
          <w:sz w:val="17"/>
          <w:szCs w:val="17"/>
          <w:color w:val="auto"/>
        </w:rPr>
      </w:pPr>
    </w:p>
    <w:p>
      <w:pPr>
        <w:jc w:val="both"/>
        <w:ind w:firstLine="980"/>
        <w:spacing w:after="0" w:line="285" w:lineRule="auto"/>
        <w:tabs>
          <w:tab w:leader="none" w:pos="1353" w:val="left"/>
        </w:tabs>
        <w:numPr>
          <w:ilvl w:val="0"/>
          <w:numId w:val="463"/>
        </w:numPr>
        <w:rPr>
          <w:rFonts w:ascii="Arial" w:cs="Arial" w:eastAsia="Arial" w:hAnsi="Arial"/>
          <w:sz w:val="16"/>
          <w:szCs w:val="16"/>
          <w:color w:val="auto"/>
        </w:rPr>
      </w:pPr>
      <w:r>
        <w:rPr>
          <w:rFonts w:ascii="Arial" w:cs="Arial" w:eastAsia="Arial" w:hAnsi="Arial"/>
          <w:sz w:val="16"/>
          <w:szCs w:val="16"/>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or any other jurisdiction.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Regulation S under the Securities Act, (iii) pursuant to Rule 144 under the Securities Act, provided that all of the applicable conditions thereof (including those set out in Rule 144(i) which are applicable to the Issuer) have been met, or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and in the Amended and Restated Registration Rights Agreement, dated the date hereof, by and among the Issuer and other parties thereto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to the extent that Subscriber is party to the Registration Rights Agreement, in which case, notwithstanding anything else contained herein to the contrary, Section 5 and 8(c) hereof shall not apply and not be effective with respect to such Subscriber.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240"/>
          </w:cols>
          <w:pgMar w:left="320" w:top="1440" w:right="339" w:bottom="1440" w:gutter="0" w:footer="0" w:header="0"/>
        </w:sectPr>
      </w:pPr>
    </w:p>
    <w:bookmarkStart w:id="615" w:name="page616"/>
    <w:bookmarkEnd w:id="615"/>
    <w:p>
      <w:pPr>
        <w:spacing w:after="0" w:line="144" w:lineRule="exact"/>
        <w:rPr>
          <w:sz w:val="20"/>
          <w:szCs w:val="20"/>
          <w:color w:val="auto"/>
        </w:rPr>
      </w:pPr>
    </w:p>
    <w:p>
      <w:pPr>
        <w:jc w:val="both"/>
        <w:ind w:firstLine="980"/>
        <w:spacing w:after="0" w:line="279" w:lineRule="auto"/>
        <w:tabs>
          <w:tab w:leader="none" w:pos="1489" w:val="left"/>
        </w:tabs>
        <w:numPr>
          <w:ilvl w:val="0"/>
          <w:numId w:val="464"/>
        </w:numPr>
        <w:rPr>
          <w:rFonts w:ascii="Arial" w:cs="Arial" w:eastAsia="Arial" w:hAnsi="Arial"/>
          <w:sz w:val="17"/>
          <w:szCs w:val="17"/>
          <w:color w:val="auto"/>
        </w:rPr>
      </w:pPr>
      <w:r>
        <w:rPr>
          <w:rFonts w:ascii="Arial" w:cs="Arial" w:eastAsia="Arial" w:hAnsi="Arial"/>
          <w:sz w:val="17"/>
          <w:szCs w:val="17"/>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17" w:lineRule="exact"/>
        <w:rPr>
          <w:rFonts w:ascii="Arial" w:cs="Arial" w:eastAsia="Arial" w:hAnsi="Arial"/>
          <w:sz w:val="17"/>
          <w:szCs w:val="17"/>
          <w:color w:val="auto"/>
        </w:rPr>
      </w:pPr>
    </w:p>
    <w:p>
      <w:pPr>
        <w:jc w:val="both"/>
        <w:ind w:firstLine="980"/>
        <w:spacing w:after="0" w:line="263" w:lineRule="auto"/>
        <w:tabs>
          <w:tab w:leader="none" w:pos="146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or any applicable similar law.</w:t>
      </w:r>
    </w:p>
    <w:p>
      <w:pPr>
        <w:spacing w:after="0" w:line="129" w:lineRule="exact"/>
        <w:rPr>
          <w:rFonts w:ascii="Arial" w:cs="Arial" w:eastAsia="Arial" w:hAnsi="Arial"/>
          <w:sz w:val="18"/>
          <w:szCs w:val="18"/>
          <w:color w:val="auto"/>
        </w:rPr>
      </w:pPr>
    </w:p>
    <w:p>
      <w:pPr>
        <w:jc w:val="both"/>
        <w:ind w:firstLine="980"/>
        <w:spacing w:after="0" w:line="267" w:lineRule="auto"/>
        <w:tabs>
          <w:tab w:leader="none" w:pos="1352"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In making its decision to purchase the Acquired Shares, Subscriber represents that it has conducted and completed its own independent due diligence and has independently made its own analysis and decision with respect to the Subscription. Subscriber further represents that, except for the representations, warranties, covenants and agreements made by Issuer herein, it is relying exclusively on its own sources of information, investment analysis and due diligence (including professional advice Subscriber deems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reviewed and understood the offering materials made available to it in connection with the Subscription and such other information as Subscriber deems necessary in order to make an investment decision with respect to the Acquired Shares, including with respect to the Issuer, Target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Target, the Placement Agent,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Subscription Agreement, in making its investment or decision to invest in the Issuer.</w:t>
      </w:r>
    </w:p>
    <w:p>
      <w:pPr>
        <w:spacing w:after="0" w:line="137" w:lineRule="exact"/>
        <w:rPr>
          <w:rFonts w:ascii="Arial" w:cs="Arial" w:eastAsia="Arial" w:hAnsi="Arial"/>
          <w:sz w:val="17"/>
          <w:szCs w:val="17"/>
          <w:color w:val="auto"/>
        </w:rPr>
      </w:pPr>
    </w:p>
    <w:p>
      <w:pPr>
        <w:jc w:val="both"/>
        <w:ind w:firstLine="980"/>
        <w:spacing w:after="0" w:line="301" w:lineRule="auto"/>
        <w:tabs>
          <w:tab w:leader="none" w:pos="1343" w:val="left"/>
        </w:tabs>
        <w:numPr>
          <w:ilvl w:val="0"/>
          <w:numId w:val="464"/>
        </w:numPr>
        <w:rPr>
          <w:rFonts w:ascii="Arial" w:cs="Arial" w:eastAsia="Arial" w:hAnsi="Arial"/>
          <w:sz w:val="16"/>
          <w:szCs w:val="16"/>
          <w:color w:val="auto"/>
        </w:rPr>
      </w:pPr>
      <w:r>
        <w:rPr>
          <w:rFonts w:ascii="Arial" w:cs="Arial" w:eastAsia="Arial" w:hAnsi="Arial"/>
          <w:sz w:val="16"/>
          <w:szCs w:val="16"/>
          <w:color w:val="auto"/>
        </w:rPr>
        <w:t>Subscriber became aware of this offering of the Acquired Shares solely by means of direct contact between Subscriber and the Issuer or by means of contact from Jefferies LLC acting as placement agent for the Issuer (the “</w:t>
      </w:r>
      <w:r>
        <w:rPr>
          <w:rFonts w:ascii="Arial" w:cs="Arial" w:eastAsia="Arial" w:hAnsi="Arial"/>
          <w:sz w:val="16"/>
          <w:szCs w:val="16"/>
          <w:u w:val="single" w:color="auto"/>
          <w:color w:val="auto"/>
        </w:rPr>
        <w:t>Placement Agent</w:t>
      </w:r>
      <w:r>
        <w:rPr>
          <w:rFonts w:ascii="Arial" w:cs="Arial" w:eastAsia="Arial" w:hAnsi="Arial"/>
          <w:sz w:val="16"/>
          <w:szCs w:val="16"/>
          <w:color w:val="auto"/>
        </w:rPr>
        <w:t>”), and the Acquired Shares were offered to Subscriber solely by direct contact between Subscriber and the Issuer or by contact between Subscriber and one or more Placement Agent. Subscriber did not become aware of this offering of the Acquired Shares, nor were the Acquired Shares offered to Subscriber, by any other means.</w:t>
      </w:r>
    </w:p>
    <w:p>
      <w:pPr>
        <w:spacing w:after="0" w:line="103" w:lineRule="exact"/>
        <w:rPr>
          <w:rFonts w:ascii="Arial" w:cs="Arial" w:eastAsia="Arial" w:hAnsi="Arial"/>
          <w:sz w:val="16"/>
          <w:szCs w:val="16"/>
          <w:color w:val="auto"/>
        </w:rPr>
      </w:pPr>
    </w:p>
    <w:p>
      <w:pPr>
        <w:jc w:val="both"/>
        <w:ind w:firstLine="980"/>
        <w:spacing w:after="0" w:line="263" w:lineRule="auto"/>
        <w:tabs>
          <w:tab w:leader="none" w:pos="1526"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Subscriber acknowledges and agrees that the Placement Agent is acting solely as the placement agent in connection with the Subscription and is not acting as underwriters or in any other capacity and is not and shall not be construed as a fiduciary for Subscriber, the Issuer or any other person or entity in connection with the Subscription.</w:t>
      </w:r>
    </w:p>
    <w:p>
      <w:pPr>
        <w:spacing w:after="0" w:line="129" w:lineRule="exact"/>
        <w:rPr>
          <w:rFonts w:ascii="Arial" w:cs="Arial" w:eastAsia="Arial" w:hAnsi="Arial"/>
          <w:sz w:val="18"/>
          <w:szCs w:val="18"/>
          <w:color w:val="auto"/>
        </w:rPr>
      </w:pPr>
    </w:p>
    <w:p>
      <w:pPr>
        <w:jc w:val="both"/>
        <w:ind w:firstLine="980"/>
        <w:spacing w:after="0" w:line="257" w:lineRule="auto"/>
        <w:tabs>
          <w:tab w:leader="none" w:pos="1353" w:val="left"/>
        </w:tabs>
        <w:numPr>
          <w:ilvl w:val="0"/>
          <w:numId w:val="464"/>
        </w:numPr>
        <w:rPr>
          <w:rFonts w:ascii="Arial" w:cs="Arial" w:eastAsia="Arial" w:hAnsi="Arial"/>
          <w:sz w:val="18"/>
          <w:szCs w:val="18"/>
          <w:color w:val="auto"/>
        </w:rPr>
      </w:pPr>
      <w:r>
        <w:rPr>
          <w:rFonts w:ascii="Arial" w:cs="Arial" w:eastAsia="Arial" w:hAnsi="Arial"/>
          <w:sz w:val="18"/>
          <w:szCs w:val="18"/>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40"/>
          </w:cols>
          <w:pgMar w:left="320" w:top="1440" w:right="339" w:bottom="1440" w:gutter="0" w:footer="0" w:header="0"/>
        </w:sectPr>
      </w:pPr>
    </w:p>
    <w:bookmarkStart w:id="616" w:name="page617"/>
    <w:bookmarkEnd w:id="616"/>
    <w:p>
      <w:pPr>
        <w:spacing w:after="0" w:line="145" w:lineRule="exact"/>
        <w:rPr>
          <w:sz w:val="20"/>
          <w:szCs w:val="20"/>
          <w:color w:val="auto"/>
        </w:rPr>
      </w:pPr>
    </w:p>
    <w:p>
      <w:pPr>
        <w:jc w:val="both"/>
        <w:ind w:firstLine="980"/>
        <w:spacing w:after="0" w:line="259" w:lineRule="auto"/>
        <w:tabs>
          <w:tab w:leader="none" w:pos="1457" w:val="left"/>
        </w:tabs>
        <w:numPr>
          <w:ilvl w:val="2"/>
          <w:numId w:val="465"/>
        </w:numPr>
        <w:rPr>
          <w:rFonts w:ascii="Arial" w:cs="Arial" w:eastAsia="Arial" w:hAnsi="Arial"/>
          <w:sz w:val="18"/>
          <w:szCs w:val="18"/>
          <w:color w:val="auto"/>
        </w:rPr>
      </w:pPr>
      <w:r>
        <w:rPr>
          <w:rFonts w:ascii="Arial" w:cs="Arial" w:eastAsia="Arial" w:hAnsi="Arial"/>
          <w:sz w:val="18"/>
          <w:szCs w:val="18"/>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32" w:lineRule="exact"/>
        <w:rPr>
          <w:rFonts w:ascii="Arial" w:cs="Arial" w:eastAsia="Arial" w:hAnsi="Arial"/>
          <w:sz w:val="18"/>
          <w:szCs w:val="18"/>
          <w:color w:val="auto"/>
        </w:rPr>
      </w:pPr>
    </w:p>
    <w:p>
      <w:pPr>
        <w:ind w:firstLine="980"/>
        <w:spacing w:after="0" w:line="277" w:lineRule="auto"/>
        <w:tabs>
          <w:tab w:leader="none" w:pos="1370" w:val="left"/>
        </w:tabs>
        <w:numPr>
          <w:ilvl w:val="2"/>
          <w:numId w:val="465"/>
        </w:numPr>
        <w:rPr>
          <w:rFonts w:ascii="Arial" w:cs="Arial" w:eastAsia="Arial" w:hAnsi="Arial"/>
          <w:sz w:val="18"/>
          <w:szCs w:val="18"/>
          <w:color w:val="auto"/>
        </w:rPr>
      </w:pPr>
      <w:r>
        <w:rPr>
          <w:rFonts w:ascii="Arial" w:cs="Arial" w:eastAsia="Arial" w:hAnsi="Arial"/>
          <w:sz w:val="18"/>
          <w:szCs w:val="18"/>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16" w:lineRule="exact"/>
        <w:rPr>
          <w:rFonts w:ascii="Arial" w:cs="Arial" w:eastAsia="Arial" w:hAnsi="Arial"/>
          <w:sz w:val="18"/>
          <w:szCs w:val="18"/>
          <w:color w:val="auto"/>
        </w:rPr>
      </w:pPr>
    </w:p>
    <w:p>
      <w:pPr>
        <w:jc w:val="both"/>
        <w:ind w:firstLine="980"/>
        <w:spacing w:after="0" w:line="268" w:lineRule="auto"/>
        <w:tabs>
          <w:tab w:leader="none" w:pos="1381" w:val="left"/>
        </w:tabs>
        <w:numPr>
          <w:ilvl w:val="2"/>
          <w:numId w:val="465"/>
        </w:numPr>
        <w:rPr>
          <w:rFonts w:ascii="Arial" w:cs="Arial" w:eastAsia="Arial" w:hAnsi="Arial"/>
          <w:sz w:val="17"/>
          <w:szCs w:val="17"/>
          <w:color w:val="auto"/>
        </w:rPr>
      </w:pPr>
      <w:r>
        <w:rPr>
          <w:rFonts w:ascii="Arial" w:cs="Arial" w:eastAsia="Arial" w:hAnsi="Arial"/>
          <w:sz w:val="17"/>
          <w:szCs w:val="17"/>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(collectively, “</w:t>
      </w:r>
      <w:r>
        <w:rPr>
          <w:rFonts w:ascii="Arial" w:cs="Arial" w:eastAsia="Arial" w:hAnsi="Arial"/>
          <w:sz w:val="17"/>
          <w:szCs w:val="17"/>
          <w:u w:val="single" w:color="auto"/>
          <w:color w:val="auto"/>
        </w:rPr>
        <w:t>OFAC Lists</w:t>
      </w:r>
      <w:r>
        <w:rPr>
          <w:rFonts w:ascii="Arial" w:cs="Arial" w:eastAsia="Arial" w:hAnsi="Arial"/>
          <w:sz w:val="17"/>
          <w:szCs w:val="17"/>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7"/>
          <w:szCs w:val="17"/>
          <w:u w:val="single" w:color="auto"/>
          <w:color w:val="auto"/>
        </w:rPr>
        <w:t>BSA</w:t>
      </w:r>
      <w:r>
        <w:rPr>
          <w:rFonts w:ascii="Arial" w:cs="Arial" w:eastAsia="Arial" w:hAnsi="Arial"/>
          <w:sz w:val="17"/>
          <w:szCs w:val="17"/>
          <w:color w:val="auto"/>
        </w:rPr>
        <w:t>”), as amended by the USA PATRIOT Act of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and its implementing regulations (collectively, the “</w:t>
      </w:r>
      <w:r>
        <w:rPr>
          <w:rFonts w:ascii="Arial" w:cs="Arial" w:eastAsia="Arial" w:hAnsi="Arial"/>
          <w:sz w:val="17"/>
          <w:szCs w:val="17"/>
          <w:u w:val="single" w:color="auto"/>
          <w:color w:val="auto"/>
        </w:rPr>
        <w:t>BSA/PATRIOT Act</w:t>
      </w:r>
      <w:r>
        <w:rPr>
          <w:rFonts w:ascii="Arial" w:cs="Arial" w:eastAsia="Arial" w:hAnsi="Arial"/>
          <w:sz w:val="17"/>
          <w:szCs w:val="17"/>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spacing w:after="0" w:line="127" w:lineRule="exact"/>
        <w:rPr>
          <w:rFonts w:ascii="Arial" w:cs="Arial" w:eastAsia="Arial" w:hAnsi="Arial"/>
          <w:sz w:val="17"/>
          <w:szCs w:val="17"/>
          <w:color w:val="auto"/>
        </w:rPr>
      </w:pPr>
    </w:p>
    <w:p>
      <w:pPr>
        <w:jc w:val="both"/>
        <w:ind w:firstLine="980"/>
        <w:spacing w:after="0" w:line="291" w:lineRule="auto"/>
        <w:tabs>
          <w:tab w:leader="none" w:pos="1443" w:val="left"/>
        </w:tabs>
        <w:numPr>
          <w:ilvl w:val="2"/>
          <w:numId w:val="465"/>
        </w:numPr>
        <w:rPr>
          <w:rFonts w:ascii="Arial" w:cs="Arial" w:eastAsia="Arial" w:hAnsi="Arial"/>
          <w:sz w:val="16"/>
          <w:szCs w:val="16"/>
          <w:color w:val="auto"/>
        </w:rPr>
      </w:pPr>
      <w:r>
        <w:rPr>
          <w:rFonts w:ascii="Arial" w:cs="Arial" w:eastAsia="Arial" w:hAnsi="Arial"/>
          <w:sz w:val="16"/>
          <w:szCs w:val="16"/>
          <w:color w:val="auto"/>
        </w:rPr>
        <w:t>If Subscriber is or is acting on behalf of (i) an employee benefit plan that is subject to Title I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(ii) a plan, an individual retirement account or other arrangement that is subject to Section 4975 of the Code,</w:t>
      </w:r>
    </w:p>
    <w:p>
      <w:pPr>
        <w:jc w:val="both"/>
        <w:ind w:firstLine="8"/>
        <w:spacing w:after="0" w:line="268" w:lineRule="auto"/>
        <w:tabs>
          <w:tab w:leader="none" w:pos="331" w:val="left"/>
        </w:tabs>
        <w:numPr>
          <w:ilvl w:val="0"/>
          <w:numId w:val="466"/>
        </w:numPr>
        <w:rPr>
          <w:rFonts w:ascii="Arial" w:cs="Arial" w:eastAsia="Arial" w:hAnsi="Arial"/>
          <w:sz w:val="17"/>
          <w:szCs w:val="17"/>
          <w:color w:val="auto"/>
        </w:rPr>
      </w:pPr>
      <w:r>
        <w:rPr>
          <w:rFonts w:ascii="Arial" w:cs="Arial" w:eastAsia="Arial" w:hAnsi="Arial"/>
          <w:sz w:val="17"/>
          <w:szCs w:val="17"/>
          <w:color w:val="auto"/>
        </w:rPr>
        <w:t>an entity whose underlying assets are considered to include "plan assets" of any such plan, account or arrangement described in clauses (i) and (ii) (each, an "</w:t>
      </w:r>
      <w:r>
        <w:rPr>
          <w:rFonts w:ascii="Arial" w:cs="Arial" w:eastAsia="Arial" w:hAnsi="Arial"/>
          <w:sz w:val="17"/>
          <w:szCs w:val="17"/>
          <w:u w:val="single" w:color="auto"/>
          <w:color w:val="auto"/>
        </w:rPr>
        <w:t>ERISA Plan</w:t>
      </w:r>
      <w:r>
        <w:rPr>
          <w:rFonts w:ascii="Arial" w:cs="Arial" w:eastAsia="Arial" w:hAnsi="Arial"/>
          <w:sz w:val="17"/>
          <w:szCs w:val="17"/>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7"/>
          <w:szCs w:val="17"/>
          <w:u w:val="single" w:color="auto"/>
          <w:color w:val="auto"/>
        </w:rPr>
        <w:t>Similar Laws</w:t>
      </w:r>
      <w:r>
        <w:rPr>
          <w:rFonts w:ascii="Arial" w:cs="Arial" w:eastAsia="Arial" w:hAnsi="Arial"/>
          <w:sz w:val="17"/>
          <w:szCs w:val="17"/>
          <w:color w:val="auto"/>
        </w:rPr>
        <w:t>," and together with ERISA Plans, "</w:t>
      </w:r>
      <w:r>
        <w:rPr>
          <w:rFonts w:ascii="Arial" w:cs="Arial" w:eastAsia="Arial" w:hAnsi="Arial"/>
          <w:sz w:val="17"/>
          <w:szCs w:val="17"/>
          <w:u w:val="single" w:color="auto"/>
          <w:color w:val="auto"/>
        </w:rPr>
        <w:t>Plans</w:t>
      </w:r>
      <w:r>
        <w:rPr>
          <w:rFonts w:ascii="Arial" w:cs="Arial" w:eastAsia="Arial" w:hAnsi="Arial"/>
          <w:sz w:val="17"/>
          <w:szCs w:val="17"/>
          <w:color w:val="auto"/>
        </w:rPr>
        <w:t>"), then Subscriber represents and warrants that it has not relied on the Issuer or any of its affiliates (the “</w:t>
      </w:r>
      <w:r>
        <w:rPr>
          <w:rFonts w:ascii="Arial" w:cs="Arial" w:eastAsia="Arial" w:hAnsi="Arial"/>
          <w:sz w:val="17"/>
          <w:szCs w:val="17"/>
          <w:u w:val="single" w:color="auto"/>
          <w:color w:val="auto"/>
        </w:rPr>
        <w:t>Transaction Parties</w:t>
      </w:r>
      <w:r>
        <w:rPr>
          <w:rFonts w:ascii="Arial" w:cs="Arial" w:eastAsia="Arial" w:hAnsi="Arial"/>
          <w:sz w:val="17"/>
          <w:szCs w:val="17"/>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27" w:lineRule="exact"/>
        <w:rPr>
          <w:rFonts w:ascii="Arial" w:cs="Arial" w:eastAsia="Arial" w:hAnsi="Arial"/>
          <w:sz w:val="17"/>
          <w:szCs w:val="17"/>
          <w:color w:val="auto"/>
        </w:rPr>
      </w:pPr>
    </w:p>
    <w:p>
      <w:pPr>
        <w:ind w:left="1360" w:hanging="380"/>
        <w:spacing w:after="0"/>
        <w:tabs>
          <w:tab w:leader="none" w:pos="1360" w:val="left"/>
        </w:tabs>
        <w:numPr>
          <w:ilvl w:val="2"/>
          <w:numId w:val="466"/>
        </w:numPr>
        <w:rPr>
          <w:rFonts w:ascii="Arial" w:cs="Arial" w:eastAsia="Arial" w:hAnsi="Arial"/>
          <w:sz w:val="17"/>
          <w:szCs w:val="17"/>
          <w:color w:val="auto"/>
        </w:rPr>
      </w:pPr>
      <w:r>
        <w:rPr>
          <w:rFonts w:ascii="Arial" w:cs="Arial" w:eastAsia="Arial" w:hAnsi="Arial"/>
          <w:sz w:val="17"/>
          <w:szCs w:val="17"/>
          <w:color w:val="auto"/>
        </w:rPr>
        <w:t xml:space="preserve">At the Purchase Price Payment Date, Subscriber will have sufficient funds to pay the Purchase Price pursuant to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640" w:hanging="308"/>
        <w:spacing w:after="0"/>
        <w:tabs>
          <w:tab w:leader="none" w:pos="640" w:val="left"/>
        </w:tabs>
        <w:numPr>
          <w:ilvl w:val="1"/>
          <w:numId w:val="46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14" w:val="left"/>
        </w:tabs>
        <w:numPr>
          <w:ilvl w:val="2"/>
          <w:numId w:val="467"/>
        </w:numPr>
        <w:rPr>
          <w:rFonts w:ascii="Arial" w:cs="Arial" w:eastAsia="Arial" w:hAnsi="Arial"/>
          <w:sz w:val="18"/>
          <w:szCs w:val="18"/>
          <w:color w:val="auto"/>
        </w:rPr>
      </w:pPr>
      <w:r>
        <w:rPr>
          <w:rFonts w:ascii="Arial" w:cs="Arial" w:eastAsia="Arial" w:hAnsi="Arial"/>
          <w:sz w:val="18"/>
          <w:szCs w:val="18"/>
          <w:color w:val="auto"/>
        </w:rPr>
        <w:t>The Issuer agrees that, as soon as practicable, but in no event later than thirty (30) calendar days after the Closing Date (the “</w:t>
      </w:r>
      <w:r>
        <w:rPr>
          <w:rFonts w:ascii="Arial" w:cs="Arial" w:eastAsia="Arial" w:hAnsi="Arial"/>
          <w:sz w:val="18"/>
          <w:szCs w:val="18"/>
          <w:u w:val="single" w:color="auto"/>
          <w:color w:val="auto"/>
        </w:rPr>
        <w:t>Filing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the Issuer will file with the Commission (at the Issuer’s sole cost and expense) a registration statement registering the resale of the Acquired Shares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40"/>
          </w:cols>
          <w:pgMar w:left="320" w:top="1440" w:right="339" w:bottom="1440" w:gutter="0" w:footer="0" w:header="0"/>
        </w:sectPr>
      </w:pPr>
    </w:p>
    <w:bookmarkStart w:id="617" w:name="page618"/>
    <w:bookmarkEnd w:id="617"/>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Issuer shall use its commercially reasonable efforts to cause the Registration Statement to be declared effective as soon as practicable after the filing thereof, but no later than the earlier of (i) the 60th calendar day (or 100th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Commission is closed for operations due to a government shutdown, the Effectiveness Date shall be extended by the same amount of days that the Commission remains closed for operations,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Issuer will provide a draft of the Registration Statement to the undersigned for review at least two (2)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to be registered for each selling shareholder named in the Registration Statement shall be reduced pro rata among all such selling shareholders.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6"/>
          <w:szCs w:val="16"/>
          <w:u w:val="single" w:color="auto"/>
          <w:color w:val="auto"/>
        </w:rPr>
        <w:t>Rule 144</w:t>
      </w:r>
      <w:r>
        <w:rPr>
          <w:rFonts w:ascii="Arial" w:cs="Arial" w:eastAsia="Arial" w:hAnsi="Arial"/>
          <w:sz w:val="16"/>
          <w:szCs w:val="16"/>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“Registrable Securities”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w:t>
      </w:r>
    </w:p>
    <w:p>
      <w:pPr>
        <w:spacing w:after="0" w:line="8" w:lineRule="exact"/>
        <w:rPr>
          <w:sz w:val="20"/>
          <w:szCs w:val="20"/>
          <w:color w:val="auto"/>
        </w:rPr>
      </w:pPr>
    </w:p>
    <w:p>
      <w:pPr>
        <w:jc w:val="both"/>
        <w:ind w:firstLine="8"/>
        <w:spacing w:after="0" w:line="253" w:lineRule="auto"/>
        <w:tabs>
          <w:tab w:leader="none" w:pos="29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or (C) when they shall have ceased to be outstanding or three (3) years from the date of effectiveness 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45" w:lineRule="exact"/>
        <w:rPr>
          <w:sz w:val="20"/>
          <w:szCs w:val="20"/>
          <w:color w:val="auto"/>
        </w:rPr>
      </w:pPr>
    </w:p>
    <w:p>
      <w:pPr>
        <w:jc w:val="both"/>
        <w:ind w:firstLine="980"/>
        <w:spacing w:after="0" w:line="263" w:lineRule="auto"/>
        <w:tabs>
          <w:tab w:leader="none" w:pos="1362"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29" w:lineRule="exact"/>
        <w:rPr>
          <w:rFonts w:ascii="Arial" w:cs="Arial" w:eastAsia="Arial" w:hAnsi="Arial"/>
          <w:sz w:val="18"/>
          <w:szCs w:val="18"/>
          <w:color w:val="auto"/>
        </w:rPr>
      </w:pPr>
    </w:p>
    <w:p>
      <w:pPr>
        <w:jc w:val="both"/>
        <w:ind w:firstLine="1628"/>
        <w:spacing w:after="0" w:line="301" w:lineRule="auto"/>
        <w:tabs>
          <w:tab w:leader="none" w:pos="2017" w:val="left"/>
        </w:tabs>
        <w:numPr>
          <w:ilvl w:val="1"/>
          <w:numId w:val="469"/>
        </w:numPr>
        <w:rPr>
          <w:rFonts w:ascii="Arial" w:cs="Arial" w:eastAsia="Arial" w:hAnsi="Arial"/>
          <w:sz w:val="16"/>
          <w:szCs w:val="16"/>
          <w:color w:val="auto"/>
        </w:rPr>
      </w:pPr>
      <w:r>
        <w:rPr>
          <w:rFonts w:ascii="Arial" w:cs="Arial" w:eastAsia="Arial" w:hAnsi="Arial"/>
          <w:sz w:val="16"/>
          <w:szCs w:val="16"/>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3" w:lineRule="exact"/>
        <w:rPr>
          <w:rFonts w:ascii="Arial" w:cs="Arial" w:eastAsia="Arial" w:hAnsi="Arial"/>
          <w:sz w:val="16"/>
          <w:szCs w:val="16"/>
          <w:color w:val="auto"/>
        </w:rPr>
      </w:pPr>
    </w:p>
    <w:p>
      <w:pPr>
        <w:ind w:left="2020" w:hanging="392"/>
        <w:spacing w:after="0"/>
        <w:tabs>
          <w:tab w:leader="none" w:pos="20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advise Subscriber, as promptly as practicable but in any event, within three (3) business days:</w:t>
      </w:r>
    </w:p>
    <w:p>
      <w:pPr>
        <w:spacing w:after="0" w:line="171" w:lineRule="exact"/>
        <w:rPr>
          <w:rFonts w:ascii="Arial" w:cs="Arial" w:eastAsia="Arial" w:hAnsi="Arial"/>
          <w:sz w:val="18"/>
          <w:szCs w:val="18"/>
          <w:color w:val="auto"/>
        </w:rPr>
      </w:pPr>
    </w:p>
    <w:p>
      <w:pPr>
        <w:ind w:left="1300" w:right="20" w:firstLine="976"/>
        <w:spacing w:after="0" w:line="277" w:lineRule="auto"/>
        <w:tabs>
          <w:tab w:leader="none" w:pos="2799" w:val="left"/>
        </w:tabs>
        <w:numPr>
          <w:ilvl w:val="2"/>
          <w:numId w:val="469"/>
        </w:numPr>
        <w:rPr>
          <w:rFonts w:ascii="Arial" w:cs="Arial" w:eastAsia="Arial" w:hAnsi="Arial"/>
          <w:sz w:val="18"/>
          <w:szCs w:val="18"/>
          <w:color w:val="auto"/>
        </w:rPr>
      </w:pPr>
      <w:r>
        <w:rPr>
          <w:rFonts w:ascii="Arial" w:cs="Arial" w:eastAsia="Arial" w:hAnsi="Arial"/>
          <w:sz w:val="18"/>
          <w:szCs w:val="18"/>
          <w:color w:val="auto"/>
        </w:rPr>
        <w:t>when a Registration Statement or any amendment thereto has been filed with the Commission and when such Registration Statement or any post-effective amendment thereto has become effective;</w:t>
      </w:r>
    </w:p>
    <w:p>
      <w:pPr>
        <w:spacing w:after="0" w:line="116" w:lineRule="exact"/>
        <w:rPr>
          <w:rFonts w:ascii="Arial" w:cs="Arial" w:eastAsia="Arial" w:hAnsi="Arial"/>
          <w:sz w:val="18"/>
          <w:szCs w:val="18"/>
          <w:color w:val="auto"/>
        </w:rPr>
      </w:pPr>
    </w:p>
    <w:p>
      <w:pPr>
        <w:ind w:left="1300" w:firstLine="976"/>
        <w:spacing w:after="0" w:line="277" w:lineRule="auto"/>
        <w:tabs>
          <w:tab w:leader="none" w:pos="2669" w:val="left"/>
        </w:tabs>
        <w:numPr>
          <w:ilvl w:val="2"/>
          <w:numId w:val="469"/>
        </w:numPr>
        <w:rPr>
          <w:rFonts w:ascii="Arial" w:cs="Arial" w:eastAsia="Arial" w:hAnsi="Arial"/>
          <w:sz w:val="18"/>
          <w:szCs w:val="18"/>
          <w:color w:val="auto"/>
        </w:rPr>
      </w:pPr>
      <w:r>
        <w:rPr>
          <w:rFonts w:ascii="Arial" w:cs="Arial" w:eastAsia="Arial" w:hAnsi="Arial"/>
          <w:sz w:val="18"/>
          <w:szCs w:val="18"/>
          <w:color w:val="auto"/>
        </w:rPr>
        <w:t>of the issuance by the Commission of any stop order suspending the effectiveness of any Registration Statement or the initiation of any proceedings for such purpose;</w:t>
      </w:r>
    </w:p>
    <w:p>
      <w:pPr>
        <w:spacing w:after="0" w:line="116" w:lineRule="exact"/>
        <w:rPr>
          <w:rFonts w:ascii="Arial" w:cs="Arial" w:eastAsia="Arial" w:hAnsi="Arial"/>
          <w:sz w:val="18"/>
          <w:szCs w:val="18"/>
          <w:color w:val="auto"/>
        </w:rPr>
      </w:pPr>
    </w:p>
    <w:p>
      <w:pPr>
        <w:ind w:left="1300" w:firstLine="976"/>
        <w:spacing w:after="0" w:line="308" w:lineRule="auto"/>
        <w:tabs>
          <w:tab w:leader="none" w:pos="2746" w:val="left"/>
        </w:tabs>
        <w:numPr>
          <w:ilvl w:val="2"/>
          <w:numId w:val="469"/>
        </w:numPr>
        <w:rPr>
          <w:rFonts w:ascii="Arial" w:cs="Arial" w:eastAsia="Arial" w:hAnsi="Arial"/>
          <w:sz w:val="17"/>
          <w:szCs w:val="17"/>
          <w:color w:val="auto"/>
        </w:rPr>
      </w:pPr>
      <w:r>
        <w:rPr>
          <w:rFonts w:ascii="Arial" w:cs="Arial" w:eastAsia="Arial" w:hAnsi="Arial"/>
          <w:sz w:val="17"/>
          <w:szCs w:val="17"/>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92" w:lineRule="exact"/>
        <w:rPr>
          <w:rFonts w:ascii="Arial" w:cs="Arial" w:eastAsia="Arial" w:hAnsi="Arial"/>
          <w:sz w:val="17"/>
          <w:szCs w:val="17"/>
          <w:color w:val="auto"/>
        </w:rPr>
      </w:pPr>
    </w:p>
    <w:p>
      <w:pPr>
        <w:jc w:val="both"/>
        <w:ind w:left="1300" w:firstLine="976"/>
        <w:spacing w:after="0" w:line="279" w:lineRule="auto"/>
        <w:tabs>
          <w:tab w:leader="none" w:pos="2711" w:val="left"/>
        </w:tabs>
        <w:numPr>
          <w:ilvl w:val="2"/>
          <w:numId w:val="469"/>
        </w:numPr>
        <w:rPr>
          <w:rFonts w:ascii="Arial" w:cs="Arial" w:eastAsia="Arial" w:hAnsi="Arial"/>
          <w:sz w:val="17"/>
          <w:szCs w:val="17"/>
          <w:color w:val="auto"/>
        </w:rPr>
      </w:pPr>
      <w:r>
        <w:rPr>
          <w:rFonts w:ascii="Arial" w:cs="Arial" w:eastAsia="Arial" w:hAnsi="Arial"/>
          <w:sz w:val="17"/>
          <w:szCs w:val="17"/>
          <w:color w:val="auto"/>
        </w:rPr>
        <w:t>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1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w:t>
      </w:r>
    </w:p>
    <w:p>
      <w:pPr>
        <w:ind w:left="260" w:hanging="252"/>
        <w:spacing w:after="0"/>
        <w:tabs>
          <w:tab w:leader="none" w:pos="26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through (4) above may constitute material, nonpublic information regarding the Issuer;</w:t>
      </w:r>
    </w:p>
    <w:p>
      <w:pPr>
        <w:spacing w:after="0" w:line="156" w:lineRule="exact"/>
        <w:rPr>
          <w:rFonts w:ascii="Arial" w:cs="Arial" w:eastAsia="Arial" w:hAnsi="Arial"/>
          <w:sz w:val="18"/>
          <w:szCs w:val="18"/>
          <w:color w:val="auto"/>
        </w:rPr>
      </w:pPr>
    </w:p>
    <w:p>
      <w:pPr>
        <w:ind w:firstLine="1628"/>
        <w:spacing w:after="0" w:line="277" w:lineRule="auto"/>
        <w:tabs>
          <w:tab w:leader="none" w:pos="2088" w:val="left"/>
        </w:tabs>
        <w:numPr>
          <w:ilvl w:val="1"/>
          <w:numId w:val="470"/>
        </w:numPr>
        <w:rPr>
          <w:rFonts w:ascii="Arial" w:cs="Arial" w:eastAsia="Arial" w:hAnsi="Arial"/>
          <w:sz w:val="18"/>
          <w:szCs w:val="18"/>
          <w:color w:val="auto"/>
        </w:rPr>
      </w:pPr>
      <w:r>
        <w:rPr>
          <w:rFonts w:ascii="Arial" w:cs="Arial" w:eastAsia="Arial" w:hAnsi="Arial"/>
          <w:sz w:val="18"/>
          <w:szCs w:val="18"/>
          <w:color w:val="auto"/>
        </w:rPr>
        <w:t>use its commercially reasonable efforts to obtain the withdrawal of any order suspending the effectiveness of any Registration Statement as soon as reasonably practicable;</w:t>
      </w:r>
    </w:p>
    <w:p>
      <w:pPr>
        <w:spacing w:after="0" w:line="116" w:lineRule="exact"/>
        <w:rPr>
          <w:rFonts w:ascii="Arial" w:cs="Arial" w:eastAsia="Arial" w:hAnsi="Arial"/>
          <w:sz w:val="18"/>
          <w:szCs w:val="18"/>
          <w:color w:val="auto"/>
        </w:rPr>
      </w:pPr>
    </w:p>
    <w:p>
      <w:pPr>
        <w:jc w:val="both"/>
        <w:ind w:firstLine="1628"/>
        <w:spacing w:after="0" w:line="255" w:lineRule="auto"/>
        <w:tabs>
          <w:tab w:leader="none" w:pos="2195" w:val="left"/>
        </w:tabs>
        <w:numPr>
          <w:ilvl w:val="1"/>
          <w:numId w:val="470"/>
        </w:numPr>
        <w:rPr>
          <w:rFonts w:ascii="Arial" w:cs="Arial" w:eastAsia="Arial" w:hAnsi="Arial"/>
          <w:sz w:val="18"/>
          <w:szCs w:val="18"/>
          <w:color w:val="auto"/>
        </w:rPr>
      </w:pPr>
      <w:r>
        <w:rPr>
          <w:rFonts w:ascii="Arial" w:cs="Arial" w:eastAsia="Arial" w:hAnsi="Arial"/>
          <w:sz w:val="18"/>
          <w:szCs w:val="18"/>
          <w:color w:val="auto"/>
        </w:rPr>
        <w:t xml:space="preserve">upon the occurrence of any event contemplated in </w:t>
      </w:r>
      <w:r>
        <w:rPr>
          <w:rFonts w:ascii="Arial" w:cs="Arial" w:eastAsia="Arial" w:hAnsi="Arial"/>
          <w:sz w:val="18"/>
          <w:szCs w:val="18"/>
          <w:u w:val="single" w:color="auto"/>
          <w:color w:val="auto"/>
        </w:rPr>
        <w:t>Section 5(b)(ii)(4)</w:t>
      </w:r>
      <w:r>
        <w:rPr>
          <w:rFonts w:ascii="Arial" w:cs="Arial" w:eastAsia="Arial" w:hAnsi="Arial"/>
          <w:sz w:val="18"/>
          <w:szCs w:val="18"/>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rFonts w:ascii="Arial" w:cs="Arial" w:eastAsia="Arial" w:hAnsi="Arial"/>
          <w:sz w:val="18"/>
          <w:szCs w:val="18"/>
          <w:color w:val="auto"/>
        </w:rPr>
      </w:pPr>
    </w:p>
    <w:p>
      <w:pPr>
        <w:ind w:firstLine="1628"/>
        <w:spacing w:after="0" w:line="277" w:lineRule="auto"/>
        <w:tabs>
          <w:tab w:leader="none" w:pos="2033" w:val="left"/>
        </w:tabs>
        <w:numPr>
          <w:ilvl w:val="1"/>
          <w:numId w:val="47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Acquired Shares to be listed on the primary securities exchange or market, if any, on which the Class A Shares issued by the Issuer have been listed;</w:t>
      </w:r>
    </w:p>
    <w:p>
      <w:pPr>
        <w:spacing w:after="0" w:line="116" w:lineRule="exact"/>
        <w:rPr>
          <w:rFonts w:ascii="Arial" w:cs="Arial" w:eastAsia="Arial" w:hAnsi="Arial"/>
          <w:sz w:val="18"/>
          <w:szCs w:val="18"/>
          <w:color w:val="auto"/>
        </w:rPr>
      </w:pPr>
    </w:p>
    <w:p>
      <w:pPr>
        <w:ind w:right="20" w:firstLine="1628"/>
        <w:spacing w:after="0" w:line="277" w:lineRule="auto"/>
        <w:tabs>
          <w:tab w:leader="none" w:pos="2182"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allow Subscriber to review and consent to disclosure specifically regarding Subscriber in the Registration Statement on reasonable advance notice (which consent shall not be unreasonably withheld);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44" w:lineRule="exact"/>
        <w:rPr>
          <w:sz w:val="20"/>
          <w:szCs w:val="20"/>
          <w:color w:val="auto"/>
        </w:rPr>
      </w:pPr>
    </w:p>
    <w:p>
      <w:pPr>
        <w:ind w:firstLine="1628"/>
        <w:spacing w:after="0" w:line="342" w:lineRule="auto"/>
        <w:tabs>
          <w:tab w:leader="none" w:pos="2149" w:val="left"/>
        </w:tabs>
        <w:numPr>
          <w:ilvl w:val="1"/>
          <w:numId w:val="471"/>
        </w:numPr>
        <w:rPr>
          <w:rFonts w:ascii="Arial" w:cs="Arial" w:eastAsia="Arial" w:hAnsi="Arial"/>
          <w:sz w:val="16"/>
          <w:szCs w:val="16"/>
          <w:color w:val="auto"/>
        </w:rPr>
      </w:pPr>
      <w:r>
        <w:rPr>
          <w:rFonts w:ascii="Arial" w:cs="Arial" w:eastAsia="Arial" w:hAnsi="Arial"/>
          <w:sz w:val="16"/>
          <w:szCs w:val="16"/>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69" w:lineRule="exact"/>
        <w:rPr>
          <w:rFonts w:ascii="Arial" w:cs="Arial" w:eastAsia="Arial" w:hAnsi="Arial"/>
          <w:sz w:val="16"/>
          <w:szCs w:val="16"/>
          <w:color w:val="auto"/>
        </w:rPr>
      </w:pPr>
    </w:p>
    <w:p>
      <w:pPr>
        <w:jc w:val="both"/>
        <w:ind w:firstLine="980"/>
        <w:spacing w:after="0" w:line="284" w:lineRule="auto"/>
        <w:tabs>
          <w:tab w:leader="none" w:pos="1381" w:val="left"/>
        </w:tabs>
        <w:numPr>
          <w:ilvl w:val="0"/>
          <w:numId w:val="47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6"/>
          <w:szCs w:val="16"/>
          <w:u w:val="single" w:color="auto"/>
          <w:color w:val="auto"/>
        </w:rPr>
        <w:t>Suspension Event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25" w:lineRule="exact"/>
        <w:rPr>
          <w:rFonts w:ascii="Arial" w:cs="Arial" w:eastAsia="Arial" w:hAnsi="Arial"/>
          <w:sz w:val="16"/>
          <w:szCs w:val="16"/>
          <w:color w:val="auto"/>
        </w:rPr>
      </w:pPr>
    </w:p>
    <w:p>
      <w:pPr>
        <w:jc w:val="both"/>
        <w:ind w:firstLine="980"/>
        <w:spacing w:after="0" w:line="253" w:lineRule="auto"/>
        <w:tabs>
          <w:tab w:leader="none" w:pos="1378"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Subscriber may deliver written notice (an “</w:t>
      </w:r>
      <w:r>
        <w:rPr>
          <w:rFonts w:ascii="Arial" w:cs="Arial" w:eastAsia="Arial" w:hAnsi="Arial"/>
          <w:sz w:val="18"/>
          <w:szCs w:val="18"/>
          <w:u w:val="single" w:color="auto"/>
          <w:color w:val="auto"/>
        </w:rPr>
        <w:t>Opt-Out Notice</w:t>
      </w:r>
      <w:r>
        <w:rPr>
          <w:rFonts w:ascii="Arial" w:cs="Arial" w:eastAsia="Arial" w:hAnsi="Arial"/>
          <w:sz w:val="18"/>
          <w:szCs w:val="18"/>
          <w:color w:val="auto"/>
        </w:rPr>
        <w:t xml:space="preserve">”) to the Issuer requesting that Subscriber not receive notices from the Issuer otherwise required by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8"/>
          <w:szCs w:val="18"/>
          <w:u w:val="single" w:color="auto"/>
          <w:color w:val="auto"/>
        </w:rPr>
        <w:t>Section 5(d)</w:t>
      </w:r>
      <w:r>
        <w:rPr>
          <w:rFonts w:ascii="Arial" w:cs="Arial" w:eastAsia="Arial" w:hAnsi="Arial"/>
          <w:sz w:val="18"/>
          <w:szCs w:val="18"/>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42" w:lineRule="exact"/>
        <w:rPr>
          <w:rFonts w:ascii="Arial" w:cs="Arial" w:eastAsia="Arial" w:hAnsi="Arial"/>
          <w:sz w:val="18"/>
          <w:szCs w:val="18"/>
          <w:color w:val="auto"/>
        </w:rPr>
      </w:pPr>
    </w:p>
    <w:p>
      <w:pPr>
        <w:ind w:left="1360" w:hanging="380"/>
        <w:spacing w:after="0"/>
        <w:tabs>
          <w:tab w:leader="none" w:pos="1360" w:val="left"/>
        </w:tabs>
        <w:numPr>
          <w:ilvl w:val="0"/>
          <w:numId w:val="47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628"/>
        <w:spacing w:after="0" w:line="255" w:lineRule="auto"/>
        <w:tabs>
          <w:tab w:leader="none" w:pos="2021"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The Issuer shall, notwithstanding the termination of this Subscription Agreement, indemnify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out of or are caused by (A) any untrue or alleged untrue statement of material fact contained in any Registration Statement (or incorporated by reference therein), prospectus included in any Registration Statement (“</w:t>
      </w:r>
      <w:r>
        <w:rPr>
          <w:rFonts w:ascii="Arial" w:cs="Arial" w:eastAsia="Arial" w:hAnsi="Arial"/>
          <w:sz w:val="17"/>
          <w:szCs w:val="17"/>
          <w:u w:val="single" w:color="auto"/>
          <w:color w:val="auto"/>
        </w:rPr>
        <w:t>Prospectus</w:t>
      </w:r>
      <w:r>
        <w:rPr>
          <w:rFonts w:ascii="Arial" w:cs="Arial" w:eastAsia="Arial" w:hAnsi="Arial"/>
          <w:sz w:val="17"/>
          <w:szCs w:val="17"/>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indemnification contained in this </w:t>
      </w:r>
      <w:r>
        <w:rPr>
          <w:rFonts w:ascii="Arial" w:cs="Arial" w:eastAsia="Arial" w:hAnsi="Arial"/>
          <w:sz w:val="17"/>
          <w:szCs w:val="17"/>
          <w:u w:val="single" w:color="auto"/>
          <w:color w:val="auto"/>
        </w:rPr>
        <w:t>Section 5(e)</w:t>
      </w:r>
      <w:r>
        <w:rPr>
          <w:rFonts w:ascii="Arial" w:cs="Arial" w:eastAsia="Arial" w:hAnsi="Arial"/>
          <w:sz w:val="17"/>
          <w:szCs w:val="17"/>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Agreement.</w:t>
      </w:r>
    </w:p>
    <w:p>
      <w:pPr>
        <w:spacing w:after="0" w:line="128" w:lineRule="exact"/>
        <w:rPr>
          <w:sz w:val="20"/>
          <w:szCs w:val="20"/>
          <w:color w:val="auto"/>
        </w:rPr>
      </w:pPr>
    </w:p>
    <w:p>
      <w:pPr>
        <w:jc w:val="both"/>
        <w:ind w:firstLine="1628"/>
        <w:spacing w:after="0" w:line="269" w:lineRule="auto"/>
        <w:tabs>
          <w:tab w:leader="none" w:pos="2087" w:val="left"/>
        </w:tabs>
        <w:numPr>
          <w:ilvl w:val="0"/>
          <w:numId w:val="473"/>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liability of Subscriber be greater in amount than the dollar amount of the net proceeds received by Subscriber from the sale of Acquired Shares pursuant to such Registration Statement giving rise to such indemnification obligation.</w:t>
      </w:r>
    </w:p>
    <w:p>
      <w:pPr>
        <w:spacing w:after="0" w:line="124" w:lineRule="exact"/>
        <w:rPr>
          <w:rFonts w:ascii="Arial" w:cs="Arial" w:eastAsia="Arial" w:hAnsi="Arial"/>
          <w:sz w:val="17"/>
          <w:szCs w:val="17"/>
          <w:color w:val="auto"/>
        </w:rPr>
      </w:pPr>
    </w:p>
    <w:p>
      <w:pPr>
        <w:jc w:val="both"/>
        <w:ind w:firstLine="1628"/>
        <w:spacing w:after="0" w:line="269" w:lineRule="auto"/>
        <w:tabs>
          <w:tab w:leader="none" w:pos="2076" w:val="left"/>
        </w:tabs>
        <w:numPr>
          <w:ilvl w:val="0"/>
          <w:numId w:val="473"/>
        </w:numPr>
        <w:rPr>
          <w:rFonts w:ascii="Arial" w:cs="Arial" w:eastAsia="Arial" w:hAnsi="Arial"/>
          <w:sz w:val="17"/>
          <w:szCs w:val="17"/>
          <w:color w:val="auto"/>
        </w:rPr>
      </w:pPr>
      <w:r>
        <w:rPr>
          <w:rFonts w:ascii="Arial" w:cs="Arial" w:eastAsia="Arial" w:hAnsi="Arial"/>
          <w:sz w:val="17"/>
          <w:szCs w:val="17"/>
          <w:color w:val="auto"/>
        </w:rPr>
        <w:t>Any person entitled to indemnification herein shall (1) give prompt written notice to the indemnifying party of any claim with respect to which it seeks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27" w:lineRule="exact"/>
        <w:rPr>
          <w:rFonts w:ascii="Arial" w:cs="Arial" w:eastAsia="Arial" w:hAnsi="Arial"/>
          <w:sz w:val="17"/>
          <w:szCs w:val="17"/>
          <w:color w:val="auto"/>
        </w:rPr>
      </w:pPr>
    </w:p>
    <w:p>
      <w:pPr>
        <w:jc w:val="both"/>
        <w:ind w:firstLine="1628"/>
        <w:spacing w:after="0" w:line="263" w:lineRule="auto"/>
        <w:tabs>
          <w:tab w:leader="none" w:pos="2178" w:val="left"/>
        </w:tabs>
        <w:numPr>
          <w:ilvl w:val="0"/>
          <w:numId w:val="473"/>
        </w:numPr>
        <w:rPr>
          <w:rFonts w:ascii="Arial" w:cs="Arial" w:eastAsia="Arial" w:hAnsi="Arial"/>
          <w:sz w:val="18"/>
          <w:szCs w:val="18"/>
          <w:color w:val="auto"/>
        </w:rPr>
      </w:pPr>
      <w:r>
        <w:rPr>
          <w:rFonts w:ascii="Arial" w:cs="Arial" w:eastAsia="Arial" w:hAnsi="Arial"/>
          <w:sz w:val="18"/>
          <w:szCs w:val="18"/>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29" w:lineRule="exact"/>
        <w:rPr>
          <w:rFonts w:ascii="Arial" w:cs="Arial" w:eastAsia="Arial" w:hAnsi="Arial"/>
          <w:sz w:val="18"/>
          <w:szCs w:val="18"/>
          <w:color w:val="auto"/>
        </w:rPr>
      </w:pPr>
    </w:p>
    <w:p>
      <w:pPr>
        <w:jc w:val="both"/>
        <w:ind w:firstLine="1628"/>
        <w:spacing w:after="0" w:line="263" w:lineRule="auto"/>
        <w:tabs>
          <w:tab w:leader="none" w:pos="211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If the indemnification provided under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Sections 5(e)(i)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w:t>
      </w:r>
      <w:r>
        <w:rPr>
          <w:rFonts w:ascii="Arial" w:cs="Arial" w:eastAsia="Arial" w:hAnsi="Arial"/>
          <w:sz w:val="17"/>
          <w:szCs w:val="17"/>
          <w:color w:val="auto"/>
        </w:rPr>
        <w:t xml:space="preserve">, </w:t>
      </w:r>
      <w:r>
        <w:rPr>
          <w:rFonts w:ascii="Arial" w:cs="Arial" w:eastAsia="Arial" w:hAnsi="Arial"/>
          <w:sz w:val="17"/>
          <w:szCs w:val="17"/>
          <w:u w:val="single" w:color="auto"/>
          <w:color w:val="auto"/>
        </w:rPr>
        <w:t>5(e)(iii)</w:t>
      </w:r>
      <w:r>
        <w:rPr>
          <w:rFonts w:ascii="Arial" w:cs="Arial" w:eastAsia="Arial" w:hAnsi="Arial"/>
          <w:sz w:val="17"/>
          <w:szCs w:val="17"/>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5(e)(v)</w:t>
      </w:r>
      <w:r>
        <w:rPr>
          <w:rFonts w:ascii="Arial" w:cs="Arial" w:eastAsia="Arial" w:hAnsi="Arial"/>
          <w:sz w:val="17"/>
          <w:szCs w:val="17"/>
          <w:color w:val="auto"/>
        </w:rPr>
        <w:t xml:space="preserve"> from any person who was not guilty of such fraudulent misrepresentation.</w:t>
      </w:r>
    </w:p>
    <w:p>
      <w:pPr>
        <w:spacing w:after="0" w:line="131" w:lineRule="exact"/>
        <w:rPr>
          <w:sz w:val="20"/>
          <w:szCs w:val="20"/>
          <w:color w:val="auto"/>
        </w:rPr>
      </w:pPr>
    </w:p>
    <w:p>
      <w:pPr>
        <w:jc w:val="both"/>
        <w:ind w:firstLine="332"/>
        <w:spacing w:after="0" w:line="268" w:lineRule="auto"/>
        <w:tabs>
          <w:tab w:leader="none" w:pos="679" w:val="left"/>
        </w:tabs>
        <w:numPr>
          <w:ilvl w:val="0"/>
          <w:numId w:val="474"/>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Business Combination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Subscription Agreement are not satisfied on or prior to the earlier of the Closing Date or November 9, 2021 (the “</w:t>
      </w:r>
      <w:r>
        <w:rPr>
          <w:rFonts w:ascii="Arial" w:cs="Arial" w:eastAsia="Arial" w:hAnsi="Arial"/>
          <w:sz w:val="17"/>
          <w:szCs w:val="17"/>
          <w:u w:val="single" w:color="auto"/>
          <w:color w:val="auto"/>
        </w:rPr>
        <w:t>Outside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in writing (with email being sufficient) of the termination of the Business Combination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30" w:lineRule="exact"/>
        <w:rPr>
          <w:rFonts w:ascii="Arial" w:cs="Arial" w:eastAsia="Arial" w:hAnsi="Arial"/>
          <w:sz w:val="17"/>
          <w:szCs w:val="17"/>
          <w:color w:val="auto"/>
        </w:rPr>
      </w:pPr>
    </w:p>
    <w:p>
      <w:pPr>
        <w:ind w:left="640" w:hanging="308"/>
        <w:spacing w:after="0"/>
        <w:tabs>
          <w:tab w:leader="none" w:pos="6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Additional Agreements and Waivers of Subscriber</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68" w:lineRule="auto"/>
        <w:tabs>
          <w:tab w:leader="none" w:pos="1405" w:val="left"/>
        </w:tabs>
        <w:numPr>
          <w:ilvl w:val="1"/>
          <w:numId w:val="474"/>
        </w:numPr>
        <w:rPr>
          <w:rFonts w:ascii="Arial" w:cs="Arial" w:eastAsia="Arial" w:hAnsi="Arial"/>
          <w:sz w:val="17"/>
          <w:szCs w:val="17"/>
          <w:color w:val="auto"/>
        </w:rPr>
      </w:pPr>
      <w:r>
        <w:rPr>
          <w:rFonts w:ascii="Arial" w:cs="Arial" w:eastAsia="Arial" w:hAnsi="Arial"/>
          <w:sz w:val="17"/>
          <w:szCs w:val="17"/>
          <w:u w:val="single" w:color="auto"/>
          <w:color w:val="auto"/>
        </w:rPr>
        <w:t>Trust Account Waiver</w:t>
      </w:r>
      <w:r>
        <w:rPr>
          <w:rFonts w:ascii="Arial" w:cs="Arial" w:eastAsia="Arial" w:hAnsi="Arial"/>
          <w:sz w:val="17"/>
          <w:szCs w:val="17"/>
          <w:color w:val="auto"/>
        </w:rPr>
        <w:t>. Subscriber acknowledges that the Issuer is a blank check company with the powers and privileges to effect a merger, asset acquisition, reorganization or similar business combination involving the Issuer and one or more businesses or assets. Subscriber further acknowledges that, as described in the Issuer’s prospectus relating to its initial public offering dated September 1, 2020 (the “</w:t>
      </w:r>
      <w:r>
        <w:rPr>
          <w:rFonts w:ascii="Arial" w:cs="Arial" w:eastAsia="Arial" w:hAnsi="Arial"/>
          <w:sz w:val="17"/>
          <w:szCs w:val="17"/>
          <w:u w:val="single" w:color="auto"/>
          <w:color w:val="auto"/>
        </w:rPr>
        <w:t>September 1, 2020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Prospectus</w:t>
      </w:r>
      <w:r>
        <w:rPr>
          <w:rFonts w:ascii="Arial" w:cs="Arial" w:eastAsia="Arial" w:hAnsi="Arial"/>
          <w:sz w:val="17"/>
          <w:szCs w:val="17"/>
          <w:color w:val="auto"/>
        </w:rPr>
        <w:t>”), available at sec.gov, substantially all of the Issuer’s assets consist of the cash proceeds of the Issuer’s initial public offering and private placements of its securities, and substantially all of those proceeds have been deposited in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xml:space="preserve">”) for the benefit of its public stockholders and the underwriters of its initial public offering. The cash in the Trust Account may be disbursed only for the purposes set forth in the September 1, 2020 Prospectus. For and in consideration of the Issuer entering into this Subscription Agreement, the receipt and sufficiency of which are hereby acknowledged, Subscriber hereby irrevocably waives any and all right, title and interest, or any claim of any kind they have or may have in the future as a result of, or arising out of, this Subscription Agreement, in or to any monies held in the Trust Account, and agrees not to seek recourse or make or bring any action, suit, claim or other proceeding against the Trust Account as a result of, or arising out of, this Subscription Agreement, the transactions contemplated hereby or the Acquired Shares, regardless of whether such claim arises based on contract, tort, equity or any other theory of legal liability;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to limit any Subscriber’s right, title, interest or claim to the Trust Account by virtue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Subscriber’s record or beneficial ownership of securities of the Issuer acquired by any means other than pursuant to this Subscription Agreement, including but not limited to any redemption right with respect to any such securities of the Issuer. Subscriber acknowledges and agrees that it shall not have any redemption rights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Acquired Shares pursuant to the Issuer’s certificate of incorporation in connection with the Transactions or any other business combination, any subsequent liquidation of the Trust Account or the Issuer or otherwise. In the event Subscriber has any claim against the Issuer as a result of, or arising out of, this Subscription Agreement, the transactions contemplated hereby or the Acquired Shares, it shall pursue such claim solely against the Issuer and its assets outside the Trust Account and not against the Trust Account or any monies or other assets in the Trust Account. This paragraph shall survive any termination of this Subscription Agreement.</w:t>
      </w:r>
    </w:p>
    <w:p>
      <w:pPr>
        <w:spacing w:after="0" w:line="134" w:lineRule="exact"/>
        <w:rPr>
          <w:sz w:val="20"/>
          <w:szCs w:val="20"/>
          <w:color w:val="auto"/>
        </w:rPr>
      </w:pPr>
    </w:p>
    <w:p>
      <w:pPr>
        <w:jc w:val="both"/>
        <w:ind w:firstLine="980"/>
        <w:spacing w:after="0" w:line="285" w:lineRule="auto"/>
        <w:tabs>
          <w:tab w:leader="none" w:pos="1362" w:val="left"/>
        </w:tabs>
        <w:numPr>
          <w:ilvl w:val="1"/>
          <w:numId w:val="475"/>
        </w:numPr>
        <w:rPr>
          <w:rFonts w:ascii="Arial" w:cs="Arial" w:eastAsia="Arial" w:hAnsi="Arial"/>
          <w:sz w:val="16"/>
          <w:szCs w:val="16"/>
          <w:color w:val="auto"/>
        </w:rPr>
      </w:pPr>
      <w:r>
        <w:rPr>
          <w:rFonts w:ascii="Arial" w:cs="Arial" w:eastAsia="Arial" w:hAnsi="Arial"/>
          <w:sz w:val="16"/>
          <w:szCs w:val="16"/>
          <w:u w:val="single" w:color="auto"/>
          <w:color w:val="auto"/>
        </w:rPr>
        <w:t>No Hedging</w:t>
      </w:r>
      <w:r>
        <w:rPr>
          <w:rFonts w:ascii="Arial" w:cs="Arial" w:eastAsia="Arial" w:hAnsi="Arial"/>
          <w:sz w:val="16"/>
          <w:szCs w:val="16"/>
          <w:color w:val="auto"/>
        </w:rPr>
        <w:t xml:space="preserve">. Subscriber hereby agrees that neither it, nor any person or entity acting on its behalf or pursuant to any understanding with it, shall execute any short sales (as such term is defined in Regulation SHO under the Exchange Act, 17 CFR 242.200) or engage in other hedging transactions of any kind with respect to the Acquired Shares during the period from the date of this Subscription Agreement through the Closing (or such earlier termination of this Subscription Agreement). Notwithstanding anything to the contrary set forth herein, (i) nothing in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prohibit any entities under common management or that share an investment advisor with the Subscriber that have no knowledge of this Subscription Agreement or of Subscriber’s participation in this transaction (including Subscriber’s controlled affiliates and/or affiliates) from entering into any short sales or engaging in other hedging transactions;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only apply with respect to the portion of assets managed by the portfolio manager that made the investment decision to purchase the Subscription Amount covered by this Subscription Agreement. The Issuer acknowledges and agrees that, notwithstanding anything herein to the contrary, the Acquired Shares may be pledged by Subscriber in connection with a bona fide margin agreement, provided that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the Acquired Shares shall not be required to provide the Issuer with any notice thereof; provided, however, that neither the Issuer nor its counsel shall be required to take any action (or refrain from taking any action) in connection with any such pledge, other than providing any such lender of such margin agreement with an acknowledgment that the Acquired Shares are not subject to any contractual lock up or prohibition on pledging, the form of such acknowledgment to be subject to review and comment by the Issuer in all respects.</w:t>
      </w:r>
    </w:p>
    <w:p>
      <w:pPr>
        <w:spacing w:after="0" w:line="119" w:lineRule="exact"/>
        <w:rPr>
          <w:rFonts w:ascii="Arial" w:cs="Arial" w:eastAsia="Arial" w:hAnsi="Arial"/>
          <w:sz w:val="16"/>
          <w:szCs w:val="16"/>
          <w:color w:val="auto"/>
        </w:rPr>
      </w:pPr>
    </w:p>
    <w:p>
      <w:pPr>
        <w:ind w:left="640" w:hanging="308"/>
        <w:spacing w:after="0"/>
        <w:tabs>
          <w:tab w:leader="none" w:pos="640"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Issuer’s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980"/>
        <w:spacing w:after="0" w:line="263" w:lineRule="auto"/>
        <w:tabs>
          <w:tab w:leader="none" w:pos="139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spacing w:after="0" w:line="129" w:lineRule="exact"/>
        <w:rPr>
          <w:rFonts w:ascii="Arial" w:cs="Arial" w:eastAsia="Arial" w:hAnsi="Arial"/>
          <w:sz w:val="18"/>
          <w:szCs w:val="18"/>
          <w:color w:val="auto"/>
        </w:rPr>
      </w:pPr>
    </w:p>
    <w:p>
      <w:pPr>
        <w:jc w:val="both"/>
        <w:ind w:firstLine="980"/>
        <w:spacing w:after="0" w:line="263" w:lineRule="auto"/>
        <w:tabs>
          <w:tab w:leader="none" w:pos="1398" w:val="left"/>
        </w:tabs>
        <w:numPr>
          <w:ilvl w:val="1"/>
          <w:numId w:val="476"/>
        </w:numPr>
        <w:rPr>
          <w:rFonts w:ascii="Arial" w:cs="Arial" w:eastAsia="Arial" w:hAnsi="Arial"/>
          <w:sz w:val="18"/>
          <w:szCs w:val="18"/>
          <w:color w:val="auto"/>
        </w:rPr>
      </w:pPr>
      <w:r>
        <w:rPr>
          <w:rFonts w:ascii="Arial" w:cs="Arial" w:eastAsia="Arial" w:hAnsi="Arial"/>
          <w:sz w:val="18"/>
          <w:szCs w:val="18"/>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w:t>
      </w:r>
    </w:p>
    <w:p>
      <w:pPr>
        <w:spacing w:after="0" w:line="171" w:lineRule="exact"/>
        <w:rPr>
          <w:rFonts w:ascii="Arial" w:cs="Arial" w:eastAsia="Arial" w:hAnsi="Arial"/>
          <w:sz w:val="18"/>
          <w:szCs w:val="18"/>
          <w:color w:val="auto"/>
        </w:rPr>
      </w:pPr>
    </w:p>
    <w:p>
      <w:pPr>
        <w:jc w:val="both"/>
        <w:ind w:firstLine="1628"/>
        <w:spacing w:after="0" w:line="263" w:lineRule="auto"/>
        <w:tabs>
          <w:tab w:leader="none" w:pos="202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29" w:lineRule="exact"/>
        <w:rPr>
          <w:rFonts w:ascii="Arial" w:cs="Arial" w:eastAsia="Arial" w:hAnsi="Arial"/>
          <w:sz w:val="18"/>
          <w:szCs w:val="18"/>
          <w:color w:val="auto"/>
        </w:rPr>
      </w:pPr>
    </w:p>
    <w:p>
      <w:pPr>
        <w:jc w:val="both"/>
        <w:ind w:firstLine="1628"/>
        <w:spacing w:after="0" w:line="257" w:lineRule="auto"/>
        <w:tabs>
          <w:tab w:leader="none" w:pos="2087" w:val="left"/>
        </w:tabs>
        <w:numPr>
          <w:ilvl w:val="2"/>
          <w:numId w:val="476"/>
        </w:numPr>
        <w:rPr>
          <w:rFonts w:ascii="Arial" w:cs="Arial" w:eastAsia="Arial" w:hAnsi="Arial"/>
          <w:sz w:val="18"/>
          <w:szCs w:val="18"/>
          <w:color w:val="auto"/>
        </w:rPr>
      </w:pPr>
      <w:r>
        <w:rPr>
          <w:rFonts w:ascii="Arial" w:cs="Arial" w:eastAsia="Arial" w:hAnsi="Arial"/>
          <w:sz w:val="18"/>
          <w:szCs w:val="18"/>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4" w:lineRule="exact"/>
        <w:rPr>
          <w:sz w:val="20"/>
          <w:szCs w:val="20"/>
          <w:color w:val="auto"/>
        </w:rPr>
      </w:pPr>
    </w:p>
    <w:p>
      <w:pPr>
        <w:jc w:val="both"/>
        <w:ind w:firstLine="980"/>
        <w:spacing w:after="0" w:line="285" w:lineRule="auto"/>
        <w:tabs>
          <w:tab w:leader="none" w:pos="1408"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The Issuer shall use its commercially reasonable efforts to remove the legend described in </w:t>
      </w:r>
      <w:r>
        <w:rPr>
          <w:rFonts w:ascii="Arial" w:cs="Arial" w:eastAsia="Arial" w:hAnsi="Arial"/>
          <w:sz w:val="16"/>
          <w:szCs w:val="16"/>
          <w:u w:val="single" w:color="auto"/>
          <w:color w:val="auto"/>
        </w:rPr>
        <w:t>Section 4(f)</w:t>
      </w:r>
      <w:r>
        <w:rPr>
          <w:rFonts w:ascii="Arial" w:cs="Arial" w:eastAsia="Arial" w:hAnsi="Arial"/>
          <w:sz w:val="16"/>
          <w:szCs w:val="16"/>
          <w:color w:val="auto"/>
        </w:rPr>
        <w:t xml:space="preserve"> and to issue a certificate or a book entry record without such legend to the holder of the Acquired Shares upon which it is stamped or issue to such holder by electronic delivery at the applicable balance account at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if (i) such Acquired Shares are registered for resale under the Securities Act, upon the sale thereof, if such holder provides customary paperwork in a form reasonably acceptable to the Issuer to the effect that it has sold such securities pursuant to an effective registration statement under the Securities Act and the plan of distribution set forth therein,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or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22" w:lineRule="exact"/>
        <w:rPr>
          <w:rFonts w:ascii="Arial" w:cs="Arial" w:eastAsia="Arial" w:hAnsi="Arial"/>
          <w:sz w:val="16"/>
          <w:szCs w:val="16"/>
          <w:color w:val="auto"/>
        </w:rPr>
      </w:pPr>
    </w:p>
    <w:p>
      <w:pPr>
        <w:ind w:left="640" w:hanging="308"/>
        <w:spacing w:after="0"/>
        <w:tabs>
          <w:tab w:leader="none" w:pos="640"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980"/>
        <w:spacing w:after="0" w:line="257" w:lineRule="auto"/>
        <w:tabs>
          <w:tab w:leader="none" w:pos="156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the Placement Agent is a third-party beneficiary of the representations and warranties of the Subscriber contained in this Subscription Agreement.</w:t>
      </w:r>
    </w:p>
    <w:p>
      <w:pPr>
        <w:spacing w:after="0" w:line="133" w:lineRule="exact"/>
        <w:rPr>
          <w:rFonts w:ascii="Arial" w:cs="Arial" w:eastAsia="Arial" w:hAnsi="Arial"/>
          <w:sz w:val="18"/>
          <w:szCs w:val="18"/>
          <w:color w:val="auto"/>
        </w:rPr>
      </w:pPr>
    </w:p>
    <w:p>
      <w:pPr>
        <w:jc w:val="both"/>
        <w:ind w:firstLine="980"/>
        <w:spacing w:after="0" w:line="259" w:lineRule="auto"/>
        <w:tabs>
          <w:tab w:leader="none" w:pos="143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The Placement Agent, in its capacity as such, is entitled to rely upon the representations, warranties, agreements and covenants of the Issuer and the representations and warranties of the Subscriber in this Subscription Agreement.</w:t>
      </w:r>
    </w:p>
    <w:p>
      <w:pPr>
        <w:spacing w:after="0" w:line="132" w:lineRule="exact"/>
        <w:rPr>
          <w:rFonts w:ascii="Arial" w:cs="Arial" w:eastAsia="Arial" w:hAnsi="Arial"/>
          <w:sz w:val="18"/>
          <w:szCs w:val="18"/>
          <w:color w:val="auto"/>
        </w:rPr>
      </w:pPr>
    </w:p>
    <w:p>
      <w:pPr>
        <w:jc w:val="both"/>
        <w:ind w:firstLine="980"/>
        <w:spacing w:after="0" w:line="290" w:lineRule="auto"/>
        <w:tabs>
          <w:tab w:leader="none" w:pos="1402" w:val="left"/>
        </w:tabs>
        <w:numPr>
          <w:ilvl w:val="1"/>
          <w:numId w:val="478"/>
        </w:numPr>
        <w:rPr>
          <w:rFonts w:ascii="Arial" w:cs="Arial" w:eastAsia="Arial" w:hAnsi="Arial"/>
          <w:sz w:val="16"/>
          <w:szCs w:val="16"/>
          <w:color w:val="auto"/>
        </w:rPr>
      </w:pPr>
      <w:r>
        <w:rPr>
          <w:rFonts w:ascii="Arial" w:cs="Arial" w:eastAsia="Arial" w:hAnsi="Arial"/>
          <w:sz w:val="16"/>
          <w:szCs w:val="16"/>
          <w:color w:val="auto"/>
        </w:rPr>
        <w:t xml:space="preserve">This Subscription Agreement may not be transferred or assigned without the prior written consent of each of the other parties hereto. Notwithstanding the foregoing, this Subscription Agreement and any of Subscriber’s rights and obligations hereunder may be assigned to one or more affiliates of the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w:t>
      </w:r>
    </w:p>
    <w:p>
      <w:pPr>
        <w:spacing w:after="0" w:line="111" w:lineRule="exact"/>
        <w:rPr>
          <w:rFonts w:ascii="Arial" w:cs="Arial" w:eastAsia="Arial" w:hAnsi="Arial"/>
          <w:sz w:val="16"/>
          <w:szCs w:val="16"/>
          <w:color w:val="auto"/>
        </w:rPr>
      </w:pPr>
    </w:p>
    <w:p>
      <w:pPr>
        <w:ind w:firstLine="980"/>
        <w:spacing w:after="0" w:line="308" w:lineRule="auto"/>
        <w:tabs>
          <w:tab w:leader="none" w:pos="1352" w:val="left"/>
        </w:tabs>
        <w:numPr>
          <w:ilvl w:val="1"/>
          <w:numId w:val="478"/>
        </w:numPr>
        <w:rPr>
          <w:rFonts w:ascii="Arial" w:cs="Arial" w:eastAsia="Arial" w:hAnsi="Arial"/>
          <w:sz w:val="17"/>
          <w:szCs w:val="17"/>
          <w:color w:val="auto"/>
        </w:rPr>
      </w:pPr>
      <w:r>
        <w:rPr>
          <w:rFonts w:ascii="Arial" w:cs="Arial" w:eastAsia="Arial" w:hAnsi="Arial"/>
          <w:sz w:val="17"/>
          <w:szCs w:val="17"/>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92" w:lineRule="exact"/>
        <w:rPr>
          <w:rFonts w:ascii="Arial" w:cs="Arial" w:eastAsia="Arial" w:hAnsi="Arial"/>
          <w:sz w:val="17"/>
          <w:szCs w:val="17"/>
          <w:color w:val="auto"/>
        </w:rPr>
      </w:pPr>
    </w:p>
    <w:p>
      <w:pPr>
        <w:ind w:firstLine="980"/>
        <w:spacing w:after="0" w:line="277" w:lineRule="auto"/>
        <w:tabs>
          <w:tab w:leader="none" w:pos="1454"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Issuer may request from Subscriber such additional information as the Issuer may deem reasonably necessary to evaluate the eligibility of Subscriber to acquire the Acquired Shares, and Subscriber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 and such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34" w:lineRule="exact"/>
        <w:rPr>
          <w:sz w:val="20"/>
          <w:szCs w:val="20"/>
          <w:color w:val="auto"/>
        </w:rPr>
      </w:pPr>
    </w:p>
    <w:p>
      <w:pPr>
        <w:jc w:val="both"/>
        <w:ind w:firstLine="980"/>
        <w:spacing w:after="0" w:line="263" w:lineRule="auto"/>
        <w:tabs>
          <w:tab w:leader="none" w:pos="1331"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129" w:lineRule="exact"/>
        <w:rPr>
          <w:rFonts w:ascii="Arial" w:cs="Arial" w:eastAsia="Arial" w:hAnsi="Arial"/>
          <w:sz w:val="18"/>
          <w:szCs w:val="18"/>
          <w:color w:val="auto"/>
        </w:rPr>
      </w:pPr>
    </w:p>
    <w:p>
      <w:pPr>
        <w:ind w:firstLine="980"/>
        <w:spacing w:after="0" w:line="308" w:lineRule="auto"/>
        <w:tabs>
          <w:tab w:leader="none" w:pos="136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92" w:lineRule="exact"/>
        <w:rPr>
          <w:rFonts w:ascii="Arial" w:cs="Arial" w:eastAsia="Arial" w:hAnsi="Arial"/>
          <w:sz w:val="17"/>
          <w:szCs w:val="17"/>
          <w:color w:val="auto"/>
        </w:rPr>
      </w:pPr>
    </w:p>
    <w:p>
      <w:pPr>
        <w:jc w:val="both"/>
        <w:ind w:firstLine="980"/>
        <w:spacing w:after="0" w:line="259" w:lineRule="auto"/>
        <w:tabs>
          <w:tab w:leader="none" w:pos="1404"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ind w:firstLine="980"/>
        <w:spacing w:after="0" w:line="308" w:lineRule="auto"/>
        <w:tabs>
          <w:tab w:leader="none" w:pos="1373" w:val="left"/>
        </w:tabs>
        <w:numPr>
          <w:ilvl w:val="0"/>
          <w:numId w:val="479"/>
        </w:numPr>
        <w:rPr>
          <w:rFonts w:ascii="Arial" w:cs="Arial" w:eastAsia="Arial" w:hAnsi="Arial"/>
          <w:sz w:val="17"/>
          <w:szCs w:val="17"/>
          <w:color w:val="auto"/>
        </w:rPr>
      </w:pPr>
      <w:r>
        <w:rPr>
          <w:rFonts w:ascii="Arial" w:cs="Arial" w:eastAsia="Arial" w:hAnsi="Arial"/>
          <w:sz w:val="17"/>
          <w:szCs w:val="17"/>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92" w:lineRule="exact"/>
        <w:rPr>
          <w:rFonts w:ascii="Arial" w:cs="Arial" w:eastAsia="Arial" w:hAnsi="Arial"/>
          <w:sz w:val="17"/>
          <w:szCs w:val="17"/>
          <w:color w:val="auto"/>
        </w:rPr>
      </w:pPr>
    </w:p>
    <w:p>
      <w:pPr>
        <w:jc w:val="both"/>
        <w:ind w:firstLine="980"/>
        <w:spacing w:after="0" w:line="263" w:lineRule="auto"/>
        <w:tabs>
          <w:tab w:leader="none" w:pos="137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This Subscription Agreement may be executed in two (2) or more counterparts (including by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129" w:lineRule="exact"/>
        <w:rPr>
          <w:rFonts w:ascii="Arial" w:cs="Arial" w:eastAsia="Arial" w:hAnsi="Arial"/>
          <w:sz w:val="18"/>
          <w:szCs w:val="18"/>
          <w:color w:val="auto"/>
        </w:rPr>
      </w:pPr>
    </w:p>
    <w:p>
      <w:pPr>
        <w:ind w:firstLine="980"/>
        <w:spacing w:after="0" w:line="277" w:lineRule="auto"/>
        <w:tabs>
          <w:tab w:leader="none" w:pos="1398"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Each party shall pay all of its own expenses in connection with this Subscription Agreement and the transactions contemplated by this Subscription Agreement.</w:t>
      </w:r>
    </w:p>
    <w:p>
      <w:pPr>
        <w:spacing w:after="0" w:line="116" w:lineRule="exact"/>
        <w:rPr>
          <w:rFonts w:ascii="Arial" w:cs="Arial" w:eastAsia="Arial" w:hAnsi="Arial"/>
          <w:sz w:val="18"/>
          <w:szCs w:val="18"/>
          <w:color w:val="auto"/>
        </w:rPr>
      </w:pPr>
    </w:p>
    <w:p>
      <w:pPr>
        <w:ind w:firstLine="980"/>
        <w:spacing w:after="0" w:line="277" w:lineRule="auto"/>
        <w:tabs>
          <w:tab w:leader="none" w:pos="1393"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Issuer shall be solely responsible for the fees of the Placement Agent, Transfer Agent, the escrow agent, stamp taxes and all of DTC’s fees associated with the issuance of the Acquired Shares.</w:t>
      </w:r>
    </w:p>
    <w:p>
      <w:pPr>
        <w:spacing w:after="0" w:line="116" w:lineRule="exact"/>
        <w:rPr>
          <w:rFonts w:ascii="Arial" w:cs="Arial" w:eastAsia="Arial" w:hAnsi="Arial"/>
          <w:sz w:val="18"/>
          <w:szCs w:val="18"/>
          <w:color w:val="auto"/>
        </w:rPr>
      </w:pPr>
    </w:p>
    <w:p>
      <w:pPr>
        <w:jc w:val="both"/>
        <w:ind w:firstLine="980"/>
        <w:spacing w:after="0" w:line="275" w:lineRule="auto"/>
        <w:tabs>
          <w:tab w:leader="none" w:pos="1444" w:val="left"/>
        </w:tabs>
        <w:numPr>
          <w:ilvl w:val="0"/>
          <w:numId w:val="479"/>
        </w:numPr>
        <w:rPr>
          <w:rFonts w:ascii="Arial" w:cs="Arial" w:eastAsia="Arial" w:hAnsi="Arial"/>
          <w:sz w:val="17"/>
          <w:szCs w:val="17"/>
          <w:color w:val="auto"/>
        </w:rPr>
      </w:pPr>
      <w:r>
        <w:rPr>
          <w:rFonts w:ascii="Arial" w:cs="Arial" w:eastAsia="Arial" w:hAnsi="Arial"/>
          <w:sz w:val="17"/>
          <w:szCs w:val="17"/>
          <w:color w:val="auto"/>
        </w:rPr>
        <w:t>Subscriber understands and agrees that (i) no disclosure or offering document has been prepared by the Placement Agent or any of its respective affiliates in connection with the offer and sale of the Acquired Shares; (ii) the Placement Agent and its respective directors, officers, employees, representatives and controlling persons has made no independent investigation with respect to the Issuer, Target, the Transactions or the Acquired Shares or the accuracy, completeness or adequacy of any information supplied to Subscriber by the Issuer; and (iii) in connection with the issue and purchase of the Acquired Shares, the Placement Agent has not acted as the Subscriber’s financial advisor, tax or fiduciary.</w:t>
      </w:r>
    </w:p>
    <w:p>
      <w:pPr>
        <w:spacing w:after="0" w:line="122" w:lineRule="exact"/>
        <w:rPr>
          <w:rFonts w:ascii="Arial" w:cs="Arial" w:eastAsia="Arial" w:hAnsi="Arial"/>
          <w:sz w:val="17"/>
          <w:szCs w:val="17"/>
          <w:color w:val="auto"/>
        </w:rPr>
      </w:pPr>
    </w:p>
    <w:p>
      <w:pPr>
        <w:jc w:val="both"/>
        <w:ind w:firstLine="980"/>
        <w:spacing w:after="0" w:line="257" w:lineRule="auto"/>
        <w:tabs>
          <w:tab w:leader="none" w:pos="136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4" w:lineRule="exact"/>
        <w:rPr>
          <w:sz w:val="20"/>
          <w:szCs w:val="20"/>
          <w:color w:val="auto"/>
        </w:rPr>
      </w:pPr>
    </w:p>
    <w:p>
      <w:pPr>
        <w:ind w:firstLine="8"/>
        <w:spacing w:after="0" w:line="277" w:lineRule="auto"/>
        <w:tabs>
          <w:tab w:leader="none" w:pos="31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five (5) business days after the date of mailing to the address below or to such other address or addresses as such person may hereafter designate by notice given hereunder:</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Subscriber, to such address or addresses set forth on the signature page hereto;</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the Issuer, to:</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CM Life Sciences, Inc.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667 Madison Avenue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10065</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Eli Casdin</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eli@casdincapital.com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Joel Rubinstein, Matthew Kautz</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joel.rubinstein@whitecase.com; matthew.kautz@whitecase.com</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and a required copy to (which copy shall not constitute notice):</w:t>
      </w:r>
    </w:p>
    <w:p>
      <w:pPr>
        <w:spacing w:after="0" w:line="17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Mount Sinai Genomics, Inc. d/b/a Sema4</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Stamford, Connecticut 06902 Attention: General Counsel</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legal@sema4.com</w:t>
      </w:r>
    </w:p>
    <w:p>
      <w:pPr>
        <w:spacing w:after="0" w:line="15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902 Broadway</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Ethan Skerry, Robert A. Freedman</w:t>
      </w:r>
    </w:p>
    <w:p>
      <w:pPr>
        <w:spacing w:after="0" w:line="9" w:lineRule="exact"/>
        <w:rPr>
          <w:sz w:val="20"/>
          <w:szCs w:val="20"/>
          <w:color w:val="auto"/>
        </w:rPr>
      </w:pPr>
    </w:p>
    <w:p>
      <w:pPr>
        <w:ind w:left="2280"/>
        <w:spacing w:after="0"/>
        <w:tabs>
          <w:tab w:leader="none" w:pos="2960" w:val="left"/>
        </w:tabs>
        <w:rPr>
          <w:sz w:val="20"/>
          <w:szCs w:val="20"/>
          <w:color w:val="auto"/>
        </w:rPr>
      </w:pPr>
      <w:r>
        <w:rPr>
          <w:rFonts w:ascii="Arial" w:cs="Arial" w:eastAsia="Arial" w:hAnsi="Arial"/>
          <w:sz w:val="18"/>
          <w:szCs w:val="18"/>
          <w:color w:val="auto"/>
        </w:rPr>
        <w:t>Email:</w:t>
        <w:tab/>
        <w:t>eskerry@fenwick.com; rfreedman@fenwick.com</w:t>
      </w:r>
    </w:p>
    <w:p>
      <w:pPr>
        <w:spacing w:after="0" w:line="157" w:lineRule="exact"/>
        <w:rPr>
          <w:sz w:val="20"/>
          <w:szCs w:val="20"/>
          <w:color w:val="auto"/>
        </w:rPr>
      </w:pPr>
    </w:p>
    <w:p>
      <w:pPr>
        <w:jc w:val="both"/>
        <w:ind w:firstLine="980"/>
        <w:spacing w:after="0" w:line="279" w:lineRule="auto"/>
        <w:tabs>
          <w:tab w:leader="none" w:pos="1358" w:val="left"/>
        </w:tabs>
        <w:numPr>
          <w:ilvl w:val="0"/>
          <w:numId w:val="481"/>
        </w:numPr>
        <w:rPr>
          <w:rFonts w:ascii="Arial" w:cs="Arial" w:eastAsia="Arial" w:hAnsi="Arial"/>
          <w:sz w:val="17"/>
          <w:szCs w:val="17"/>
          <w:color w:val="auto"/>
        </w:rPr>
      </w:pPr>
      <w:r>
        <w:rPr>
          <w:rFonts w:ascii="Arial" w:cs="Arial" w:eastAsia="Arial" w:hAnsi="Arial"/>
          <w:sz w:val="17"/>
          <w:szCs w:val="17"/>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17" w:lineRule="exact"/>
        <w:rPr>
          <w:rFonts w:ascii="Arial" w:cs="Arial" w:eastAsia="Arial" w:hAnsi="Arial"/>
          <w:sz w:val="17"/>
          <w:szCs w:val="17"/>
          <w:color w:val="auto"/>
        </w:rPr>
      </w:pPr>
    </w:p>
    <w:p>
      <w:pPr>
        <w:jc w:val="both"/>
        <w:ind w:firstLine="980"/>
        <w:spacing w:after="0" w:line="259" w:lineRule="auto"/>
        <w:tabs>
          <w:tab w:leader="none" w:pos="143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regard to the principles of conflicts of laws that would otherwise require the application of the law of any other state.</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PARTIES HERETO IRREVOCABLY SUBMIT TO THE EXCLUSIVE JURISDICTION OF THE COURT OF CHANCERY OF THE STATE OF DELAWARE (OR TO THE EXTENT SUCH COURT DOES NOT HAVE SUBJECT MATTER JURISDICTION, THE SUPERIOR COURT OF THE STATE OF DELAWARE), OR THE FEDERAL COURTS OF THE UNITED STATES OF AMERICA LOCATED IN THE STATE OF DELAWARE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VENUE THEREOF MAY NOT BE APPROPRIATE OR THAT THIS SUBSCRIPTION AGREEMENT MAY NOT BE ENFORCED IN OR BY SUCH COURTS, AND THE PARTIES HERETO IRREVOCABLY AGREE THAT ALL CLAIMS WITH RESPECT TO SUCH ACTION, SUIT OR PROCEEDING SHALL BE HEARD AND DETERMINED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8"/>
          <w:szCs w:val="18"/>
          <w:u w:val="single" w:color="auto"/>
          <w:color w:val="auto"/>
        </w:rPr>
        <w:t>SECTION 9(n)</w:t>
      </w:r>
      <w:r>
        <w:rPr>
          <w:rFonts w:ascii="Arial" w:cs="Arial" w:eastAsia="Arial" w:hAnsi="Arial"/>
          <w:sz w:val="18"/>
          <w:szCs w:val="18"/>
          <w:color w:val="auto"/>
        </w:rPr>
        <w:t xml:space="preserve"> OR IN SUCH OTHER MANNER AS MAY BE PERMITTED BY LAW SHALL BE VALID AND SUFFICIENT SERVICE THEREOF.</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8"/>
          <w:szCs w:val="18"/>
          <w:u w:val="single" w:color="auto"/>
          <w:color w:val="auto"/>
        </w:rPr>
        <w:t>SECTION 9(p)</w:t>
      </w:r>
    </w:p>
    <w:p>
      <w:pPr>
        <w:spacing w:after="0" w:line="138" w:lineRule="exact"/>
        <w:rPr>
          <w:sz w:val="20"/>
          <w:szCs w:val="20"/>
          <w:color w:val="auto"/>
        </w:rPr>
      </w:pPr>
    </w:p>
    <w:p>
      <w:pPr>
        <w:jc w:val="both"/>
        <w:ind w:firstLine="980"/>
        <w:spacing w:after="0" w:line="287" w:lineRule="auto"/>
        <w:tabs>
          <w:tab w:leader="none" w:pos="1394" w:val="left"/>
        </w:tabs>
        <w:numPr>
          <w:ilvl w:val="0"/>
          <w:numId w:val="482"/>
        </w:numPr>
        <w:rPr>
          <w:rFonts w:ascii="Arial" w:cs="Arial" w:eastAsia="Arial" w:hAnsi="Arial"/>
          <w:sz w:val="16"/>
          <w:szCs w:val="16"/>
          <w:color w:val="auto"/>
        </w:rPr>
      </w:pPr>
      <w:r>
        <w:rPr>
          <w:rFonts w:ascii="Arial" w:cs="Arial" w:eastAsia="Arial" w:hAnsi="Arial"/>
          <w:sz w:val="16"/>
          <w:szCs w:val="16"/>
          <w:color w:val="auto"/>
        </w:rPr>
        <w:t>The Issuer shall, by 9:00 a.m., New York City time, on the first (1st) business day immediately following the date of this Subscription Agreement, file with the Commission a Current Report on Form 8-K (collectively, the “</w:t>
      </w:r>
      <w:r>
        <w:rPr>
          <w:rFonts w:ascii="Arial" w:cs="Arial" w:eastAsia="Arial" w:hAnsi="Arial"/>
          <w:sz w:val="16"/>
          <w:szCs w:val="16"/>
          <w:u w:val="single" w:color="auto"/>
          <w:color w:val="auto"/>
        </w:rPr>
        <w:t>Disclosure Document</w:t>
      </w:r>
      <w:r>
        <w:rPr>
          <w:rFonts w:ascii="Arial" w:cs="Arial" w:eastAsia="Arial" w:hAnsi="Arial"/>
          <w:sz w:val="16"/>
          <w:szCs w:val="16"/>
          <w:color w:val="auto"/>
        </w:rPr>
        <w:t>”) disclosing all material terms of the transactions contemplated hereby and by the Other Subscription Agreements, the Transactions and any other material, nonpublic information that the Issuer has provided to Subscriber any time prior to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 and Subscriber shall no longer be subject to any confidentiality or similar obligations under any current agreement, whether written or oral with the Issuer, the Placement Agent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(i) in any press release or (ii) in any filing with the Commission or any regulatory agency or trading market, except as required by state or federal securities law, any governmental authority or stock exchange rule, in which case the Issuer shall provide Subscriber with prior written notice of such disclosure permitted under hereunder.</w:t>
      </w:r>
    </w:p>
    <w:p>
      <w:pPr>
        <w:spacing w:after="0" w:line="117" w:lineRule="exact"/>
        <w:rPr>
          <w:rFonts w:ascii="Arial" w:cs="Arial" w:eastAsia="Arial" w:hAnsi="Arial"/>
          <w:sz w:val="16"/>
          <w:szCs w:val="16"/>
          <w:color w:val="auto"/>
        </w:rPr>
      </w:pPr>
    </w:p>
    <w:p>
      <w:pPr>
        <w:ind w:left="1340" w:hanging="360"/>
        <w:spacing w:after="0"/>
        <w:tabs>
          <w:tab w:leader="none" w:pos="1340" w:val="left"/>
        </w:tabs>
        <w:numPr>
          <w:ilvl w:val="0"/>
          <w:numId w:val="482"/>
        </w:numPr>
        <w:rPr>
          <w:rFonts w:ascii="Arial" w:cs="Arial" w:eastAsia="Arial" w:hAnsi="Arial"/>
          <w:sz w:val="16"/>
          <w:szCs w:val="16"/>
          <w:color w:val="auto"/>
        </w:rPr>
      </w:pPr>
      <w:r>
        <w:rPr>
          <w:rFonts w:ascii="Arial" w:cs="Arial" w:eastAsia="Arial" w:hAnsi="Arial"/>
          <w:sz w:val="16"/>
          <w:szCs w:val="16"/>
          <w:color w:val="auto"/>
        </w:rPr>
        <w:t>Each party hereto agrees for the express benefit of the Placement Agent, its respective affiliates and its respective representatives that:</w:t>
      </w:r>
    </w:p>
    <w:p>
      <w:pPr>
        <w:spacing w:after="0" w:line="194" w:lineRule="exact"/>
        <w:rPr>
          <w:rFonts w:ascii="Arial" w:cs="Arial" w:eastAsia="Arial" w:hAnsi="Arial"/>
          <w:sz w:val="16"/>
          <w:szCs w:val="16"/>
          <w:color w:val="auto"/>
        </w:rPr>
      </w:pPr>
    </w:p>
    <w:p>
      <w:pPr>
        <w:jc w:val="both"/>
        <w:ind w:firstLine="1628"/>
        <w:spacing w:after="0" w:line="253" w:lineRule="auto"/>
        <w:tabs>
          <w:tab w:leader="none" w:pos="2030" w:val="left"/>
        </w:tabs>
        <w:numPr>
          <w:ilvl w:val="1"/>
          <w:numId w:val="482"/>
        </w:numPr>
        <w:rPr>
          <w:rFonts w:ascii="Arial" w:cs="Arial" w:eastAsia="Arial" w:hAnsi="Arial"/>
          <w:sz w:val="18"/>
          <w:szCs w:val="18"/>
          <w:color w:val="auto"/>
        </w:rPr>
      </w:pPr>
      <w:r>
        <w:rPr>
          <w:rFonts w:ascii="Arial" w:cs="Arial" w:eastAsia="Arial" w:hAnsi="Arial"/>
          <w:sz w:val="18"/>
          <w:szCs w:val="18"/>
          <w:color w:val="auto"/>
        </w:rPr>
        <w:t>neither the Placement Agent nor any of its affiliates or any of its representatives (1) has any duties or obligations other than those specifically set forth herein or in the engagement letter among the Issuer and such Placement Agent (an “</w:t>
      </w:r>
      <w:r>
        <w:rPr>
          <w:rFonts w:ascii="Arial" w:cs="Arial" w:eastAsia="Arial" w:hAnsi="Arial"/>
          <w:sz w:val="18"/>
          <w:szCs w:val="18"/>
          <w:u w:val="single" w:color="auto"/>
          <w:color w:val="auto"/>
        </w:rPr>
        <w:t>Engagement Letter</w:t>
      </w:r>
      <w:r>
        <w:rPr>
          <w:rFonts w:ascii="Arial" w:cs="Arial" w:eastAsia="Arial" w:hAnsi="Arial"/>
          <w:sz w:val="18"/>
          <w:szCs w:val="18"/>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Business Combination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Business Combination Agreement or any agreement contemplated therein, or (y) for anything which any of them may do or refrain from doing in connection with this Subscription Agreement,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or any agreement contemplated therein, except for such party’s own gross negligence, willful misconduct or bad faith; and</w:t>
      </w:r>
    </w:p>
    <w:p>
      <w:pPr>
        <w:spacing w:after="0" w:line="171" w:lineRule="exact"/>
        <w:rPr>
          <w:sz w:val="20"/>
          <w:szCs w:val="20"/>
          <w:color w:val="auto"/>
        </w:rPr>
      </w:pPr>
    </w:p>
    <w:p>
      <w:pPr>
        <w:jc w:val="both"/>
        <w:ind w:firstLine="1628"/>
        <w:spacing w:after="0" w:line="286" w:lineRule="auto"/>
        <w:tabs>
          <w:tab w:leader="none" w:pos="2036" w:val="left"/>
        </w:tabs>
        <w:numPr>
          <w:ilvl w:val="1"/>
          <w:numId w:val="483"/>
        </w:numPr>
        <w:rPr>
          <w:rFonts w:ascii="Arial" w:cs="Arial" w:eastAsia="Arial" w:hAnsi="Arial"/>
          <w:sz w:val="17"/>
          <w:szCs w:val="17"/>
          <w:color w:val="auto"/>
        </w:rPr>
      </w:pPr>
      <w:r>
        <w:rPr>
          <w:rFonts w:ascii="Arial" w:cs="Arial" w:eastAsia="Arial" w:hAnsi="Arial"/>
          <w:sz w:val="17"/>
          <w:szCs w:val="17"/>
          <w:color w:val="auto"/>
        </w:rPr>
        <w:t>The Placement Agent, its affiliates and its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 hereunder pursuant the indemnification provisions set forth in the Engagement Letter.</w:t>
      </w:r>
    </w:p>
    <w:p>
      <w:pPr>
        <w:spacing w:after="0" w:line="111" w:lineRule="exact"/>
        <w:rPr>
          <w:rFonts w:ascii="Arial" w:cs="Arial" w:eastAsia="Arial" w:hAnsi="Arial"/>
          <w:sz w:val="17"/>
          <w:szCs w:val="17"/>
          <w:color w:val="auto"/>
        </w:rPr>
      </w:pPr>
    </w:p>
    <w:p>
      <w:pPr>
        <w:jc w:val="both"/>
        <w:ind w:firstLine="980"/>
        <w:spacing w:after="0" w:line="285" w:lineRule="auto"/>
        <w:tabs>
          <w:tab w:leader="none" w:pos="136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Target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330" w:lineRule="exact"/>
        <w:rPr>
          <w:rFonts w:ascii="Arial" w:cs="Arial" w:eastAsia="Arial" w:hAnsi="Arial"/>
          <w:sz w:val="16"/>
          <w:szCs w:val="16"/>
          <w:color w:val="auto"/>
        </w:rPr>
      </w:pPr>
    </w:p>
    <w:p>
      <w:pPr>
        <w:jc w:val="both"/>
        <w:ind w:firstLine="980"/>
        <w:spacing w:after="0" w:line="286" w:lineRule="auto"/>
        <w:tabs>
          <w:tab w:leader="none" w:pos="1409" w:val="left"/>
        </w:tabs>
        <w:numPr>
          <w:ilvl w:val="0"/>
          <w:numId w:val="484"/>
        </w:numPr>
        <w:rPr>
          <w:rFonts w:ascii="Arial" w:cs="Arial" w:eastAsia="Arial" w:hAnsi="Arial"/>
          <w:sz w:val="16"/>
          <w:szCs w:val="16"/>
          <w:color w:val="auto"/>
        </w:rPr>
      </w:pPr>
      <w:r>
        <w:rPr>
          <w:rFonts w:ascii="Arial" w:cs="Arial" w:eastAsia="Arial" w:hAnsi="Arial"/>
          <w:sz w:val="16"/>
          <w:szCs w:val="16"/>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30" w:lineRule="exact"/>
        <w:rPr>
          <w:sz w:val="20"/>
          <w:szCs w:val="20"/>
          <w:color w:val="auto"/>
        </w:rPr>
      </w:pPr>
    </w:p>
    <w:p>
      <w:pPr>
        <w:jc w:val="both"/>
        <w:ind w:firstLine="980"/>
        <w:spacing w:after="0" w:line="291" w:lineRule="auto"/>
        <w:tabs>
          <w:tab w:leader="none" w:pos="1358"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12" w:lineRule="exact"/>
        <w:rPr>
          <w:rFonts w:ascii="Arial" w:cs="Arial" w:eastAsia="Arial" w:hAnsi="Arial"/>
          <w:sz w:val="16"/>
          <w:szCs w:val="16"/>
          <w:color w:val="auto"/>
        </w:rPr>
      </w:pPr>
    </w:p>
    <w:p>
      <w:pPr>
        <w:jc w:val="both"/>
        <w:ind w:firstLine="980"/>
        <w:spacing w:after="0" w:line="257" w:lineRule="auto"/>
        <w:tabs>
          <w:tab w:leader="none" w:pos="1381"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33" w:lineRule="exact"/>
        <w:rPr>
          <w:rFonts w:ascii="Arial" w:cs="Arial" w:eastAsia="Arial" w:hAnsi="Arial"/>
          <w:sz w:val="18"/>
          <w:szCs w:val="18"/>
          <w:color w:val="auto"/>
        </w:rPr>
      </w:pPr>
    </w:p>
    <w:p>
      <w:pPr>
        <w:jc w:val="both"/>
        <w:ind w:firstLine="980"/>
        <w:spacing w:after="0" w:line="263" w:lineRule="auto"/>
        <w:tabs>
          <w:tab w:leader="none" w:pos="143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Issuer agrees that from the date of this Subscription Agreement through the Closing, none of the terms offered to, or agreed with, any person or entity with respect to the Other Subscription Agreements is or will be more favorable to such person or entity than those of Subscriber under this Subscription Agreement.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0"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Issuer and Subscriber has executed or caused this Subscription Agreement to be executed by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as of the date set forth below.</w:t>
      </w:r>
    </w:p>
    <w:p>
      <w:pPr>
        <w:spacing w:after="0" w:line="1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3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 of Subscriber:</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20148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 2021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32" w:lineRule="exact"/>
        <w:rPr>
          <w:sz w:val="20"/>
          <w:szCs w:val="20"/>
          <w:color w:val="auto"/>
        </w:rPr>
      </w:pPr>
    </w:p>
    <w:p>
      <w:pPr>
        <w:ind w:left="20" w:right="700"/>
        <w:spacing w:after="0" w:line="235" w:lineRule="auto"/>
        <w:rPr>
          <w:sz w:val="20"/>
          <w:szCs w:val="20"/>
          <w:color w:val="auto"/>
        </w:rPr>
      </w:pPr>
      <w:r>
        <w:rPr>
          <w:rFonts w:ascii="Arial" w:cs="Arial" w:eastAsia="Arial" w:hAnsi="Arial"/>
          <w:sz w:val="18"/>
          <w:szCs w:val="18"/>
          <w:color w:val="auto"/>
        </w:rPr>
        <w:t>(Please print. Please indicate name and capacity of person signing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29489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71" w:lineRule="exact"/>
        <w:rPr>
          <w:sz w:val="20"/>
          <w:szCs w:val="20"/>
          <w:color w:val="auto"/>
        </w:rPr>
      </w:pPr>
    </w:p>
    <w:p>
      <w:pPr>
        <w:ind w:left="20" w:right="1640"/>
        <w:spacing w:after="0" w:line="235" w:lineRule="auto"/>
        <w:rPr>
          <w:sz w:val="20"/>
          <w:szCs w:val="20"/>
          <w:color w:val="auto"/>
        </w:rPr>
      </w:pPr>
      <w:r>
        <w:rPr>
          <w:rFonts w:ascii="Arial" w:cs="Arial" w:eastAsia="Arial" w:hAnsi="Arial"/>
          <w:sz w:val="18"/>
          <w:szCs w:val="18"/>
          <w:color w:val="auto"/>
        </w:rPr>
        <w:t>Name in which securities are to be registered (if different)</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Address: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there are joint investors, please check one:</w:t>
      </w:r>
    </w:p>
    <w:p>
      <w:pPr>
        <w:spacing w:after="0" w:line="185" w:lineRule="exact"/>
        <w:rPr>
          <w:sz w:val="20"/>
          <w:szCs w:val="20"/>
          <w:color w:val="auto"/>
        </w:rPr>
      </w:pPr>
    </w:p>
    <w:p>
      <w:pPr>
        <w:ind w:left="240" w:hanging="214"/>
        <w:spacing w:after="0"/>
        <w:tabs>
          <w:tab w:leader="none" w:pos="240" w:val="left"/>
        </w:tabs>
        <w:numPr>
          <w:ilvl w:val="0"/>
          <w:numId w:val="486"/>
        </w:numPr>
        <w:rPr>
          <w:rFonts w:ascii="MS PGothic" w:cs="MS PGothic" w:eastAsia="MS PGothic" w:hAnsi="MS PGothic"/>
          <w:sz w:val="18"/>
          <w:szCs w:val="18"/>
          <w:color w:val="auto"/>
        </w:rPr>
      </w:pPr>
      <w:r>
        <w:rPr>
          <w:rFonts w:ascii="Arial" w:cs="Arial" w:eastAsia="Arial" w:hAnsi="Arial"/>
          <w:sz w:val="18"/>
          <w:szCs w:val="18"/>
          <w:color w:val="auto"/>
        </w:rPr>
        <w:t>Joint Tenants with Rights of Survivorship</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6"/>
        </w:numPr>
        <w:rPr>
          <w:rFonts w:ascii="MS PGothic" w:cs="MS PGothic" w:eastAsia="MS PGothic" w:hAnsi="MS PGothic"/>
          <w:sz w:val="18"/>
          <w:szCs w:val="18"/>
          <w:color w:val="auto"/>
        </w:rPr>
      </w:pPr>
      <w:r>
        <w:rPr>
          <w:rFonts w:ascii="Arial" w:cs="Arial" w:eastAsia="Arial" w:hAnsi="Arial"/>
          <w:sz w:val="18"/>
          <w:szCs w:val="18"/>
          <w:color w:val="auto"/>
        </w:rPr>
        <w:t>Tenants-in-Common</w:t>
      </w:r>
    </w:p>
    <w:p>
      <w:pPr>
        <w:spacing w:after="0" w:line="184" w:lineRule="exact"/>
        <w:rPr>
          <w:rFonts w:ascii="MS PGothic" w:cs="MS PGothic" w:eastAsia="MS PGothic" w:hAnsi="MS PGothic"/>
          <w:sz w:val="18"/>
          <w:szCs w:val="18"/>
          <w:color w:val="auto"/>
        </w:rPr>
      </w:pPr>
    </w:p>
    <w:p>
      <w:pPr>
        <w:ind w:left="240" w:hanging="214"/>
        <w:spacing w:after="0"/>
        <w:tabs>
          <w:tab w:leader="none" w:pos="240" w:val="left"/>
        </w:tabs>
        <w:numPr>
          <w:ilvl w:val="0"/>
          <w:numId w:val="486"/>
        </w:numPr>
        <w:rPr>
          <w:rFonts w:ascii="MS PGothic" w:cs="MS PGothic" w:eastAsia="MS PGothic" w:hAnsi="MS PGothic"/>
          <w:sz w:val="18"/>
          <w:szCs w:val="18"/>
          <w:color w:val="auto"/>
        </w:rPr>
      </w:pPr>
      <w:r>
        <w:rPr>
          <w:rFonts w:ascii="Arial" w:cs="Arial" w:eastAsia="Arial" w:hAnsi="Arial"/>
          <w:sz w:val="18"/>
          <w:szCs w:val="18"/>
          <w:color w:val="auto"/>
        </w:rPr>
        <w:t>Community Property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948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489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2948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14605</wp:posOffset>
            </wp:positionV>
            <wp:extent cx="1242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Aggregate Number of Acquired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1165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Signature of Joint Subscriber, if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2391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Name of Joint Subscriber,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159385</wp:posOffset>
            </wp:positionV>
            <wp:extent cx="29660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(Please print. Please indicate name and</w:t>
      </w:r>
    </w:p>
    <w:p>
      <w:pPr>
        <w:spacing w:after="0"/>
        <w:rPr>
          <w:sz w:val="20"/>
          <w:szCs w:val="20"/>
          <w:color w:val="auto"/>
        </w:rPr>
      </w:pPr>
      <w:r>
        <w:rPr>
          <w:rFonts w:ascii="Arial" w:cs="Arial" w:eastAsia="Arial" w:hAnsi="Arial"/>
          <w:sz w:val="18"/>
          <w:szCs w:val="18"/>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29660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288925</wp:posOffset>
            </wp:positionV>
            <wp:extent cx="29660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151765</wp:posOffset>
            </wp:positionV>
            <wp:extent cx="29660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14605</wp:posOffset>
            </wp:positionV>
            <wp:extent cx="12433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468" w:lineRule="exact"/>
        <w:rPr>
          <w:sz w:val="20"/>
          <w:szCs w:val="20"/>
          <w:color w:val="auto"/>
        </w:rPr>
      </w:pPr>
    </w:p>
    <w:p>
      <w:pPr>
        <w:sectPr>
          <w:pgSz w:w="11900" w:h="16838" w:orient="portrait"/>
          <w:cols w:equalWidth="0" w:num="2">
            <w:col w:w="4900" w:space="720"/>
            <w:col w:w="5600"/>
          </w:cols>
          <w:pgMar w:left="320" w:top="1440" w:right="359" w:bottom="1440" w:gutter="0" w:footer="0" w:header="0"/>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must pay the Purchase Price by wire transfer of United States dollars in immediately available funds to the account specified by the Issuer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220"/>
          </w:cols>
          <w:pgMar w:left="320" w:top="1440" w:right="359" w:bottom="1440" w:gutter="0" w:footer="0" w:header="0"/>
          <w:type w:val="continuous"/>
        </w:sectPr>
      </w:pPr>
    </w:p>
    <w:bookmarkStart w:id="631" w:name="page632"/>
    <w:bookmarkEnd w:id="63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Number of Acquired Shares subscribed for and aggregate Purchase Price accepted and agreed to as of this [●] day of [________], 2021, by:</w:t>
      </w:r>
    </w:p>
    <w:p>
      <w:pPr>
        <w:sectPr>
          <w:pgSz w:w="11900" w:h="16838" w:orient="portrait"/>
          <w:cols w:equalWidth="0" w:num="1">
            <w:col w:w="10139"/>
          </w:cols>
          <w:pgMar w:left="320" w:top="1440" w:right="1440"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CM Life Sciences, Inc.</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134620</wp:posOffset>
            </wp:positionV>
            <wp:extent cx="24771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0139"/>
          </w:cols>
          <w:pgMar w:left="320" w:top="1440" w:right="1440" w:bottom="1440" w:gutter="0" w:footer="0" w:header="0"/>
          <w:type w:val="continuous"/>
        </w:sectPr>
      </w:pPr>
    </w:p>
    <w:bookmarkStart w:id="632" w:name="page633"/>
    <w:bookmarkEnd w:id="632"/>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SUBSCRIBER</w:t>
      </w:r>
    </w:p>
    <w:p>
      <w:pPr>
        <w:spacing w:after="0" w:line="211" w:lineRule="exact"/>
        <w:rPr>
          <w:sz w:val="20"/>
          <w:szCs w:val="20"/>
          <w:color w:val="auto"/>
        </w:rPr>
      </w:pPr>
    </w:p>
    <w:p>
      <w:pPr>
        <w:ind w:left="460" w:right="7060" w:hanging="434"/>
        <w:spacing w:after="0" w:line="308" w:lineRule="auto"/>
        <w:tabs>
          <w:tab w:leader="none" w:pos="460" w:val="left"/>
        </w:tabs>
        <w:numPr>
          <w:ilvl w:val="0"/>
          <w:numId w:val="487"/>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167" w:lineRule="exact"/>
        <w:rPr>
          <w:rFonts w:ascii="Arial" w:cs="Arial" w:eastAsia="Arial" w:hAnsi="Arial"/>
          <w:sz w:val="17"/>
          <w:szCs w:val="17"/>
          <w:color w:val="auto"/>
        </w:rPr>
      </w:pPr>
    </w:p>
    <w:p>
      <w:pPr>
        <w:ind w:left="900" w:hanging="442"/>
        <w:spacing w:after="0" w:line="207" w:lineRule="exact"/>
        <w:tabs>
          <w:tab w:leader="none" w:pos="900" w:val="left"/>
        </w:tabs>
        <w:numPr>
          <w:ilvl w:val="1"/>
          <w:numId w:val="4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20" w:hanging="442"/>
        <w:spacing w:after="0" w:line="239" w:lineRule="exact"/>
        <w:tabs>
          <w:tab w:leader="none" w:pos="900" w:val="left"/>
        </w:tabs>
        <w:numPr>
          <w:ilvl w:val="1"/>
          <w:numId w:val="48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subscribing for the Acquired Shares as a fiduciary or agent for one or more investor accounts, and each owner of such account is a QIB.</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ind w:left="460" w:right="6600" w:hanging="434"/>
        <w:spacing w:after="0" w:line="308" w:lineRule="auto"/>
        <w:tabs>
          <w:tab w:leader="none" w:pos="460"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each of the following subparagraphs):</w:t>
      </w:r>
    </w:p>
    <w:p>
      <w:pPr>
        <w:spacing w:after="0" w:line="167" w:lineRule="exact"/>
        <w:rPr>
          <w:rFonts w:ascii="Arial" w:cs="Arial" w:eastAsia="Arial" w:hAnsi="Arial"/>
          <w:sz w:val="17"/>
          <w:szCs w:val="17"/>
          <w:color w:val="auto"/>
        </w:rPr>
      </w:pPr>
    </w:p>
    <w:p>
      <w:pPr>
        <w:jc w:val="both"/>
        <w:ind w:left="900" w:right="20" w:hanging="442"/>
        <w:spacing w:after="0" w:line="232" w:lineRule="exact"/>
        <w:tabs>
          <w:tab w:leader="none" w:pos="900" w:val="left"/>
        </w:tabs>
        <w:numPr>
          <w:ilvl w:val="1"/>
          <w:numId w:val="48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70" w:lineRule="exact"/>
        <w:rPr>
          <w:rFonts w:ascii="Arial" w:cs="Arial" w:eastAsia="Arial" w:hAnsi="Arial"/>
          <w:sz w:val="18"/>
          <w:szCs w:val="18"/>
          <w:color w:val="auto"/>
        </w:rPr>
      </w:pPr>
    </w:p>
    <w:p>
      <w:pPr>
        <w:ind w:left="900" w:hanging="442"/>
        <w:spacing w:after="0" w:line="207" w:lineRule="exact"/>
        <w:tabs>
          <w:tab w:leader="none" w:pos="900" w:val="left"/>
        </w:tabs>
        <w:numPr>
          <w:ilvl w:val="1"/>
          <w:numId w:val="48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460" w:hanging="434"/>
        <w:spacing w:after="0"/>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AFFILIATE STATUS</w:t>
      </w:r>
    </w:p>
    <w:p>
      <w:pPr>
        <w:spacing w:after="0" w:line="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(Please check the applicable box)</w:t>
      </w:r>
    </w:p>
    <w:p>
      <w:pPr>
        <w:spacing w:after="0" w:line="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SUBSCRIBER:</w:t>
      </w:r>
    </w:p>
    <w:p>
      <w:pPr>
        <w:spacing w:after="0" w:line="279" w:lineRule="exact"/>
        <w:rPr>
          <w:rFonts w:ascii="Arial" w:cs="Arial" w:eastAsia="Arial" w:hAnsi="Arial"/>
          <w:sz w:val="18"/>
          <w:szCs w:val="18"/>
          <w:color w:val="auto"/>
        </w:rPr>
      </w:pPr>
    </w:p>
    <w:p>
      <w:pPr>
        <w:ind w:left="900" w:hanging="442"/>
        <w:spacing w:after="0"/>
        <w:tabs>
          <w:tab w:leader="none" w:pos="900" w:val="left"/>
        </w:tabs>
        <w:numPr>
          <w:ilvl w:val="1"/>
          <w:numId w:val="489"/>
        </w:numPr>
        <w:rPr>
          <w:rFonts w:ascii="MS PGothic" w:cs="MS PGothic" w:eastAsia="MS PGothic" w:hAnsi="MS PGothic"/>
          <w:sz w:val="18"/>
          <w:szCs w:val="18"/>
          <w:color w:val="auto"/>
        </w:rPr>
      </w:pPr>
      <w:r>
        <w:rPr>
          <w:rFonts w:ascii="Arial" w:cs="Arial" w:eastAsia="Arial" w:hAnsi="Arial"/>
          <w:sz w:val="18"/>
          <w:szCs w:val="18"/>
          <w:color w:val="auto"/>
        </w:rPr>
        <w:t>is:</w:t>
      </w:r>
    </w:p>
    <w:p>
      <w:pPr>
        <w:spacing w:after="0" w:line="279" w:lineRule="exact"/>
        <w:rPr>
          <w:rFonts w:ascii="MS PGothic" w:cs="MS PGothic" w:eastAsia="MS PGothic" w:hAnsi="MS PGothic"/>
          <w:sz w:val="18"/>
          <w:szCs w:val="18"/>
          <w:color w:val="auto"/>
        </w:rPr>
      </w:pPr>
    </w:p>
    <w:p>
      <w:pPr>
        <w:ind w:left="900" w:hanging="442"/>
        <w:spacing w:after="0"/>
        <w:tabs>
          <w:tab w:leader="none" w:pos="900" w:val="left"/>
        </w:tabs>
        <w:numPr>
          <w:ilvl w:val="1"/>
          <w:numId w:val="489"/>
        </w:numPr>
        <w:rPr>
          <w:rFonts w:ascii="MS PGothic" w:cs="MS PGothic" w:eastAsia="MS PGothic" w:hAnsi="MS PGothic"/>
          <w:sz w:val="18"/>
          <w:szCs w:val="18"/>
          <w:color w:val="auto"/>
        </w:rPr>
      </w:pPr>
      <w:r>
        <w:rPr>
          <w:rFonts w:ascii="Arial" w:cs="Arial" w:eastAsia="Arial" w:hAnsi="Arial"/>
          <w:sz w:val="18"/>
          <w:szCs w:val="18"/>
          <w:color w:val="auto"/>
        </w:rPr>
        <w:t>is not:</w:t>
      </w:r>
    </w:p>
    <w:p>
      <w:pPr>
        <w:spacing w:after="0" w:line="279" w:lineRule="exact"/>
        <w:rPr>
          <w:rFonts w:ascii="MS PGothic" w:cs="MS PGothic" w:eastAsia="MS PGothic" w:hAnsi="MS PGothic"/>
          <w:sz w:val="18"/>
          <w:szCs w:val="18"/>
          <w:color w:val="auto"/>
        </w:rPr>
      </w:pPr>
    </w:p>
    <w:p>
      <w:pPr>
        <w:ind w:left="900"/>
        <w:spacing w:after="0"/>
        <w:rPr>
          <w:rFonts w:ascii="MS PGothic" w:cs="MS PGothic" w:eastAsia="MS PGothic" w:hAnsi="MS PGothic"/>
          <w:sz w:val="18"/>
          <w:szCs w:val="18"/>
          <w:color w:val="auto"/>
        </w:rPr>
      </w:pPr>
      <w:r>
        <w:rPr>
          <w:rFonts w:ascii="Arial" w:cs="Arial" w:eastAsia="Arial" w:hAnsi="Arial"/>
          <w:sz w:val="18"/>
          <w:szCs w:val="18"/>
          <w:color w:val="auto"/>
        </w:rPr>
        <w:t>an “affiliate” (as defined in Rule 144 under the Securities Act) of the Issuer or acting on behalf of an affiliate of the Issuer.</w:t>
      </w:r>
    </w:p>
    <w:p>
      <w:pPr>
        <w:spacing w:after="0" w:line="2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30" w:lineRule="exact"/>
        <w:rPr>
          <w:sz w:val="20"/>
          <w:szCs w:val="20"/>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 bank, savings and loan association, insurance company or registered investment company;</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895"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 investment adviser registered either with the Commission under Section 203 of the Investment Advisers Act or with a state securities commission (or any agency or office performing like functions); or</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90"/>
        </w:numPr>
        <w:rPr>
          <w:rFonts w:ascii="MS PGothic" w:cs="MS PGothic" w:eastAsia="MS PGothic" w:hAnsi="MS PGothic"/>
          <w:sz w:val="18"/>
          <w:szCs w:val="18"/>
          <w:color w:val="auto"/>
        </w:rPr>
      </w:pPr>
      <w:r>
        <w:rPr>
          <w:rFonts w:ascii="Arial" w:cs="Arial" w:eastAsia="Arial" w:hAnsi="Arial"/>
          <w:sz w:val="18"/>
          <w:szCs w:val="18"/>
          <w:color w:val="auto"/>
        </w:rPr>
        <w:t>any other person (whether a natural person, corporation, partnership, trust or otherwise) with total assets of at least $50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C-26</w:t>
      </w:r>
    </w:p>
    <w:p>
      <w:pPr>
        <w:sectPr>
          <w:pgSz w:w="11900" w:h="16838" w:orient="portrait"/>
          <w:cols w:equalWidth="0" w:num="1">
            <w:col w:w="11240"/>
          </w:cols>
          <w:pgMar w:left="320" w:top="1440" w:right="339" w:bottom="1440" w:gutter="0" w:footer="0" w:header="0"/>
          <w:type w:val="continuous"/>
        </w:sectPr>
      </w:pPr>
    </w:p>
    <w:bookmarkStart w:id="633" w:name="page634"/>
    <w:bookmarkEnd w:id="633"/>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33" w:lineRule="exact"/>
        <w:rPr>
          <w:sz w:val="20"/>
          <w:szCs w:val="20"/>
          <w:color w:val="auto"/>
        </w:rPr>
      </w:pPr>
    </w:p>
    <w:p>
      <w:pPr>
        <w:ind w:left="860" w:hanging="204"/>
        <w:spacing w:after="0"/>
        <w:tabs>
          <w:tab w:leader="none" w:pos="860" w:val="left"/>
        </w:tabs>
        <w:numPr>
          <w:ilvl w:val="0"/>
          <w:numId w:val="491"/>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w:t>
      </w:r>
    </w:p>
    <w:p>
      <w:pPr>
        <w:spacing w:after="0" w:line="48" w:lineRule="exact"/>
        <w:rPr>
          <w:rFonts w:ascii="MS PGothic" w:cs="MS PGothic" w:eastAsia="MS PGothic" w:hAnsi="MS PGothic"/>
          <w:sz w:val="16"/>
          <w:szCs w:val="16"/>
          <w:color w:val="auto"/>
        </w:rPr>
      </w:pPr>
    </w:p>
    <w:p>
      <w:pPr>
        <w:ind w:left="660"/>
        <w:spacing w:after="0"/>
        <w:rPr>
          <w:rFonts w:ascii="MS PGothic" w:cs="MS PGothic" w:eastAsia="MS PGothic" w:hAnsi="MS PGothic"/>
          <w:sz w:val="16"/>
          <w:szCs w:val="16"/>
          <w:color w:val="auto"/>
        </w:rPr>
      </w:pPr>
      <w:r>
        <w:rPr>
          <w:rFonts w:ascii="Arial" w:cs="Arial" w:eastAsia="Arial" w:hAnsi="Arial"/>
          <w:sz w:val="18"/>
          <w:szCs w:val="18"/>
          <w:color w:val="auto"/>
        </w:rPr>
        <w:t>(A) of the Securities Act whether acting in its individual or fiduciary capacity;</w:t>
      </w:r>
    </w:p>
    <w:p>
      <w:pPr>
        <w:spacing w:after="0" w:line="155" w:lineRule="exact"/>
        <w:rPr>
          <w:rFonts w:ascii="MS PGothic" w:cs="MS PGothic" w:eastAsia="MS PGothic" w:hAnsi="MS PGothic"/>
          <w:sz w:val="16"/>
          <w:szCs w:val="16"/>
          <w:color w:val="auto"/>
        </w:rPr>
      </w:pPr>
    </w:p>
    <w:p>
      <w:pPr>
        <w:ind w:left="860" w:hanging="204"/>
        <w:spacing w:after="0"/>
        <w:tabs>
          <w:tab w:leader="none" w:pos="860"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broker or dealer registered pursuant to section 15 of the Exchange Act;</w:t>
      </w:r>
    </w:p>
    <w:p>
      <w:pPr>
        <w:spacing w:after="0" w:line="171" w:lineRule="exact"/>
        <w:rPr>
          <w:rFonts w:ascii="MS PGothic" w:cs="MS PGothic" w:eastAsia="MS PGothic" w:hAnsi="MS PGothic"/>
          <w:sz w:val="18"/>
          <w:szCs w:val="18"/>
          <w:color w:val="auto"/>
        </w:rPr>
      </w:pPr>
    </w:p>
    <w:p>
      <w:pPr>
        <w:ind w:left="860" w:hanging="204"/>
        <w:spacing w:after="0"/>
        <w:tabs>
          <w:tab w:leader="none" w:pos="860" w:val="left"/>
        </w:tabs>
        <w:numPr>
          <w:ilvl w:val="0"/>
          <w:numId w:val="491"/>
        </w:numPr>
        <w:rPr>
          <w:rFonts w:ascii="MS PGothic" w:cs="MS PGothic" w:eastAsia="MS PGothic" w:hAnsi="MS PGothic"/>
          <w:sz w:val="16"/>
          <w:szCs w:val="16"/>
          <w:color w:val="auto"/>
        </w:rPr>
      </w:pPr>
      <w:r>
        <w:rPr>
          <w:rFonts w:ascii="Arial" w:cs="Arial" w:eastAsia="Arial" w:hAnsi="Arial"/>
          <w:sz w:val="16"/>
          <w:szCs w:val="16"/>
          <w:color w:val="auto"/>
        </w:rPr>
        <w:t>An investment adviser registered pursuant to section 203 of the Investment Advisers Act of 1940 or registered pursuant to the laws of a state;</w:t>
      </w:r>
    </w:p>
    <w:p>
      <w:pPr>
        <w:spacing w:after="0" w:line="194" w:lineRule="exact"/>
        <w:rPr>
          <w:rFonts w:ascii="MS PGothic" w:cs="MS PGothic" w:eastAsia="MS PGothic" w:hAnsi="MS PGothic"/>
          <w:sz w:val="16"/>
          <w:szCs w:val="16"/>
          <w:color w:val="auto"/>
        </w:rPr>
      </w:pPr>
    </w:p>
    <w:p>
      <w:pPr>
        <w:ind w:left="660" w:hanging="4"/>
        <w:spacing w:after="0" w:line="277" w:lineRule="auto"/>
        <w:tabs>
          <w:tab w:leader="none" w:pos="872"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 investment adviser relying on the exemption from registering with the Securities and Exchange Commission under section 203(l) or (m) of the Investment Advisers Act of 1940;</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insurance company as defined in section 2(a)(13) of the Securities Act;</w:t>
      </w:r>
    </w:p>
    <w:p>
      <w:pPr>
        <w:spacing w:after="0" w:line="171" w:lineRule="exact"/>
        <w:rPr>
          <w:rFonts w:ascii="MS PGothic" w:cs="MS PGothic" w:eastAsia="MS PGothic" w:hAnsi="MS PGothic"/>
          <w:sz w:val="18"/>
          <w:szCs w:val="18"/>
          <w:color w:val="auto"/>
        </w:rPr>
      </w:pPr>
    </w:p>
    <w:p>
      <w:pPr>
        <w:ind w:left="660" w:right="20" w:hanging="4"/>
        <w:spacing w:after="0" w:line="277" w:lineRule="auto"/>
        <w:tabs>
          <w:tab w:leader="none" w:pos="869"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investment company registered under the Investment Company Act of 1940 or a business development company as defined in section 2(a) (48) of the Securities Act;</w:t>
      </w:r>
    </w:p>
    <w:p>
      <w:pPr>
        <w:spacing w:after="0" w:line="116" w:lineRule="exact"/>
        <w:rPr>
          <w:rFonts w:ascii="MS PGothic" w:cs="MS PGothic" w:eastAsia="MS PGothic" w:hAnsi="MS PGothic"/>
          <w:sz w:val="18"/>
          <w:szCs w:val="18"/>
          <w:color w:val="auto"/>
        </w:rPr>
      </w:pPr>
    </w:p>
    <w:p>
      <w:pPr>
        <w:ind w:left="660" w:hanging="4"/>
        <w:spacing w:after="0" w:line="277" w:lineRule="auto"/>
        <w:tabs>
          <w:tab w:leader="none" w:pos="899"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Small Business Investment Company licensed by the U.S. Small Business Administration under section 301(c) or (d) of the Small Business Investment Act of 1958;</w:t>
      </w:r>
    </w:p>
    <w:p>
      <w:pPr>
        <w:spacing w:after="0" w:line="116" w:lineRule="exact"/>
        <w:rPr>
          <w:rFonts w:ascii="MS PGothic" w:cs="MS PGothic" w:eastAsia="MS PGothic" w:hAnsi="MS PGothic"/>
          <w:sz w:val="18"/>
          <w:szCs w:val="18"/>
          <w:color w:val="auto"/>
        </w:rPr>
      </w:pPr>
    </w:p>
    <w:p>
      <w:pPr>
        <w:ind w:left="860" w:hanging="204"/>
        <w:spacing w:after="0"/>
        <w:tabs>
          <w:tab w:leader="none" w:pos="860"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 Rural Business Investment Company as defined in section 384A of the Consolidated Farm and Rural Development Act;</w:t>
      </w:r>
    </w:p>
    <w:p>
      <w:pPr>
        <w:spacing w:after="0" w:line="171" w:lineRule="exact"/>
        <w:rPr>
          <w:rFonts w:ascii="MS PGothic" w:cs="MS PGothic" w:eastAsia="MS PGothic" w:hAnsi="MS PGothic"/>
          <w:sz w:val="18"/>
          <w:szCs w:val="18"/>
          <w:color w:val="auto"/>
        </w:rPr>
      </w:pPr>
    </w:p>
    <w:p>
      <w:pPr>
        <w:ind w:left="660" w:hanging="4"/>
        <w:spacing w:after="0" w:line="277" w:lineRule="auto"/>
        <w:tabs>
          <w:tab w:leader="none" w:pos="912"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jc w:val="both"/>
        <w:ind w:left="660" w:hanging="4"/>
        <w:spacing w:after="0" w:line="259" w:lineRule="auto"/>
        <w:tabs>
          <w:tab w:leader="none" w:pos="869"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MS PGothic" w:cs="MS PGothic" w:eastAsia="MS PGothic" w:hAnsi="MS PGothic"/>
          <w:sz w:val="18"/>
          <w:szCs w:val="18"/>
          <w:color w:val="auto"/>
        </w:rPr>
      </w:pPr>
    </w:p>
    <w:p>
      <w:pPr>
        <w:ind w:left="860" w:hanging="204"/>
        <w:spacing w:after="0"/>
        <w:tabs>
          <w:tab w:leader="none" w:pos="860" w:val="left"/>
        </w:tabs>
        <w:numPr>
          <w:ilvl w:val="0"/>
          <w:numId w:val="491"/>
        </w:numPr>
        <w:rPr>
          <w:rFonts w:ascii="MS PGothic" w:cs="MS PGothic" w:eastAsia="MS PGothic" w:hAnsi="MS PGothic"/>
          <w:sz w:val="18"/>
          <w:szCs w:val="18"/>
          <w:color w:val="auto"/>
        </w:rPr>
      </w:pPr>
      <w:r>
        <w:rPr>
          <w:rFonts w:ascii="Arial" w:cs="Arial" w:eastAsia="Arial" w:hAnsi="Arial"/>
          <w:sz w:val="18"/>
          <w:szCs w:val="18"/>
          <w:color w:val="auto"/>
        </w:rPr>
        <w:t>Any private business development company as defined in section 202(a)(22) of the Investment Advisers Act of 1940;</w:t>
      </w:r>
    </w:p>
    <w:p>
      <w:pPr>
        <w:spacing w:after="0" w:line="171" w:lineRule="exact"/>
        <w:rPr>
          <w:rFonts w:ascii="MS PGothic" w:cs="MS PGothic" w:eastAsia="MS PGothic" w:hAnsi="MS PGothic"/>
          <w:sz w:val="18"/>
          <w:szCs w:val="18"/>
          <w:color w:val="auto"/>
        </w:rPr>
      </w:pPr>
    </w:p>
    <w:p>
      <w:pPr>
        <w:ind w:left="660" w:hanging="4"/>
        <w:spacing w:after="0" w:line="342" w:lineRule="auto"/>
        <w:tabs>
          <w:tab w:leader="none" w:pos="870" w:val="left"/>
        </w:tabs>
        <w:numPr>
          <w:ilvl w:val="0"/>
          <w:numId w:val="491"/>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240"/>
          </w:cols>
          <w:pgMar w:left="320" w:top="1440" w:right="339" w:bottom="1440" w:gutter="0" w:footer="0" w:header="0"/>
        </w:sectPr>
      </w:pPr>
    </w:p>
    <w:bookmarkStart w:id="634" w:name="page635"/>
    <w:bookmarkEnd w:id="634"/>
    <w:p>
      <w:pPr>
        <w:spacing w:after="0" w:line="145"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157" w:lineRule="exact"/>
        <w:rPr>
          <w:sz w:val="20"/>
          <w:szCs w:val="20"/>
          <w:color w:val="auto"/>
        </w:rPr>
      </w:pPr>
    </w:p>
    <w:p>
      <w:pPr>
        <w:ind w:left="4484"/>
        <w:spacing w:after="0"/>
        <w:rPr>
          <w:sz w:val="20"/>
          <w:szCs w:val="20"/>
          <w:color w:val="auto"/>
        </w:rPr>
      </w:pPr>
      <w:r>
        <w:rPr>
          <w:rFonts w:ascii="Arial" w:cs="Arial" w:eastAsia="Arial" w:hAnsi="Arial"/>
          <w:sz w:val="18"/>
          <w:szCs w:val="18"/>
          <w:color w:val="auto"/>
        </w:rPr>
        <w:t>Schedule A-2</w:t>
      </w:r>
    </w:p>
    <w:p>
      <w:pPr>
        <w:spacing w:after="0" w:line="171" w:lineRule="exact"/>
        <w:rPr>
          <w:sz w:val="20"/>
          <w:szCs w:val="20"/>
          <w:color w:val="auto"/>
        </w:rPr>
      </w:pPr>
    </w:p>
    <w:p>
      <w:pPr>
        <w:ind w:left="4" w:hanging="4"/>
        <w:spacing w:after="0" w:line="277" w:lineRule="auto"/>
        <w:tabs>
          <w:tab w:leader="none" w:pos="220"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16" w:lineRule="exact"/>
        <w:rPr>
          <w:rFonts w:ascii="MS PGothic" w:cs="MS PGothic" w:eastAsia="MS PGothic" w:hAnsi="MS PGothic"/>
          <w:sz w:val="18"/>
          <w:szCs w:val="18"/>
          <w:color w:val="auto"/>
        </w:rPr>
      </w:pPr>
    </w:p>
    <w:p>
      <w:pPr>
        <w:ind w:left="4" w:hanging="4"/>
        <w:spacing w:after="0" w:line="277" w:lineRule="auto"/>
        <w:tabs>
          <w:tab w:leader="none" w:pos="212"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An entity, of a type not listed in any of the foregoing paragraphs, not formed for the specific purpose of acquiring the securities offered, owning investments in excess of $5,000,000;</w:t>
      </w:r>
    </w:p>
    <w:p>
      <w:pPr>
        <w:spacing w:after="0" w:line="116" w:lineRule="exact"/>
        <w:rPr>
          <w:rFonts w:ascii="MS PGothic" w:cs="MS PGothic" w:eastAsia="MS PGothic" w:hAnsi="MS PGothic"/>
          <w:sz w:val="18"/>
          <w:szCs w:val="18"/>
          <w:color w:val="auto"/>
        </w:rPr>
      </w:pPr>
    </w:p>
    <w:p>
      <w:pPr>
        <w:jc w:val="both"/>
        <w:ind w:left="4" w:hanging="4"/>
        <w:spacing w:after="0" w:line="259" w:lineRule="auto"/>
        <w:tabs>
          <w:tab w:leader="none" w:pos="214"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MS PGothic" w:cs="MS PGothic" w:eastAsia="MS PGothic" w:hAnsi="MS PGothic"/>
          <w:sz w:val="18"/>
          <w:szCs w:val="18"/>
          <w:color w:val="auto"/>
        </w:rPr>
      </w:pPr>
    </w:p>
    <w:p>
      <w:pPr>
        <w:jc w:val="both"/>
        <w:ind w:left="4" w:hanging="4"/>
        <w:spacing w:after="0" w:line="263" w:lineRule="auto"/>
        <w:tabs>
          <w:tab w:leader="none" w:pos="225"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29" w:lineRule="exact"/>
        <w:rPr>
          <w:rFonts w:ascii="MS PGothic" w:cs="MS PGothic" w:eastAsia="MS PGothic" w:hAnsi="MS PGothic"/>
          <w:sz w:val="18"/>
          <w:szCs w:val="18"/>
          <w:color w:val="auto"/>
        </w:rPr>
      </w:pPr>
    </w:p>
    <w:p>
      <w:pPr>
        <w:jc w:val="both"/>
        <w:ind w:left="4" w:hanging="4"/>
        <w:spacing w:after="0" w:line="293" w:lineRule="auto"/>
        <w:tabs>
          <w:tab w:leader="none" w:pos="222" w:val="left"/>
        </w:tabs>
        <w:numPr>
          <w:ilvl w:val="0"/>
          <w:numId w:val="492"/>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10" w:lineRule="exact"/>
        <w:rPr>
          <w:rFonts w:ascii="MS PGothic" w:cs="MS PGothic" w:eastAsia="MS PGothic" w:hAnsi="MS PGothic"/>
          <w:sz w:val="16"/>
          <w:szCs w:val="16"/>
          <w:color w:val="auto"/>
        </w:rPr>
      </w:pPr>
    </w:p>
    <w:p>
      <w:pPr>
        <w:ind w:left="4" w:right="20" w:hanging="4"/>
        <w:spacing w:after="0" w:line="342" w:lineRule="auto"/>
        <w:tabs>
          <w:tab w:leader="none" w:pos="213" w:val="left"/>
        </w:tabs>
        <w:numPr>
          <w:ilvl w:val="0"/>
          <w:numId w:val="492"/>
        </w:numPr>
        <w:rPr>
          <w:rFonts w:ascii="MS PGothic" w:cs="MS PGothic" w:eastAsia="MS PGothic" w:hAnsi="MS PGothic"/>
          <w:sz w:val="16"/>
          <w:szCs w:val="16"/>
          <w:color w:val="auto"/>
        </w:rPr>
      </w:pPr>
      <w:r>
        <w:rPr>
          <w:rFonts w:ascii="Arial" w:cs="Arial" w:eastAsia="Arial" w:hAnsi="Arial"/>
          <w:sz w:val="16"/>
          <w:szCs w:val="16"/>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69" w:lineRule="exact"/>
        <w:rPr>
          <w:rFonts w:ascii="MS PGothic" w:cs="MS PGothic" w:eastAsia="MS PGothic" w:hAnsi="MS PGothic"/>
          <w:sz w:val="16"/>
          <w:szCs w:val="16"/>
          <w:color w:val="auto"/>
        </w:rPr>
      </w:pPr>
    </w:p>
    <w:p>
      <w:pPr>
        <w:ind w:left="204" w:hanging="204"/>
        <w:spacing w:after="0"/>
        <w:tabs>
          <w:tab w:leader="none" w:pos="204" w:val="left"/>
        </w:tabs>
        <w:numPr>
          <w:ilvl w:val="0"/>
          <w:numId w:val="492"/>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0584"/>
          </w:cols>
          <w:pgMar w:left="976" w:top="1440" w:right="339" w:bottom="1440" w:gutter="0" w:footer="0" w:header="0"/>
        </w:sectPr>
      </w:pPr>
    </w:p>
    <w:bookmarkStart w:id="635" w:name="page636"/>
    <w:bookmarkEnd w:id="635"/>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Subscriber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and constitutes a part of the Subscription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9019"/>
          </w:cols>
          <w:pgMar w:left="1440" w:top="1440" w:right="1440" w:bottom="1440" w:gutter="0" w:footer="0" w:header="0"/>
        </w:sectPr>
      </w:pPr>
    </w:p>
    <w:bookmarkStart w:id="636" w:name="page637"/>
    <w:bookmarkEnd w:id="636"/>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5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(Adopted [_____], 2021)</w:t>
      </w:r>
    </w:p>
    <w:p>
      <w:pPr>
        <w:spacing w:after="0" w:line="171" w:lineRule="exact"/>
        <w:rPr>
          <w:sz w:val="20"/>
          <w:szCs w:val="20"/>
          <w:color w:val="auto"/>
        </w:rPr>
      </w:pPr>
    </w:p>
    <w:p>
      <w:pPr>
        <w:jc w:val="both"/>
        <w:ind w:firstLine="332"/>
        <w:spacing w:after="0" w:line="261" w:lineRule="auto"/>
        <w:tabs>
          <w:tab w:leader="none" w:pos="76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this Plan is to provide incentives to attract, retain and motivate eligible persons whose present and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THE PLAN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Subject to Sections 2.6 and 21 and any other applicable provisions hereof, the total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available for grant and issuance pursuant to this Plan as of the date of adoption of the Plan by the Board is [[●] ([●])] Shares plus (a) any reserved shares not issued or subject to outstanding grants under the Company’s 2017 Stock Incentive Plan (the “</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shares that are subject to stock options or other awards granted under the Prior Plan, that cease to be subject to such stock options or other awards, by forfeiture or otherwise, after the Effective Date,</w:t>
      </w:r>
    </w:p>
    <w:p>
      <w:pPr>
        <w:spacing w:after="0" w:line="3" w:lineRule="exact"/>
        <w:rPr>
          <w:sz w:val="20"/>
          <w:szCs w:val="20"/>
          <w:color w:val="auto"/>
        </w:rPr>
      </w:pPr>
    </w:p>
    <w:p>
      <w:pPr>
        <w:ind w:left="260" w:hanging="252"/>
        <w:spacing w:after="0"/>
        <w:tabs>
          <w:tab w:leader="none" w:pos="26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shares issued under the Prior Plan before or after the Effective Date pursuant to the exercise of stock options that are forfeited after the Effective Date,</w:t>
      </w:r>
    </w:p>
    <w:p>
      <w:pPr>
        <w:spacing w:after="0" w:line="32" w:lineRule="exact"/>
        <w:rPr>
          <w:rFonts w:ascii="Arial" w:cs="Arial" w:eastAsia="Arial" w:hAnsi="Arial"/>
          <w:sz w:val="16"/>
          <w:szCs w:val="16"/>
          <w:color w:val="auto"/>
        </w:rPr>
      </w:pPr>
    </w:p>
    <w:p>
      <w:pPr>
        <w:jc w:val="both"/>
        <w:ind w:firstLine="8"/>
        <w:spacing w:after="0" w:line="255" w:lineRule="auto"/>
        <w:tabs>
          <w:tab w:leader="none" w:pos="27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32" w:lineRule="exact"/>
        <w:rPr>
          <w:sz w:val="20"/>
          <w:szCs w:val="20"/>
          <w:color w:val="auto"/>
        </w:rPr>
      </w:pPr>
    </w:p>
    <w:p>
      <w:pPr>
        <w:jc w:val="both"/>
        <w:ind w:firstLine="972"/>
        <w:spacing w:after="0" w:line="270"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u w:val="single" w:color="auto"/>
          <w:color w:val="auto"/>
        </w:rPr>
        <w:t>Lapsed, Returned Awards</w:t>
      </w:r>
      <w:r>
        <w:rPr>
          <w:rFonts w:ascii="Arial" w:cs="Arial" w:eastAsia="Arial" w:hAnsi="Arial"/>
          <w:sz w:val="17"/>
          <w:szCs w:val="17"/>
          <w:color w:val="auto"/>
        </w:rPr>
        <w:t>. Shares subject to Awards, and Shares issued under the Plan under any Award, will again be available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3"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Minimum Share Reserve</w:t>
      </w:r>
      <w:r>
        <w:rPr>
          <w:rFonts w:ascii="Arial" w:cs="Arial" w:eastAsia="Arial" w:hAnsi="Arial"/>
          <w:sz w:val="18"/>
          <w:szCs w:val="18"/>
          <w:color w:val="auto"/>
        </w:rPr>
        <w:t>. At all times the Company shall reserve and keep available a sufficient number of Shares as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satisfy the requirements of all outstanding Awards granted under this Plan.</w:t>
      </w:r>
    </w:p>
    <w:p>
      <w:pPr>
        <w:spacing w:after="0" w:line="10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Automatic Share Reserve Increase</w:t>
      </w:r>
      <w:r>
        <w:rPr>
          <w:rFonts w:ascii="Arial" w:cs="Arial" w:eastAsia="Arial" w:hAnsi="Arial"/>
          <w:sz w:val="18"/>
          <w:szCs w:val="18"/>
          <w:color w:val="auto"/>
        </w:rPr>
        <w:t>. The number of Shares available for grant and issuance under the Plan shall be increased on January</w:t>
      </w:r>
      <w:r>
        <w:rPr>
          <w:rFonts w:ascii="Arial" w:cs="Arial" w:eastAsia="Arial" w:hAnsi="Arial"/>
          <w:sz w:val="18"/>
          <w:szCs w:val="18"/>
          <w:b w:val="1"/>
          <w:bCs w:val="1"/>
          <w:color w:val="auto"/>
        </w:rPr>
        <w:t xml:space="preserve"> </w:t>
      </w:r>
      <w:r>
        <w:rPr>
          <w:rFonts w:ascii="Arial" w:cs="Arial" w:eastAsia="Arial" w:hAnsi="Arial"/>
          <w:sz w:val="18"/>
          <w:szCs w:val="18"/>
          <w:color w:val="auto"/>
        </w:rPr>
        <w:t>1 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 ([●])] Shares shall be issued pursuant to the exercise of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u w:val="single" w:color="auto"/>
          <w:color w:val="auto"/>
        </w:rPr>
        <w:t>Adjustment of Shares</w:t>
      </w:r>
      <w:r>
        <w:rPr>
          <w:rFonts w:ascii="Arial" w:cs="Arial" w:eastAsia="Arial" w:hAnsi="Arial"/>
          <w:sz w:val="16"/>
          <w:szCs w:val="16"/>
          <w:color w:val="auto"/>
        </w:rPr>
        <w:t>. If the number or class of outstanding Shares are changed by a stock dividend, extraordinary dividend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w:t>
      </w:r>
    </w:p>
    <w:p>
      <w:pPr>
        <w:spacing w:after="0" w:line="2" w:lineRule="exact"/>
        <w:rPr>
          <w:sz w:val="20"/>
          <w:szCs w:val="20"/>
          <w:color w:val="auto"/>
        </w:rPr>
      </w:pPr>
    </w:p>
    <w:p>
      <w:pPr>
        <w:jc w:val="both"/>
        <w:ind w:firstLine="8"/>
        <w:spacing w:after="0" w:line="269" w:lineRule="auto"/>
        <w:tabs>
          <w:tab w:leader="none" w:pos="251" w:val="left"/>
        </w:tabs>
        <w:numPr>
          <w:ilvl w:val="0"/>
          <w:numId w:val="495"/>
        </w:numPr>
        <w:rPr>
          <w:rFonts w:ascii="Arial" w:cs="Arial" w:eastAsia="Arial" w:hAnsi="Arial"/>
          <w:sz w:val="17"/>
          <w:szCs w:val="17"/>
          <w:color w:val="auto"/>
        </w:rPr>
      </w:pPr>
      <w:r>
        <w:rPr>
          <w:rFonts w:ascii="Arial" w:cs="Arial" w:eastAsia="Arial" w:hAnsi="Arial"/>
          <w:sz w:val="17"/>
          <w:szCs w:val="17"/>
          <w:color w:val="auto"/>
        </w:rPr>
        <w:t>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2" w:lineRule="exact"/>
        <w:rPr>
          <w:rFonts w:ascii="Arial" w:cs="Arial" w:eastAsia="Arial" w:hAnsi="Arial"/>
          <w:sz w:val="17"/>
          <w:szCs w:val="17"/>
          <w:color w:val="auto"/>
        </w:rPr>
      </w:pPr>
    </w:p>
    <w:p>
      <w:pPr>
        <w:jc w:val="both"/>
        <w:ind w:firstLine="332"/>
        <w:spacing w:after="0" w:line="261" w:lineRule="auto"/>
        <w:tabs>
          <w:tab w:leader="none" w:pos="72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5" w:lineRule="exact"/>
        <w:rPr>
          <w:rFonts w:ascii="Arial" w:cs="Arial" w:eastAsia="Arial" w:hAnsi="Arial"/>
          <w:sz w:val="18"/>
          <w:szCs w:val="18"/>
          <w:b w:val="1"/>
          <w:bCs w:val="1"/>
          <w:color w:val="auto"/>
        </w:rPr>
      </w:pPr>
    </w:p>
    <w:p>
      <w:pPr>
        <w:ind w:left="640" w:hanging="308"/>
        <w:spacing w:after="0"/>
        <w:tabs>
          <w:tab w:leader="none" w:pos="640" w:val="left"/>
        </w:tabs>
        <w:numPr>
          <w:ilvl w:val="1"/>
          <w:numId w:val="4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u w:val="single" w:color="auto"/>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Committee Composition; Authority</w:t>
      </w:r>
      <w:r>
        <w:rPr>
          <w:rFonts w:ascii="Arial" w:cs="Arial" w:eastAsia="Arial" w:hAnsi="Arial"/>
          <w:sz w:val="18"/>
          <w:szCs w:val="18"/>
          <w:color w:val="auto"/>
        </w:rPr>
        <w:t>. This Plan will be administered by the Committee or by the Board acting as the Committee.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30" w:lineRule="exact"/>
        <w:rPr>
          <w:sz w:val="20"/>
          <w:szCs w:val="20"/>
          <w:color w:val="auto"/>
        </w:rPr>
      </w:pPr>
    </w:p>
    <w:p>
      <w:pPr>
        <w:ind w:left="2000" w:hanging="372"/>
        <w:spacing w:after="0"/>
        <w:tabs>
          <w:tab w:leader="none" w:pos="2000" w:val="left"/>
        </w:tabs>
        <w:numPr>
          <w:ilvl w:val="0"/>
          <w:numId w:val="496"/>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 Plan;</w:t>
      </w:r>
    </w:p>
    <w:p>
      <w:pPr>
        <w:spacing w:after="0" w:line="194" w:lineRule="exact"/>
        <w:rPr>
          <w:rFonts w:ascii="Arial" w:cs="Arial" w:eastAsia="Arial" w:hAnsi="Arial"/>
          <w:sz w:val="16"/>
          <w:szCs w:val="16"/>
          <w:color w:val="auto"/>
        </w:rPr>
      </w:pPr>
    </w:p>
    <w:p>
      <w:pPr>
        <w:ind w:left="2020" w:hanging="392"/>
        <w:spacing w:after="0"/>
        <w:tabs>
          <w:tab w:leader="none" w:pos="2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this Plan or any Award;</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select persons to receive Awards;</w:t>
      </w:r>
    </w:p>
    <w:p>
      <w:pPr>
        <w:spacing w:after="0" w:line="171" w:lineRule="exact"/>
        <w:rPr>
          <w:rFonts w:ascii="Arial" w:cs="Arial" w:eastAsia="Arial" w:hAnsi="Arial"/>
          <w:sz w:val="18"/>
          <w:szCs w:val="18"/>
          <w:color w:val="auto"/>
        </w:rPr>
      </w:pPr>
    </w:p>
    <w:p>
      <w:pPr>
        <w:jc w:val="both"/>
        <w:ind w:firstLine="1628"/>
        <w:spacing w:after="0" w:line="257" w:lineRule="auto"/>
        <w:tabs>
          <w:tab w:leader="none" w:pos="201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33" w:lineRule="exact"/>
        <w:rPr>
          <w:rFonts w:ascii="Arial" w:cs="Arial" w:eastAsia="Arial" w:hAnsi="Arial"/>
          <w:sz w:val="18"/>
          <w:szCs w:val="18"/>
          <w:color w:val="auto"/>
        </w:rPr>
      </w:pPr>
    </w:p>
    <w:p>
      <w:pPr>
        <w:ind w:left="2000" w:hanging="372"/>
        <w:spacing w:after="0"/>
        <w:tabs>
          <w:tab w:leader="none" w:pos="20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the number of Shares or other consideration subject to Awards;</w:t>
      </w:r>
    </w:p>
    <w:p>
      <w:pPr>
        <w:spacing w:after="0" w:line="171" w:lineRule="exact"/>
        <w:rPr>
          <w:rFonts w:ascii="Arial" w:cs="Arial" w:eastAsia="Arial" w:hAnsi="Arial"/>
          <w:sz w:val="18"/>
          <w:szCs w:val="18"/>
          <w:color w:val="auto"/>
        </w:rPr>
      </w:pPr>
    </w:p>
    <w:p>
      <w:pPr>
        <w:ind w:firstLine="1628"/>
        <w:spacing w:after="0" w:line="277" w:lineRule="auto"/>
        <w:tabs>
          <w:tab w:leader="none" w:pos="205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16" w:lineRule="exact"/>
        <w:rPr>
          <w:rFonts w:ascii="Arial" w:cs="Arial" w:eastAsia="Arial" w:hAnsi="Arial"/>
          <w:sz w:val="18"/>
          <w:szCs w:val="18"/>
          <w:color w:val="auto"/>
        </w:rPr>
      </w:pPr>
    </w:p>
    <w:p>
      <w:pPr>
        <w:ind w:firstLine="1628"/>
        <w:spacing w:after="0" w:line="308" w:lineRule="auto"/>
        <w:tabs>
          <w:tab w:leader="none" w:pos="202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92" w:lineRule="exact"/>
        <w:rPr>
          <w:rFonts w:ascii="Arial" w:cs="Arial" w:eastAsia="Arial" w:hAnsi="Arial"/>
          <w:sz w:val="17"/>
          <w:szCs w:val="17"/>
          <w:color w:val="auto"/>
        </w:rPr>
      </w:pPr>
    </w:p>
    <w:p>
      <w:pPr>
        <w:ind w:left="2020" w:hanging="392"/>
        <w:spacing w:after="0"/>
        <w:tabs>
          <w:tab w:leader="none" w:pos="202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grant waivers of Plan or Award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5" w:lineRule="exact"/>
        <w:rPr>
          <w:sz w:val="20"/>
          <w:szCs w:val="20"/>
          <w:color w:val="auto"/>
        </w:rPr>
      </w:pPr>
    </w:p>
    <w:p>
      <w:pPr>
        <w:ind w:left="1980" w:hanging="352"/>
        <w:spacing w:after="0"/>
        <w:tabs>
          <w:tab w:leader="none" w:pos="19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determine the vesting, exercisability and payment of Awards;</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this Plan, any Award or any Award Agreement;</w:t>
      </w:r>
    </w:p>
    <w:p>
      <w:pPr>
        <w:spacing w:after="0" w:line="182" w:lineRule="exact"/>
        <w:rPr>
          <w:rFonts w:ascii="Arial" w:cs="Arial" w:eastAsia="Arial" w:hAnsi="Arial"/>
          <w:sz w:val="17"/>
          <w:szCs w:val="17"/>
          <w:color w:val="auto"/>
        </w:rPr>
      </w:pPr>
    </w:p>
    <w:p>
      <w:pPr>
        <w:ind w:left="2020" w:hanging="392"/>
        <w:spacing w:after="0"/>
        <w:tabs>
          <w:tab w:leader="none" w:pos="20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determine whether an Award has been earned or has vested;</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determine the terms and conditions of any, and to institute any Exchange Program;</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reduce or modify any criteria with respect to Performance Factors;</w:t>
      </w:r>
    </w:p>
    <w:p>
      <w:pPr>
        <w:spacing w:after="0" w:line="171" w:lineRule="exact"/>
        <w:rPr>
          <w:rFonts w:ascii="Arial" w:cs="Arial" w:eastAsia="Arial" w:hAnsi="Arial"/>
          <w:sz w:val="18"/>
          <w:szCs w:val="18"/>
          <w:color w:val="auto"/>
        </w:rPr>
      </w:pPr>
    </w:p>
    <w:p>
      <w:pPr>
        <w:ind w:right="20" w:firstLine="1628"/>
        <w:spacing w:after="0" w:line="308" w:lineRule="auto"/>
        <w:tabs>
          <w:tab w:leader="none" w:pos="2031" w:val="left"/>
        </w:tabs>
        <w:numPr>
          <w:ilvl w:val="0"/>
          <w:numId w:val="497"/>
        </w:numPr>
        <w:rPr>
          <w:rFonts w:ascii="Arial" w:cs="Arial" w:eastAsia="Arial" w:hAnsi="Arial"/>
          <w:sz w:val="17"/>
          <w:szCs w:val="17"/>
          <w:color w:val="auto"/>
        </w:rPr>
      </w:pPr>
      <w:r>
        <w:rPr>
          <w:rFonts w:ascii="Arial" w:cs="Arial" w:eastAsia="Arial" w:hAnsi="Arial"/>
          <w:sz w:val="17"/>
          <w:szCs w:val="17"/>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92" w:lineRule="exact"/>
        <w:rPr>
          <w:rFonts w:ascii="Arial" w:cs="Arial" w:eastAsia="Arial" w:hAnsi="Arial"/>
          <w:sz w:val="17"/>
          <w:szCs w:val="17"/>
          <w:color w:val="auto"/>
        </w:rPr>
      </w:pPr>
    </w:p>
    <w:p>
      <w:pPr>
        <w:jc w:val="both"/>
        <w:ind w:firstLine="1628"/>
        <w:spacing w:after="0" w:line="263" w:lineRule="auto"/>
        <w:tabs>
          <w:tab w:leader="none" w:pos="22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9" w:lineRule="exact"/>
        <w:rPr>
          <w:rFonts w:ascii="Arial" w:cs="Arial" w:eastAsia="Arial" w:hAnsi="Arial"/>
          <w:sz w:val="18"/>
          <w:szCs w:val="18"/>
          <w:color w:val="auto"/>
        </w:rPr>
      </w:pPr>
    </w:p>
    <w:p>
      <w:pPr>
        <w:ind w:left="2020" w:hanging="392"/>
        <w:spacing w:after="0"/>
        <w:tabs>
          <w:tab w:leader="none" w:pos="20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exercise discretion with respect to Performance Awards;</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for the administration of this Plan; and</w:t>
      </w:r>
    </w:p>
    <w:p>
      <w:pPr>
        <w:spacing w:after="0" w:line="171" w:lineRule="exact"/>
        <w:rPr>
          <w:rFonts w:ascii="Arial" w:cs="Arial" w:eastAsia="Arial" w:hAnsi="Arial"/>
          <w:sz w:val="18"/>
          <w:szCs w:val="18"/>
          <w:color w:val="auto"/>
        </w:rPr>
      </w:pPr>
    </w:p>
    <w:p>
      <w:pPr>
        <w:ind w:firstLine="1628"/>
        <w:spacing w:after="0" w:line="277" w:lineRule="auto"/>
        <w:tabs>
          <w:tab w:leader="none" w:pos="2038" w:val="left"/>
        </w:tabs>
        <w:numPr>
          <w:ilvl w:val="0"/>
          <w:numId w:val="497"/>
        </w:numPr>
        <w:rPr>
          <w:rFonts w:ascii="Arial" w:cs="Arial" w:eastAsia="Arial" w:hAnsi="Arial"/>
          <w:sz w:val="18"/>
          <w:szCs w:val="18"/>
          <w:color w:val="auto"/>
        </w:rPr>
      </w:pPr>
      <w:r>
        <w:rPr>
          <w:rFonts w:ascii="Arial" w:cs="Arial" w:eastAsia="Arial" w:hAnsi="Arial"/>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1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35"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two or more “non-employee directors” (as defined in the regulations promulgated under Section 16 of the Exchange Act).</w:t>
      </w:r>
    </w:p>
    <w:p>
      <w:pPr>
        <w:spacing w:after="0" w:line="108" w:lineRule="exact"/>
        <w:rPr>
          <w:sz w:val="20"/>
          <w:szCs w:val="20"/>
          <w:color w:val="auto"/>
        </w:rPr>
      </w:pPr>
    </w:p>
    <w:p>
      <w:pPr>
        <w:jc w:val="both"/>
        <w:ind w:right="20" w:firstLine="972"/>
        <w:spacing w:after="0" w:line="312"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u w:val="single" w:color="auto"/>
          <w:color w:val="auto"/>
        </w:rPr>
        <w:t>Documentation</w:t>
      </w:r>
      <w:r>
        <w:rPr>
          <w:rFonts w:ascii="Arial" w:cs="Arial" w:eastAsia="Arial" w:hAnsi="Arial"/>
          <w:sz w:val="17"/>
          <w:szCs w:val="17"/>
          <w:color w:val="auto"/>
        </w:rPr>
        <w:t>. The Award Agreement for a given Award, the Plan and any other documents may be delivered to, and accepted by, a</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or any other person in any manner (including electronic distribution or posting) that meets applicable legal requirements.</w:t>
      </w:r>
    </w:p>
    <w:p>
      <w:pPr>
        <w:spacing w:after="0" w:line="86"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u w:val="single" w:color="auto"/>
          <w:color w:val="auto"/>
        </w:rPr>
        <w:t>Foreign Award Recipients</w:t>
      </w:r>
      <w:r>
        <w:rPr>
          <w:rFonts w:ascii="Arial" w:cs="Arial" w:eastAsia="Arial" w:hAnsi="Arial"/>
          <w:sz w:val="17"/>
          <w:szCs w:val="17"/>
          <w:color w:val="auto"/>
        </w:rPr>
        <w:t>. Notwithstanding any provision of the Plan to the contrary, in order to comply with the laws and practices in</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30" w:lineRule="exact"/>
        <w:rPr>
          <w:sz w:val="20"/>
          <w:szCs w:val="20"/>
          <w:color w:val="auto"/>
        </w:rPr>
      </w:pPr>
    </w:p>
    <w:p>
      <w:pPr>
        <w:jc w:val="both"/>
        <w:ind w:firstLine="332"/>
        <w:spacing w:after="0" w:line="281" w:lineRule="auto"/>
        <w:tabs>
          <w:tab w:leader="none" w:pos="652" w:val="left"/>
        </w:tabs>
        <w:numPr>
          <w:ilvl w:val="0"/>
          <w:numId w:val="4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OPTIONS</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is the right but not the obligation to purchase a Share, subject to certain conditions. The Committee may grant Options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Consultants and Directors and will determine whether such Options will be Incentive Stock Options within the meaning of the Code (</w:t>
      </w:r>
      <w:r>
        <w:rPr>
          <w:rFonts w:ascii="Arial" w:cs="Arial" w:eastAsia="Arial" w:hAnsi="Arial"/>
          <w:sz w:val="17"/>
          <w:szCs w:val="17"/>
          <w:b w:val="1"/>
          <w:bCs w:val="1"/>
          <w:i w:val="1"/>
          <w:iCs w:val="1"/>
          <w:color w:val="auto"/>
        </w:rPr>
        <w:t>“ISOs”</w:t>
      </w:r>
      <w:r>
        <w:rPr>
          <w:rFonts w:ascii="Arial" w:cs="Arial" w:eastAsia="Arial" w:hAnsi="Arial"/>
          <w:sz w:val="17"/>
          <w:szCs w:val="17"/>
          <w:color w:val="auto"/>
        </w:rPr>
        <w:t>) or Nonqualified Stock Options (</w:t>
      </w:r>
      <w:r>
        <w:rPr>
          <w:rFonts w:ascii="Arial" w:cs="Arial" w:eastAsia="Arial" w:hAnsi="Arial"/>
          <w:sz w:val="17"/>
          <w:szCs w:val="17"/>
          <w:b w:val="1"/>
          <w:bCs w:val="1"/>
          <w:i w:val="1"/>
          <w:iCs w:val="1"/>
          <w:color w:val="auto"/>
        </w:rPr>
        <w:t>“NSOs”</w:t>
      </w:r>
      <w:r>
        <w:rPr>
          <w:rFonts w:ascii="Arial" w:cs="Arial" w:eastAsia="Arial" w:hAnsi="Arial"/>
          <w:sz w:val="17"/>
          <w:szCs w:val="17"/>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11"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Option Grant</w:t>
      </w:r>
      <w:r>
        <w:rPr>
          <w:rFonts w:ascii="Arial" w:cs="Arial" w:eastAsia="Arial" w:hAnsi="Arial"/>
          <w:sz w:val="18"/>
          <w:szCs w:val="18"/>
          <w:color w:val="auto"/>
        </w:rPr>
        <w:t>. Each Option granted under this Plan will identify the Option as an ISO or an NSO. An Option may be, but need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33"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Option will be the date on which the Committee makes the determination to grant such Option,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 specified future date. The Award Agreement will be delivered to the Participant within a reasonable time after the granting of the Option.</w:t>
      </w:r>
    </w:p>
    <w:p>
      <w:pPr>
        <w:spacing w:after="0" w:line="86"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u w:val="single" w:color="auto"/>
          <w:color w:val="auto"/>
        </w:rPr>
        <w:t>Exercise Period</w:t>
      </w:r>
      <w:r>
        <w:rPr>
          <w:rFonts w:ascii="Arial" w:cs="Arial" w:eastAsia="Arial" w:hAnsi="Arial"/>
          <w:sz w:val="16"/>
          <w:szCs w:val="16"/>
          <w:color w:val="auto"/>
        </w:rPr>
        <w:t>. Options may be vested and exercisable within the times or upon the conditions as set forth in the Award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governing such Option;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Option will be exercisable after the expiration of ten (10) years from the date the Option is granted;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0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each Option will be determined by the Committee when the Option is granted; provided that: (a)</w:t>
      </w:r>
      <w:r>
        <w:rPr>
          <w:rFonts w:ascii="Arial" w:cs="Arial" w:eastAsia="Arial" w:hAnsi="Arial"/>
          <w:sz w:val="17"/>
          <w:szCs w:val="17"/>
          <w:b w:val="1"/>
          <w:bCs w:val="1"/>
          <w:color w:val="auto"/>
        </w:rPr>
        <w:t xml:space="preserve"> </w:t>
      </w:r>
      <w:r>
        <w:rPr>
          <w:rFonts w:ascii="Arial" w:cs="Arial" w:eastAsia="Arial" w:hAnsi="Arial"/>
          <w:sz w:val="17"/>
          <w:szCs w:val="17"/>
          <w:color w:val="auto"/>
        </w:rPr>
        <w:t>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1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 such times</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40"/>
          </w:cols>
          <w:pgMar w:left="320" w:top="1440" w:right="339" w:bottom="1440" w:gutter="0" w:footer="0" w:header="0"/>
        </w:sectPr>
      </w:pPr>
    </w:p>
    <w:bookmarkStart w:id="640" w:name="page641"/>
    <w:bookmarkEnd w:id="640"/>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26"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 death,</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7" w:lineRule="exact"/>
        <w:rPr>
          <w:sz w:val="20"/>
          <w:szCs w:val="20"/>
          <w:color w:val="auto"/>
        </w:rPr>
      </w:pPr>
    </w:p>
    <w:p>
      <w:pPr>
        <w:jc w:val="both"/>
        <w:ind w:firstLine="1628"/>
        <w:spacing w:after="0" w:line="255" w:lineRule="auto"/>
        <w:tabs>
          <w:tab w:leader="none" w:pos="2040"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8" w:lineRule="exact"/>
        <w:rPr>
          <w:rFonts w:ascii="Arial" w:cs="Arial" w:eastAsia="Arial" w:hAnsi="Arial"/>
          <w:sz w:val="18"/>
          <w:szCs w:val="18"/>
          <w:color w:val="auto"/>
        </w:rPr>
      </w:pPr>
    </w:p>
    <w:p>
      <w:pPr>
        <w:jc w:val="both"/>
        <w:ind w:firstLine="1628"/>
        <w:spacing w:after="0" w:line="271" w:lineRule="auto"/>
        <w:tabs>
          <w:tab w:leader="none" w:pos="2064" w:val="left"/>
        </w:tabs>
        <w:numPr>
          <w:ilvl w:val="0"/>
          <w:numId w:val="499"/>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24" w:lineRule="exact"/>
        <w:rPr>
          <w:rFonts w:ascii="Arial" w:cs="Arial" w:eastAsia="Arial" w:hAnsi="Arial"/>
          <w:sz w:val="17"/>
          <w:szCs w:val="17"/>
          <w:color w:val="auto"/>
        </w:rPr>
      </w:pPr>
    </w:p>
    <w:p>
      <w:pPr>
        <w:jc w:val="both"/>
        <w:ind w:firstLine="1628"/>
        <w:spacing w:after="0" w:line="275" w:lineRule="auto"/>
        <w:tabs>
          <w:tab w:leader="none" w:pos="2107" w:val="left"/>
        </w:tabs>
        <w:numPr>
          <w:ilvl w:val="0"/>
          <w:numId w:val="499"/>
        </w:numPr>
        <w:rPr>
          <w:rFonts w:ascii="Arial" w:cs="Arial" w:eastAsia="Arial" w:hAnsi="Arial"/>
          <w:sz w:val="17"/>
          <w:szCs w:val="17"/>
          <w:color w:val="auto"/>
        </w:rPr>
      </w:pPr>
      <w:r>
        <w:rPr>
          <w:rFonts w:ascii="Arial" w:cs="Arial" w:eastAsia="Arial" w:hAnsi="Arial"/>
          <w:sz w:val="17"/>
          <w:szCs w:val="17"/>
          <w:u w:val="single" w:color="auto"/>
          <w:color w:val="auto"/>
        </w:rPr>
        <w:t>Retirement.</w:t>
      </w:r>
      <w:r>
        <w:rPr>
          <w:rFonts w:ascii="Arial" w:cs="Arial" w:eastAsia="Arial" w:hAnsi="Arial"/>
          <w:sz w:val="17"/>
          <w:szCs w:val="17"/>
          <w:color w:val="auto"/>
        </w:rPr>
        <w:t xml:space="preserve">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2" w:lineRule="exact"/>
        <w:rPr>
          <w:rFonts w:ascii="Arial" w:cs="Arial" w:eastAsia="Arial" w:hAnsi="Arial"/>
          <w:sz w:val="17"/>
          <w:szCs w:val="17"/>
          <w:color w:val="auto"/>
        </w:rPr>
      </w:pPr>
    </w:p>
    <w:p>
      <w:pPr>
        <w:jc w:val="both"/>
        <w:ind w:firstLine="1628"/>
        <w:spacing w:after="0" w:line="254" w:lineRule="auto"/>
        <w:tabs>
          <w:tab w:leader="none" w:pos="2023"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7"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u w:val="single" w:color="auto"/>
          <w:color w:val="auto"/>
        </w:rPr>
        <w:t>Limitations on ISOs</w:t>
      </w:r>
      <w:r>
        <w:rPr>
          <w:rFonts w:ascii="Arial" w:cs="Arial" w:eastAsia="Arial" w:hAnsi="Arial"/>
          <w:sz w:val="16"/>
          <w:szCs w:val="16"/>
          <w:color w:val="auto"/>
        </w:rPr>
        <w:t>. With respect to Awards granted as ISOs, to the extent that the aggregate Fair Market Value of the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40"/>
          </w:cols>
          <w:pgMar w:left="320" w:top="1440" w:right="339" w:bottom="1440" w:gutter="0" w:footer="0" w:header="0"/>
        </w:sectPr>
      </w:pPr>
    </w:p>
    <w:bookmarkStart w:id="641" w:name="page642"/>
    <w:bookmarkEnd w:id="641"/>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29"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 grant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35"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22" w:lineRule="exact"/>
        <w:rPr>
          <w:sz w:val="20"/>
          <w:szCs w:val="20"/>
          <w:color w:val="auto"/>
        </w:rPr>
      </w:pPr>
    </w:p>
    <w:p>
      <w:pPr>
        <w:jc w:val="both"/>
        <w:ind w:firstLine="332"/>
        <w:spacing w:after="0" w:line="261" w:lineRule="auto"/>
        <w:tabs>
          <w:tab w:leader="none" w:pos="639"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AWARDS</w:t>
      </w:r>
      <w:r>
        <w:rPr>
          <w:rFonts w:ascii="Arial" w:cs="Arial" w:eastAsia="Arial" w:hAnsi="Arial"/>
          <w:sz w:val="18"/>
          <w:szCs w:val="18"/>
          <w:color w:val="auto"/>
        </w:rPr>
        <w:t>. A Restricted Stock Award is an offer by the Company to sell to an eligible Employee, Consultant or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are subject to restrictions (“Restricted Stock”).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6.1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Restricted Stock Purchase Agreement</w:t>
      </w:r>
      <w:r>
        <w:rPr>
          <w:rFonts w:ascii="Arial" w:cs="Arial" w:eastAsia="Arial" w:hAnsi="Arial"/>
          <w:sz w:val="18"/>
          <w:szCs w:val="18"/>
          <w:color w:val="auto"/>
        </w:rPr>
        <w:t>. All purchases under a Restricted Stock Award will be evidenced by an 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9"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6.2.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for Shares issued pursuant to a Restricted Stock Award will be determined by the Committee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11"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u w:val="single" w:color="auto"/>
          <w:color w:val="auto"/>
        </w:rPr>
        <w:t>Terms of Restricted Stock Awards</w:t>
      </w:r>
      <w:r>
        <w:rPr>
          <w:rFonts w:ascii="Arial" w:cs="Arial" w:eastAsia="Arial" w:hAnsi="Arial"/>
          <w:sz w:val="17"/>
          <w:szCs w:val="17"/>
          <w:color w:val="auto"/>
        </w:rPr>
        <w:t>. Restricted Stock Awards will be subject to such restrictions as the Committee may impose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1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any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ind w:firstLine="332"/>
        <w:spacing w:after="0" w:line="282" w:lineRule="auto"/>
        <w:tabs>
          <w:tab w:leader="none" w:pos="693"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BONUS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Stock Bonus Award is an award to an eligible Employee, Consultant, or Director of Shares for Services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or for past Services already rendered to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Parent, Subsidiary or Affiliate. All Stock Bonus Awards shall be made pursuant to an Award Agreement. No payment from the Participant will be required for Shares awarded pursuant to a Stock Bonus Award.</w:t>
      </w:r>
    </w:p>
    <w:p>
      <w:pPr>
        <w:spacing w:after="0" w:line="11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u w:val="single" w:color="auto"/>
          <w:color w:val="auto"/>
        </w:rPr>
        <w:t>Terms of Stock Bonus Awards</w:t>
      </w:r>
      <w:r>
        <w:rPr>
          <w:rFonts w:ascii="Arial" w:cs="Arial" w:eastAsia="Arial" w:hAnsi="Arial"/>
          <w:sz w:val="17"/>
          <w:szCs w:val="17"/>
          <w:color w:val="auto"/>
        </w:rPr>
        <w:t>. The Committee will determine the number of Shares to be awarded to the Participant under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7"/>
          <w:szCs w:val="17"/>
          <w:b w:val="1"/>
          <w:bCs w:val="1"/>
          <w:color w:val="auto"/>
        </w:rPr>
        <w:t xml:space="preserve">7.2. </w:t>
      </w:r>
      <w:r>
        <w:rPr>
          <w:rFonts w:ascii="Arial" w:cs="Arial" w:eastAsia="Arial" w:hAnsi="Arial"/>
          <w:sz w:val="17"/>
          <w:szCs w:val="17"/>
          <w:u w:val="single" w:color="auto"/>
          <w:color w:val="auto"/>
        </w:rPr>
        <w:t>Form of Payment to Participant</w:t>
      </w:r>
      <w:r>
        <w:rPr>
          <w:rFonts w:ascii="Arial" w:cs="Arial" w:eastAsia="Arial" w:hAnsi="Arial"/>
          <w:sz w:val="17"/>
          <w:szCs w:val="17"/>
          <w:color w:val="auto"/>
        </w:rPr>
        <w:t>. Payment may be made in the form of cash, whole Shares, or a combination thereof, based on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Market Value of the Shares earned under a Stock Bonus Award on the date of payment, as determined in the sole discretion of the Committee.</w:t>
      </w:r>
    </w:p>
    <w:p>
      <w:pPr>
        <w:spacing w:after="0" w:line="8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81" w:lineRule="auto"/>
        <w:tabs>
          <w:tab w:leader="none" w:pos="693" w:val="left"/>
        </w:tabs>
        <w:numPr>
          <w:ilvl w:val="0"/>
          <w:numId w:val="5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 Stock Appreciation Right (</w:t>
      </w:r>
      <w:r>
        <w:rPr>
          <w:rFonts w:ascii="Arial" w:cs="Arial" w:eastAsia="Arial" w:hAnsi="Arial"/>
          <w:sz w:val="17"/>
          <w:szCs w:val="17"/>
          <w:b w:val="1"/>
          <w:bCs w:val="1"/>
          <w:i w:val="1"/>
          <w:iCs w:val="1"/>
          <w:color w:val="auto"/>
        </w:rPr>
        <w:t>“SAR”</w:t>
      </w:r>
      <w:r>
        <w:rPr>
          <w:rFonts w:ascii="Arial" w:cs="Arial" w:eastAsia="Arial" w:hAnsi="Arial"/>
          <w:sz w:val="17"/>
          <w:szCs w:val="17"/>
          <w:color w:val="auto"/>
        </w:rPr>
        <w:t>) is an award to an eligible Employee, Consultant, or Director that</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11" w:lineRule="exact"/>
        <w:rPr>
          <w:sz w:val="20"/>
          <w:szCs w:val="20"/>
          <w:color w:val="auto"/>
        </w:rPr>
      </w:pPr>
    </w:p>
    <w:p>
      <w:pPr>
        <w:jc w:val="both"/>
        <w:ind w:firstLine="972"/>
        <w:spacing w:after="0" w:line="254"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jc w:val="both"/>
        <w:ind w:firstLine="972"/>
        <w:spacing w:after="0" w:line="273"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u w:val="single" w:color="auto"/>
          <w:color w:val="auto"/>
        </w:rPr>
        <w:t>Exercise Period and Expiration Date</w:t>
      </w:r>
      <w:r>
        <w:rPr>
          <w:rFonts w:ascii="Arial" w:cs="Arial" w:eastAsia="Arial" w:hAnsi="Arial"/>
          <w:sz w:val="17"/>
          <w:szCs w:val="17"/>
          <w:color w:val="auto"/>
        </w:rPr>
        <w:t>. A SAR will be exercisable within the times or upon the occurrence of events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18"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u w:val="single" w:color="auto"/>
          <w:color w:val="auto"/>
        </w:rPr>
        <w:t>Form of Settlement</w:t>
      </w:r>
      <w:r>
        <w:rPr>
          <w:rFonts w:ascii="Arial" w:cs="Arial" w:eastAsia="Arial" w:hAnsi="Arial"/>
          <w:sz w:val="17"/>
          <w:szCs w:val="17"/>
          <w:color w:val="auto"/>
        </w:rPr>
        <w:t>. Upon exercise of a SAR, a Participant will be entitled to receive payment from the Company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8.4.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2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 Restricted Stock Unit (</w:t>
      </w:r>
      <w:r>
        <w:rPr>
          <w:rFonts w:ascii="Arial" w:cs="Arial" w:eastAsia="Arial" w:hAnsi="Arial"/>
          <w:sz w:val="18"/>
          <w:szCs w:val="18"/>
          <w:b w:val="1"/>
          <w:bCs w:val="1"/>
          <w:i w:val="1"/>
          <w:iCs w:val="1"/>
          <w:color w:val="auto"/>
        </w:rPr>
        <w:t>“RSU”</w:t>
      </w:r>
      <w:r>
        <w:rPr>
          <w:rFonts w:ascii="Arial" w:cs="Arial" w:eastAsia="Arial" w:hAnsi="Arial"/>
          <w:sz w:val="18"/>
          <w:szCs w:val="18"/>
          <w:color w:val="auto"/>
        </w:rPr>
        <w:t>) is an award to an eligible Employee, Consultant, or Director covering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that may be settled in cash or by issuance of those Shares (which may consist of Restricted Stock). No Purchase Price shall apply to an RSU settled in Shares. All RSUs shall be made pursuant to an Award Agreement.</w:t>
      </w:r>
    </w:p>
    <w:p>
      <w:pPr>
        <w:spacing w:after="0" w:line="122"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u w:val="single" w:color="auto"/>
          <w:color w:val="auto"/>
        </w:rPr>
        <w:t>Terms of RSUs</w:t>
      </w:r>
      <w:r>
        <w:rPr>
          <w:rFonts w:ascii="Arial" w:cs="Arial" w:eastAsia="Arial" w:hAnsi="Arial"/>
          <w:sz w:val="17"/>
          <w:szCs w:val="17"/>
          <w:color w:val="auto"/>
        </w:rPr>
        <w:t>. The Committee will determine the terms of an RSU including, without limitation: (a) the number of Shares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18"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6"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972"/>
        <w:spacing w:after="0" w:line="298" w:lineRule="auto"/>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u w:val="single" w:color="auto"/>
          <w:color w:val="auto"/>
        </w:rPr>
        <w:t>Dividend Equivalent Payments</w:t>
      </w:r>
      <w:r>
        <w:rPr>
          <w:rFonts w:ascii="Arial" w:cs="Arial" w:eastAsia="Arial" w:hAnsi="Arial"/>
          <w:sz w:val="16"/>
          <w:szCs w:val="16"/>
          <w:color w:val="auto"/>
        </w:rPr>
        <w:t>. The Committee may permit Participants holding RSUs to receive dividend equivalent payments on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00" w:lineRule="exact"/>
        <w:rPr>
          <w:sz w:val="20"/>
          <w:szCs w:val="20"/>
          <w:color w:val="auto"/>
        </w:rPr>
      </w:pPr>
    </w:p>
    <w:p>
      <w:pPr>
        <w:jc w:val="both"/>
        <w:ind w:firstLine="332"/>
        <w:spacing w:after="0" w:line="261" w:lineRule="auto"/>
        <w:tabs>
          <w:tab w:leader="none" w:pos="837"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 Performance Award is an award to an eligible Employee, Consultant or Director that is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6" w:lineRule="exact"/>
        <w:rPr>
          <w:sz w:val="20"/>
          <w:szCs w:val="20"/>
          <w:color w:val="auto"/>
        </w:rPr>
      </w:pPr>
    </w:p>
    <w:p>
      <w:pPr>
        <w:ind w:right="20" w:firstLine="972"/>
        <w:spacing w:after="0" w:line="282"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Types of Performance Awards</w:t>
      </w:r>
      <w:r>
        <w:rPr>
          <w:rFonts w:ascii="Arial" w:cs="Arial" w:eastAsia="Arial" w:hAnsi="Arial"/>
          <w:sz w:val="18"/>
          <w:szCs w:val="18"/>
          <w:color w:val="auto"/>
        </w:rPr>
        <w:t>. Performance Awards shall include Performance Shares, Performance Units and cash-based Awards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Sections 10.1(a), 10.1(b) and 10.1(c) below.</w:t>
      </w:r>
    </w:p>
    <w:p>
      <w:pPr>
        <w:spacing w:after="0" w:line="112" w:lineRule="exact"/>
        <w:rPr>
          <w:sz w:val="20"/>
          <w:szCs w:val="20"/>
          <w:color w:val="auto"/>
        </w:rPr>
      </w:pPr>
    </w:p>
    <w:p>
      <w:pPr>
        <w:ind w:firstLine="1628"/>
        <w:spacing w:after="0" w:line="308" w:lineRule="auto"/>
        <w:tabs>
          <w:tab w:leader="none" w:pos="2202" w:val="left"/>
        </w:tabs>
        <w:numPr>
          <w:ilvl w:val="0"/>
          <w:numId w:val="505"/>
        </w:numPr>
        <w:rPr>
          <w:rFonts w:ascii="Arial" w:cs="Arial" w:eastAsia="Arial" w:hAnsi="Arial"/>
          <w:sz w:val="17"/>
          <w:szCs w:val="17"/>
          <w:color w:val="auto"/>
        </w:rPr>
      </w:pPr>
      <w:r>
        <w:rPr>
          <w:rFonts w:ascii="Arial" w:cs="Arial" w:eastAsia="Arial" w:hAnsi="Arial"/>
          <w:sz w:val="17"/>
          <w:szCs w:val="17"/>
          <w:u w:val="single" w:color="auto"/>
          <w:color w:val="auto"/>
        </w:rPr>
        <w:t>Performance Shares.</w:t>
      </w:r>
      <w:r>
        <w:rPr>
          <w:rFonts w:ascii="Arial" w:cs="Arial" w:eastAsia="Arial" w:hAnsi="Arial"/>
          <w:sz w:val="17"/>
          <w:szCs w:val="17"/>
          <w:color w:val="auto"/>
        </w:rPr>
        <w:t xml:space="preserve"> The Committee may grant Awards of Performance Shares, designate the Participants to whom Performance Shares are to be awarded and determine the number of Performance Shares and the terms and conditions of each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45" w:lineRule="exact"/>
        <w:rPr>
          <w:sz w:val="20"/>
          <w:szCs w:val="20"/>
          <w:color w:val="auto"/>
        </w:rPr>
      </w:pPr>
    </w:p>
    <w:p>
      <w:pPr>
        <w:ind w:firstLine="1628"/>
        <w:spacing w:after="0" w:line="277" w:lineRule="auto"/>
        <w:tabs>
          <w:tab w:leader="none" w:pos="2037" w:val="left"/>
        </w:tabs>
        <w:numPr>
          <w:ilvl w:val="0"/>
          <w:numId w:val="506"/>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xml:space="preserve"> The Committee may grant Awards of Performance Units, designate the Participants to whom Performance Units are to be awarded and determine the number of Performance Units and the terms and conditions of each such Award.</w:t>
      </w:r>
    </w:p>
    <w:p>
      <w:pPr>
        <w:spacing w:after="0" w:line="116" w:lineRule="exact"/>
        <w:rPr>
          <w:rFonts w:ascii="Arial" w:cs="Arial" w:eastAsia="Arial" w:hAnsi="Arial"/>
          <w:sz w:val="18"/>
          <w:szCs w:val="18"/>
          <w:color w:val="auto"/>
        </w:rPr>
      </w:pPr>
    </w:p>
    <w:p>
      <w:pPr>
        <w:ind w:left="2040" w:hanging="412"/>
        <w:spacing w:after="0"/>
        <w:tabs>
          <w:tab w:leader="none" w:pos="2040" w:val="left"/>
        </w:tabs>
        <w:numPr>
          <w:ilvl w:val="0"/>
          <w:numId w:val="506"/>
        </w:numPr>
        <w:rPr>
          <w:rFonts w:ascii="Arial" w:cs="Arial" w:eastAsia="Arial" w:hAnsi="Arial"/>
          <w:sz w:val="16"/>
          <w:szCs w:val="16"/>
          <w:color w:val="auto"/>
        </w:rPr>
      </w:pPr>
      <w:r>
        <w:rPr>
          <w:rFonts w:ascii="Arial" w:cs="Arial" w:eastAsia="Arial" w:hAnsi="Arial"/>
          <w:sz w:val="16"/>
          <w:szCs w:val="16"/>
          <w:u w:val="single" w:color="auto"/>
          <w:color w:val="auto"/>
        </w:rPr>
        <w:t>Cash-Settled Performance Awards.</w:t>
      </w:r>
      <w:r>
        <w:rPr>
          <w:rFonts w:ascii="Arial" w:cs="Arial" w:eastAsia="Arial" w:hAnsi="Arial"/>
          <w:sz w:val="16"/>
          <w:szCs w:val="16"/>
          <w:color w:val="auto"/>
        </w:rPr>
        <w:t xml:space="preserve"> The Committee may also grant cash-settled Performance Awards to Participants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of this Plan.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to be paid under any Performance Award may be adjusted on the basis of such further consideration as the Committee shall determine in its sole discretion.</w:t>
      </w:r>
    </w:p>
    <w:p>
      <w:pPr>
        <w:spacing w:after="0" w:line="11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7"/>
          <w:szCs w:val="17"/>
          <w:u w:val="single" w:color="auto"/>
          <w:color w:val="auto"/>
        </w:rPr>
        <w:t>Terms of Performance Awards</w:t>
      </w:r>
      <w:r>
        <w:rPr>
          <w:rFonts w:ascii="Arial" w:cs="Arial" w:eastAsia="Arial" w:hAnsi="Arial"/>
          <w:sz w:val="17"/>
          <w:szCs w:val="17"/>
          <w:color w:val="auto"/>
        </w:rPr>
        <w:t>. Performance Awards will be based on the attainment of performance goals using the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Except as may be set forth in the Participant’s Award Agreement, vesting ceases on the date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terminates (unless determined otherwise by the Committee).</w:t>
      </w:r>
    </w:p>
    <w:p>
      <w:pPr>
        <w:spacing w:after="0" w:line="108" w:lineRule="exact"/>
        <w:rPr>
          <w:sz w:val="20"/>
          <w:szCs w:val="20"/>
          <w:color w:val="auto"/>
        </w:rPr>
      </w:pPr>
    </w:p>
    <w:p>
      <w:pPr>
        <w:jc w:val="both"/>
        <w:ind w:firstLine="332"/>
        <w:spacing w:after="0" w:line="266" w:lineRule="auto"/>
        <w:tabs>
          <w:tab w:leader="none" w:pos="759" w:val="left"/>
        </w:tabs>
        <w:numPr>
          <w:ilvl w:val="0"/>
          <w:numId w:val="5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FOR SHARE PURCHASES</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from a Participant for Shares acquired pursuant to this Plan may be made in cash or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or, where expressly approved for the Participant by the Committee and where permitted by law (and to the extent not otherwise set forth in the applicable Award Agreement):</w:t>
      </w:r>
    </w:p>
    <w:p>
      <w:pPr>
        <w:spacing w:after="0" w:line="125" w:lineRule="exact"/>
        <w:rPr>
          <w:rFonts w:ascii="Arial" w:cs="Arial" w:eastAsia="Arial" w:hAnsi="Arial"/>
          <w:sz w:val="18"/>
          <w:szCs w:val="18"/>
          <w:b w:val="1"/>
          <w:bCs w:val="1"/>
          <w:color w:val="auto"/>
        </w:rPr>
      </w:pPr>
    </w:p>
    <w:p>
      <w:pPr>
        <w:ind w:left="2000" w:hanging="372"/>
        <w:spacing w:after="0"/>
        <w:tabs>
          <w:tab w:leader="none" w:pos="200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by cancellation of indebtedness of the Company owed to the Participant;</w:t>
      </w:r>
    </w:p>
    <w:p>
      <w:pPr>
        <w:spacing w:after="0" w:line="171" w:lineRule="exact"/>
        <w:rPr>
          <w:rFonts w:ascii="Arial" w:cs="Arial" w:eastAsia="Arial" w:hAnsi="Arial"/>
          <w:sz w:val="18"/>
          <w:szCs w:val="18"/>
          <w:color w:val="auto"/>
        </w:rPr>
      </w:pPr>
    </w:p>
    <w:p>
      <w:pPr>
        <w:jc w:val="both"/>
        <w:ind w:right="20" w:firstLine="1628"/>
        <w:spacing w:after="0" w:line="263" w:lineRule="auto"/>
        <w:tabs>
          <w:tab w:leader="none" w:pos="202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1"/>
          <w:numId w:val="507"/>
        </w:numPr>
        <w:rPr>
          <w:rFonts w:ascii="Arial" w:cs="Arial" w:eastAsia="Arial" w:hAnsi="Arial"/>
          <w:sz w:val="16"/>
          <w:szCs w:val="16"/>
          <w:color w:val="auto"/>
        </w:rPr>
      </w:pPr>
      <w:r>
        <w:rPr>
          <w:rFonts w:ascii="Arial" w:cs="Arial" w:eastAsia="Arial" w:hAnsi="Arial"/>
          <w:sz w:val="16"/>
          <w:szCs w:val="16"/>
          <w:color w:val="auto"/>
        </w:rPr>
        <w:t>by waiver of compensation due or accrued to the Participant for services rendered or to be rendered to the Company or a Parent,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 or Affiliate;</w:t>
      </w:r>
    </w:p>
    <w:p>
      <w:pPr>
        <w:spacing w:after="0" w:line="156" w:lineRule="exact"/>
        <w:rPr>
          <w:rFonts w:ascii="Arial" w:cs="Arial" w:eastAsia="Arial" w:hAnsi="Arial"/>
          <w:sz w:val="16"/>
          <w:szCs w:val="16"/>
          <w:color w:val="auto"/>
        </w:rPr>
      </w:pPr>
    </w:p>
    <w:p>
      <w:pPr>
        <w:ind w:firstLine="1628"/>
        <w:spacing w:after="0" w:line="277" w:lineRule="auto"/>
        <w:tabs>
          <w:tab w:leader="none" w:pos="2191" w:val="left"/>
        </w:tabs>
        <w:numPr>
          <w:ilvl w:val="1"/>
          <w:numId w:val="507"/>
        </w:numPr>
        <w:rPr>
          <w:rFonts w:ascii="Arial" w:cs="Arial" w:eastAsia="Arial" w:hAnsi="Arial"/>
          <w:sz w:val="18"/>
          <w:szCs w:val="18"/>
          <w:color w:val="auto"/>
        </w:rPr>
      </w:pP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16" w:lineRule="exact"/>
        <w:rPr>
          <w:rFonts w:ascii="Arial" w:cs="Arial" w:eastAsia="Arial" w:hAnsi="Arial"/>
          <w:sz w:val="18"/>
          <w:szCs w:val="18"/>
          <w:color w:val="auto"/>
        </w:rPr>
      </w:pPr>
    </w:p>
    <w:p>
      <w:pPr>
        <w:ind w:left="2000" w:hanging="372"/>
        <w:spacing w:after="0"/>
        <w:tabs>
          <w:tab w:leader="none" w:pos="200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by any combination of the foregoing; or</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by any other method of payment as is permitted by applicable law.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12" w:lineRule="exact"/>
        <w:rPr>
          <w:sz w:val="20"/>
          <w:szCs w:val="20"/>
          <w:color w:val="auto"/>
        </w:rPr>
      </w:pPr>
    </w:p>
    <w:p>
      <w:pPr>
        <w:jc w:val="both"/>
        <w:ind w:firstLine="332"/>
        <w:spacing w:after="0" w:line="314" w:lineRule="auto"/>
        <w:tabs>
          <w:tab w:leader="none" w:pos="769" w:val="left"/>
        </w:tabs>
        <w:numPr>
          <w:ilvl w:val="0"/>
          <w:numId w:val="5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GRANTS TO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Non-Employee Directors are eligible to receive any type of Award offered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240"/>
          </w:cols>
          <w:pgMar w:left="320" w:top="1440" w:right="339" w:bottom="1440" w:gutter="0" w:footer="0" w:header="0"/>
        </w:sectPr>
      </w:pPr>
    </w:p>
    <w:bookmarkStart w:id="645" w:name="page646"/>
    <w:bookmarkEnd w:id="645"/>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0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u w:val="single" w:color="auto"/>
          <w:color w:val="auto"/>
        </w:rPr>
        <w:t>Eligibility</w:t>
      </w:r>
      <w:r>
        <w:rPr>
          <w:rFonts w:ascii="Arial" w:cs="Arial" w:eastAsia="Arial" w:hAnsi="Arial"/>
          <w:sz w:val="18"/>
          <w:szCs w:val="18"/>
          <w:color w:val="auto"/>
        </w:rPr>
        <w:t>. Awards pursuant to this Section 12 shall be granted only to Non-Employee Directors. A Non-Employee Director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or re-elected as a member of the Board will be eligible to receive an Award under this Section 12.</w:t>
      </w:r>
    </w:p>
    <w:p>
      <w:pPr>
        <w:spacing w:after="0" w:line="108"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u w:val="single" w:color="auto"/>
          <w:color w:val="auto"/>
        </w:rPr>
        <w:t>Vesting, Exercisability and Settlement</w:t>
      </w:r>
      <w:r>
        <w:rPr>
          <w:rFonts w:ascii="Arial" w:cs="Arial" w:eastAsia="Arial" w:hAnsi="Arial"/>
          <w:sz w:val="18"/>
          <w:szCs w:val="18"/>
          <w:color w:val="auto"/>
        </w:rPr>
        <w:t>. Except as set forth in Section 21, Awards shall vest, become exercisable and be settled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22"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u w:val="single" w:color="auto"/>
          <w:color w:val="auto"/>
        </w:rPr>
        <w:t>Election to Receive Awards in Lieu of Cash</w:t>
      </w:r>
      <w:r>
        <w:rPr>
          <w:rFonts w:ascii="Arial" w:cs="Arial" w:eastAsia="Arial" w:hAnsi="Arial"/>
          <w:sz w:val="16"/>
          <w:szCs w:val="16"/>
          <w:color w:val="auto"/>
        </w:rPr>
        <w:t>. A Non-Employee Director may elect to receive his or her annual retainer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88" w:lineRule="exact"/>
        <w:rPr>
          <w:sz w:val="20"/>
          <w:szCs w:val="20"/>
          <w:color w:val="auto"/>
        </w:rPr>
      </w:pPr>
    </w:p>
    <w:p>
      <w:pPr>
        <w:ind w:left="740" w:hanging="408"/>
        <w:spacing w:after="0"/>
        <w:tabs>
          <w:tab w:leader="none" w:pos="740" w:val="left"/>
        </w:tabs>
        <w:numPr>
          <w:ilvl w:val="0"/>
          <w:numId w:val="5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72"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7"/>
          <w:szCs w:val="17"/>
          <w:u w:val="single" w:color="auto"/>
          <w:color w:val="auto"/>
        </w:rPr>
        <w:t>Withholding Generally</w:t>
      </w:r>
      <w:r>
        <w:rPr>
          <w:rFonts w:ascii="Arial" w:cs="Arial" w:eastAsia="Arial" w:hAnsi="Arial"/>
          <w:sz w:val="17"/>
          <w:szCs w:val="17"/>
          <w:color w:val="auto"/>
        </w:rPr>
        <w:t>. Prior to any relevant taxable or tax withholding events in connection with the Awards under this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7"/>
          <w:szCs w:val="17"/>
          <w:b w:val="1"/>
          <w:bCs w:val="1"/>
          <w:i w:val="1"/>
          <w:iCs w:val="1"/>
          <w:color w:val="auto"/>
        </w:rPr>
        <w:t>Tax-Related Obligations</w:t>
      </w:r>
      <w:r>
        <w:rPr>
          <w:rFonts w:ascii="Arial" w:cs="Arial" w:eastAsia="Arial" w:hAnsi="Arial"/>
          <w:sz w:val="17"/>
          <w:szCs w:val="17"/>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18"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u w:val="single" w:color="auto"/>
          <w:color w:val="auto"/>
        </w:rPr>
        <w:t>Stock Withholding</w:t>
      </w:r>
      <w:r>
        <w:rPr>
          <w:rFonts w:ascii="Arial" w:cs="Arial" w:eastAsia="Arial" w:hAnsi="Arial"/>
          <w:sz w:val="16"/>
          <w:szCs w:val="16"/>
          <w:color w:val="auto"/>
        </w:rPr>
        <w:t>. The Committee, or its delegate(s), as permitted by applicable law, may, in its sole discretion and pursuant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0" w:lineRule="exact"/>
        <w:rPr>
          <w:sz w:val="20"/>
          <w:szCs w:val="20"/>
          <w:color w:val="auto"/>
        </w:rPr>
      </w:pPr>
    </w:p>
    <w:p>
      <w:pPr>
        <w:ind w:left="740" w:hanging="408"/>
        <w:spacing w:after="0"/>
        <w:tabs>
          <w:tab w:leader="none" w:pos="740" w:val="left"/>
        </w:tabs>
        <w:numPr>
          <w:ilvl w:val="0"/>
          <w:numId w:val="5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6"/>
          <w:szCs w:val="16"/>
          <w:b w:val="1"/>
          <w:bCs w:val="1"/>
          <w:color w:val="auto"/>
        </w:rPr>
        <w:t xml:space="preserve">14.1. </w:t>
      </w:r>
      <w:r>
        <w:rPr>
          <w:rFonts w:ascii="Arial" w:cs="Arial" w:eastAsia="Arial" w:hAnsi="Arial"/>
          <w:sz w:val="16"/>
          <w:szCs w:val="16"/>
          <w:u w:val="single" w:color="auto"/>
          <w:color w:val="auto"/>
        </w:rPr>
        <w:t>Transfer Generally</w:t>
      </w:r>
      <w:r>
        <w:rPr>
          <w:rFonts w:ascii="Arial" w:cs="Arial" w:eastAsia="Arial" w:hAnsi="Arial"/>
          <w:sz w:val="16"/>
          <w:szCs w:val="16"/>
          <w:color w:val="auto"/>
        </w:rPr>
        <w:t>. Unless determined otherwise by the Committee or pursuant to Section 15.2, an Award may not be sold,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07" w:lineRule="exact"/>
        <w:rPr>
          <w:sz w:val="20"/>
          <w:szCs w:val="20"/>
          <w:color w:val="auto"/>
        </w:rPr>
      </w:pPr>
    </w:p>
    <w:p>
      <w:pPr>
        <w:ind w:left="740" w:hanging="408"/>
        <w:spacing w:after="0"/>
        <w:tabs>
          <w:tab w:leader="none" w:pos="740" w:val="left"/>
        </w:tabs>
        <w:numPr>
          <w:ilvl w:val="0"/>
          <w:numId w:val="5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PRIVILEGES OF STOCK OWNERSHIP; RESTRICTIONS ON SHARES</w:t>
      </w:r>
      <w:r>
        <w:rPr>
          <w:rFonts w:ascii="Arial" w:cs="Arial" w:eastAsia="Arial" w:hAnsi="Arial"/>
          <w:sz w:val="18"/>
          <w:szCs w:val="18"/>
          <w:b w:val="1"/>
          <w:bCs w:val="1"/>
          <w:color w:val="auto"/>
        </w:rPr>
        <w:t>.</w:t>
      </w:r>
    </w:p>
    <w:p>
      <w:pPr>
        <w:spacing w:after="0" w:line="171"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6"/>
          <w:szCs w:val="16"/>
          <w:b w:val="1"/>
          <w:bCs w:val="1"/>
          <w:color w:val="auto"/>
        </w:rPr>
        <w:t xml:space="preserve">15.1 </w:t>
      </w:r>
      <w:r>
        <w:rPr>
          <w:rFonts w:ascii="Arial" w:cs="Arial" w:eastAsia="Arial" w:hAnsi="Arial"/>
          <w:sz w:val="16"/>
          <w:szCs w:val="16"/>
          <w:u w:val="single" w:color="auto"/>
          <w:color w:val="auto"/>
        </w:rPr>
        <w:t>Voting and Dividends</w:t>
      </w:r>
      <w:r>
        <w:rPr>
          <w:rFonts w:ascii="Arial" w:cs="Arial" w:eastAsia="Arial" w:hAnsi="Arial"/>
          <w:sz w:val="16"/>
          <w:szCs w:val="16"/>
          <w:color w:val="auto"/>
        </w:rPr>
        <w:t>. No Participant will have any of the rights of a stockholder with respect to any Shares until the Shares are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u w:val="single" w:color="auto"/>
          <w:color w:val="auto"/>
        </w:rPr>
        <w:t>Restrictions on Shares</w:t>
      </w:r>
      <w:r>
        <w:rPr>
          <w:rFonts w:ascii="Arial" w:cs="Arial" w:eastAsia="Arial" w:hAnsi="Arial"/>
          <w:sz w:val="18"/>
          <w:szCs w:val="18"/>
          <w:color w:val="auto"/>
        </w:rPr>
        <w:t>. At the discretion of the Committee, the Company may reserve to itself and/or its assignee(s) a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(a “</w:t>
      </w:r>
      <w:r>
        <w:rPr>
          <w:rFonts w:ascii="Arial" w:cs="Arial" w:eastAsia="Arial" w:hAnsi="Arial"/>
          <w:sz w:val="18"/>
          <w:szCs w:val="18"/>
          <w:b w:val="1"/>
          <w:bCs w:val="1"/>
          <w:i w:val="1"/>
          <w:iCs w:val="1"/>
          <w:color w:val="auto"/>
        </w:rPr>
        <w:t>Right of Repurchase</w:t>
      </w:r>
      <w:r>
        <w:rPr>
          <w:rFonts w:ascii="Arial" w:cs="Arial" w:eastAsia="Arial" w:hAnsi="Arial"/>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9" w:lineRule="exact"/>
        <w:rPr>
          <w:sz w:val="20"/>
          <w:szCs w:val="20"/>
          <w:color w:val="auto"/>
        </w:rPr>
      </w:pPr>
    </w:p>
    <w:p>
      <w:pPr>
        <w:jc w:val="both"/>
        <w:ind w:firstLine="332"/>
        <w:spacing w:after="0" w:line="281" w:lineRule="auto"/>
        <w:tabs>
          <w:tab w:leader="none" w:pos="810" w:val="left"/>
        </w:tabs>
        <w:numPr>
          <w:ilvl w:val="0"/>
          <w:numId w:val="5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All Shares or other securities whether or not certificated, delivered under this Plan will be subject to such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10" w:lineRule="exact"/>
        <w:rPr>
          <w:rFonts w:ascii="Arial" w:cs="Arial" w:eastAsia="Arial" w:hAnsi="Arial"/>
          <w:sz w:val="17"/>
          <w:szCs w:val="17"/>
          <w:b w:val="1"/>
          <w:bCs w:val="1"/>
          <w:color w:val="auto"/>
        </w:rPr>
      </w:pPr>
    </w:p>
    <w:p>
      <w:pPr>
        <w:ind w:firstLine="332"/>
        <w:spacing w:after="0" w:line="282" w:lineRule="auto"/>
        <w:tabs>
          <w:tab w:leader="none" w:pos="729" w:val="left"/>
        </w:tabs>
        <w:numPr>
          <w:ilvl w:val="0"/>
          <w:numId w:val="5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ESCROW; PLEDGE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To enforce any restrictions on a Participant’s Shares, the Committee may require the Participant to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all written or electronic certificate(s) representing Shares,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240"/>
          </w:cols>
          <w:pgMar w:left="320" w:top="1440" w:right="339" w:bottom="1440" w:gutter="0" w:footer="0" w:header="0"/>
        </w:sectPr>
      </w:pPr>
    </w:p>
    <w:bookmarkStart w:id="647" w:name="page648"/>
    <w:bookmarkEnd w:id="647"/>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8" w:lineRule="exact"/>
        <w:rPr>
          <w:sz w:val="20"/>
          <w:szCs w:val="20"/>
          <w:color w:val="auto"/>
        </w:rPr>
      </w:pPr>
    </w:p>
    <w:p>
      <w:pPr>
        <w:jc w:val="both"/>
        <w:ind w:firstLine="332"/>
        <w:spacing w:after="0" w:line="258" w:lineRule="auto"/>
        <w:tabs>
          <w:tab w:leader="none" w:pos="769"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REPRICING; EXCHANGE AND BUYOUT OF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prior stockholder approval, the Committee may (a) reprice Options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9" w:lineRule="exact"/>
        <w:rPr>
          <w:rFonts w:ascii="Arial" w:cs="Arial" w:eastAsia="Arial" w:hAnsi="Arial"/>
          <w:sz w:val="18"/>
          <w:szCs w:val="18"/>
          <w:b w:val="1"/>
          <w:bCs w:val="1"/>
          <w:color w:val="auto"/>
        </w:rPr>
      </w:pPr>
    </w:p>
    <w:p>
      <w:pPr>
        <w:jc w:val="both"/>
        <w:ind w:firstLine="332"/>
        <w:spacing w:after="0" w:line="270" w:lineRule="auto"/>
        <w:tabs>
          <w:tab w:leader="none" w:pos="783" w:val="left"/>
        </w:tabs>
        <w:numPr>
          <w:ilvl w:val="0"/>
          <w:numId w:val="5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LAW AND OTHER REGULATORY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will not be effective unless such Award is in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22" w:lineRule="exact"/>
        <w:rPr>
          <w:rFonts w:ascii="Arial" w:cs="Arial" w:eastAsia="Arial" w:hAnsi="Arial"/>
          <w:sz w:val="17"/>
          <w:szCs w:val="17"/>
          <w:b w:val="1"/>
          <w:bCs w:val="1"/>
          <w:color w:val="auto"/>
        </w:rPr>
      </w:pPr>
    </w:p>
    <w:p>
      <w:pPr>
        <w:jc w:val="both"/>
        <w:ind w:firstLine="332"/>
        <w:spacing w:after="0" w:line="289" w:lineRule="auto"/>
        <w:tabs>
          <w:tab w:leader="none" w:pos="810" w:val="left"/>
        </w:tabs>
        <w:numPr>
          <w:ilvl w:val="0"/>
          <w:numId w:val="5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OBLIGATION TO EMPLOY</w:t>
      </w:r>
      <w:r>
        <w:rPr>
          <w:rFonts w:ascii="Arial" w:cs="Arial" w:eastAsia="Arial" w:hAnsi="Arial"/>
          <w:sz w:val="17"/>
          <w:szCs w:val="17"/>
          <w:color w:val="auto"/>
        </w:rPr>
        <w:t>. Nothing in this Plan or any Award granted under this Plan will confer or be deemed to confer on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03" w:lineRule="exact"/>
        <w:rPr>
          <w:rFonts w:ascii="Arial" w:cs="Arial" w:eastAsia="Arial" w:hAnsi="Arial"/>
          <w:sz w:val="17"/>
          <w:szCs w:val="17"/>
          <w:b w:val="1"/>
          <w:bCs w:val="1"/>
          <w:color w:val="auto"/>
        </w:rPr>
      </w:pPr>
    </w:p>
    <w:p>
      <w:pPr>
        <w:ind w:left="740" w:hanging="408"/>
        <w:spacing w:after="0"/>
        <w:tabs>
          <w:tab w:leader="none" w:pos="740" w:val="left"/>
        </w:tabs>
        <w:numPr>
          <w:ilvl w:val="0"/>
          <w:numId w:val="5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TRANSACTIONS</w:t>
      </w:r>
      <w:r>
        <w:rPr>
          <w:rFonts w:ascii="Arial" w:cs="Arial" w:eastAsia="Arial" w:hAnsi="Arial"/>
          <w:sz w:val="18"/>
          <w:szCs w:val="18"/>
          <w:color w:val="auto"/>
        </w:rPr>
        <w:t>.</w:t>
      </w:r>
    </w:p>
    <w:p>
      <w:pPr>
        <w:spacing w:after="0" w:line="17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u w:val="single" w:color="auto"/>
          <w:color w:val="auto"/>
        </w:rPr>
        <w:t>Assumption or Replacement of Awards by Successor</w:t>
      </w:r>
      <w:r>
        <w:rPr>
          <w:rFonts w:ascii="Arial" w:cs="Arial" w:eastAsia="Arial" w:hAnsi="Arial"/>
          <w:sz w:val="18"/>
          <w:szCs w:val="18"/>
          <w:color w:val="auto"/>
        </w:rPr>
        <w:t>. In the event that the Company is subject to a Corporate Transaction,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30" w:lineRule="exact"/>
        <w:rPr>
          <w:sz w:val="20"/>
          <w:szCs w:val="20"/>
          <w:color w:val="auto"/>
        </w:rPr>
      </w:pPr>
    </w:p>
    <w:p>
      <w:pPr>
        <w:ind w:left="2000" w:hanging="372"/>
        <w:spacing w:after="0"/>
        <w:tabs>
          <w:tab w:leader="none" w:pos="200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continuation of an outstanding Award by the Company (if the Company is the successor entity).</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2033" w:val="left"/>
        </w:tabs>
        <w:numPr>
          <w:ilvl w:val="0"/>
          <w:numId w:val="514"/>
        </w:numPr>
        <w:rPr>
          <w:rFonts w:ascii="Arial" w:cs="Arial" w:eastAsia="Arial" w:hAnsi="Arial"/>
          <w:sz w:val="18"/>
          <w:szCs w:val="18"/>
          <w:color w:val="auto"/>
        </w:rPr>
      </w:pPr>
      <w:r>
        <w:rPr>
          <w:rFonts w:ascii="Arial" w:cs="Arial" w:eastAsia="Arial" w:hAnsi="Arial"/>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240"/>
          </w:cols>
          <w:pgMar w:left="320" w:top="1440" w:right="339" w:bottom="1440" w:gutter="0" w:footer="0" w:header="0"/>
        </w:sectPr>
      </w:pPr>
    </w:p>
    <w:bookmarkStart w:id="648" w:name="page649"/>
    <w:bookmarkEnd w:id="648"/>
    <w:p>
      <w:pPr>
        <w:spacing w:after="0" w:line="144" w:lineRule="exact"/>
        <w:rPr>
          <w:sz w:val="20"/>
          <w:szCs w:val="20"/>
          <w:color w:val="auto"/>
        </w:rPr>
      </w:pPr>
    </w:p>
    <w:p>
      <w:pPr>
        <w:jc w:val="both"/>
        <w:ind w:firstLine="1628"/>
        <w:spacing w:after="0" w:line="259" w:lineRule="auto"/>
        <w:tabs>
          <w:tab w:leader="none" w:pos="207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32" w:lineRule="exact"/>
        <w:rPr>
          <w:rFonts w:ascii="Arial" w:cs="Arial" w:eastAsia="Arial" w:hAnsi="Arial"/>
          <w:sz w:val="18"/>
          <w:szCs w:val="18"/>
          <w:color w:val="auto"/>
        </w:rPr>
      </w:pPr>
    </w:p>
    <w:p>
      <w:pPr>
        <w:ind w:firstLine="1628"/>
        <w:spacing w:after="0" w:line="342" w:lineRule="auto"/>
        <w:tabs>
          <w:tab w:leader="none" w:pos="203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69" w:lineRule="exact"/>
        <w:rPr>
          <w:rFonts w:ascii="Arial" w:cs="Arial" w:eastAsia="Arial" w:hAnsi="Arial"/>
          <w:sz w:val="16"/>
          <w:szCs w:val="16"/>
          <w:color w:val="auto"/>
        </w:rPr>
      </w:pPr>
    </w:p>
    <w:p>
      <w:pPr>
        <w:jc w:val="both"/>
        <w:ind w:firstLine="1628"/>
        <w:spacing w:after="0" w:line="291" w:lineRule="auto"/>
        <w:tabs>
          <w:tab w:leader="none" w:pos="1999"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12" w:lineRule="exact"/>
        <w:rPr>
          <w:rFonts w:ascii="Arial" w:cs="Arial" w:eastAsia="Arial" w:hAnsi="Arial"/>
          <w:sz w:val="16"/>
          <w:szCs w:val="16"/>
          <w:color w:val="auto"/>
        </w:rPr>
      </w:pPr>
    </w:p>
    <w:p>
      <w:pPr>
        <w:ind w:left="1980" w:hanging="352"/>
        <w:spacing w:after="0"/>
        <w:tabs>
          <w:tab w:leader="none" w:pos="198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The cancellation of outstanding Awards in exchange for no consideration.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3"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b w:val="1"/>
          <w:bCs w:val="1"/>
          <w:color w:val="auto"/>
        </w:rPr>
        <w:t xml:space="preserve">21.2. </w:t>
      </w:r>
      <w:r>
        <w:rPr>
          <w:rFonts w:ascii="Arial" w:cs="Arial" w:eastAsia="Arial" w:hAnsi="Arial"/>
          <w:sz w:val="16"/>
          <w:szCs w:val="16"/>
          <w:u w:val="single" w:color="auto"/>
          <w:color w:val="auto"/>
        </w:rPr>
        <w:t>Assumption of Awards by the Company</w:t>
      </w:r>
      <w:r>
        <w:rPr>
          <w:rFonts w:ascii="Arial" w:cs="Arial" w:eastAsia="Arial" w:hAnsi="Arial"/>
          <w:sz w:val="16"/>
          <w:szCs w:val="16"/>
          <w:color w:val="auto"/>
        </w:rPr>
        <w:t>. The Company, from time to time, also may substitute or assume outstanding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07"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 Transaction,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22" w:lineRule="exact"/>
        <w:rPr>
          <w:sz w:val="20"/>
          <w:szCs w:val="20"/>
          <w:color w:val="auto"/>
        </w:rPr>
      </w:pPr>
    </w:p>
    <w:p>
      <w:pPr>
        <w:ind w:right="20" w:firstLine="332"/>
        <w:spacing w:after="0" w:line="282" w:lineRule="auto"/>
        <w:tabs>
          <w:tab w:leader="none" w:pos="769" w:val="left"/>
        </w:tabs>
        <w:numPr>
          <w:ilvl w:val="0"/>
          <w:numId w:val="5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ADOPTION AND 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shall be submitted for the approval of the Company’s stockholders,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laws, within twelve (12) months before or after the date this Plan is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240"/>
          </w:cols>
          <w:pgMar w:left="320" w:top="1440" w:right="339" w:bottom="1440" w:gutter="0" w:footer="0" w:header="0"/>
        </w:sectPr>
      </w:pPr>
    </w:p>
    <w:bookmarkStart w:id="649" w:name="page650"/>
    <w:bookmarkEnd w:id="649"/>
    <w:p>
      <w:pPr>
        <w:spacing w:after="0" w:line="140" w:lineRule="exact"/>
        <w:rPr>
          <w:sz w:val="20"/>
          <w:szCs w:val="20"/>
          <w:color w:val="auto"/>
        </w:rPr>
      </w:pPr>
    </w:p>
    <w:p>
      <w:pPr>
        <w:jc w:val="both"/>
        <w:ind w:firstLine="332"/>
        <w:spacing w:after="0" w:line="266" w:lineRule="auto"/>
        <w:tabs>
          <w:tab w:leader="none" w:pos="729"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earlier terminated as provided herein, this Plan will become effective on the Effective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121" w:lineRule="exact"/>
        <w:rPr>
          <w:rFonts w:ascii="Arial" w:cs="Arial" w:eastAsia="Arial" w:hAnsi="Arial"/>
          <w:sz w:val="18"/>
          <w:szCs w:val="18"/>
          <w:b w:val="1"/>
          <w:bCs w:val="1"/>
          <w:color w:val="auto"/>
        </w:rPr>
      </w:pPr>
    </w:p>
    <w:p>
      <w:pPr>
        <w:jc w:val="both"/>
        <w:ind w:firstLine="332"/>
        <w:spacing w:after="0" w:line="255" w:lineRule="auto"/>
        <w:tabs>
          <w:tab w:leader="none" w:pos="742"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34" w:lineRule="exact"/>
        <w:rPr>
          <w:rFonts w:ascii="Arial" w:cs="Arial" w:eastAsia="Arial" w:hAnsi="Arial"/>
          <w:sz w:val="18"/>
          <w:szCs w:val="18"/>
          <w:b w:val="1"/>
          <w:bCs w:val="1"/>
          <w:color w:val="auto"/>
        </w:rPr>
      </w:pPr>
    </w:p>
    <w:p>
      <w:pPr>
        <w:jc w:val="both"/>
        <w:ind w:firstLine="332"/>
        <w:spacing w:after="0" w:line="281" w:lineRule="auto"/>
        <w:tabs>
          <w:tab w:leader="none" w:pos="756" w:val="left"/>
        </w:tabs>
        <w:numPr>
          <w:ilvl w:val="0"/>
          <w:numId w:val="5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NON-EXCLUSIVITY OF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the adoption of this Plan by the Board, the submission of this Plan to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10" w:lineRule="exact"/>
        <w:rPr>
          <w:rFonts w:ascii="Arial" w:cs="Arial" w:eastAsia="Arial" w:hAnsi="Arial"/>
          <w:sz w:val="17"/>
          <w:szCs w:val="17"/>
          <w:b w:val="1"/>
          <w:bCs w:val="1"/>
          <w:color w:val="auto"/>
        </w:rPr>
      </w:pPr>
    </w:p>
    <w:p>
      <w:pPr>
        <w:jc w:val="both"/>
        <w:ind w:firstLine="332"/>
        <w:spacing w:after="0" w:line="266" w:lineRule="auto"/>
        <w:tabs>
          <w:tab w:leader="none" w:pos="756"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INSIDER TRADING POLICY</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who receives an Award shall comply with any policy adopted by the Company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21" w:lineRule="exact"/>
        <w:rPr>
          <w:rFonts w:ascii="Arial" w:cs="Arial" w:eastAsia="Arial" w:hAnsi="Arial"/>
          <w:sz w:val="18"/>
          <w:szCs w:val="18"/>
          <w:b w:val="1"/>
          <w:bCs w:val="1"/>
          <w:color w:val="auto"/>
        </w:rPr>
      </w:pPr>
    </w:p>
    <w:p>
      <w:pPr>
        <w:jc w:val="both"/>
        <w:ind w:firstLine="332"/>
        <w:spacing w:after="0" w:line="258" w:lineRule="auto"/>
        <w:tabs>
          <w:tab w:leader="none" w:pos="783"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shall, subject to applicable law,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9" w:lineRule="exact"/>
        <w:rPr>
          <w:rFonts w:ascii="Arial" w:cs="Arial" w:eastAsia="Arial" w:hAnsi="Arial"/>
          <w:sz w:val="18"/>
          <w:szCs w:val="18"/>
          <w:b w:val="1"/>
          <w:bCs w:val="1"/>
          <w:color w:val="auto"/>
        </w:rPr>
      </w:pPr>
    </w:p>
    <w:p>
      <w:pPr>
        <w:ind w:left="740" w:hanging="408"/>
        <w:spacing w:after="0"/>
        <w:tabs>
          <w:tab w:leader="none" w:pos="740" w:val="left"/>
        </w:tabs>
        <w:numPr>
          <w:ilvl w:val="0"/>
          <w:numId w:val="5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and except as elsewhere defined herein, the following terms will have the following meanings:</w:t>
      </w:r>
    </w:p>
    <w:p>
      <w:pPr>
        <w:spacing w:after="0" w:line="171" w:lineRule="exact"/>
        <w:rPr>
          <w:sz w:val="20"/>
          <w:szCs w:val="20"/>
          <w:color w:val="auto"/>
        </w:rPr>
      </w:pPr>
    </w:p>
    <w:p>
      <w:pPr>
        <w:jc w:val="both"/>
        <w:ind w:firstLine="972"/>
        <w:spacing w:after="0" w:line="347" w:lineRule="auto"/>
        <w:rPr>
          <w:sz w:val="20"/>
          <w:szCs w:val="20"/>
          <w:color w:val="auto"/>
        </w:rPr>
      </w:pPr>
      <w:r>
        <w:rPr>
          <w:rFonts w:ascii="Arial" w:cs="Arial" w:eastAsia="Arial" w:hAnsi="Arial"/>
          <w:sz w:val="16"/>
          <w:szCs w:val="16"/>
          <w:b w:val="1"/>
          <w:bCs w:val="1"/>
          <w:color w:val="auto"/>
        </w:rPr>
        <w:t xml:space="preserve">28.1. </w:t>
      </w: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(a) any entity that, directly or indirectly, is controlled by, controls, or is under common control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and (b) any entity in which the Company has a significant equity interest, in either case as determined by the Committee, whether now or hereafter existing.</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award under the Plan, including any Option, Performance Award, Restricted Stock, Stock Bonus,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or Restricted Stock Unit.</w:t>
      </w:r>
    </w:p>
    <w:p>
      <w:pPr>
        <w:spacing w:after="0" w:line="108" w:lineRule="exact"/>
        <w:rPr>
          <w:sz w:val="20"/>
          <w:szCs w:val="20"/>
          <w:color w:val="auto"/>
        </w:rPr>
      </w:pPr>
    </w:p>
    <w:p>
      <w:pPr>
        <w:jc w:val="both"/>
        <w:ind w:firstLine="972"/>
        <w:spacing w:after="0" w:line="303" w:lineRule="auto"/>
        <w:rPr>
          <w:sz w:val="20"/>
          <w:szCs w:val="20"/>
          <w:color w:val="auto"/>
        </w:rPr>
      </w:pPr>
      <w:r>
        <w:rPr>
          <w:rFonts w:ascii="Arial" w:cs="Arial" w:eastAsia="Arial" w:hAnsi="Arial"/>
          <w:sz w:val="16"/>
          <w:szCs w:val="16"/>
          <w:b w:val="1"/>
          <w:bCs w:val="1"/>
          <w:color w:val="auto"/>
        </w:rPr>
        <w:t xml:space="preserve">28.3. </w:t>
      </w: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with respect to each Award, the written or electronic agreement between the Company and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97"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240"/>
          </w:cols>
          <w:pgMar w:left="320" w:top="1440" w:right="339" w:bottom="1440" w:gutter="0" w:footer="0" w:header="0"/>
        </w:sectPr>
      </w:pPr>
    </w:p>
    <w:bookmarkStart w:id="650" w:name="page651"/>
    <w:bookmarkEnd w:id="650"/>
    <w:p>
      <w:pPr>
        <w:spacing w:after="0" w:line="140"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Agreement and Plan of Merger, by and among CM Life Sciences, Inc.,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other parties thereto, dated as of February 9, 2021.</w:t>
      </w:r>
    </w:p>
    <w:p>
      <w:pPr>
        <w:spacing w:after="0" w:line="108"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6"/>
          <w:szCs w:val="16"/>
          <w:b w:val="1"/>
          <w:bCs w:val="1"/>
          <w:color w:val="auto"/>
        </w:rPr>
        <w:t xml:space="preserve">28.7. </w:t>
      </w: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[Participant’s (a) willful failure substantially to perform his or her duties and responsibilities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4"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28.9. </w:t>
      </w: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those persons to whom administration of the Plan, or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has been delegated as permitted by law.</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[PubCo] or any successor corporation.</w:t>
      </w:r>
    </w:p>
    <w:p>
      <w:pPr>
        <w:spacing w:after="0" w:line="171"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28.11. </w:t>
      </w: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engaged by the Company or a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or Affiliate to render services to such entity.</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75" w:lineRule="exact"/>
        <w:rPr>
          <w:sz w:val="20"/>
          <w:szCs w:val="20"/>
          <w:color w:val="auto"/>
        </w:rPr>
      </w:pPr>
    </w:p>
    <w:p>
      <w:pPr>
        <w:jc w:val="both"/>
        <w:ind w:firstLine="1709"/>
        <w:spacing w:after="0" w:line="257" w:lineRule="auto"/>
        <w:tabs>
          <w:tab w:leader="none" w:pos="215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3" w:lineRule="exact"/>
        <w:rPr>
          <w:rFonts w:ascii="Arial" w:cs="Arial" w:eastAsia="Arial" w:hAnsi="Arial"/>
          <w:sz w:val="18"/>
          <w:szCs w:val="18"/>
          <w:color w:val="auto"/>
        </w:rPr>
      </w:pPr>
    </w:p>
    <w:p>
      <w:pPr>
        <w:ind w:left="2100" w:hanging="391"/>
        <w:spacing w:after="0"/>
        <w:tabs>
          <w:tab w:leader="none" w:pos="210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pacing w:after="0" w:line="171" w:lineRule="exact"/>
        <w:rPr>
          <w:rFonts w:ascii="Arial" w:cs="Arial" w:eastAsia="Arial" w:hAnsi="Arial"/>
          <w:sz w:val="18"/>
          <w:szCs w:val="18"/>
          <w:color w:val="auto"/>
        </w:rPr>
      </w:pPr>
    </w:p>
    <w:p>
      <w:pPr>
        <w:jc w:val="both"/>
        <w:ind w:firstLine="1709"/>
        <w:spacing w:after="0" w:line="301" w:lineRule="auto"/>
        <w:tabs>
          <w:tab w:leader="none" w:pos="2243" w:val="left"/>
        </w:tabs>
        <w:numPr>
          <w:ilvl w:val="0"/>
          <w:numId w:val="518"/>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03" w:lineRule="exact"/>
        <w:rPr>
          <w:rFonts w:ascii="Arial" w:cs="Arial" w:eastAsia="Arial" w:hAnsi="Arial"/>
          <w:sz w:val="16"/>
          <w:szCs w:val="16"/>
          <w:color w:val="auto"/>
        </w:rPr>
      </w:pPr>
    </w:p>
    <w:p>
      <w:pPr>
        <w:jc w:val="both"/>
        <w:ind w:firstLine="1709"/>
        <w:spacing w:after="0" w:line="263" w:lineRule="auto"/>
        <w:tabs>
          <w:tab w:leader="none" w:pos="212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240"/>
          </w:cols>
          <w:pgMar w:left="320" w:top="1440" w:right="339" w:bottom="1440" w:gutter="0" w:footer="0" w:header="0"/>
        </w:sectPr>
      </w:pPr>
    </w:p>
    <w:bookmarkStart w:id="651" w:name="page652"/>
    <w:bookmarkEnd w:id="651"/>
    <w:p>
      <w:pPr>
        <w:spacing w:after="0" w:line="144" w:lineRule="exact"/>
        <w:rPr>
          <w:sz w:val="20"/>
          <w:szCs w:val="20"/>
          <w:color w:val="auto"/>
        </w:rPr>
      </w:pPr>
    </w:p>
    <w:p>
      <w:pPr>
        <w:jc w:val="both"/>
        <w:ind w:firstLine="1709"/>
        <w:spacing w:after="0" w:line="279" w:lineRule="auto"/>
        <w:tabs>
          <w:tab w:leader="none" w:pos="2113" w:val="left"/>
        </w:tabs>
        <w:numPr>
          <w:ilvl w:val="0"/>
          <w:numId w:val="519"/>
        </w:numPr>
        <w:rPr>
          <w:rFonts w:ascii="Arial" w:cs="Arial" w:eastAsia="Arial" w:hAnsi="Arial"/>
          <w:sz w:val="17"/>
          <w:szCs w:val="17"/>
          <w:color w:val="auto"/>
        </w:rPr>
      </w:pPr>
      <w:r>
        <w:rPr>
          <w:rFonts w:ascii="Arial" w:cs="Arial" w:eastAsia="Arial" w:hAnsi="Arial"/>
          <w:sz w:val="17"/>
          <w:szCs w:val="17"/>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3"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171"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7"/>
          <w:szCs w:val="17"/>
          <w:b w:val="1"/>
          <w:bCs w:val="1"/>
          <w:color w:val="auto"/>
        </w:rPr>
        <w:t xml:space="preserve">28.14. </w:t>
      </w: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in the case of ISOs, total and permanent disability as defined in Section 22(e)(3) of the Code and in the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04"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28.15. </w:t>
      </w: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to receive a credit for the account of such Participant in an amount equal to the cash, stock or other property dividends for each Share represented by an Award held by such Participant.</w:t>
      </w:r>
    </w:p>
    <w:p>
      <w:pPr>
        <w:spacing w:after="0" w:line="122" w:lineRule="exact"/>
        <w:rPr>
          <w:sz w:val="20"/>
          <w:szCs w:val="20"/>
          <w:color w:val="auto"/>
        </w:rPr>
      </w:pPr>
    </w:p>
    <w:p>
      <w:pPr>
        <w:ind w:left="980"/>
        <w:spacing w:after="0"/>
        <w:tabs>
          <w:tab w:leader="none" w:pos="1700" w:val="left"/>
        </w:tabs>
        <w:rPr>
          <w:sz w:val="20"/>
          <w:szCs w:val="20"/>
          <w:color w:val="auto"/>
        </w:rPr>
      </w:pPr>
      <w:r>
        <w:rPr>
          <w:rFonts w:ascii="Arial" w:cs="Arial" w:eastAsia="Arial" w:hAnsi="Arial"/>
          <w:sz w:val="18"/>
          <w:szCs w:val="18"/>
          <w:b w:val="1"/>
          <w:bCs w:val="1"/>
          <w:color w:val="auto"/>
        </w:rPr>
        <w:t>28.16.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shall mean the closing date of the Business Combination, subject to approval of the Plan by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53"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28.17. </w:t>
      </w: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Officers and Directors, employed by the Company or any Parent, Subsidiary or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neither service as a Director nor payment of a director’s fee by the Company will be sufficient to constitute “employment” by the Company and the definition of “Employee” herein shall not include Non-Employee Directors.</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1" w:lineRule="exact"/>
        <w:rPr>
          <w:sz w:val="20"/>
          <w:szCs w:val="20"/>
          <w:color w:val="auto"/>
        </w:rPr>
      </w:pPr>
    </w:p>
    <w:p>
      <w:pPr>
        <w:jc w:val="both"/>
        <w:ind w:right="20" w:firstLine="972"/>
        <w:spacing w:after="0" w:line="347" w:lineRule="auto"/>
        <w:rPr>
          <w:sz w:val="20"/>
          <w:szCs w:val="20"/>
          <w:color w:val="auto"/>
        </w:rPr>
      </w:pPr>
      <w:r>
        <w:rPr>
          <w:rFonts w:ascii="Arial" w:cs="Arial" w:eastAsia="Arial" w:hAnsi="Arial"/>
          <w:sz w:val="16"/>
          <w:szCs w:val="16"/>
          <w:b w:val="1"/>
          <w:bCs w:val="1"/>
          <w:color w:val="auto"/>
        </w:rPr>
        <w:t xml:space="preserve">28.19. </w:t>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Program</w:t>
      </w:r>
      <w:r>
        <w:rPr>
          <w:rFonts w:ascii="Arial" w:cs="Arial" w:eastAsia="Arial" w:hAnsi="Arial"/>
          <w:sz w:val="16"/>
          <w:szCs w:val="16"/>
          <w:color w:val="auto"/>
        </w:rPr>
        <w:t>” means a program pursuant to which (a) outstanding Awards are surrendered, cancelled or exchanged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type of Award or a different Award (or combination thereof) or (b) the Exercise Price of an outstanding Award is increased or reduced.</w:t>
      </w:r>
    </w:p>
    <w:p>
      <w:pPr>
        <w:spacing w:after="0" w:line="62"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28.20. </w:t>
      </w: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at which a holder may purchase the Shares issuable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with respect to a SAR, the price at which the SAR is granted to the holder thereof.</w:t>
      </w:r>
    </w:p>
    <w:p>
      <w:pPr>
        <w:spacing w:after="0" w:line="108"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75" w:lineRule="exact"/>
        <w:rPr>
          <w:sz w:val="20"/>
          <w:szCs w:val="20"/>
          <w:color w:val="auto"/>
        </w:rPr>
      </w:pPr>
    </w:p>
    <w:p>
      <w:pPr>
        <w:ind w:firstLine="1628"/>
        <w:spacing w:after="0" w:line="277" w:lineRule="auto"/>
        <w:tabs>
          <w:tab w:leader="none" w:pos="2062"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if such common stock is publicly traded and is then listed on a national securities exchange, its closing price on the date of determination on the principal national securities exchange on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240"/>
          </w:cols>
          <w:pgMar w:left="320" w:top="1440" w:right="339" w:bottom="1440" w:gutter="0" w:footer="0" w:header="0"/>
        </w:sectPr>
      </w:pPr>
    </w:p>
    <w:bookmarkStart w:id="652" w:name="page653"/>
    <w:bookmarkEnd w:id="65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Committee may determine;</w:t>
      </w:r>
    </w:p>
    <w:p>
      <w:pPr>
        <w:spacing w:after="0" w:line="171" w:lineRule="exact"/>
        <w:rPr>
          <w:sz w:val="20"/>
          <w:szCs w:val="20"/>
          <w:color w:val="auto"/>
        </w:rPr>
      </w:pPr>
    </w:p>
    <w:p>
      <w:pPr>
        <w:jc w:val="both"/>
        <w:ind w:firstLine="1628"/>
        <w:spacing w:after="0" w:line="263" w:lineRule="auto"/>
        <w:tabs>
          <w:tab w:leader="none" w:pos="2091"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9" w:lineRule="exact"/>
        <w:rPr>
          <w:rFonts w:ascii="Arial" w:cs="Arial" w:eastAsia="Arial" w:hAnsi="Arial"/>
          <w:sz w:val="18"/>
          <w:szCs w:val="18"/>
          <w:color w:val="auto"/>
        </w:rPr>
      </w:pPr>
    </w:p>
    <w:p>
      <w:pPr>
        <w:ind w:left="2000" w:hanging="372"/>
        <w:spacing w:after="0"/>
        <w:tabs>
          <w:tab w:leader="none" w:pos="2000" w:val="left"/>
        </w:tabs>
        <w:numPr>
          <w:ilvl w:val="0"/>
          <w:numId w:val="521"/>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67"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b w:val="1"/>
          <w:bCs w:val="1"/>
          <w:color w:val="auto"/>
        </w:rPr>
        <w:t xml:space="preserve">28.22. </w:t>
      </w:r>
      <w:r>
        <w:rPr>
          <w:rFonts w:ascii="Arial" w:cs="Arial" w:eastAsia="Arial" w:hAnsi="Arial"/>
          <w:sz w:val="18"/>
          <w:szCs w:val="18"/>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color w:val="auto"/>
        </w:rPr>
        <w:t>” means an officer or director of the Company or any other person whose transactions in the Company’s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16 of the Exchange Act.</w:t>
      </w:r>
    </w:p>
    <w:p>
      <w:pPr>
        <w:spacing w:after="0" w:line="10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is not an Employee of the Company or any Parent, Subsidiary or Affiliate.</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28.26. </w:t>
      </w: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8"/>
          <w:szCs w:val="18"/>
          <w:b w:val="1"/>
          <w:bCs w:val="1"/>
          <w:color w:val="auto"/>
        </w:rPr>
        <w:t>28.28.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covering cash, Shares or other property granted pursuant to Section 10 or Section 12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3"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28.29.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Factors</w:t>
      </w:r>
      <w:r>
        <w:rPr>
          <w:rFonts w:ascii="Arial" w:cs="Arial" w:eastAsia="Arial" w:hAnsi="Arial"/>
          <w:sz w:val="18"/>
          <w:szCs w:val="18"/>
          <w:color w:val="auto"/>
        </w:rPr>
        <w:t>” means any of the factors selected by the Committee and specified in an Award Agreement, from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33" w:lineRule="exact"/>
        <w:rPr>
          <w:sz w:val="20"/>
          <w:szCs w:val="20"/>
          <w:color w:val="auto"/>
        </w:rPr>
      </w:pPr>
    </w:p>
    <w:p>
      <w:pPr>
        <w:ind w:left="2000" w:hanging="372"/>
        <w:spacing w:after="0"/>
        <w:tabs>
          <w:tab w:leader="none" w:pos="20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billings;</w:t>
      </w:r>
    </w:p>
    <w:p>
      <w:pPr>
        <w:spacing w:after="0" w:line="171" w:lineRule="exact"/>
        <w:rPr>
          <w:rFonts w:ascii="Arial" w:cs="Arial" w:eastAsia="Arial" w:hAnsi="Arial"/>
          <w:sz w:val="18"/>
          <w:szCs w:val="18"/>
          <w:color w:val="auto"/>
        </w:rPr>
      </w:pPr>
    </w:p>
    <w:p>
      <w:pPr>
        <w:ind w:left="2000" w:hanging="372"/>
        <w:spacing w:after="0"/>
        <w:tabs>
          <w:tab w:leader="none" w:pos="200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171" w:lineRule="exact"/>
        <w:rPr>
          <w:rFonts w:ascii="Arial" w:cs="Arial" w:eastAsia="Arial" w:hAnsi="Arial"/>
          <w:sz w:val="18"/>
          <w:szCs w:val="18"/>
          <w:color w:val="auto"/>
        </w:rPr>
      </w:pPr>
    </w:p>
    <w:p>
      <w:pPr>
        <w:ind w:firstLine="1628"/>
        <w:spacing w:after="0" w:line="277" w:lineRule="auto"/>
        <w:tabs>
          <w:tab w:leader="none" w:pos="202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net earnings, stock-based compensation expenses, depreciation, and amortization);</w:t>
      </w:r>
    </w:p>
    <w:p>
      <w:pPr>
        <w:spacing w:after="0" w:line="116" w:lineRule="exact"/>
        <w:rPr>
          <w:rFonts w:ascii="Arial" w:cs="Arial" w:eastAsia="Arial" w:hAnsi="Arial"/>
          <w:sz w:val="18"/>
          <w:szCs w:val="18"/>
          <w:color w:val="auto"/>
        </w:rPr>
      </w:pPr>
    </w:p>
    <w:p>
      <w:pPr>
        <w:ind w:left="1980" w:hanging="352"/>
        <w:spacing w:after="0"/>
        <w:tabs>
          <w:tab w:leader="none" w:pos="1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pacing w:after="0" w:line="171" w:lineRule="exact"/>
        <w:rPr>
          <w:rFonts w:ascii="Arial" w:cs="Arial" w:eastAsia="Arial" w:hAnsi="Arial"/>
          <w:sz w:val="18"/>
          <w:szCs w:val="18"/>
          <w:color w:val="auto"/>
        </w:rPr>
      </w:pPr>
    </w:p>
    <w:p>
      <w:pPr>
        <w:ind w:left="1980" w:hanging="352"/>
        <w:spacing w:after="0"/>
        <w:tabs>
          <w:tab w:leader="none" w:pos="198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net profit;</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240"/>
          </w:cols>
          <w:pgMar w:left="320" w:top="1440" w:right="339" w:bottom="1440" w:gutter="0" w:footer="0" w:header="0"/>
        </w:sectPr>
      </w:pPr>
    </w:p>
    <w:bookmarkStart w:id="653" w:name="page654"/>
    <w:bookmarkEnd w:id="653"/>
    <w:p>
      <w:pPr>
        <w:spacing w:after="0" w:line="144" w:lineRule="exact"/>
        <w:rPr>
          <w:sz w:val="20"/>
          <w:szCs w:val="20"/>
          <w:color w:val="auto"/>
        </w:rPr>
      </w:pPr>
    </w:p>
    <w:p>
      <w:pPr>
        <w:ind w:left="860" w:hanging="352"/>
        <w:spacing w:after="0"/>
        <w:tabs>
          <w:tab w:leader="none" w:pos="860" w:val="left"/>
        </w:tabs>
        <w:numPr>
          <w:ilvl w:val="0"/>
          <w:numId w:val="523"/>
        </w:numPr>
        <w:rPr>
          <w:rFonts w:ascii="Arial" w:cs="Arial" w:eastAsia="Arial" w:hAnsi="Arial"/>
          <w:sz w:val="15"/>
          <w:szCs w:val="15"/>
          <w:color w:val="auto"/>
        </w:rPr>
      </w:pPr>
      <w:r>
        <w:rPr>
          <w:rFonts w:ascii="Arial" w:cs="Arial" w:eastAsia="Arial" w:hAnsi="Arial"/>
          <w:sz w:val="15"/>
          <w:szCs w:val="15"/>
          <w:color w:val="auto"/>
        </w:rPr>
        <w:t>operating expenses or operating expenses as a percentage of revenue;</w:t>
      </w:r>
    </w:p>
    <w:p>
      <w:pPr>
        <w:spacing w:after="0" w:line="205" w:lineRule="exact"/>
        <w:rPr>
          <w:rFonts w:ascii="Arial" w:cs="Arial" w:eastAsia="Arial" w:hAnsi="Arial"/>
          <w:sz w:val="15"/>
          <w:szCs w:val="15"/>
          <w:color w:val="auto"/>
        </w:rPr>
      </w:pPr>
    </w:p>
    <w:p>
      <w:pPr>
        <w:ind w:left="940" w:hanging="432"/>
        <w:spacing w:after="0"/>
        <w:tabs>
          <w:tab w:leader="none" w:pos="9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171" w:lineRule="exact"/>
        <w:rPr>
          <w:rFonts w:ascii="Arial" w:cs="Arial" w:eastAsia="Arial" w:hAnsi="Arial"/>
          <w:sz w:val="18"/>
          <w:szCs w:val="18"/>
          <w:color w:val="auto"/>
        </w:rPr>
      </w:pPr>
    </w:p>
    <w:p>
      <w:pPr>
        <w:ind w:left="860" w:hanging="352"/>
        <w:spacing w:after="0"/>
        <w:tabs>
          <w:tab w:leader="none" w:pos="8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the Company’s stock price;</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growth in stockholder value relative to a pre-determined index;</w:t>
      </w:r>
    </w:p>
    <w:p>
      <w:pPr>
        <w:spacing w:after="0" w:line="182" w:lineRule="exact"/>
        <w:rPr>
          <w:rFonts w:ascii="Arial" w:cs="Arial" w:eastAsia="Arial" w:hAnsi="Arial"/>
          <w:sz w:val="17"/>
          <w:szCs w:val="17"/>
          <w:color w:val="auto"/>
        </w:rPr>
      </w:pPr>
    </w:p>
    <w:p>
      <w:pPr>
        <w:ind w:left="860" w:hanging="352"/>
        <w:spacing w:after="0"/>
        <w:tabs>
          <w:tab w:leader="none" w:pos="8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171" w:lineRule="exact"/>
        <w:rPr>
          <w:rFonts w:ascii="Arial" w:cs="Arial" w:eastAsia="Arial" w:hAnsi="Arial"/>
          <w:sz w:val="18"/>
          <w:szCs w:val="18"/>
          <w:color w:val="auto"/>
        </w:rPr>
      </w:pPr>
    </w:p>
    <w:p>
      <w:pPr>
        <w:ind w:left="940" w:hanging="432"/>
        <w:spacing w:after="0"/>
        <w:tabs>
          <w:tab w:leader="none" w:pos="94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171" w:lineRule="exact"/>
        <w:rPr>
          <w:rFonts w:ascii="Arial" w:cs="Arial" w:eastAsia="Arial" w:hAnsi="Arial"/>
          <w:sz w:val="18"/>
          <w:szCs w:val="18"/>
          <w:color w:val="auto"/>
        </w:rPr>
      </w:pPr>
    </w:p>
    <w:p>
      <w:pPr>
        <w:ind w:left="880" w:hanging="372"/>
        <w:spacing w:after="0"/>
        <w:tabs>
          <w:tab w:leader="none" w:pos="88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171" w:lineRule="exact"/>
        <w:rPr>
          <w:sz w:val="20"/>
          <w:szCs w:val="20"/>
          <w:color w:val="auto"/>
        </w:rPr>
      </w:pPr>
    </w:p>
    <w:p>
      <w:pPr>
        <w:ind w:left="960" w:hanging="452"/>
        <w:spacing w:after="0"/>
        <w:tabs>
          <w:tab w:leader="none" w:pos="9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171" w:lineRule="exact"/>
        <w:rPr>
          <w:rFonts w:ascii="Arial" w:cs="Arial" w:eastAsia="Arial" w:hAnsi="Arial"/>
          <w:sz w:val="18"/>
          <w:szCs w:val="18"/>
          <w:color w:val="auto"/>
        </w:rPr>
      </w:pPr>
    </w:p>
    <w:p>
      <w:pPr>
        <w:ind w:left="960" w:hanging="452"/>
        <w:spacing w:after="0"/>
        <w:tabs>
          <w:tab w:leader="none" w:pos="9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171" w:lineRule="exact"/>
        <w:rPr>
          <w:rFonts w:ascii="Arial" w:cs="Arial" w:eastAsia="Arial" w:hAnsi="Arial"/>
          <w:sz w:val="18"/>
          <w:szCs w:val="18"/>
          <w:color w:val="auto"/>
        </w:rPr>
      </w:pPr>
    </w:p>
    <w:p>
      <w:pPr>
        <w:ind w:left="920" w:hanging="412"/>
        <w:spacing w:after="0"/>
        <w:tabs>
          <w:tab w:leader="none" w:pos="92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customer indicators and/or satisfaction;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171" w:lineRule="exact"/>
        <w:rPr>
          <w:rFonts w:ascii="Arial" w:cs="Arial" w:eastAsia="Arial" w:hAnsi="Arial"/>
          <w:sz w:val="18"/>
          <w:szCs w:val="18"/>
          <w:color w:val="auto"/>
        </w:rPr>
      </w:pPr>
    </w:p>
    <w:p>
      <w:pPr>
        <w:ind w:left="900" w:hanging="392"/>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bookings;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attainment of objective operating goals and employee metrics;</w:t>
      </w:r>
    </w:p>
    <w:p>
      <w:pPr>
        <w:spacing w:after="0" w:line="182" w:lineRule="exact"/>
        <w:rPr>
          <w:rFonts w:ascii="Arial" w:cs="Arial" w:eastAsia="Arial" w:hAnsi="Arial"/>
          <w:sz w:val="17"/>
          <w:szCs w:val="17"/>
          <w:color w:val="auto"/>
        </w:rPr>
      </w:pPr>
    </w:p>
    <w:p>
      <w:pPr>
        <w:ind w:left="900" w:hanging="392"/>
        <w:spacing w:after="0"/>
        <w:tabs>
          <w:tab w:leader="none" w:pos="90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sales;</w:t>
      </w:r>
    </w:p>
    <w:p>
      <w:pPr>
        <w:spacing w:after="0" w:line="171" w:lineRule="exact"/>
        <w:rPr>
          <w:rFonts w:ascii="Arial" w:cs="Arial" w:eastAsia="Arial" w:hAnsi="Arial"/>
          <w:sz w:val="18"/>
          <w:szCs w:val="18"/>
          <w:color w:val="auto"/>
        </w:rPr>
      </w:pPr>
    </w:p>
    <w:p>
      <w:pPr>
        <w:ind w:left="1080" w:hanging="572"/>
        <w:spacing w:after="0"/>
        <w:tabs>
          <w:tab w:leader="none" w:pos="10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expenses;</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7"/>
          <w:szCs w:val="17"/>
          <w:color w:val="auto"/>
        </w:rPr>
      </w:pPr>
      <w:r>
        <w:rPr>
          <w:rFonts w:ascii="Arial" w:cs="Arial" w:eastAsia="Arial" w:hAnsi="Arial"/>
          <w:sz w:val="17"/>
          <w:szCs w:val="17"/>
          <w:color w:val="auto"/>
        </w:rPr>
        <w:t>balance of cash, cash equivalents, and marketable securities;</w:t>
      </w:r>
    </w:p>
    <w:p>
      <w:pPr>
        <w:spacing w:after="0" w:line="182" w:lineRule="exact"/>
        <w:rPr>
          <w:rFonts w:ascii="Arial" w:cs="Arial" w:eastAsia="Arial" w:hAnsi="Arial"/>
          <w:sz w:val="17"/>
          <w:szCs w:val="17"/>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171" w:lineRule="exact"/>
        <w:rPr>
          <w:rFonts w:ascii="Arial" w:cs="Arial" w:eastAsia="Arial" w:hAnsi="Arial"/>
          <w:sz w:val="18"/>
          <w:szCs w:val="18"/>
          <w:color w:val="auto"/>
        </w:rPr>
      </w:pPr>
    </w:p>
    <w:p>
      <w:pPr>
        <w:ind w:left="980" w:hanging="472"/>
        <w:spacing w:after="0"/>
        <w:tabs>
          <w:tab w:leader="none" w:pos="98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D-18</w:t>
      </w:r>
    </w:p>
    <w:p>
      <w:pPr>
        <w:sectPr>
          <w:pgSz w:w="11900" w:h="16838" w:orient="portrait"/>
          <w:cols w:equalWidth="0" w:num="1">
            <w:col w:w="9019"/>
          </w:cols>
          <w:pgMar w:left="1440" w:top="1440" w:right="1440" w:bottom="1440" w:gutter="0" w:footer="0" w:header="0"/>
          <w:type w:val="continuous"/>
        </w:sectPr>
      </w:pPr>
    </w:p>
    <w:bookmarkStart w:id="654" w:name="page655"/>
    <w:bookmarkEnd w:id="654"/>
    <w:p>
      <w:pPr>
        <w:spacing w:after="0" w:line="144" w:lineRule="exact"/>
        <w:rPr>
          <w:sz w:val="20"/>
          <w:szCs w:val="20"/>
          <w:color w:val="auto"/>
        </w:rPr>
      </w:pPr>
    </w:p>
    <w:p>
      <w:pPr>
        <w:ind w:left="2100" w:hanging="472"/>
        <w:spacing w:after="0"/>
        <w:tabs>
          <w:tab w:leader="none" w:pos="210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employee satisfaction and/or retention;</w:t>
      </w:r>
    </w:p>
    <w:p>
      <w:pPr>
        <w:spacing w:after="0" w:line="171" w:lineRule="exact"/>
        <w:rPr>
          <w:rFonts w:ascii="Arial" w:cs="Arial" w:eastAsia="Arial" w:hAnsi="Arial"/>
          <w:sz w:val="18"/>
          <w:szCs w:val="18"/>
          <w:color w:val="auto"/>
        </w:rPr>
      </w:pPr>
    </w:p>
    <w:p>
      <w:pPr>
        <w:ind w:left="2040" w:hanging="412"/>
        <w:spacing w:after="0"/>
        <w:tabs>
          <w:tab w:leader="none" w:pos="204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71" w:lineRule="exact"/>
        <w:rPr>
          <w:rFonts w:ascii="Arial" w:cs="Arial" w:eastAsia="Arial" w:hAnsi="Arial"/>
          <w:sz w:val="18"/>
          <w:szCs w:val="18"/>
          <w:color w:val="auto"/>
        </w:rPr>
      </w:pPr>
    </w:p>
    <w:p>
      <w:pPr>
        <w:ind w:left="2060" w:hanging="432"/>
        <w:spacing w:after="0"/>
        <w:tabs>
          <w:tab w:leader="none" w:pos="20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working capital targets and changes in working capital; and</w:t>
      </w:r>
    </w:p>
    <w:p>
      <w:pPr>
        <w:spacing w:after="0" w:line="171" w:lineRule="exact"/>
        <w:rPr>
          <w:rFonts w:ascii="Arial" w:cs="Arial" w:eastAsia="Arial" w:hAnsi="Arial"/>
          <w:sz w:val="18"/>
          <w:szCs w:val="18"/>
          <w:color w:val="auto"/>
        </w:rPr>
      </w:pPr>
    </w:p>
    <w:p>
      <w:pPr>
        <w:ind w:left="2020" w:hanging="392"/>
        <w:spacing w:after="0"/>
        <w:tabs>
          <w:tab w:leader="none" w:pos="202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9"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28.30.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one or more periods of time, which may be of varying and overlapping durations,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select, over which the attainment of one or more Performance Factors will be measured for the purpose of determining a Participant’s right to, and the payment of, a Performance Award.</w:t>
      </w:r>
    </w:p>
    <w:p>
      <w:pPr>
        <w:spacing w:after="0" w:line="122" w:lineRule="exact"/>
        <w:rPr>
          <w:sz w:val="20"/>
          <w:szCs w:val="20"/>
          <w:color w:val="auto"/>
        </w:rPr>
      </w:pPr>
    </w:p>
    <w:p>
      <w:pPr>
        <w:jc w:val="both"/>
        <w:ind w:firstLine="972"/>
        <w:spacing w:after="0" w:line="281" w:lineRule="auto"/>
        <w:rPr>
          <w:sz w:val="20"/>
          <w:szCs w:val="20"/>
          <w:color w:val="auto"/>
        </w:rPr>
      </w:pPr>
      <w:r>
        <w:rPr>
          <w:rFonts w:ascii="Arial" w:cs="Arial" w:eastAsia="Arial" w:hAnsi="Arial"/>
          <w:sz w:val="17"/>
          <w:szCs w:val="17"/>
          <w:b w:val="1"/>
          <w:bCs w:val="1"/>
          <w:color w:val="auto"/>
        </w:rPr>
        <w:t xml:space="preserve">28.31. </w:t>
      </w: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granted pursuant to Section 10 of the Plan, consisting of a unit valued by reference to a</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11" w:lineRule="exact"/>
        <w:rPr>
          <w:sz w:val="20"/>
          <w:szCs w:val="20"/>
          <w:color w:val="auto"/>
        </w:rPr>
      </w:pPr>
    </w:p>
    <w:p>
      <w:pPr>
        <w:jc w:val="both"/>
        <w:ind w:firstLine="972"/>
        <w:spacing w:after="0" w:line="261"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6"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 sibling,</w:t>
      </w:r>
      <w:r>
        <w:rPr>
          <w:rFonts w:ascii="Arial" w:cs="Arial" w:eastAsia="Arial" w:hAnsi="Arial"/>
          <w:sz w:val="18"/>
          <w:szCs w:val="18"/>
          <w:b w:val="1"/>
          <w:bCs w:val="1"/>
          <w:color w:val="auto"/>
        </w:rPr>
        <w:t xml:space="preserve"> </w:t>
      </w:r>
      <w:r>
        <w:rPr>
          <w:rFonts w:ascii="Arial" w:cs="Arial" w:eastAsia="Arial" w:hAnsi="Arial"/>
          <w:sz w:val="18"/>
          <w:szCs w:val="18"/>
          <w:color w:val="auto"/>
        </w:rPr>
        <w:t>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28.34.</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[PubCo] 2021 Equity Incentive Plan.</w:t>
            </w: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28.35.</w:t>
            </w:r>
          </w:p>
        </w:tc>
        <w:tc>
          <w:tcPr>
            <w:tcW w:w="9640" w:type="dxa"/>
            <w:vAlign w:val="bottom"/>
          </w:tcPr>
          <w:p>
            <w:pPr>
              <w:jc w:val="right"/>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Purchase Price</w:t>
            </w:r>
            <w:r>
              <w:rPr>
                <w:rFonts w:ascii="Arial" w:cs="Arial" w:eastAsia="Arial" w:hAnsi="Arial"/>
                <w:sz w:val="18"/>
                <w:szCs w:val="18"/>
                <w:color w:val="auto"/>
                <w:w w:val="93"/>
              </w:rPr>
              <w:t>” means the price to be paid for Shares acquired under the Plan, other than Shares acquired upon exercise of an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Option or SAR.</w:t>
            </w:r>
          </w:p>
        </w:tc>
        <w:tc>
          <w:tcPr>
            <w:tcW w:w="9640" w:type="dxa"/>
            <w:vAlign w:val="bottom"/>
          </w:tcPr>
          <w:p>
            <w:pPr>
              <w:spacing w:after="0"/>
              <w:rPr>
                <w:sz w:val="20"/>
                <w:szCs w:val="20"/>
                <w:color w:val="auto"/>
              </w:rPr>
            </w:pPr>
          </w:p>
        </w:tc>
      </w:tr>
      <w:tr>
        <w:trPr>
          <w:trHeight w:val="364"/>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28.36.</w:t>
            </w:r>
          </w:p>
        </w:tc>
        <w:tc>
          <w:tcPr>
            <w:tcW w:w="9640" w:type="dxa"/>
            <w:vAlign w:val="bottom"/>
          </w:tcPr>
          <w:p>
            <w:pPr>
              <w:jc w:val="right"/>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Restricted Stock Award</w:t>
            </w:r>
            <w:r>
              <w:rPr>
                <w:rFonts w:ascii="Arial" w:cs="Arial" w:eastAsia="Arial" w:hAnsi="Arial"/>
                <w:sz w:val="18"/>
                <w:szCs w:val="18"/>
                <w:color w:val="auto"/>
                <w:w w:val="90"/>
              </w:rPr>
              <w:t>” means an award of Shares pursuant to Section 6 or Section 12 of the Plan, or issued pursuant to the early</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w w:val="90"/>
              </w:rPr>
              <w:t>exercise of an Option.</w:t>
            </w:r>
          </w:p>
        </w:tc>
        <w:tc>
          <w:tcPr>
            <w:tcW w:w="9640" w:type="dxa"/>
            <w:vAlign w:val="bottom"/>
          </w:tcPr>
          <w:p>
            <w:pPr>
              <w:spacing w:after="0"/>
              <w:rPr>
                <w:sz w:val="20"/>
                <w:szCs w:val="20"/>
                <w:color w:val="auto"/>
              </w:rPr>
            </w:pP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28.37.</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Award granted pursuant to Section 9 or Section 12 of the Plan.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28.38.</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28.39.</w:t>
            </w:r>
          </w:p>
        </w:tc>
        <w:tc>
          <w:tcPr>
            <w:tcW w:w="96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United States Securities Act of 1933, as amended.</w:t>
            </w:r>
          </w:p>
        </w:tc>
      </w:tr>
      <w:tr>
        <w:trPr>
          <w:trHeight w:val="378"/>
        </w:trPr>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28.40.</w:t>
            </w:r>
          </w:p>
        </w:tc>
        <w:tc>
          <w:tcPr>
            <w:tcW w:w="9640" w:type="dxa"/>
            <w:vAlign w:val="bottom"/>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Service</w:t>
            </w:r>
            <w:r>
              <w:rPr>
                <w:rFonts w:ascii="Arial" w:cs="Arial" w:eastAsia="Arial" w:hAnsi="Arial"/>
                <w:sz w:val="18"/>
                <w:szCs w:val="18"/>
                <w:color w:val="auto"/>
                <w:w w:val="92"/>
              </w:rPr>
              <w:t>” shall mean service as an Employee, Consultant, Director or Non-Employee Director, subject to such further limitations as</w:t>
            </w:r>
          </w:p>
        </w:tc>
      </w:tr>
    </w:tbl>
    <w:p>
      <w:pPr>
        <w:jc w:val="both"/>
        <w:spacing w:after="0" w:line="290" w:lineRule="auto"/>
        <w:rPr>
          <w:sz w:val="20"/>
          <w:szCs w:val="20"/>
          <w:color w:val="auto"/>
        </w:rPr>
      </w:pPr>
      <w:r>
        <w:rPr>
          <w:rFonts w:ascii="Arial" w:cs="Arial" w:eastAsia="Arial" w:hAnsi="Arial"/>
          <w:sz w:val="17"/>
          <w:szCs w:val="17"/>
          <w:color w:val="auto"/>
        </w:rPr>
        <w:t>may be set forth in the Plan or the applicable Award Agreement. An Employee will not be deemed to have ceased to provide Service in the case of any leave of absence approved by the Company. In the case of any Employee on an approved leave of absence or a reduction in hours worked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240"/>
          </w:cols>
          <w:pgMar w:left="320" w:top="1440" w:right="339" w:bottom="1440" w:gutter="0" w:footer="0" w:header="0"/>
        </w:sectPr>
      </w:pPr>
    </w:p>
    <w:bookmarkStart w:id="655" w:name="page656"/>
    <w:bookmarkEnd w:id="655"/>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1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1" w:lineRule="exact"/>
        <w:rPr>
          <w:sz w:val="20"/>
          <w:szCs w:val="20"/>
          <w:color w:val="auto"/>
        </w:rPr>
      </w:pPr>
    </w:p>
    <w:p>
      <w:pPr>
        <w:jc w:val="both"/>
        <w:ind w:firstLine="972"/>
        <w:spacing w:after="0" w:line="266" w:lineRule="auto"/>
        <w:rPr>
          <w:sz w:val="20"/>
          <w:szCs w:val="20"/>
          <w:color w:val="auto"/>
        </w:rPr>
      </w:pPr>
      <w:r>
        <w:rPr>
          <w:rFonts w:ascii="Arial" w:cs="Arial" w:eastAsia="Arial" w:hAnsi="Arial"/>
          <w:sz w:val="18"/>
          <w:szCs w:val="18"/>
          <w:b w:val="1"/>
          <w:bCs w:val="1"/>
          <w:color w:val="auto"/>
        </w:rPr>
        <w:t xml:space="preserve">28.44. </w:t>
      </w: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fifty percent (50%) or more of the total combined voting power of all classes of stock in one of the other corporations in such chain.</w:t>
      </w:r>
    </w:p>
    <w:p>
      <w:pPr>
        <w:spacing w:after="0" w:line="122"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8"/>
          <w:szCs w:val="18"/>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1" w:lineRule="exact"/>
        <w:rPr>
          <w:sz w:val="20"/>
          <w:szCs w:val="20"/>
          <w:color w:val="auto"/>
        </w:rPr>
      </w:pPr>
    </w:p>
    <w:p>
      <w:pPr>
        <w:jc w:val="both"/>
        <w:ind w:right="20" w:firstLine="972"/>
        <w:spacing w:after="0" w:line="282" w:lineRule="auto"/>
        <w:rPr>
          <w:sz w:val="20"/>
          <w:szCs w:val="20"/>
          <w:color w:val="auto"/>
        </w:rPr>
      </w:pPr>
      <w:r>
        <w:rPr>
          <w:rFonts w:ascii="Arial" w:cs="Arial" w:eastAsia="Arial" w:hAnsi="Arial"/>
          <w:sz w:val="18"/>
          <w:szCs w:val="18"/>
          <w:b w:val="1"/>
          <w:bCs w:val="1"/>
          <w:color w:val="auto"/>
        </w:rPr>
        <w:t xml:space="preserve">28.46. </w:t>
      </w:r>
      <w:r>
        <w:rPr>
          <w:rFonts w:ascii="Arial" w:cs="Arial" w:eastAsia="Arial" w:hAnsi="Arial"/>
          <w:sz w:val="18"/>
          <w:szCs w:val="18"/>
          <w:color w:val="auto"/>
        </w:rPr>
        <w:t>“</w:t>
      </w:r>
      <w:r>
        <w:rPr>
          <w:rFonts w:ascii="Arial" w:cs="Arial" w:eastAsia="Arial" w:hAnsi="Arial"/>
          <w:sz w:val="18"/>
          <w:szCs w:val="18"/>
          <w:b w:val="1"/>
          <w:bCs w:val="1"/>
          <w:i w:val="1"/>
          <w:iCs w:val="1"/>
          <w:color w:val="auto"/>
        </w:rPr>
        <w:t>Unvested Shares</w:t>
      </w:r>
      <w:r>
        <w:rPr>
          <w:rFonts w:ascii="Arial" w:cs="Arial" w:eastAsia="Arial" w:hAnsi="Arial"/>
          <w:sz w:val="18"/>
          <w:szCs w:val="18"/>
          <w:color w:val="auto"/>
        </w:rPr>
        <w:t>” means Shares that have not yet vested or are subject to a right of repurchase in favor of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thereto).</w:t>
      </w:r>
    </w:p>
    <w:p>
      <w:pPr>
        <w:spacing w:after="0" w:line="108" w:lineRule="exact"/>
        <w:rPr>
          <w:sz w:val="20"/>
          <w:szCs w:val="20"/>
          <w:color w:val="auto"/>
        </w:rPr>
      </w:pPr>
    </w:p>
    <w:p>
      <w:pPr>
        <w:jc w:val="both"/>
        <w:ind w:firstLine="332"/>
        <w:spacing w:after="0" w:line="287" w:lineRule="auto"/>
        <w:tabs>
          <w:tab w:leader="none" w:pos="769" w:val="left"/>
        </w:tabs>
        <w:numPr>
          <w:ilvl w:val="0"/>
          <w:numId w:val="5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and Awards granted hereunder are intended to comply with Section 409A of the Code and the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guidance promulgated thereunder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6"/>
          <w:szCs w:val="16"/>
          <w:b w:val="1"/>
          <w:bCs w:val="1"/>
          <w:i w:val="1"/>
          <w:iCs w:val="1"/>
          <w:color w:val="auto"/>
        </w:rPr>
        <w:t>Deferred Amounts</w:t>
      </w:r>
      <w:r>
        <w:rPr>
          <w:rFonts w:ascii="Arial" w:cs="Arial" w:eastAsia="Arial" w:hAnsi="Arial"/>
          <w:sz w:val="16"/>
          <w:szCs w:val="16"/>
          <w:color w:val="auto"/>
        </w:rPr>
        <w:t>”) shall instead be paid on the first payroll date after the earlier of (i) the six-month anniversary of the Participant’s “separation from service” (as defined in Section 409A) or (ii) the Participant’s death (such date, the “</w:t>
      </w:r>
      <w:r>
        <w:rPr>
          <w:rFonts w:ascii="Arial" w:cs="Arial" w:eastAsia="Arial" w:hAnsi="Arial"/>
          <w:sz w:val="16"/>
          <w:szCs w:val="16"/>
          <w:b w:val="1"/>
          <w:bCs w:val="1"/>
          <w:i w:val="1"/>
          <w:iCs w:val="1"/>
          <w:color w:val="auto"/>
        </w:rPr>
        <w:t>Section 409A Payment Date</w:t>
      </w:r>
      <w:r>
        <w:rPr>
          <w:rFonts w:ascii="Arial" w:cs="Arial" w:eastAsia="Arial" w:hAnsi="Arial"/>
          <w:sz w:val="16"/>
          <w:szCs w:val="16"/>
          <w:color w:val="auto"/>
        </w:rPr>
        <w:t>”),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240"/>
          </w:cols>
          <w:pgMar w:left="320" w:top="1440" w:right="339" w:bottom="1440" w:gutter="0" w:footer="0" w:header="0"/>
        </w:sectPr>
      </w:pPr>
    </w:p>
    <w:bookmarkStart w:id="656" w:name="page657"/>
    <w:bookmarkEnd w:id="656"/>
    <w:p>
      <w:pPr>
        <w:jc w:val="center"/>
        <w:spacing w:after="0"/>
        <w:rPr>
          <w:sz w:val="20"/>
          <w:szCs w:val="20"/>
          <w:color w:val="auto"/>
        </w:rPr>
      </w:pPr>
      <w:r>
        <w:rPr>
          <w:rFonts w:ascii="Arial" w:cs="Arial" w:eastAsia="Arial" w:hAnsi="Arial"/>
          <w:sz w:val="18"/>
          <w:szCs w:val="18"/>
          <w:b w:val="1"/>
          <w:bCs w:val="1"/>
          <w:color w:val="auto"/>
        </w:rPr>
        <w:t>ANNEX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53" w:lineRule="exact"/>
        <w:rPr>
          <w:sz w:val="20"/>
          <w:szCs w:val="20"/>
          <w:color w:val="auto"/>
        </w:rPr>
      </w:pPr>
    </w:p>
    <w:p>
      <w:pPr>
        <w:jc w:val="both"/>
        <w:ind w:firstLine="332"/>
        <w:spacing w:after="0" w:line="266" w:lineRule="auto"/>
        <w:tabs>
          <w:tab w:leader="none" w:pos="639"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[PubCo] adopted the Plan effective as of the Effective Date. The purpose of this Plan is to provide eligible employees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21" w:lineRule="exact"/>
        <w:rPr>
          <w:rFonts w:ascii="Arial" w:cs="Arial" w:eastAsia="Arial" w:hAnsi="Arial"/>
          <w:sz w:val="18"/>
          <w:szCs w:val="18"/>
          <w:b w:val="1"/>
          <w:bCs w:val="1"/>
          <w:color w:val="auto"/>
        </w:rPr>
      </w:pPr>
    </w:p>
    <w:p>
      <w:pPr>
        <w:jc w:val="both"/>
        <w:ind w:firstLine="332"/>
        <w:spacing w:after="0" w:line="254" w:lineRule="auto"/>
        <w:tabs>
          <w:tab w:leader="none" w:pos="733" w:val="left"/>
        </w:tabs>
        <w:numPr>
          <w:ilvl w:val="0"/>
          <w:numId w:val="527"/>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PLAN</w:t>
      </w:r>
      <w:r>
        <w:rPr>
          <w:rFonts w:ascii="Arial" w:cs="Arial" w:eastAsia="Arial" w:hAnsi="Arial"/>
          <w:sz w:val="18"/>
          <w:szCs w:val="18"/>
          <w:color w:val="auto"/>
        </w:rPr>
        <w:t>. The Company proposes to grant rights to purchase shares of Common Stock to eligible employees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Subject to Section 14, a total of [[l] ([l])]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or the Committee may in its sole discretion reduce the amount of the increase in any particular year. Subject to Section 14, no more than [[l] ([l])]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08" w:lineRule="exact"/>
        <w:rPr>
          <w:sz w:val="20"/>
          <w:szCs w:val="20"/>
          <w:color w:val="auto"/>
        </w:rPr>
      </w:pPr>
    </w:p>
    <w:p>
      <w:pPr>
        <w:jc w:val="both"/>
        <w:ind w:firstLine="332"/>
        <w:spacing w:after="0" w:line="267" w:lineRule="auto"/>
        <w:tabs>
          <w:tab w:leader="none" w:pos="656" w:val="left"/>
        </w:tabs>
        <w:numPr>
          <w:ilvl w:val="0"/>
          <w:numId w:val="5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The Plan will be administered by the Committee. Subject to the provisions of this Plan and the limitations of Section 423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240"/>
          </w:cols>
          <w:pgMar w:left="320" w:top="1418" w:right="339" w:bottom="1440" w:gutter="0" w:footer="0" w:header="0"/>
        </w:sectPr>
      </w:pPr>
    </w:p>
    <w:bookmarkStart w:id="657" w:name="page658"/>
    <w:bookmarkEnd w:id="657"/>
    <w:p>
      <w:pPr>
        <w:spacing w:after="0" w:line="342" w:lineRule="auto"/>
        <w:rPr>
          <w:sz w:val="20"/>
          <w:szCs w:val="20"/>
          <w:color w:val="auto"/>
        </w:rPr>
      </w:pPr>
      <w:r>
        <w:rPr>
          <w:rFonts w:ascii="Arial" w:cs="Arial" w:eastAsia="Arial" w:hAnsi="Arial"/>
          <w:sz w:val="16"/>
          <w:szCs w:val="16"/>
          <w:color w:val="auto"/>
        </w:rPr>
        <w:t>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66" w:lineRule="exact"/>
        <w:rPr>
          <w:sz w:val="20"/>
          <w:szCs w:val="20"/>
          <w:color w:val="auto"/>
        </w:rPr>
      </w:pPr>
    </w:p>
    <w:p>
      <w:pPr>
        <w:ind w:left="640" w:hanging="308"/>
        <w:spacing w:after="0"/>
        <w:tabs>
          <w:tab w:leader="none" w:pos="640" w:val="left"/>
        </w:tabs>
        <w:numPr>
          <w:ilvl w:val="0"/>
          <w:numId w:val="52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378" w:val="left"/>
        </w:tabs>
        <w:numPr>
          <w:ilvl w:val="1"/>
          <w:numId w:val="529"/>
        </w:numPr>
        <w:rPr>
          <w:rFonts w:ascii="Arial" w:cs="Arial" w:eastAsia="Arial" w:hAnsi="Arial"/>
          <w:sz w:val="18"/>
          <w:szCs w:val="18"/>
          <w:color w:val="auto"/>
        </w:rPr>
      </w:pPr>
      <w:r>
        <w:rPr>
          <w:rFonts w:ascii="Arial" w:cs="Arial" w:eastAsia="Arial" w:hAnsi="Arial"/>
          <w:sz w:val="18"/>
          <w:szCs w:val="18"/>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29"/>
        </w:numPr>
        <w:rPr>
          <w:rFonts w:ascii="Arial" w:cs="Arial" w:eastAsia="Arial" w:hAnsi="Arial"/>
          <w:sz w:val="16"/>
          <w:szCs w:val="16"/>
          <w:color w:val="auto"/>
        </w:rPr>
      </w:pPr>
      <w:r>
        <w:rPr>
          <w:rFonts w:ascii="Arial" w:cs="Arial" w:eastAsia="Arial" w:hAnsi="Arial"/>
          <w:sz w:val="16"/>
          <w:szCs w:val="16"/>
          <w:color w:val="auto"/>
        </w:rPr>
        <w:t>employees who do not meet eligibility requirements that the Committee may choose to impose (within the limits permitted by the Code);</w:t>
      </w:r>
    </w:p>
    <w:p>
      <w:pPr>
        <w:spacing w:after="0" w:line="194" w:lineRule="exact"/>
        <w:rPr>
          <w:rFonts w:ascii="Arial" w:cs="Arial" w:eastAsia="Arial" w:hAnsi="Arial"/>
          <w:sz w:val="16"/>
          <w:szCs w:val="16"/>
          <w:color w:val="auto"/>
        </w:rPr>
      </w:pPr>
    </w:p>
    <w:p>
      <w:pPr>
        <w:ind w:firstLine="980"/>
        <w:spacing w:after="0" w:line="277" w:lineRule="auto"/>
        <w:tabs>
          <w:tab w:leader="none" w:pos="1365" w:val="left"/>
        </w:tabs>
        <w:numPr>
          <w:ilvl w:val="1"/>
          <w:numId w:val="529"/>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Corporation prior to the beginning of such Offering Period or prior to such other time period as specified by the Committee;</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employees who are customarily employed for twenty (20) or less hours per week;</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employees who are customarily employed for five (5) months or less in a calendar year;</w:t>
      </w:r>
    </w:p>
    <w:p>
      <w:pPr>
        <w:spacing w:after="0" w:line="171" w:lineRule="exact"/>
        <w:rPr>
          <w:rFonts w:ascii="Arial" w:cs="Arial" w:eastAsia="Arial" w:hAnsi="Arial"/>
          <w:sz w:val="18"/>
          <w:szCs w:val="18"/>
          <w:color w:val="auto"/>
        </w:rPr>
      </w:pPr>
    </w:p>
    <w:p>
      <w:pPr>
        <w:jc w:val="both"/>
        <w:ind w:firstLine="980"/>
        <w:spacing w:after="0" w:line="263" w:lineRule="auto"/>
        <w:tabs>
          <w:tab w:leader="none" w:pos="1437" w:val="left"/>
        </w:tabs>
        <w:numPr>
          <w:ilvl w:val="1"/>
          <w:numId w:val="529"/>
        </w:numPr>
        <w:rPr>
          <w:rFonts w:ascii="Arial" w:cs="Arial" w:eastAsia="Arial" w:hAnsi="Arial"/>
          <w:sz w:val="18"/>
          <w:szCs w:val="18"/>
          <w:color w:val="auto"/>
        </w:rPr>
      </w:pPr>
      <w:r>
        <w:rPr>
          <w:rFonts w:ascii="Arial" w:cs="Arial" w:eastAsia="Arial" w:hAnsi="Arial"/>
          <w:sz w:val="18"/>
          <w:szCs w:val="18"/>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6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32" w:lineRule="exact"/>
        <w:rPr>
          <w:rFonts w:ascii="Arial" w:cs="Arial" w:eastAsia="Arial" w:hAnsi="Arial"/>
          <w:sz w:val="18"/>
          <w:szCs w:val="18"/>
          <w:color w:val="auto"/>
        </w:rPr>
      </w:pPr>
    </w:p>
    <w:p>
      <w:pPr>
        <w:ind w:firstLine="980"/>
        <w:spacing w:after="0" w:line="277" w:lineRule="auto"/>
        <w:tabs>
          <w:tab w:leader="none" w:pos="1504" w:val="left"/>
        </w:tabs>
        <w:numPr>
          <w:ilvl w:val="1"/>
          <w:numId w:val="529"/>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Corporations who are reclassified as common law employees for any reason except for federal income and employment tax purposes.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notwithstanding, an individual shall not be eligible if his or her participation in the Plan is prohibited by the law of any country that has jurisdiction over him or her, if complying with the laws of the applicable country would cause the Plan to violate Section 423 of the Code, or if he or she is subject to a collective bargaining agreement that does not provide for participation in the Plan.</w:t>
      </w:r>
    </w:p>
    <w:p>
      <w:pPr>
        <w:spacing w:after="0" w:line="130" w:lineRule="exact"/>
        <w:rPr>
          <w:sz w:val="20"/>
          <w:szCs w:val="20"/>
          <w:color w:val="auto"/>
        </w:rPr>
      </w:pPr>
    </w:p>
    <w:p>
      <w:pPr>
        <w:jc w:val="both"/>
        <w:ind w:firstLine="980"/>
        <w:spacing w:after="0" w:line="254" w:lineRule="auto"/>
        <w:tabs>
          <w:tab w:leader="none" w:pos="1354" w:val="left"/>
        </w:tabs>
        <w:numPr>
          <w:ilvl w:val="1"/>
          <w:numId w:val="530"/>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36" w:lineRule="exact"/>
        <w:rPr>
          <w:rFonts w:ascii="Arial" w:cs="Arial" w:eastAsia="Arial" w:hAnsi="Arial"/>
          <w:sz w:val="18"/>
          <w:szCs w:val="18"/>
          <w:color w:val="auto"/>
        </w:rPr>
      </w:pPr>
    </w:p>
    <w:p>
      <w:pPr>
        <w:ind w:left="640" w:hanging="308"/>
        <w:spacing w:after="0"/>
        <w:tabs>
          <w:tab w:leader="none" w:pos="640" w:val="left"/>
        </w:tabs>
        <w:numPr>
          <w:ilvl w:val="0"/>
          <w:numId w:val="531"/>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64" w:val="left"/>
        </w:tabs>
        <w:numPr>
          <w:ilvl w:val="1"/>
          <w:numId w:val="531"/>
        </w:numPr>
        <w:rPr>
          <w:rFonts w:ascii="Arial" w:cs="Arial" w:eastAsia="Arial" w:hAnsi="Arial"/>
          <w:sz w:val="18"/>
          <w:szCs w:val="18"/>
          <w:color w:val="auto"/>
        </w:rPr>
      </w:pPr>
      <w:r>
        <w:rPr>
          <w:rFonts w:ascii="Arial" w:cs="Arial" w:eastAsia="Arial" w:hAnsi="Arial"/>
          <w:sz w:val="18"/>
          <w:szCs w:val="18"/>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40"/>
          </w:cols>
          <w:pgMar w:left="320" w:top="1422" w:right="339" w:bottom="1440" w:gutter="0" w:footer="0" w:header="0"/>
        </w:sectPr>
      </w:pPr>
    </w:p>
    <w:bookmarkStart w:id="658" w:name="page659"/>
    <w:bookmarkEnd w:id="658"/>
    <w:p>
      <w:pPr>
        <w:ind w:left="640" w:hanging="308"/>
        <w:spacing w:after="0"/>
        <w:tabs>
          <w:tab w:leader="none" w:pos="64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348"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16" w:lineRule="exact"/>
        <w:rPr>
          <w:rFonts w:ascii="Arial" w:cs="Arial" w:eastAsia="Arial" w:hAnsi="Arial"/>
          <w:sz w:val="18"/>
          <w:szCs w:val="18"/>
          <w:color w:val="auto"/>
        </w:rPr>
      </w:pPr>
    </w:p>
    <w:p>
      <w:pPr>
        <w:ind w:firstLine="980"/>
        <w:spacing w:after="0" w:line="277" w:lineRule="auto"/>
        <w:tabs>
          <w:tab w:leader="none" w:pos="1404" w:val="left"/>
        </w:tabs>
        <w:numPr>
          <w:ilvl w:val="1"/>
          <w:numId w:val="532"/>
        </w:numPr>
        <w:rPr>
          <w:rFonts w:ascii="Arial" w:cs="Arial" w:eastAsia="Arial" w:hAnsi="Arial"/>
          <w:sz w:val="18"/>
          <w:szCs w:val="18"/>
          <w:color w:val="auto"/>
        </w:rPr>
      </w:pPr>
      <w:r>
        <w:rPr>
          <w:rFonts w:ascii="Arial" w:cs="Arial" w:eastAsia="Arial" w:hAnsi="Arial"/>
          <w:sz w:val="18"/>
          <w:szCs w:val="18"/>
          <w:color w:val="auto"/>
        </w:rPr>
        <w:t>A Participant may elect to participate in this Plan by submitting an enrollment agreement prior to the commencement of the Offering Period (on such date as the Committee may determine) to which such agreement relates.</w:t>
      </w:r>
    </w:p>
    <w:p>
      <w:pPr>
        <w:spacing w:after="0" w:line="116" w:lineRule="exact"/>
        <w:rPr>
          <w:rFonts w:ascii="Arial" w:cs="Arial" w:eastAsia="Arial" w:hAnsi="Arial"/>
          <w:sz w:val="18"/>
          <w:szCs w:val="18"/>
          <w:color w:val="auto"/>
        </w:rPr>
      </w:pPr>
    </w:p>
    <w:p>
      <w:pPr>
        <w:jc w:val="both"/>
        <w:ind w:firstLine="980"/>
        <w:spacing w:after="0" w:line="273" w:lineRule="auto"/>
        <w:tabs>
          <w:tab w:leader="none" w:pos="1384" w:val="left"/>
        </w:tabs>
        <w:numPr>
          <w:ilvl w:val="1"/>
          <w:numId w:val="532"/>
        </w:numPr>
        <w:rPr>
          <w:rFonts w:ascii="Arial" w:cs="Arial" w:eastAsia="Arial" w:hAnsi="Arial"/>
          <w:sz w:val="17"/>
          <w:szCs w:val="17"/>
          <w:color w:val="auto"/>
        </w:rPr>
      </w:pPr>
      <w:r>
        <w:rPr>
          <w:rFonts w:ascii="Arial" w:cs="Arial" w:eastAsia="Arial" w:hAnsi="Arial"/>
          <w:sz w:val="17"/>
          <w:szCs w:val="17"/>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19" w:lineRule="exact"/>
        <w:rPr>
          <w:rFonts w:ascii="Arial" w:cs="Arial" w:eastAsia="Arial" w:hAnsi="Arial"/>
          <w:sz w:val="17"/>
          <w:szCs w:val="17"/>
          <w:color w:val="auto"/>
        </w:rPr>
      </w:pPr>
    </w:p>
    <w:p>
      <w:pPr>
        <w:jc w:val="both"/>
        <w:ind w:firstLine="332"/>
        <w:spacing w:after="0" w:line="291" w:lineRule="auto"/>
        <w:tabs>
          <w:tab w:leader="none" w:pos="720" w:val="left"/>
        </w:tabs>
        <w:numPr>
          <w:ilvl w:val="0"/>
          <w:numId w:val="5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OPTION ON ENROLLMENT. </w:t>
      </w:r>
      <w:r>
        <w:rPr>
          <w:rFonts w:ascii="Arial" w:cs="Arial" w:eastAsia="Arial" w:hAnsi="Arial"/>
          <w:sz w:val="16"/>
          <w:szCs w:val="16"/>
          <w:color w:val="auto"/>
        </w:rPr>
        <w:t>Becoming a Participant with respect to an Offering Period will constitute the grant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number of shares of Common Stock subject to any option granted pursuant to this Plan shall not exceed the lesser of (x) the maximum number of shares set by the Committee pursuant to Section 10(b) below with respect to the applicable Purchase Date, or (y) the maximum number of shares which may be purchased pursuant to Section 10(a) below with respect to the applicable Purchase Date.</w:t>
      </w:r>
    </w:p>
    <w:p>
      <w:pPr>
        <w:spacing w:after="0" w:line="105" w:lineRule="exact"/>
        <w:rPr>
          <w:rFonts w:ascii="Arial" w:cs="Arial" w:eastAsia="Arial" w:hAnsi="Arial"/>
          <w:sz w:val="16"/>
          <w:szCs w:val="16"/>
          <w:b w:val="1"/>
          <w:bCs w:val="1"/>
          <w:color w:val="auto"/>
        </w:rPr>
      </w:pPr>
    </w:p>
    <w:p>
      <w:pPr>
        <w:ind w:firstLine="332"/>
        <w:spacing w:after="0" w:line="282" w:lineRule="auto"/>
        <w:tabs>
          <w:tab w:leader="none" w:pos="671"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per share at which a share of Common Stock will be sold in any Offering Period shall be eighty-five</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(85%) of the lesser of:</w:t>
      </w:r>
    </w:p>
    <w:p>
      <w:pPr>
        <w:spacing w:after="0" w:line="111"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The Fair Market Value on the Offering Date; or</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The Fair Market Value on the Purchase Date.</w:t>
      </w:r>
    </w:p>
    <w:p>
      <w:pPr>
        <w:spacing w:after="0" w:line="167" w:lineRule="exact"/>
        <w:rPr>
          <w:rFonts w:ascii="Arial" w:cs="Arial" w:eastAsia="Arial" w:hAnsi="Arial"/>
          <w:sz w:val="18"/>
          <w:szCs w:val="18"/>
          <w:color w:val="auto"/>
        </w:rPr>
      </w:pPr>
    </w:p>
    <w:p>
      <w:pPr>
        <w:ind w:left="640" w:hanging="308"/>
        <w:spacing w:after="0"/>
        <w:tabs>
          <w:tab w:leader="none" w:pos="64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CONTRIBUTION CHANGES; SHARE ISSUANCES.</w:t>
      </w:r>
    </w:p>
    <w:p>
      <w:pPr>
        <w:spacing w:after="0" w:line="175" w:lineRule="exact"/>
        <w:rPr>
          <w:rFonts w:ascii="Arial" w:cs="Arial" w:eastAsia="Arial" w:hAnsi="Arial"/>
          <w:sz w:val="18"/>
          <w:szCs w:val="18"/>
          <w:b w:val="1"/>
          <w:bCs w:val="1"/>
          <w:color w:val="auto"/>
        </w:rPr>
      </w:pPr>
    </w:p>
    <w:p>
      <w:pPr>
        <w:jc w:val="both"/>
        <w:ind w:firstLine="980"/>
        <w:spacing w:after="0" w:line="269" w:lineRule="auto"/>
        <w:tabs>
          <w:tab w:leader="none" w:pos="1467" w:val="left"/>
        </w:tabs>
        <w:numPr>
          <w:ilvl w:val="1"/>
          <w:numId w:val="532"/>
        </w:numPr>
        <w:rPr>
          <w:rFonts w:ascii="Arial" w:cs="Arial" w:eastAsia="Arial" w:hAnsi="Arial"/>
          <w:sz w:val="17"/>
          <w:szCs w:val="17"/>
          <w:color w:val="auto"/>
        </w:rPr>
      </w:pPr>
      <w:r>
        <w:rPr>
          <w:rFonts w:ascii="Arial" w:cs="Arial" w:eastAsia="Arial" w:hAnsi="Arial"/>
          <w:sz w:val="17"/>
          <w:szCs w:val="17"/>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40"/>
          </w:cols>
          <w:pgMar w:left="320" w:top="1418" w:right="339" w:bottom="1440" w:gutter="0" w:footer="0" w:header="0"/>
        </w:sectPr>
      </w:pPr>
    </w:p>
    <w:bookmarkStart w:id="659" w:name="page660"/>
    <w:bookmarkEnd w:id="659"/>
    <w:p>
      <w:pPr>
        <w:spacing w:after="0" w:line="277" w:lineRule="auto"/>
        <w:rPr>
          <w:sz w:val="20"/>
          <w:szCs w:val="20"/>
          <w:color w:val="auto"/>
        </w:rPr>
      </w:pPr>
      <w:r>
        <w:rPr>
          <w:rFonts w:ascii="Arial" w:cs="Arial" w:eastAsia="Arial" w:hAnsi="Arial"/>
          <w:sz w:val="18"/>
          <w:szCs w:val="18"/>
          <w:color w:val="auto"/>
        </w:rPr>
        <w:t>Offering Period unless sooner altered or terminated as provided in this Plan. Notwithstanding the foregoing, the terms of any sub-plan may permit matching shares without the payment of any purchase price.</w:t>
      </w:r>
    </w:p>
    <w:p>
      <w:pPr>
        <w:spacing w:after="0" w:line="116" w:lineRule="exact"/>
        <w:rPr>
          <w:sz w:val="20"/>
          <w:szCs w:val="20"/>
          <w:color w:val="auto"/>
        </w:rPr>
      </w:pPr>
    </w:p>
    <w:p>
      <w:pPr>
        <w:jc w:val="both"/>
        <w:ind w:firstLine="980"/>
        <w:spacing w:after="0" w:line="293" w:lineRule="auto"/>
        <w:tabs>
          <w:tab w:leader="none" w:pos="1352" w:val="left"/>
        </w:tabs>
        <w:numPr>
          <w:ilvl w:val="0"/>
          <w:numId w:val="533"/>
        </w:numPr>
        <w:rPr>
          <w:rFonts w:ascii="Arial" w:cs="Arial" w:eastAsia="Arial" w:hAnsi="Arial"/>
          <w:sz w:val="16"/>
          <w:szCs w:val="16"/>
          <w:color w:val="auto"/>
        </w:rPr>
      </w:pPr>
      <w:r>
        <w:rPr>
          <w:rFonts w:ascii="Arial" w:cs="Arial" w:eastAsia="Arial" w:hAnsi="Arial"/>
          <w:sz w:val="16"/>
          <w:szCs w:val="16"/>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10" w:lineRule="exact"/>
        <w:rPr>
          <w:rFonts w:ascii="Arial" w:cs="Arial" w:eastAsia="Arial" w:hAnsi="Arial"/>
          <w:sz w:val="16"/>
          <w:szCs w:val="16"/>
          <w:color w:val="auto"/>
        </w:rPr>
      </w:pPr>
    </w:p>
    <w:p>
      <w:pPr>
        <w:jc w:val="both"/>
        <w:ind w:firstLine="980"/>
        <w:spacing w:after="0" w:line="273" w:lineRule="auto"/>
        <w:tabs>
          <w:tab w:leader="none" w:pos="1396" w:val="left"/>
        </w:tabs>
        <w:numPr>
          <w:ilvl w:val="0"/>
          <w:numId w:val="533"/>
        </w:numPr>
        <w:rPr>
          <w:rFonts w:ascii="Arial" w:cs="Arial" w:eastAsia="Arial" w:hAnsi="Arial"/>
          <w:sz w:val="17"/>
          <w:szCs w:val="17"/>
          <w:color w:val="auto"/>
        </w:rPr>
      </w:pPr>
      <w:r>
        <w:rPr>
          <w:rFonts w:ascii="Arial" w:cs="Arial" w:eastAsia="Arial" w:hAnsi="Arial"/>
          <w:sz w:val="17"/>
          <w:szCs w:val="17"/>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123" w:lineRule="exact"/>
        <w:rPr>
          <w:rFonts w:ascii="Arial" w:cs="Arial" w:eastAsia="Arial" w:hAnsi="Arial"/>
          <w:sz w:val="17"/>
          <w:szCs w:val="17"/>
          <w:color w:val="auto"/>
        </w:rPr>
      </w:pPr>
    </w:p>
    <w:p>
      <w:pPr>
        <w:jc w:val="both"/>
        <w:ind w:firstLine="980"/>
        <w:spacing w:after="0" w:line="257" w:lineRule="auto"/>
        <w:tabs>
          <w:tab w:leader="none" w:pos="1364"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33" w:lineRule="exact"/>
        <w:rPr>
          <w:rFonts w:ascii="Arial" w:cs="Arial" w:eastAsia="Arial" w:hAnsi="Arial"/>
          <w:sz w:val="18"/>
          <w:szCs w:val="18"/>
          <w:color w:val="auto"/>
        </w:rPr>
      </w:pPr>
    </w:p>
    <w:p>
      <w:pPr>
        <w:jc w:val="both"/>
        <w:ind w:firstLine="980"/>
        <w:spacing w:after="0" w:line="286" w:lineRule="auto"/>
        <w:tabs>
          <w:tab w:leader="none" w:pos="1356" w:val="left"/>
        </w:tabs>
        <w:numPr>
          <w:ilvl w:val="0"/>
          <w:numId w:val="533"/>
        </w:numPr>
        <w:rPr>
          <w:rFonts w:ascii="Arial" w:cs="Arial" w:eastAsia="Arial" w:hAnsi="Arial"/>
          <w:sz w:val="16"/>
          <w:szCs w:val="16"/>
          <w:color w:val="auto"/>
        </w:rPr>
      </w:pPr>
      <w:r>
        <w:rPr>
          <w:rFonts w:ascii="Arial" w:cs="Arial" w:eastAsia="Arial" w:hAnsi="Arial"/>
          <w:sz w:val="16"/>
          <w:szCs w:val="16"/>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19" w:lineRule="exact"/>
        <w:rPr>
          <w:rFonts w:ascii="Arial" w:cs="Arial" w:eastAsia="Arial" w:hAnsi="Arial"/>
          <w:sz w:val="16"/>
          <w:szCs w:val="16"/>
          <w:color w:val="auto"/>
        </w:rPr>
      </w:pPr>
    </w:p>
    <w:p>
      <w:pPr>
        <w:ind w:firstLine="980"/>
        <w:spacing w:after="0" w:line="277" w:lineRule="auto"/>
        <w:tabs>
          <w:tab w:leader="none" w:pos="1359"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As promptly as practicable after the Purchase Date, the Company shall issue shares for the Participant’s benefit representing the shares purchased upon exercise of his or her option.</w:t>
      </w:r>
    </w:p>
    <w:p>
      <w:pPr>
        <w:spacing w:after="0" w:line="116" w:lineRule="exact"/>
        <w:rPr>
          <w:rFonts w:ascii="Arial" w:cs="Arial" w:eastAsia="Arial" w:hAnsi="Arial"/>
          <w:sz w:val="18"/>
          <w:szCs w:val="18"/>
          <w:color w:val="auto"/>
        </w:rPr>
      </w:pPr>
    </w:p>
    <w:p>
      <w:pPr>
        <w:ind w:firstLine="980"/>
        <w:spacing w:after="0" w:line="277" w:lineRule="auto"/>
        <w:tabs>
          <w:tab w:leader="none" w:pos="142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240"/>
          </w:cols>
          <w:pgMar w:left="320" w:top="1422" w:right="339" w:bottom="1440" w:gutter="0" w:footer="0" w:header="0"/>
        </w:sectPr>
      </w:pPr>
    </w:p>
    <w:bookmarkStart w:id="660" w:name="page661"/>
    <w:bookmarkEnd w:id="660"/>
    <w:p>
      <w:pPr>
        <w:jc w:val="both"/>
        <w:ind w:firstLine="980"/>
        <w:spacing w:after="0" w:line="254" w:lineRule="auto"/>
        <w:tabs>
          <w:tab w:leader="none" w:pos="1476"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136" w:lineRule="exact"/>
        <w:rPr>
          <w:rFonts w:ascii="Arial" w:cs="Arial" w:eastAsia="Arial" w:hAnsi="Arial"/>
          <w:sz w:val="18"/>
          <w:szCs w:val="18"/>
          <w:color w:val="auto"/>
        </w:rPr>
      </w:pPr>
    </w:p>
    <w:p>
      <w:pPr>
        <w:ind w:left="740" w:hanging="408"/>
        <w:spacing w:after="0"/>
        <w:tabs>
          <w:tab w:leader="none" w:pos="74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175" w:lineRule="exact"/>
        <w:rPr>
          <w:rFonts w:ascii="Arial" w:cs="Arial" w:eastAsia="Arial" w:hAnsi="Arial"/>
          <w:sz w:val="18"/>
          <w:szCs w:val="18"/>
          <w:b w:val="1"/>
          <w:bCs w:val="1"/>
          <w:color w:val="auto"/>
        </w:rPr>
      </w:pPr>
    </w:p>
    <w:p>
      <w:pPr>
        <w:ind w:left="1360" w:hanging="380"/>
        <w:spacing w:after="0"/>
        <w:tabs>
          <w:tab w:leader="none" w:pos="1360" w:val="left"/>
        </w:tabs>
        <w:numPr>
          <w:ilvl w:val="1"/>
          <w:numId w:val="535"/>
        </w:numPr>
        <w:rPr>
          <w:rFonts w:ascii="Arial" w:cs="Arial" w:eastAsia="Arial" w:hAnsi="Arial"/>
          <w:sz w:val="16"/>
          <w:szCs w:val="16"/>
          <w:color w:val="auto"/>
        </w:rPr>
      </w:pPr>
      <w:r>
        <w:rPr>
          <w:rFonts w:ascii="Arial" w:cs="Arial" w:eastAsia="Arial" w:hAnsi="Arial"/>
          <w:sz w:val="16"/>
          <w:szCs w:val="16"/>
          <w:color w:val="auto"/>
        </w:rPr>
        <w:t>Any other provision of the Plan notwithstanding, no Participant shall purchase Common Stock with a Fair Market Value in excess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limit:</w:t>
      </w:r>
    </w:p>
    <w:p>
      <w:pPr>
        <w:spacing w:after="0" w:line="156" w:lineRule="exact"/>
        <w:rPr>
          <w:rFonts w:ascii="Arial" w:cs="Arial" w:eastAsia="Arial" w:hAnsi="Arial"/>
          <w:sz w:val="16"/>
          <w:szCs w:val="16"/>
          <w:color w:val="auto"/>
        </w:rPr>
      </w:pPr>
    </w:p>
    <w:p>
      <w:pPr>
        <w:jc w:val="both"/>
        <w:ind w:firstLine="1628"/>
        <w:spacing w:after="0" w:line="263" w:lineRule="auto"/>
        <w:tabs>
          <w:tab w:leader="none" w:pos="1990" w:val="left"/>
        </w:tabs>
        <w:numPr>
          <w:ilvl w:val="2"/>
          <w:numId w:val="535"/>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29" w:lineRule="exact"/>
        <w:rPr>
          <w:rFonts w:ascii="Arial" w:cs="Arial" w:eastAsia="Arial" w:hAnsi="Arial"/>
          <w:sz w:val="18"/>
          <w:szCs w:val="18"/>
          <w:color w:val="auto"/>
        </w:rPr>
      </w:pPr>
    </w:p>
    <w:p>
      <w:pPr>
        <w:jc w:val="both"/>
        <w:ind w:firstLine="1628"/>
        <w:spacing w:after="0" w:line="259" w:lineRule="auto"/>
        <w:tabs>
          <w:tab w:leader="none" w:pos="2089" w:val="left"/>
        </w:tabs>
        <w:numPr>
          <w:ilvl w:val="2"/>
          <w:numId w:val="535"/>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8" w:lineRule="exact"/>
        <w:rPr>
          <w:sz w:val="20"/>
          <w:szCs w:val="20"/>
          <w:color w:val="auto"/>
        </w:rPr>
      </w:pPr>
    </w:p>
    <w:p>
      <w:pPr>
        <w:jc w:val="both"/>
        <w:ind w:firstLine="980"/>
        <w:spacing w:after="0" w:line="263" w:lineRule="auto"/>
        <w:tabs>
          <w:tab w:leader="none" w:pos="1389" w:val="left"/>
        </w:tabs>
        <w:numPr>
          <w:ilvl w:val="1"/>
          <w:numId w:val="536"/>
        </w:numPr>
        <w:rPr>
          <w:rFonts w:ascii="Arial" w:cs="Arial" w:eastAsia="Arial" w:hAnsi="Arial"/>
          <w:sz w:val="18"/>
          <w:szCs w:val="18"/>
          <w:color w:val="auto"/>
        </w:rPr>
      </w:pPr>
      <w:r>
        <w:rPr>
          <w:rFonts w:ascii="Arial" w:cs="Arial" w:eastAsia="Arial" w:hAnsi="Arial"/>
          <w:sz w:val="18"/>
          <w:szCs w:val="18"/>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9" w:lineRule="exact"/>
        <w:rPr>
          <w:rFonts w:ascii="Arial" w:cs="Arial" w:eastAsia="Arial" w:hAnsi="Arial"/>
          <w:sz w:val="18"/>
          <w:szCs w:val="18"/>
          <w:color w:val="auto"/>
        </w:rPr>
      </w:pPr>
    </w:p>
    <w:p>
      <w:pPr>
        <w:jc w:val="both"/>
        <w:ind w:firstLine="980"/>
        <w:spacing w:after="0" w:line="259" w:lineRule="auto"/>
        <w:tabs>
          <w:tab w:leader="none" w:pos="1372" w:val="left"/>
        </w:tabs>
        <w:numPr>
          <w:ilvl w:val="1"/>
          <w:numId w:val="536"/>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32" w:lineRule="exact"/>
        <w:rPr>
          <w:rFonts w:ascii="Arial" w:cs="Arial" w:eastAsia="Arial" w:hAnsi="Arial"/>
          <w:sz w:val="18"/>
          <w:szCs w:val="18"/>
          <w:color w:val="auto"/>
        </w:rPr>
      </w:pPr>
    </w:p>
    <w:p>
      <w:pPr>
        <w:jc w:val="both"/>
        <w:ind w:firstLine="980"/>
        <w:spacing w:after="0" w:line="263" w:lineRule="auto"/>
        <w:tabs>
          <w:tab w:leader="none" w:pos="1369" w:val="left"/>
        </w:tabs>
        <w:numPr>
          <w:ilvl w:val="1"/>
          <w:numId w:val="536"/>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125" w:lineRule="exact"/>
        <w:rPr>
          <w:rFonts w:ascii="Arial" w:cs="Arial" w:eastAsia="Arial" w:hAnsi="Arial"/>
          <w:sz w:val="18"/>
          <w:szCs w:val="18"/>
          <w:color w:val="auto"/>
        </w:rPr>
      </w:pPr>
    </w:p>
    <w:p>
      <w:pPr>
        <w:ind w:left="720" w:hanging="388"/>
        <w:spacing w:after="0"/>
        <w:tabs>
          <w:tab w:leader="none" w:pos="72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5" w:lineRule="exact"/>
        <w:rPr>
          <w:rFonts w:ascii="Arial" w:cs="Arial" w:eastAsia="Arial" w:hAnsi="Arial"/>
          <w:sz w:val="18"/>
          <w:szCs w:val="18"/>
          <w:b w:val="1"/>
          <w:bCs w:val="1"/>
          <w:color w:val="auto"/>
        </w:rPr>
      </w:pPr>
    </w:p>
    <w:p>
      <w:pPr>
        <w:ind w:firstLine="980"/>
        <w:spacing w:after="0" w:line="342" w:lineRule="auto"/>
        <w:tabs>
          <w:tab w:leader="none" w:pos="1471" w:val="left"/>
        </w:tabs>
        <w:numPr>
          <w:ilvl w:val="1"/>
          <w:numId w:val="537"/>
        </w:numPr>
        <w:rPr>
          <w:rFonts w:ascii="Arial" w:cs="Arial" w:eastAsia="Arial" w:hAnsi="Arial"/>
          <w:sz w:val="16"/>
          <w:szCs w:val="16"/>
          <w:color w:val="auto"/>
        </w:rPr>
      </w:pPr>
      <w:r>
        <w:rPr>
          <w:rFonts w:ascii="Arial" w:cs="Arial" w:eastAsia="Arial" w:hAnsi="Arial"/>
          <w:sz w:val="16"/>
          <w:szCs w:val="16"/>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240"/>
          </w:cols>
          <w:pgMar w:left="320" w:top="1422" w:right="339" w:bottom="1440" w:gutter="0" w:footer="0" w:header="0"/>
        </w:sectPr>
      </w:pPr>
    </w:p>
    <w:bookmarkStart w:id="661" w:name="page662"/>
    <w:bookmarkEnd w:id="661"/>
    <w:p>
      <w:pPr>
        <w:jc w:val="both"/>
        <w:ind w:firstLine="980"/>
        <w:spacing w:after="0" w:line="275" w:lineRule="auto"/>
        <w:tabs>
          <w:tab w:leader="none" w:pos="1385" w:val="left"/>
        </w:tabs>
        <w:numPr>
          <w:ilvl w:val="1"/>
          <w:numId w:val="538"/>
        </w:numPr>
        <w:rPr>
          <w:rFonts w:ascii="Arial" w:cs="Arial" w:eastAsia="Arial" w:hAnsi="Arial"/>
          <w:sz w:val="17"/>
          <w:szCs w:val="17"/>
          <w:color w:val="auto"/>
        </w:rPr>
      </w:pPr>
      <w:r>
        <w:rPr>
          <w:rFonts w:ascii="Arial" w:cs="Arial" w:eastAsia="Arial" w:hAnsi="Arial"/>
          <w:sz w:val="17"/>
          <w:szCs w:val="17"/>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22" w:lineRule="exact"/>
        <w:rPr>
          <w:rFonts w:ascii="Arial" w:cs="Arial" w:eastAsia="Arial" w:hAnsi="Arial"/>
          <w:sz w:val="17"/>
          <w:szCs w:val="17"/>
          <w:color w:val="auto"/>
        </w:rPr>
      </w:pPr>
    </w:p>
    <w:p>
      <w:pPr>
        <w:jc w:val="both"/>
        <w:ind w:firstLine="980"/>
        <w:spacing w:after="0" w:line="279" w:lineRule="auto"/>
        <w:tabs>
          <w:tab w:leader="none" w:pos="1412" w:val="left"/>
        </w:tabs>
        <w:numPr>
          <w:ilvl w:val="1"/>
          <w:numId w:val="538"/>
        </w:numPr>
        <w:rPr>
          <w:rFonts w:ascii="Arial" w:cs="Arial" w:eastAsia="Arial" w:hAnsi="Arial"/>
          <w:sz w:val="17"/>
          <w:szCs w:val="17"/>
          <w:color w:val="auto"/>
        </w:rPr>
      </w:pPr>
      <w:r>
        <w:rPr>
          <w:rFonts w:ascii="Arial" w:cs="Arial" w:eastAsia="Arial" w:hAnsi="Arial"/>
          <w:sz w:val="17"/>
          <w:szCs w:val="17"/>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13" w:lineRule="exact"/>
        <w:rPr>
          <w:rFonts w:ascii="Arial" w:cs="Arial" w:eastAsia="Arial" w:hAnsi="Arial"/>
          <w:sz w:val="17"/>
          <w:szCs w:val="17"/>
          <w:color w:val="auto"/>
        </w:rPr>
      </w:pPr>
    </w:p>
    <w:p>
      <w:pPr>
        <w:jc w:val="both"/>
        <w:ind w:firstLine="332"/>
        <w:spacing w:after="0" w:line="253" w:lineRule="auto"/>
        <w:tabs>
          <w:tab w:leader="none" w:pos="78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 death, disability,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40" w:lineRule="exact"/>
        <w:rPr>
          <w:rFonts w:ascii="Arial" w:cs="Arial" w:eastAsia="Arial" w:hAnsi="Arial"/>
          <w:sz w:val="18"/>
          <w:szCs w:val="18"/>
          <w:b w:val="1"/>
          <w:bCs w:val="1"/>
          <w:color w:val="auto"/>
        </w:rPr>
      </w:pPr>
    </w:p>
    <w:p>
      <w:pPr>
        <w:jc w:val="both"/>
        <w:ind w:firstLine="332"/>
        <w:spacing w:after="0" w:line="261" w:lineRule="auto"/>
        <w:tabs>
          <w:tab w:leader="none" w:pos="747"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CONTRIBUTIONS. </w:t>
      </w:r>
      <w:r>
        <w:rPr>
          <w:rFonts w:ascii="Arial" w:cs="Arial" w:eastAsia="Arial" w:hAnsi="Arial"/>
          <w:sz w:val="18"/>
          <w:szCs w:val="18"/>
          <w:color w:val="auto"/>
        </w:rPr>
        <w:t>In the event a Participant’s interest in this Plan is terminated by withdrawal, termination of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25" w:lineRule="exact"/>
        <w:rPr>
          <w:rFonts w:ascii="Arial" w:cs="Arial" w:eastAsia="Arial" w:hAnsi="Arial"/>
          <w:sz w:val="18"/>
          <w:szCs w:val="18"/>
          <w:b w:val="1"/>
          <w:bCs w:val="1"/>
          <w:color w:val="auto"/>
        </w:rPr>
      </w:pPr>
    </w:p>
    <w:p>
      <w:pPr>
        <w:jc w:val="both"/>
        <w:ind w:firstLine="332"/>
        <w:spacing w:after="0" w:line="256" w:lineRule="auto"/>
        <w:tabs>
          <w:tab w:leader="none" w:pos="761"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 split,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33" w:lineRule="exact"/>
        <w:rPr>
          <w:rFonts w:ascii="Arial" w:cs="Arial" w:eastAsia="Arial" w:hAnsi="Arial"/>
          <w:sz w:val="18"/>
          <w:szCs w:val="18"/>
          <w:b w:val="1"/>
          <w:bCs w:val="1"/>
          <w:color w:val="auto"/>
        </w:rPr>
      </w:pPr>
    </w:p>
    <w:p>
      <w:pPr>
        <w:jc w:val="both"/>
        <w:ind w:firstLine="332"/>
        <w:spacing w:after="0" w:line="261" w:lineRule="auto"/>
        <w:tabs>
          <w:tab w:leader="none" w:pos="769"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NONASSIGNABILITY. </w:t>
      </w:r>
      <w:r>
        <w:rPr>
          <w:rFonts w:ascii="Arial" w:cs="Arial" w:eastAsia="Arial" w:hAnsi="Arial"/>
          <w:sz w:val="18"/>
          <w:szCs w:val="18"/>
          <w:color w:val="auto"/>
        </w:rPr>
        <w:t>Neither Contributions credited to a Participant’s account nor any rights with regard to the exercise of an option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25" w:lineRule="exact"/>
        <w:rPr>
          <w:rFonts w:ascii="Arial" w:cs="Arial" w:eastAsia="Arial" w:hAnsi="Arial"/>
          <w:sz w:val="18"/>
          <w:szCs w:val="18"/>
          <w:b w:val="1"/>
          <w:bCs w:val="1"/>
          <w:color w:val="auto"/>
        </w:rPr>
      </w:pPr>
    </w:p>
    <w:p>
      <w:pPr>
        <w:jc w:val="both"/>
        <w:ind w:firstLine="332"/>
        <w:spacing w:after="0" w:line="258" w:lineRule="auto"/>
        <w:tabs>
          <w:tab w:leader="none" w:pos="789"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PARTICIPANT FUNDS AND REPORTS. </w:t>
      </w:r>
      <w:r>
        <w:rPr>
          <w:rFonts w:ascii="Arial" w:cs="Arial" w:eastAsia="Arial" w:hAnsi="Arial"/>
          <w:sz w:val="18"/>
          <w:szCs w:val="18"/>
          <w:color w:val="auto"/>
        </w:rPr>
        <w:t>The Company may use all Contributions received or held by it under the Plan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purpose, and the Company will not be required to segregate Participant Contributions (except to the extent required due to local legal requirements outside the United States). Until shares are issued, Participants will only have the rights of an unsecured creditor unless otherwise required under local law. Each Participant shall receive, or have access to, promptly after the end of each Purchase Period a report of his or her account setting forth the total Contributions accumulated, the number of shares purchased,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240"/>
          </w:cols>
          <w:pgMar w:left="320" w:top="1422" w:right="339" w:bottom="1440" w:gutter="0" w:footer="0" w:header="0"/>
        </w:sectPr>
      </w:pPr>
    </w:p>
    <w:bookmarkStart w:id="662" w:name="page663"/>
    <w:bookmarkEnd w:id="662"/>
    <w:p>
      <w:pPr>
        <w:spacing w:after="0"/>
        <w:rPr>
          <w:sz w:val="20"/>
          <w:szCs w:val="20"/>
          <w:color w:val="auto"/>
        </w:rPr>
      </w:pPr>
      <w:r>
        <w:rPr>
          <w:rFonts w:ascii="Arial" w:cs="Arial" w:eastAsia="Arial" w:hAnsi="Arial"/>
          <w:sz w:val="17"/>
          <w:szCs w:val="17"/>
          <w:color w:val="auto"/>
        </w:rPr>
        <w:t>per share price thereof and the remaining cash balance, if any, carried forward to the next Purchase Period or Offering Period, as the case may be.</w:t>
      </w:r>
    </w:p>
    <w:p>
      <w:pPr>
        <w:spacing w:after="0" w:line="179" w:lineRule="exact"/>
        <w:rPr>
          <w:sz w:val="20"/>
          <w:szCs w:val="20"/>
          <w:color w:val="auto"/>
        </w:rPr>
      </w:pPr>
    </w:p>
    <w:p>
      <w:pPr>
        <w:jc w:val="both"/>
        <w:ind w:firstLine="332"/>
        <w:spacing w:after="0" w:line="256" w:lineRule="auto"/>
        <w:tabs>
          <w:tab w:leader="none" w:pos="810" w:val="left"/>
        </w:tabs>
        <w:numPr>
          <w:ilvl w:val="1"/>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DISPOSITION. </w:t>
      </w:r>
      <w:r>
        <w:rPr>
          <w:rFonts w:ascii="Arial" w:cs="Arial" w:eastAsia="Arial" w:hAnsi="Arial"/>
          <w:sz w:val="18"/>
          <w:szCs w:val="18"/>
          <w:color w:val="auto"/>
        </w:rPr>
        <w:t>Each U.S. taxpayer Participant shall notify the Company in writing if the Participant disposes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33" w:lineRule="exact"/>
        <w:rPr>
          <w:rFonts w:ascii="Arial" w:cs="Arial" w:eastAsia="Arial" w:hAnsi="Arial"/>
          <w:sz w:val="18"/>
          <w:szCs w:val="18"/>
          <w:b w:val="1"/>
          <w:bCs w:val="1"/>
          <w:color w:val="auto"/>
        </w:rPr>
      </w:pPr>
    </w:p>
    <w:p>
      <w:pPr>
        <w:jc w:val="both"/>
        <w:ind w:firstLine="332"/>
        <w:spacing w:after="0" w:line="266" w:lineRule="auto"/>
        <w:tabs>
          <w:tab w:leader="none" w:pos="817" w:val="left"/>
        </w:tabs>
        <w:numPr>
          <w:ilvl w:val="1"/>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TO CONTINUED EMPLOYMENT. </w:t>
      </w:r>
      <w:r>
        <w:rPr>
          <w:rFonts w:ascii="Arial" w:cs="Arial" w:eastAsia="Arial" w:hAnsi="Arial"/>
          <w:sz w:val="18"/>
          <w:szCs w:val="18"/>
          <w:color w:val="auto"/>
        </w:rPr>
        <w:t>Neither this Plan nor the grant of any option hereunder shall confer any right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remain in the employ of the Company or any Participating Corporation or restrict the right of the Company or any Participating Corporation to terminate such employee’s employment.</w:t>
      </w:r>
    </w:p>
    <w:p>
      <w:pPr>
        <w:spacing w:after="0" w:line="121" w:lineRule="exact"/>
        <w:rPr>
          <w:rFonts w:ascii="Arial" w:cs="Arial" w:eastAsia="Arial" w:hAnsi="Arial"/>
          <w:sz w:val="18"/>
          <w:szCs w:val="18"/>
          <w:b w:val="1"/>
          <w:bCs w:val="1"/>
          <w:color w:val="auto"/>
        </w:rPr>
      </w:pPr>
    </w:p>
    <w:p>
      <w:pPr>
        <w:jc w:val="both"/>
        <w:ind w:firstLine="332"/>
        <w:spacing w:after="0" w:line="298" w:lineRule="auto"/>
        <w:tabs>
          <w:tab w:leader="none" w:pos="791" w:val="left"/>
        </w:tabs>
        <w:numPr>
          <w:ilvl w:val="1"/>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EQUAL RIGHTS AND PRIVILEGES. </w:t>
      </w:r>
      <w:r>
        <w:rPr>
          <w:rFonts w:ascii="Arial" w:cs="Arial" w:eastAsia="Arial" w:hAnsi="Arial"/>
          <w:sz w:val="16"/>
          <w:szCs w:val="16"/>
          <w:color w:val="auto"/>
        </w:rPr>
        <w:t>All eligible employees granted an option under the Section 423 Component of this Plan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99" w:lineRule="exact"/>
        <w:rPr>
          <w:rFonts w:ascii="Arial" w:cs="Arial" w:eastAsia="Arial" w:hAnsi="Arial"/>
          <w:sz w:val="16"/>
          <w:szCs w:val="16"/>
          <w:b w:val="1"/>
          <w:bCs w:val="1"/>
          <w:color w:val="auto"/>
        </w:rPr>
      </w:pPr>
    </w:p>
    <w:p>
      <w:pPr>
        <w:ind w:firstLine="332"/>
        <w:spacing w:after="0" w:line="347" w:lineRule="auto"/>
        <w:tabs>
          <w:tab w:leader="none" w:pos="742" w:val="left"/>
        </w:tabs>
        <w:numPr>
          <w:ilvl w:val="1"/>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or other communications by a Participant to the Company under or in connection with this Plan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duly given when received in the form specified by the Company at the location, or by the person, designated by the Company for the receipt thereof.</w:t>
      </w:r>
    </w:p>
    <w:p>
      <w:pPr>
        <w:spacing w:after="0" w:line="61" w:lineRule="exact"/>
        <w:rPr>
          <w:rFonts w:ascii="Arial" w:cs="Arial" w:eastAsia="Arial" w:hAnsi="Arial"/>
          <w:sz w:val="16"/>
          <w:szCs w:val="16"/>
          <w:b w:val="1"/>
          <w:bCs w:val="1"/>
          <w:color w:val="auto"/>
        </w:rPr>
      </w:pPr>
    </w:p>
    <w:p>
      <w:pPr>
        <w:jc w:val="both"/>
        <w:ind w:firstLine="332"/>
        <w:spacing w:after="0" w:line="286" w:lineRule="auto"/>
        <w:tabs>
          <w:tab w:leader="none" w:pos="888" w:val="left"/>
        </w:tabs>
        <w:numPr>
          <w:ilvl w:val="1"/>
          <w:numId w:val="5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STOCKHOLDER APPROVAL. </w:t>
      </w:r>
      <w:r>
        <w:rPr>
          <w:rFonts w:ascii="Arial" w:cs="Arial" w:eastAsia="Arial" w:hAnsi="Arial"/>
          <w:sz w:val="16"/>
          <w:szCs w:val="16"/>
          <w:color w:val="auto"/>
        </w:rPr>
        <w:t>This Plan will become effective on the Effective Date. This Plan shall be approved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w:t>
      </w:r>
    </w:p>
    <w:p>
      <w:pPr>
        <w:spacing w:after="0" w:line="2" w:lineRule="exact"/>
        <w:rPr>
          <w:rFonts w:ascii="Arial" w:cs="Arial" w:eastAsia="Arial" w:hAnsi="Arial"/>
          <w:sz w:val="16"/>
          <w:szCs w:val="16"/>
          <w:b w:val="1"/>
          <w:bCs w:val="1"/>
          <w:color w:val="auto"/>
        </w:rPr>
      </w:pPr>
    </w:p>
    <w:p>
      <w:pPr>
        <w:jc w:val="both"/>
        <w:ind w:firstLine="8"/>
        <w:spacing w:after="0" w:line="253" w:lineRule="auto"/>
        <w:tabs>
          <w:tab w:leader="none" w:pos="26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132" w:lineRule="exact"/>
        <w:rPr>
          <w:rFonts w:ascii="Arial" w:cs="Arial" w:eastAsia="Arial" w:hAnsi="Arial"/>
          <w:sz w:val="18"/>
          <w:szCs w:val="18"/>
          <w:color w:val="auto"/>
        </w:rPr>
      </w:pPr>
    </w:p>
    <w:p>
      <w:pPr>
        <w:ind w:left="740" w:hanging="408"/>
        <w:spacing w:after="0"/>
        <w:tabs>
          <w:tab w:leader="none" w:pos="740" w:val="left"/>
        </w:tabs>
        <w:numPr>
          <w:ilvl w:val="1"/>
          <w:numId w:val="541"/>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53" w:val="left"/>
        </w:tabs>
        <w:numPr>
          <w:ilvl w:val="2"/>
          <w:numId w:val="541"/>
        </w:numPr>
        <w:rPr>
          <w:rFonts w:ascii="Arial" w:cs="Arial" w:eastAsia="Arial" w:hAnsi="Arial"/>
          <w:sz w:val="18"/>
          <w:szCs w:val="18"/>
          <w:color w:val="auto"/>
        </w:rPr>
      </w:pPr>
      <w:r>
        <w:rPr>
          <w:rFonts w:ascii="Arial" w:cs="Arial" w:eastAsia="Arial" w:hAnsi="Arial"/>
          <w:sz w:val="18"/>
          <w:szCs w:val="18"/>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9" w:lineRule="exact"/>
        <w:rPr>
          <w:rFonts w:ascii="Arial" w:cs="Arial" w:eastAsia="Arial" w:hAnsi="Arial"/>
          <w:sz w:val="18"/>
          <w:szCs w:val="18"/>
          <w:color w:val="auto"/>
        </w:rPr>
      </w:pPr>
    </w:p>
    <w:p>
      <w:pPr>
        <w:jc w:val="both"/>
        <w:ind w:firstLine="980"/>
        <w:spacing w:after="0" w:line="255" w:lineRule="auto"/>
        <w:tabs>
          <w:tab w:leader="none" w:pos="1362" w:val="left"/>
        </w:tabs>
        <w:numPr>
          <w:ilvl w:val="2"/>
          <w:numId w:val="541"/>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240"/>
          </w:cols>
          <w:pgMar w:left="320" w:top="1422" w:right="339" w:bottom="1440" w:gutter="0" w:footer="0" w:header="0"/>
        </w:sectPr>
      </w:pPr>
    </w:p>
    <w:bookmarkStart w:id="663" w:name="page664"/>
    <w:bookmarkEnd w:id="663"/>
    <w:p>
      <w:pPr>
        <w:jc w:val="both"/>
        <w:ind w:firstLine="332"/>
        <w:spacing w:after="0" w:line="274" w:lineRule="auto"/>
        <w:tabs>
          <w:tab w:leader="none" w:pos="799"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CONDITIONS UPON ISSUANCE OF SHARES; LIMITATION ON SALE OF SHARES. </w:t>
      </w:r>
      <w:r>
        <w:rPr>
          <w:rFonts w:ascii="Arial" w:cs="Arial" w:eastAsia="Arial" w:hAnsi="Arial"/>
          <w:sz w:val="17"/>
          <w:szCs w:val="17"/>
          <w:color w:val="auto"/>
        </w:rPr>
        <w:t>Shares shall not be issued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19" w:lineRule="exact"/>
        <w:rPr>
          <w:rFonts w:ascii="Arial" w:cs="Arial" w:eastAsia="Arial" w:hAnsi="Arial"/>
          <w:sz w:val="17"/>
          <w:szCs w:val="17"/>
          <w:b w:val="1"/>
          <w:bCs w:val="1"/>
          <w:color w:val="auto"/>
        </w:rPr>
      </w:pPr>
    </w:p>
    <w:p>
      <w:pPr>
        <w:ind w:left="720" w:hanging="388"/>
        <w:spacing w:after="0"/>
        <w:tabs>
          <w:tab w:leader="none" w:pos="720" w:val="left"/>
        </w:tabs>
        <w:numPr>
          <w:ilvl w:val="0"/>
          <w:numId w:val="5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APPLICABLE LAW. </w:t>
      </w:r>
      <w:r>
        <w:rPr>
          <w:rFonts w:ascii="Arial" w:cs="Arial" w:eastAsia="Arial" w:hAnsi="Arial"/>
          <w:sz w:val="17"/>
          <w:szCs w:val="17"/>
          <w:color w:val="auto"/>
        </w:rPr>
        <w:t>The Plan shall be governed by the substantive laws (excluding the conflict of laws rules) of the State of [Delaware].</w:t>
      </w:r>
    </w:p>
    <w:p>
      <w:pPr>
        <w:spacing w:after="0" w:line="182" w:lineRule="exact"/>
        <w:rPr>
          <w:rFonts w:ascii="Arial" w:cs="Arial" w:eastAsia="Arial" w:hAnsi="Arial"/>
          <w:sz w:val="17"/>
          <w:szCs w:val="17"/>
          <w:b w:val="1"/>
          <w:bCs w:val="1"/>
          <w:color w:val="auto"/>
        </w:rPr>
      </w:pPr>
    </w:p>
    <w:p>
      <w:pPr>
        <w:jc w:val="both"/>
        <w:ind w:firstLine="332"/>
        <w:spacing w:after="0" w:line="284" w:lineRule="auto"/>
        <w:tabs>
          <w:tab w:leader="none" w:pos="728" w:val="left"/>
        </w:tabs>
        <w:numPr>
          <w:ilvl w:val="0"/>
          <w:numId w:val="5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w:t>
      </w:r>
      <w:r>
        <w:rPr>
          <w:rFonts w:ascii="Arial" w:cs="Arial" w:eastAsia="Arial" w:hAnsi="Arial"/>
          <w:sz w:val="16"/>
          <w:szCs w:val="16"/>
          <w:color w:val="auto"/>
        </w:rPr>
        <w:t>The Committee, in its sole discretion, may amend, suspend or terminate the Plan, or any part thereof,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 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20" w:lineRule="exact"/>
        <w:rPr>
          <w:rFonts w:ascii="Arial" w:cs="Arial" w:eastAsia="Arial" w:hAnsi="Arial"/>
          <w:sz w:val="16"/>
          <w:szCs w:val="16"/>
          <w:b w:val="1"/>
          <w:bCs w:val="1"/>
          <w:color w:val="auto"/>
        </w:rPr>
      </w:pPr>
    </w:p>
    <w:p>
      <w:pPr>
        <w:jc w:val="both"/>
        <w:ind w:firstLine="332"/>
        <w:spacing w:after="0" w:line="261" w:lineRule="auto"/>
        <w:tabs>
          <w:tab w:leader="none" w:pos="729"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TRANSACTIONS. </w:t>
      </w:r>
      <w:r>
        <w:rPr>
          <w:rFonts w:ascii="Arial" w:cs="Arial" w:eastAsia="Arial" w:hAnsi="Arial"/>
          <w:sz w:val="18"/>
          <w:szCs w:val="18"/>
          <w:color w:val="auto"/>
        </w:rPr>
        <w:t>In the event of a Corporate Transaction, the Offering Period for each outstanding right to purchase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25" w:lineRule="exact"/>
        <w:rPr>
          <w:rFonts w:ascii="Arial" w:cs="Arial" w:eastAsia="Arial" w:hAnsi="Arial"/>
          <w:sz w:val="18"/>
          <w:szCs w:val="18"/>
          <w:b w:val="1"/>
          <w:bCs w:val="1"/>
          <w:color w:val="auto"/>
        </w:rPr>
      </w:pPr>
    </w:p>
    <w:p>
      <w:pPr>
        <w:ind w:left="740" w:hanging="408"/>
        <w:spacing w:after="0"/>
        <w:tabs>
          <w:tab w:leader="none" w:pos="740" w:val="left"/>
        </w:tabs>
        <w:numPr>
          <w:ilvl w:val="0"/>
          <w:numId w:val="542"/>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TAX QUALIFICATION.</w:t>
      </w:r>
    </w:p>
    <w:p>
      <w:pPr>
        <w:spacing w:after="0" w:line="175" w:lineRule="exact"/>
        <w:rPr>
          <w:rFonts w:ascii="Arial" w:cs="Arial" w:eastAsia="Arial" w:hAnsi="Arial"/>
          <w:sz w:val="18"/>
          <w:szCs w:val="18"/>
          <w:b w:val="1"/>
          <w:bCs w:val="1"/>
          <w:color w:val="auto"/>
        </w:rPr>
      </w:pPr>
    </w:p>
    <w:p>
      <w:pPr>
        <w:ind w:firstLine="980"/>
        <w:spacing w:after="0" w:line="277" w:lineRule="auto"/>
        <w:tabs>
          <w:tab w:leader="none" w:pos="1408" w:val="left"/>
        </w:tabs>
        <w:numPr>
          <w:ilvl w:val="1"/>
          <w:numId w:val="542"/>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240"/>
          </w:cols>
          <w:pgMar w:left="320" w:top="1418" w:right="339" w:bottom="1440" w:gutter="0" w:footer="0" w:header="0"/>
        </w:sectPr>
      </w:pPr>
    </w:p>
    <w:bookmarkStart w:id="664" w:name="page665"/>
    <w:bookmarkEnd w:id="664"/>
    <w:p>
      <w:pPr>
        <w:jc w:val="both"/>
        <w:spacing w:after="0" w:line="288" w:lineRule="auto"/>
        <w:rPr>
          <w:sz w:val="20"/>
          <w:szCs w:val="20"/>
          <w:color w:val="auto"/>
        </w:rPr>
      </w:pPr>
      <w:r>
        <w:rPr>
          <w:rFonts w:ascii="Arial" w:cs="Arial" w:eastAsia="Arial" w:hAnsi="Arial"/>
          <w:sz w:val="16"/>
          <w:szCs w:val="16"/>
          <w:color w:val="auto"/>
        </w:rPr>
        <w:t>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4" w:lineRule="exact"/>
        <w:rPr>
          <w:sz w:val="20"/>
          <w:szCs w:val="20"/>
          <w:color w:val="auto"/>
        </w:rPr>
      </w:pPr>
    </w:p>
    <w:p>
      <w:pPr>
        <w:jc w:val="both"/>
        <w:ind w:firstLine="980"/>
        <w:spacing w:after="0" w:line="257" w:lineRule="auto"/>
        <w:tabs>
          <w:tab w:leader="none" w:pos="1468" w:val="left"/>
        </w:tabs>
        <w:numPr>
          <w:ilvl w:val="1"/>
          <w:numId w:val="543"/>
        </w:numPr>
        <w:rPr>
          <w:rFonts w:ascii="Arial" w:cs="Arial" w:eastAsia="Arial" w:hAnsi="Arial"/>
          <w:sz w:val="18"/>
          <w:szCs w:val="18"/>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129" w:lineRule="exact"/>
        <w:rPr>
          <w:rFonts w:ascii="Arial" w:cs="Arial" w:eastAsia="Arial" w:hAnsi="Arial"/>
          <w:sz w:val="18"/>
          <w:szCs w:val="18"/>
          <w:color w:val="auto"/>
        </w:rPr>
      </w:pPr>
    </w:p>
    <w:p>
      <w:pPr>
        <w:ind w:left="740" w:hanging="408"/>
        <w:spacing w:after="0"/>
        <w:tabs>
          <w:tab w:leader="none" w:pos="740" w:val="left"/>
        </w:tabs>
        <w:numPr>
          <w:ilvl w:val="0"/>
          <w:numId w:val="54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5" w:lineRule="exact"/>
        <w:rPr>
          <w:rFonts w:ascii="Arial" w:cs="Arial" w:eastAsia="Arial" w:hAnsi="Arial"/>
          <w:sz w:val="18"/>
          <w:szCs w:val="18"/>
          <w:b w:val="1"/>
          <w:bCs w:val="1"/>
          <w:color w:val="auto"/>
        </w:rPr>
      </w:pPr>
    </w:p>
    <w:p>
      <w:pPr>
        <w:jc w:val="both"/>
        <w:ind w:firstLine="980"/>
        <w:spacing w:after="0" w:line="263" w:lineRule="auto"/>
        <w:tabs>
          <w:tab w:leader="none" w:pos="1432" w:val="left"/>
        </w:tabs>
        <w:numPr>
          <w:ilvl w:val="1"/>
          <w:numId w:val="54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entity, other than a Subsidiary or Parent, (i) that, directly or indirectly, is controlled by, controls or is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control with, the Company and (ii) in which the Company has a significant equity interest, in either case as determined by the Committee, whether now or hereafter existing.</w:t>
      </w:r>
    </w:p>
    <w:p>
      <w:pPr>
        <w:spacing w:after="0" w:line="129" w:lineRule="exact"/>
        <w:rPr>
          <w:rFonts w:ascii="Arial" w:cs="Arial" w:eastAsia="Arial" w:hAnsi="Arial"/>
          <w:sz w:val="18"/>
          <w:szCs w:val="18"/>
          <w:color w:val="auto"/>
        </w:rPr>
      </w:pPr>
    </w:p>
    <w:p>
      <w:pPr>
        <w:ind w:left="1360" w:hanging="380"/>
        <w:spacing w:after="0"/>
        <w:tabs>
          <w:tab w:leader="none" w:pos="13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71" w:lineRule="exact"/>
        <w:rPr>
          <w:rFonts w:ascii="Arial" w:cs="Arial" w:eastAsia="Arial" w:hAnsi="Arial"/>
          <w:sz w:val="18"/>
          <w:szCs w:val="18"/>
          <w:color w:val="auto"/>
        </w:rPr>
      </w:pPr>
    </w:p>
    <w:p>
      <w:pPr>
        <w:ind w:firstLine="980"/>
        <w:spacing w:after="0" w:line="277" w:lineRule="auto"/>
        <w:tabs>
          <w:tab w:leader="none" w:pos="1443"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 Agreement</w:t>
      </w:r>
      <w:r>
        <w:rPr>
          <w:rFonts w:ascii="Arial" w:cs="Arial" w:eastAsia="Arial" w:hAnsi="Arial"/>
          <w:sz w:val="18"/>
          <w:szCs w:val="18"/>
          <w:color w:val="auto"/>
        </w:rPr>
        <w:t>” means the means the Agreement and Plan of Merger, by and among CM Life Sciences, Inc., Mount Sinai Genomics, Inc., and certain other parties thereto, dated as of February 9, 2021.</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U.S. Internal Revenue Code of 1986, as amended.</w:t>
      </w:r>
    </w:p>
    <w:p>
      <w:pPr>
        <w:spacing w:after="0" w:line="171" w:lineRule="exact"/>
        <w:rPr>
          <w:rFonts w:ascii="Arial" w:cs="Arial" w:eastAsia="Arial" w:hAnsi="Arial"/>
          <w:sz w:val="18"/>
          <w:szCs w:val="18"/>
          <w:color w:val="auto"/>
        </w:rPr>
      </w:pPr>
    </w:p>
    <w:p>
      <w:pPr>
        <w:ind w:right="20" w:firstLine="980"/>
        <w:spacing w:after="0" w:line="277" w:lineRule="auto"/>
        <w:tabs>
          <w:tab w:leader="none" w:pos="1399"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shall mean the Compensation Committee of the Board that consists exclusively of one or more members of the Board appointed by the Board.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the common stock of the Company.</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[PubCo].</w:t>
      </w:r>
    </w:p>
    <w:p>
      <w:pPr>
        <w:spacing w:after="0" w:line="171" w:lineRule="exact"/>
        <w:rPr>
          <w:rFonts w:ascii="Arial" w:cs="Arial" w:eastAsia="Arial" w:hAnsi="Arial"/>
          <w:sz w:val="18"/>
          <w:szCs w:val="18"/>
          <w:color w:val="auto"/>
        </w:rPr>
      </w:pPr>
    </w:p>
    <w:p>
      <w:pPr>
        <w:jc w:val="both"/>
        <w:ind w:firstLine="980"/>
        <w:spacing w:after="0" w:line="259" w:lineRule="auto"/>
        <w:tabs>
          <w:tab w:leader="none" w:pos="1322" w:val="left"/>
        </w:tabs>
        <w:numPr>
          <w:ilvl w:val="1"/>
          <w:numId w:val="5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32" w:lineRule="exact"/>
        <w:rPr>
          <w:rFonts w:ascii="Arial" w:cs="Arial" w:eastAsia="Arial" w:hAnsi="Arial"/>
          <w:sz w:val="18"/>
          <w:szCs w:val="18"/>
          <w:color w:val="auto"/>
        </w:rPr>
      </w:pPr>
    </w:p>
    <w:p>
      <w:pPr>
        <w:jc w:val="both"/>
        <w:ind w:firstLine="980"/>
        <w:spacing w:after="0" w:line="279" w:lineRule="auto"/>
        <w:tabs>
          <w:tab w:leader="none" w:pos="1349" w:val="left"/>
        </w:tabs>
        <w:numPr>
          <w:ilvl w:val="1"/>
          <w:numId w:val="5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Transaction</w:t>
      </w:r>
      <w:r>
        <w:rPr>
          <w:rFonts w:ascii="Arial" w:cs="Arial" w:eastAsia="Arial" w:hAnsi="Arial"/>
          <w:sz w:val="17"/>
          <w:szCs w:val="17"/>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240"/>
          </w:cols>
          <w:pgMar w:left="320" w:top="1422" w:right="339" w:bottom="1440" w:gutter="0" w:footer="0" w:header="0"/>
        </w:sectPr>
      </w:pPr>
    </w:p>
    <w:bookmarkStart w:id="665" w:name="page666"/>
    <w:bookmarkEnd w:id="665"/>
    <w:p>
      <w:pPr>
        <w:jc w:val="both"/>
        <w:spacing w:after="0" w:line="279" w:lineRule="auto"/>
        <w:rPr>
          <w:sz w:val="20"/>
          <w:szCs w:val="20"/>
          <w:color w:val="auto"/>
        </w:rPr>
      </w:pPr>
      <w:r>
        <w:rPr>
          <w:rFonts w:ascii="Arial" w:cs="Arial" w:eastAsia="Arial" w:hAnsi="Arial"/>
          <w:sz w:val="17"/>
          <w:szCs w:val="17"/>
          <w:color w:val="auto"/>
        </w:rPr>
        <w:t>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7" w:lineRule="exact"/>
        <w:rPr>
          <w:sz w:val="20"/>
          <w:szCs w:val="20"/>
          <w:color w:val="auto"/>
        </w:rPr>
      </w:pPr>
    </w:p>
    <w:p>
      <w:pPr>
        <w:ind w:left="1360" w:hanging="380"/>
        <w:spacing w:after="0"/>
        <w:tabs>
          <w:tab w:leader="none" w:pos="136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mean the closing date of the Business Combination.</w:t>
      </w:r>
    </w:p>
    <w:p>
      <w:pPr>
        <w:spacing w:after="0" w:line="171" w:lineRule="exact"/>
        <w:rPr>
          <w:rFonts w:ascii="Arial" w:cs="Arial" w:eastAsia="Arial" w:hAnsi="Arial"/>
          <w:sz w:val="18"/>
          <w:szCs w:val="18"/>
          <w:color w:val="auto"/>
        </w:rPr>
      </w:pPr>
    </w:p>
    <w:p>
      <w:pPr>
        <w:ind w:left="1320" w:hanging="340"/>
        <w:spacing w:after="0"/>
        <w:tabs>
          <w:tab w:leader="none" w:pos="13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w:t>
      </w:r>
    </w:p>
    <w:p>
      <w:pPr>
        <w:spacing w:after="0" w:line="171" w:lineRule="exact"/>
        <w:rPr>
          <w:rFonts w:ascii="Arial" w:cs="Arial" w:eastAsia="Arial" w:hAnsi="Arial"/>
          <w:sz w:val="18"/>
          <w:szCs w:val="18"/>
          <w:color w:val="auto"/>
        </w:rPr>
      </w:pPr>
    </w:p>
    <w:p>
      <w:pPr>
        <w:ind w:left="1420" w:hanging="440"/>
        <w:spacing w:after="0"/>
        <w:tabs>
          <w:tab w:leader="none" w:pos="1420" w:val="left"/>
        </w:tabs>
        <w:numPr>
          <w:ilvl w:val="0"/>
          <w:numId w:val="5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as of any date, the value of a share of Common Stock determined as follows:</w:t>
      </w:r>
    </w:p>
    <w:p>
      <w:pPr>
        <w:spacing w:after="0" w:line="171" w:lineRule="exact"/>
        <w:rPr>
          <w:rFonts w:ascii="Arial" w:cs="Arial" w:eastAsia="Arial" w:hAnsi="Arial"/>
          <w:sz w:val="18"/>
          <w:szCs w:val="18"/>
          <w:color w:val="auto"/>
        </w:rPr>
      </w:pPr>
    </w:p>
    <w:p>
      <w:pPr>
        <w:jc w:val="both"/>
        <w:ind w:firstLine="1628"/>
        <w:spacing w:after="0" w:line="259" w:lineRule="auto"/>
        <w:tabs>
          <w:tab w:leader="none" w:pos="1956" w:val="left"/>
        </w:tabs>
        <w:numPr>
          <w:ilvl w:val="1"/>
          <w:numId w:val="545"/>
        </w:numPr>
        <w:rPr>
          <w:rFonts w:ascii="Arial" w:cs="Arial" w:eastAsia="Arial" w:hAnsi="Arial"/>
          <w:sz w:val="18"/>
          <w:szCs w:val="18"/>
          <w:color w:val="auto"/>
        </w:rPr>
      </w:pPr>
      <w:r>
        <w:rPr>
          <w:rFonts w:ascii="Arial" w:cs="Arial" w:eastAsia="Arial" w:hAnsi="Arial"/>
          <w:sz w:val="18"/>
          <w:szCs w:val="18"/>
          <w:color w:val="auto"/>
        </w:rPr>
        <w:t>if such Common Stock is then quoted on the Nasdaq Global Select Market, the Nasdaq Global Market or the Nasdaq Capital Market (collectively, the “</w:t>
      </w:r>
      <w:r>
        <w:rPr>
          <w:rFonts w:ascii="Arial" w:cs="Arial" w:eastAsia="Arial" w:hAnsi="Arial"/>
          <w:sz w:val="18"/>
          <w:szCs w:val="18"/>
          <w:b w:val="1"/>
          <w:bCs w:val="1"/>
          <w:i w:val="1"/>
          <w:iCs w:val="1"/>
          <w:color w:val="auto"/>
        </w:rPr>
        <w:t>Nasdaq Market</w:t>
      </w:r>
      <w:r>
        <w:rPr>
          <w:rFonts w:ascii="Arial" w:cs="Arial" w:eastAsia="Arial" w:hAnsi="Arial"/>
          <w:sz w:val="18"/>
          <w:szCs w:val="18"/>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w:t>
      </w:r>
    </w:p>
    <w:p>
      <w:pPr>
        <w:spacing w:after="0" w:line="132" w:lineRule="exact"/>
        <w:rPr>
          <w:rFonts w:ascii="Arial" w:cs="Arial" w:eastAsia="Arial" w:hAnsi="Arial"/>
          <w:sz w:val="18"/>
          <w:szCs w:val="18"/>
          <w:color w:val="auto"/>
        </w:rPr>
      </w:pPr>
    </w:p>
    <w:p>
      <w:pPr>
        <w:jc w:val="both"/>
        <w:ind w:firstLine="1628"/>
        <w:spacing w:after="0" w:line="263" w:lineRule="auto"/>
        <w:tabs>
          <w:tab w:leader="none" w:pos="2005" w:val="left"/>
        </w:tabs>
        <w:numPr>
          <w:ilvl w:val="1"/>
          <w:numId w:val="545"/>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or such other source as the Board or the Committee deems reliable;</w:t>
      </w:r>
    </w:p>
    <w:p>
      <w:pPr>
        <w:spacing w:after="0" w:line="130" w:lineRule="exact"/>
        <w:rPr>
          <w:sz w:val="20"/>
          <w:szCs w:val="20"/>
          <w:color w:val="auto"/>
        </w:rPr>
      </w:pPr>
    </w:p>
    <w:p>
      <w:pPr>
        <w:jc w:val="both"/>
        <w:ind w:firstLine="1628"/>
        <w:spacing w:after="0" w:line="263" w:lineRule="auto"/>
        <w:tabs>
          <w:tab w:leader="none" w:pos="2025"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Board or the Committee deems reliable; or</w:t>
      </w:r>
    </w:p>
    <w:p>
      <w:pPr>
        <w:spacing w:after="0" w:line="130" w:lineRule="exact"/>
        <w:rPr>
          <w:sz w:val="20"/>
          <w:szCs w:val="20"/>
          <w:color w:val="auto"/>
        </w:rPr>
      </w:pPr>
    </w:p>
    <w:p>
      <w:pPr>
        <w:ind w:left="1980" w:hanging="352"/>
        <w:spacing w:after="0"/>
        <w:tabs>
          <w:tab w:leader="none" w:pos="1980" w:val="left"/>
        </w:tabs>
        <w:numPr>
          <w:ilvl w:val="1"/>
          <w:numId w:val="547"/>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171" w:lineRule="exact"/>
        <w:rPr>
          <w:rFonts w:ascii="Arial" w:cs="Arial" w:eastAsia="Arial" w:hAnsi="Arial"/>
          <w:sz w:val="18"/>
          <w:szCs w:val="18"/>
          <w:color w:val="auto"/>
        </w:rPr>
      </w:pPr>
    </w:p>
    <w:p>
      <w:pPr>
        <w:ind w:left="1360" w:hanging="380"/>
        <w:spacing w:after="0"/>
        <w:tabs>
          <w:tab w:leader="none" w:pos="136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the part of the Plan which is not intended to meet the requirements set forth in Section 423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57" w:lineRule="exact"/>
        <w:rPr>
          <w:sz w:val="20"/>
          <w:szCs w:val="20"/>
          <w:color w:val="auto"/>
        </w:rPr>
      </w:pPr>
    </w:p>
    <w:p>
      <w:pPr>
        <w:ind w:firstLine="980"/>
        <w:spacing w:after="0" w:line="277" w:lineRule="auto"/>
        <w:tabs>
          <w:tab w:leader="none" w:pos="1389"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mean within two (2) years from the Offering Date or within one (1) year from the Purchase Date on which such shares were purchased.</w:t>
      </w:r>
    </w:p>
    <w:p>
      <w:pPr>
        <w:spacing w:after="0" w:line="116" w:lineRule="exact"/>
        <w:rPr>
          <w:rFonts w:ascii="Arial" w:cs="Arial" w:eastAsia="Arial" w:hAnsi="Arial"/>
          <w:sz w:val="18"/>
          <w:szCs w:val="18"/>
          <w:color w:val="auto"/>
        </w:rPr>
      </w:pPr>
    </w:p>
    <w:p>
      <w:pPr>
        <w:ind w:left="1360" w:hanging="380"/>
        <w:spacing w:after="0"/>
        <w:tabs>
          <w:tab w:leader="none" w:pos="136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shall mean the first business day of each Offering Period.</w:t>
      </w:r>
    </w:p>
    <w:p>
      <w:pPr>
        <w:spacing w:after="0" w:line="171" w:lineRule="exact"/>
        <w:rPr>
          <w:rFonts w:ascii="Arial" w:cs="Arial" w:eastAsia="Arial" w:hAnsi="Arial"/>
          <w:sz w:val="18"/>
          <w:szCs w:val="18"/>
          <w:color w:val="auto"/>
        </w:rPr>
      </w:pPr>
    </w:p>
    <w:p>
      <w:pPr>
        <w:ind w:right="20" w:firstLine="980"/>
        <w:spacing w:after="0" w:line="277" w:lineRule="auto"/>
        <w:tabs>
          <w:tab w:leader="none" w:pos="140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shall mean a period with respect to which the right to purchase Common Stock may be granted under the Plan, as determined by the Committee pursuant to Section 5(a).</w:t>
      </w:r>
    </w:p>
    <w:p>
      <w:pPr>
        <w:spacing w:after="0" w:line="116" w:lineRule="exact"/>
        <w:rPr>
          <w:rFonts w:ascii="Arial" w:cs="Arial" w:eastAsia="Arial" w:hAnsi="Arial"/>
          <w:sz w:val="18"/>
          <w:szCs w:val="18"/>
          <w:color w:val="auto"/>
        </w:rPr>
      </w:pPr>
    </w:p>
    <w:p>
      <w:pPr>
        <w:ind w:left="1340" w:hanging="360"/>
        <w:spacing w:after="0"/>
        <w:tabs>
          <w:tab w:leader="none" w:pos="1340"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shall have the same meaning as “parent corporation” in Sections 424(e) and 424(f) of the Code.</w:t>
      </w:r>
    </w:p>
    <w:p>
      <w:pPr>
        <w:spacing w:after="0" w:line="171" w:lineRule="exact"/>
        <w:rPr>
          <w:rFonts w:ascii="Arial" w:cs="Arial" w:eastAsia="Arial" w:hAnsi="Arial"/>
          <w:sz w:val="18"/>
          <w:szCs w:val="18"/>
          <w:color w:val="auto"/>
        </w:rPr>
      </w:pPr>
    </w:p>
    <w:p>
      <w:pPr>
        <w:ind w:firstLine="980"/>
        <w:spacing w:after="0" w:line="277" w:lineRule="auto"/>
        <w:tabs>
          <w:tab w:leader="none" w:pos="1342"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employee who meets the eligibility requirements set forth in Section 4 and who elects to participate in this Plan pursuant to Section 6(b).</w:t>
      </w:r>
    </w:p>
    <w:p>
      <w:pPr>
        <w:spacing w:after="0" w:line="116" w:lineRule="exact"/>
        <w:rPr>
          <w:rFonts w:ascii="Arial" w:cs="Arial" w:eastAsia="Arial" w:hAnsi="Arial"/>
          <w:sz w:val="18"/>
          <w:szCs w:val="18"/>
          <w:color w:val="auto"/>
        </w:rPr>
      </w:pPr>
    </w:p>
    <w:p>
      <w:pPr>
        <w:jc w:val="both"/>
        <w:ind w:firstLine="980"/>
        <w:spacing w:after="0" w:line="257" w:lineRule="auto"/>
        <w:tabs>
          <w:tab w:leader="none" w:pos="1349" w:val="left"/>
        </w:tabs>
        <w:numPr>
          <w:ilvl w:val="0"/>
          <w:numId w:val="5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Corporation</w:t>
      </w:r>
      <w:r>
        <w:rPr>
          <w:rFonts w:ascii="Arial" w:cs="Arial" w:eastAsia="Arial" w:hAnsi="Arial"/>
          <w:sz w:val="18"/>
          <w:szCs w:val="18"/>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240"/>
          </w:cols>
          <w:pgMar w:left="320" w:top="1422" w:right="339" w:bottom="1440" w:gutter="0" w:footer="0" w:header="0"/>
        </w:sectPr>
      </w:pPr>
    </w:p>
    <w:bookmarkStart w:id="666" w:name="page667"/>
    <w:bookmarkEnd w:id="666"/>
    <w:p>
      <w:pPr>
        <w:ind w:left="1340" w:hanging="380"/>
        <w:spacing w:after="0"/>
        <w:tabs>
          <w:tab w:leader="none" w:pos="13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[PubCo] 2021 Employee Stock Purchase Plan, as may be amended from time to time.</w:t>
      </w:r>
    </w:p>
    <w:p>
      <w:pPr>
        <w:spacing w:after="0" w:line="171" w:lineRule="exact"/>
        <w:rPr>
          <w:rFonts w:ascii="Arial" w:cs="Arial" w:eastAsia="Arial" w:hAnsi="Arial"/>
          <w:sz w:val="18"/>
          <w:szCs w:val="18"/>
          <w:color w:val="auto"/>
        </w:rPr>
      </w:pPr>
    </w:p>
    <w:p>
      <w:pPr>
        <w:ind w:left="1340" w:hanging="380"/>
        <w:spacing w:after="0"/>
        <w:tabs>
          <w:tab w:leader="none" w:pos="13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shall mean the last business day of each Purchase Period.</w:t>
      </w:r>
    </w:p>
    <w:p>
      <w:pPr>
        <w:spacing w:after="0" w:line="171" w:lineRule="exact"/>
        <w:rPr>
          <w:rFonts w:ascii="Arial" w:cs="Arial" w:eastAsia="Arial" w:hAnsi="Arial"/>
          <w:sz w:val="18"/>
          <w:szCs w:val="18"/>
          <w:color w:val="auto"/>
        </w:rPr>
      </w:pPr>
    </w:p>
    <w:p>
      <w:pPr>
        <w:ind w:left="-20" w:firstLine="980"/>
        <w:spacing w:after="0" w:line="277" w:lineRule="auto"/>
        <w:tabs>
          <w:tab w:leader="none" w:pos="1436"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shall mean a period during which Contributions may be made toward the purchase of Common Stock under the Plan, as determined by the Committee pursuant to Section 5(b).</w:t>
      </w:r>
    </w:p>
    <w:p>
      <w:pPr>
        <w:spacing w:after="0" w:line="116" w:lineRule="exact"/>
        <w:rPr>
          <w:rFonts w:ascii="Arial" w:cs="Arial" w:eastAsia="Arial" w:hAnsi="Arial"/>
          <w:sz w:val="18"/>
          <w:szCs w:val="18"/>
          <w:color w:val="auto"/>
        </w:rPr>
      </w:pPr>
    </w:p>
    <w:p>
      <w:pPr>
        <w:ind w:left="-20" w:right="20" w:firstLine="980"/>
        <w:spacing w:after="0" w:line="277" w:lineRule="auto"/>
        <w:tabs>
          <w:tab w:leader="none" w:pos="140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shall mean the price at which Participants may purchase shares of Common Stock under the Plan, as determined pursuant to Section 8.</w:t>
      </w:r>
    </w:p>
    <w:p>
      <w:pPr>
        <w:spacing w:after="0" w:line="116" w:lineRule="exact"/>
        <w:rPr>
          <w:rFonts w:ascii="Arial" w:cs="Arial" w:eastAsia="Arial" w:hAnsi="Arial"/>
          <w:sz w:val="18"/>
          <w:szCs w:val="18"/>
          <w:color w:val="auto"/>
        </w:rPr>
      </w:pPr>
    </w:p>
    <w:p>
      <w:pPr>
        <w:jc w:val="both"/>
        <w:ind w:left="-20" w:firstLine="980"/>
        <w:spacing w:after="0" w:line="263" w:lineRule="auto"/>
        <w:tabs>
          <w:tab w:leader="none" w:pos="1382"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29" w:lineRule="exact"/>
        <w:rPr>
          <w:rFonts w:ascii="Arial" w:cs="Arial" w:eastAsia="Arial" w:hAnsi="Arial"/>
          <w:sz w:val="18"/>
          <w:szCs w:val="18"/>
          <w:color w:val="auto"/>
        </w:rPr>
      </w:pPr>
    </w:p>
    <w:p>
      <w:pPr>
        <w:ind w:left="1340" w:hanging="380"/>
        <w:spacing w:after="0"/>
        <w:tabs>
          <w:tab w:leader="none" w:pos="134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Sections 424(e) and 424(f)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220"/>
          </w:cols>
          <w:pgMar w:left="340" w:top="1422" w:right="339" w:bottom="1440" w:gutter="0" w:footer="0" w:header="0"/>
        </w:sectPr>
      </w:pPr>
    </w:p>
    <w:bookmarkStart w:id="667" w:name="page668"/>
    <w:bookmarkEnd w:id="667"/>
    <w:p>
      <w:pPr>
        <w:jc w:val="center"/>
        <w:ind w:right="19"/>
        <w:spacing w:after="0"/>
        <w:rPr>
          <w:sz w:val="20"/>
          <w:szCs w:val="20"/>
          <w:color w:val="auto"/>
        </w:rPr>
      </w:pPr>
      <w:r>
        <w:rPr>
          <w:rFonts w:ascii="Arial" w:cs="Arial" w:eastAsia="Arial" w:hAnsi="Arial"/>
          <w:sz w:val="16"/>
          <w:szCs w:val="16"/>
          <w:b w:val="1"/>
          <w:bCs w:val="1"/>
          <w:color w:val="auto"/>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66040</wp:posOffset>
            </wp:positionV>
            <wp:extent cx="5366385" cy="72440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66385" cy="7244080"/>
                    </a:xfrm>
                    <a:prstGeom prst="rect">
                      <a:avLst/>
                    </a:prstGeom>
                    <a:noFill/>
                  </pic:spPr>
                </pic:pic>
              </a:graphicData>
            </a:graphic>
          </wp:anchor>
        </w:drawing>
      </w:r>
    </w:p>
    <w:p>
      <w:pPr>
        <w:sectPr>
          <w:pgSz w:w="11900" w:h="16838" w:orient="portrait"/>
          <w:cols w:equalWidth="0" w:num="1">
            <w:col w:w="9019"/>
          </w:cols>
          <w:pgMar w:left="1440" w:top="10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E-12</w:t>
      </w:r>
    </w:p>
    <w:p>
      <w:pPr>
        <w:sectPr>
          <w:pgSz w:w="11900" w:h="16838" w:orient="portrait"/>
          <w:cols w:equalWidth="0" w:num="1">
            <w:col w:w="9019"/>
          </w:cols>
          <w:pgMar w:left="1440" w:top="1094" w:right="1440" w:bottom="1440" w:gutter="0" w:footer="0" w:header="0"/>
          <w:type w:val="continuous"/>
        </w:sectPr>
      </w:pPr>
    </w:p>
    <w:bookmarkStart w:id="668" w:name="page669"/>
    <w:bookmarkEnd w:id="668"/>
    <w:p>
      <w:pPr>
        <w:jc w:val="center"/>
        <w:ind w:right="19"/>
        <w:spacing w:after="0"/>
        <w:rPr>
          <w:sz w:val="20"/>
          <w:szCs w:val="20"/>
          <w:color w:val="auto"/>
        </w:rPr>
      </w:pPr>
      <w:r>
        <w:rPr>
          <w:rFonts w:ascii="Arial" w:cs="Arial" w:eastAsia="Arial" w:hAnsi="Arial"/>
          <w:sz w:val="16"/>
          <w:szCs w:val="16"/>
          <w:b w:val="1"/>
          <w:bCs w:val="1"/>
          <w:color w:val="auto"/>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66040</wp:posOffset>
            </wp:positionV>
            <wp:extent cx="5340350" cy="72440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0350" cy="7244080"/>
                    </a:xfrm>
                    <a:prstGeom prst="rect">
                      <a:avLst/>
                    </a:prstGeom>
                    <a:noFill/>
                  </pic:spPr>
                </pic:pic>
              </a:graphicData>
            </a:graphic>
          </wp:anchor>
        </w:drawing>
      </w:r>
    </w:p>
    <w:p>
      <w:pPr>
        <w:sectPr>
          <w:pgSz w:w="11900" w:h="16838" w:orient="portrait"/>
          <w:cols w:equalWidth="0" w:num="1">
            <w:col w:w="9019"/>
          </w:cols>
          <w:pgMar w:left="1440" w:top="10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E-13</w:t>
      </w:r>
    </w:p>
    <w:sectPr>
      <w:pgSz w:w="11900" w:h="16838" w:orient="portrait"/>
      <w:cols w:equalWidth="0" w:num="1">
        <w:col w:w="9019"/>
      </w:cols>
      <w:pgMar w:left="1440" w:top="10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E6B3F6A"/>
    <w:multiLevelType w:val="hybridMultilevel"/>
    <w:lvl w:ilvl="0">
      <w:lvlJc w:val="left"/>
      <w:lvlText w:val="☒"/>
      <w:numFmt w:val="bullet"/>
      <w:start w:val="1"/>
    </w:lvl>
  </w:abstractNum>
  <w:abstractNum w:abstractNumId="1">
    <w:nsid w:val="3EB21819"/>
    <w:multiLevelType w:val="hybridMultilevel"/>
    <w:lvl w:ilvl="0">
      <w:lvlJc w:val="left"/>
      <w:lvlText w:val="☐"/>
      <w:numFmt w:val="bullet"/>
      <w:start w:val="1"/>
    </w:lvl>
  </w:abstractNum>
  <w:abstractNum w:abstractNumId="2">
    <w:nsid w:val="41531DED"/>
    <w:multiLevelType w:val="hybridMultilevel"/>
    <w:lvl w:ilvl="0">
      <w:lvlJc w:val="left"/>
      <w:lvlText w:val="☐"/>
      <w:numFmt w:val="bullet"/>
      <w:start w:val="1"/>
    </w:lvl>
  </w:abstractNum>
  <w:abstractNum w:abstractNumId="3">
    <w:nsid w:val="6353CD2"/>
    <w:multiLevelType w:val="hybridMultilevel"/>
    <w:lvl w:ilvl="0">
      <w:lvlJc w:val="left"/>
      <w:lvlText w:val="(%1)"/>
      <w:numFmt w:val="decimal"/>
      <w:start w:val="1"/>
    </w:lvl>
  </w:abstractNum>
  <w:abstractNum w:abstractNumId="4">
    <w:nsid w:val="683CAAD3"/>
    <w:multiLevelType w:val="hybridMultilevel"/>
    <w:lvl w:ilvl="0">
      <w:lvlJc w:val="left"/>
      <w:lvlText w:val="☒"/>
      <w:numFmt w:val="bullet"/>
      <w:start w:val="1"/>
    </w:lvl>
  </w:abstractNum>
  <w:abstractNum w:abstractNumId="5">
    <w:nsid w:val="313C7C99"/>
    <w:multiLevelType w:val="hybridMultilevel"/>
    <w:lvl w:ilvl="0">
      <w:lvlJc w:val="left"/>
      <w:lvlText w:val="☐"/>
      <w:numFmt w:val="bullet"/>
      <w:start w:val="1"/>
    </w:lvl>
  </w:abstractNum>
  <w:abstractNum w:abstractNumId="6">
    <w:nsid w:val="519EB94C"/>
    <w:multiLevelType w:val="hybridMultilevel"/>
    <w:lvl w:ilvl="0">
      <w:lvlJc w:val="left"/>
      <w:lvlText w:val="(%1)"/>
      <w:numFmt w:val="decimal"/>
      <w:start w:val="1"/>
    </w:lvl>
  </w:abstractNum>
  <w:abstractNum w:abstractNumId="7">
    <w:nsid w:val="39DF2579"/>
    <w:multiLevelType w:val="hybridMultilevel"/>
    <w:lvl w:ilvl="0">
      <w:lvlJc w:val="left"/>
      <w:lvlText w:val="%1."/>
      <w:numFmt w:val="decimal"/>
      <w:start w:val="1"/>
    </w:lvl>
  </w:abstractNum>
  <w:abstractNum w:abstractNumId="8">
    <w:nsid w:val="126E008B"/>
    <w:multiLevelType w:val="hybridMultilevel"/>
    <w:lvl w:ilvl="0">
      <w:lvlJc w:val="left"/>
      <w:lvlText w:val="["/>
      <w:numFmt w:val="bullet"/>
      <w:start w:val="1"/>
    </w:lvl>
  </w:abstractNum>
  <w:abstractNum w:abstractNumId="9">
    <w:nsid w:val="34DFBC00"/>
    <w:multiLevelType w:val="hybridMultilevel"/>
    <w:lvl w:ilvl="0">
      <w:lvlJc w:val="left"/>
      <w:lvlText w:val="%1."/>
      <w:numFmt w:val="decimal"/>
      <w:start w:val="1"/>
    </w:lvl>
  </w:abstractNum>
  <w:abstractNum w:abstractNumId="10">
    <w:nsid w:val="1F9EC322"/>
    <w:multiLevelType w:val="hybridMultilevel"/>
    <w:lvl w:ilvl="0">
      <w:lvlJc w:val="left"/>
      <w:lvlText w:val="%1."/>
      <w:numFmt w:val="decimal"/>
      <w:start w:val="8"/>
    </w:lvl>
  </w:abstractNum>
  <w:abstractNum w:abstractNumId="11">
    <w:nsid w:val="3410ED56"/>
    <w:multiLevelType w:val="hybridMultilevel"/>
    <w:lvl w:ilvl="0">
      <w:lvlJc w:val="left"/>
      <w:lvlText w:val="["/>
      <w:numFmt w:val="bullet"/>
      <w:start w:val="1"/>
    </w:lvl>
  </w:abstractNum>
  <w:abstractNum w:abstractNumId="12">
    <w:nsid w:val="23C049A"/>
    <w:multiLevelType w:val="hybridMultilevel"/>
    <w:lvl w:ilvl="0">
      <w:lvlJc w:val="left"/>
      <w:lvlText w:val="•"/>
      <w:numFmt w:val="bullet"/>
      <w:start w:val="1"/>
    </w:lvl>
  </w:abstractNum>
  <w:abstractNum w:abstractNumId="13">
    <w:nsid w:val="5BDA35D4"/>
    <w:multiLevelType w:val="hybridMultilevel"/>
    <w:lvl w:ilvl="0">
      <w:lvlJc w:val="left"/>
      <w:lvlText w:val="•"/>
      <w:numFmt w:val="bullet"/>
      <w:start w:val="1"/>
    </w:lvl>
  </w:abstractNum>
  <w:abstractNum w:abstractNumId="14">
    <w:nsid w:val="496FB218"/>
    <w:multiLevelType w:val="hybridMultilevel"/>
    <w:lvl w:ilvl="0">
      <w:lvlJc w:val="left"/>
      <w:lvlText w:val="•"/>
      <w:numFmt w:val="bullet"/>
      <w:start w:val="1"/>
    </w:lvl>
  </w:abstractNum>
  <w:abstractNum w:abstractNumId="15">
    <w:nsid w:val="680EA5D1"/>
    <w:multiLevelType w:val="hybridMultilevel"/>
    <w:lvl w:ilvl="0">
      <w:lvlJc w:val="left"/>
      <w:lvlText w:val="•"/>
      <w:numFmt w:val="bullet"/>
      <w:start w:val="1"/>
    </w:lvl>
  </w:abstractNum>
  <w:abstractNum w:abstractNumId="16">
    <w:nsid w:val="4A9554FE"/>
    <w:multiLevelType w:val="hybridMultilevel"/>
    <w:lvl w:ilvl="0">
      <w:lvlJc w:val="left"/>
      <w:lvlText w:val="•"/>
      <w:numFmt w:val="bullet"/>
      <w:start w:val="1"/>
    </w:lvl>
    <w:lvl w:ilvl="1">
      <w:lvlJc w:val="left"/>
      <w:lvlText w:val="•"/>
      <w:numFmt w:val="bullet"/>
      <w:start w:val="1"/>
    </w:lvl>
  </w:abstractNum>
  <w:abstractNum w:abstractNumId="17">
    <w:nsid w:val="392EDBE4"/>
    <w:multiLevelType w:val="hybridMultilevel"/>
    <w:lvl w:ilvl="0">
      <w:lvlJc w:val="left"/>
      <w:lvlText w:val="•"/>
      <w:numFmt w:val="bullet"/>
      <w:start w:val="1"/>
    </w:lvl>
  </w:abstractNum>
  <w:abstractNum w:abstractNumId="18">
    <w:nsid w:val="3D1A2DD9"/>
    <w:multiLevelType w:val="hybridMultilevel"/>
    <w:lvl w:ilvl="0">
      <w:lvlJc w:val="left"/>
      <w:lvlText w:val="(%1)"/>
      <w:numFmt w:val="lowerLetter"/>
      <w:start w:val="2"/>
    </w:lvl>
  </w:abstractNum>
  <w:abstractNum w:abstractNumId="19">
    <w:nsid w:val="7F618FCD"/>
    <w:multiLevelType w:val="hybridMultilevel"/>
    <w:lvl w:ilvl="0">
      <w:lvlJc w:val="left"/>
      <w:lvlText w:val="%1:"/>
      <w:numFmt w:val="upperLetter"/>
      <w:start w:val="1"/>
    </w:lvl>
  </w:abstractNum>
  <w:abstractNum w:abstractNumId="20">
    <w:nsid w:val="7843E45"/>
    <w:multiLevelType w:val="hybridMultilevel"/>
    <w:lvl w:ilvl="0">
      <w:lvlJc w:val="left"/>
      <w:lvlText w:val="•"/>
      <w:numFmt w:val="bullet"/>
      <w:start w:val="1"/>
    </w:lvl>
  </w:abstractNum>
  <w:abstractNum w:abstractNumId="21">
    <w:nsid w:val="9815DA3"/>
    <w:multiLevelType w:val="hybridMultilevel"/>
    <w:lvl w:ilvl="0">
      <w:lvlJc w:val="left"/>
      <w:lvlText w:val="•"/>
      <w:numFmt w:val="bullet"/>
      <w:start w:val="1"/>
    </w:lvl>
  </w:abstractNum>
  <w:abstractNum w:abstractNumId="22">
    <w:nsid w:val="5204A191"/>
    <w:multiLevelType w:val="hybridMultilevel"/>
    <w:lvl w:ilvl="0">
      <w:lvlJc w:val="left"/>
      <w:lvlText w:val="%1:"/>
      <w:numFmt w:val="upperLetter"/>
      <w:start w:val="1"/>
    </w:lvl>
    <w:lvl w:ilvl="1">
      <w:lvlJc w:val="left"/>
      <w:lvlText w:val="%2."/>
      <w:numFmt w:val="decimal"/>
      <w:start w:val="1"/>
    </w:lvl>
  </w:abstractNum>
  <w:abstractNum w:abstractNumId="23">
    <w:nsid w:val="4C73A9C6"/>
    <w:multiLevelType w:val="hybridMultilevel"/>
    <w:lvl w:ilvl="0">
      <w:lvlJc w:val="left"/>
      <w:lvlText w:val="%1:"/>
      <w:numFmt w:val="upperLetter"/>
      <w:start w:val="1"/>
    </w:lvl>
  </w:abstractNum>
  <w:abstractNum w:abstractNumId="24">
    <w:nsid w:val="1C7E3C01"/>
    <w:multiLevelType w:val="hybridMultilevel"/>
    <w:lvl w:ilvl="0">
      <w:lvlJc w:val="left"/>
      <w:lvlText w:val="%1:"/>
      <w:numFmt w:val="upperLetter"/>
      <w:start w:val="1"/>
    </w:lvl>
  </w:abstractNum>
  <w:abstractNum w:abstractNumId="25">
    <w:nsid w:val="1C2201FF"/>
    <w:multiLevelType w:val="hybridMultilevel"/>
    <w:lvl w:ilvl="0">
      <w:lvlJc w:val="left"/>
      <w:lvlText w:val="%1:"/>
      <w:numFmt w:val="upperLetter"/>
      <w:start w:val="1"/>
    </w:lvl>
  </w:abstractNum>
  <w:abstractNum w:abstractNumId="26">
    <w:nsid w:val="50ABCEC9"/>
    <w:multiLevelType w:val="hybridMultilevel"/>
    <w:lvl w:ilvl="0">
      <w:lvlJc w:val="left"/>
      <w:lvlText w:val="%1:"/>
      <w:numFmt w:val="upperLetter"/>
      <w:start w:val="1"/>
    </w:lvl>
  </w:abstractNum>
  <w:abstractNum w:abstractNumId="27">
    <w:nsid w:val="7635AA2A"/>
    <w:multiLevelType w:val="hybridMultilevel"/>
    <w:lvl w:ilvl="0">
      <w:lvlJc w:val="left"/>
      <w:lvlText w:val="%1:"/>
      <w:numFmt w:val="upperLetter"/>
      <w:start w:val="1"/>
    </w:lvl>
  </w:abstractNum>
  <w:abstractNum w:abstractNumId="28">
    <w:nsid w:val="5E74C4D9"/>
    <w:multiLevelType w:val="hybridMultilevel"/>
    <w:lvl w:ilvl="0">
      <w:lvlJc w:val="left"/>
      <w:lvlText w:val="%1:"/>
      <w:numFmt w:val="upperLetter"/>
      <w:start w:val="1"/>
    </w:lvl>
  </w:abstractNum>
  <w:abstractNum w:abstractNumId="29">
    <w:nsid w:val="3B3EBE15"/>
    <w:multiLevelType w:val="hybridMultilevel"/>
    <w:lvl w:ilvl="0">
      <w:lvlJc w:val="left"/>
      <w:lvlText w:val="%1:"/>
      <w:numFmt w:val="upperLetter"/>
      <w:start w:val="1"/>
    </w:lvl>
  </w:abstractNum>
  <w:abstractNum w:abstractNumId="30">
    <w:nsid w:val="3822CB01"/>
    <w:multiLevelType w:val="hybridMultilevel"/>
    <w:lvl w:ilvl="0">
      <w:lvlJc w:val="left"/>
      <w:lvlText w:val="%1:"/>
      <w:numFmt w:val="upperLetter"/>
      <w:start w:val="1"/>
    </w:lvl>
  </w:abstractNum>
  <w:abstractNum w:abstractNumId="31">
    <w:nsid w:val="6CE00443"/>
    <w:multiLevelType w:val="hybridMultilevel"/>
    <w:lvl w:ilvl="0">
      <w:lvlJc w:val="left"/>
      <w:lvlText w:val="%1:"/>
      <w:numFmt w:val="upperLetter"/>
      <w:start w:val="17"/>
    </w:lvl>
  </w:abstractNum>
  <w:abstractNum w:abstractNumId="32">
    <w:nsid w:val="79F0D62F"/>
    <w:multiLevelType w:val="hybridMultilevel"/>
    <w:lvl w:ilvl="0">
      <w:lvlJc w:val="left"/>
      <w:lvlText w:val="%1:"/>
      <w:numFmt w:val="upperLetter"/>
      <w:start w:val="1"/>
    </w:lvl>
  </w:abstractNum>
  <w:abstractNum w:abstractNumId="33">
    <w:nsid w:val="7975E8EE"/>
    <w:multiLevelType w:val="hybridMultilevel"/>
    <w:lvl w:ilvl="0">
      <w:lvlJc w:val="left"/>
      <w:lvlText w:val="%1:"/>
      <w:numFmt w:val="upperLetter"/>
      <w:start w:val="1"/>
    </w:lvl>
  </w:abstractNum>
  <w:abstractNum w:abstractNumId="34">
    <w:nsid w:val="73154115"/>
    <w:multiLevelType w:val="hybridMultilevel"/>
    <w:lvl w:ilvl="0">
      <w:lvlJc w:val="left"/>
      <w:lvlText w:val="%1:"/>
      <w:numFmt w:val="upperLetter"/>
      <w:start w:val="1"/>
    </w:lvl>
  </w:abstractNum>
  <w:abstractNum w:abstractNumId="35">
    <w:nsid w:val="622D8102"/>
    <w:multiLevelType w:val="hybridMultilevel"/>
    <w:lvl w:ilvl="0">
      <w:lvlJc w:val="left"/>
      <w:lvlText w:val="%1:"/>
      <w:numFmt w:val="upperLetter"/>
      <w:start w:val="17"/>
    </w:lvl>
  </w:abstractNum>
  <w:abstractNum w:abstractNumId="36">
    <w:nsid w:val="2AB26587"/>
    <w:multiLevelType w:val="hybridMultilevel"/>
    <w:lvl w:ilvl="0">
      <w:lvlJc w:val="left"/>
      <w:lvlText w:val="%1:"/>
      <w:numFmt w:val="upperLetter"/>
      <w:start w:val="1"/>
    </w:lvl>
  </w:abstractNum>
  <w:abstractNum w:abstractNumId="37">
    <w:nsid w:val="44B3FA61"/>
    <w:multiLevelType w:val="hybridMultilevel"/>
    <w:lvl w:ilvl="0">
      <w:lvlJc w:val="left"/>
      <w:lvlText w:val="%1:"/>
      <w:numFmt w:val="upperLetter"/>
      <w:start w:val="1"/>
    </w:lvl>
  </w:abstractNum>
  <w:abstractNum w:abstractNumId="38">
    <w:nsid w:val="1C0CA67C"/>
    <w:multiLevelType w:val="hybridMultilevel"/>
    <w:lvl w:ilvl="0">
      <w:lvlJc w:val="left"/>
      <w:lvlText w:val="%1:"/>
      <w:numFmt w:val="upperLetter"/>
      <w:start w:val="1"/>
    </w:lvl>
  </w:abstractNum>
  <w:abstractNum w:abstractNumId="39">
    <w:nsid w:val="3D206613"/>
    <w:multiLevelType w:val="hybridMultilevel"/>
    <w:lvl w:ilvl="0">
      <w:lvlJc w:val="left"/>
      <w:lvlText w:val="%1:"/>
      <w:numFmt w:val="upperLetter"/>
      <w:start w:val="1"/>
    </w:lvl>
  </w:abstractNum>
  <w:abstractNum w:abstractNumId="40">
    <w:nsid w:val="7993B662"/>
    <w:multiLevelType w:val="hybridMultilevel"/>
    <w:lvl w:ilvl="0">
      <w:lvlJc w:val="left"/>
      <w:lvlText w:val="%1:"/>
      <w:numFmt w:val="upperLetter"/>
      <w:start w:val="1"/>
    </w:lvl>
  </w:abstractNum>
  <w:abstractNum w:abstractNumId="41">
    <w:nsid w:val="3BAB699E"/>
    <w:multiLevelType w:val="hybridMultilevel"/>
    <w:lvl w:ilvl="0">
      <w:lvlJc w:val="left"/>
      <w:lvlText w:val="%1:"/>
      <w:numFmt w:val="upperLetter"/>
      <w:start w:val="1"/>
    </w:lvl>
  </w:abstractNum>
  <w:abstractNum w:abstractNumId="42">
    <w:nsid w:val="71315369"/>
    <w:multiLevelType w:val="hybridMultilevel"/>
    <w:lvl w:ilvl="0">
      <w:lvlJc w:val="left"/>
      <w:lvlText w:val="%1:"/>
      <w:numFmt w:val="upperLetter"/>
      <w:start w:val="1"/>
    </w:lvl>
  </w:abstractNum>
  <w:abstractNum w:abstractNumId="43">
    <w:nsid w:val="7BCFBAFC"/>
    <w:multiLevelType w:val="hybridMultilevel"/>
    <w:lvl w:ilvl="0">
      <w:lvlJc w:val="left"/>
      <w:lvlText w:val="%1:"/>
      <w:numFmt w:val="upperLetter"/>
      <w:start w:val="1"/>
    </w:lvl>
  </w:abstractNum>
  <w:abstractNum w:abstractNumId="44">
    <w:nsid w:val="17859F72"/>
    <w:multiLevelType w:val="hybridMultilevel"/>
    <w:lvl w:ilvl="0">
      <w:lvlJc w:val="left"/>
      <w:lvlText w:val="%1:"/>
      <w:numFmt w:val="upperLetter"/>
      <w:start w:val="1"/>
    </w:lvl>
  </w:abstractNum>
  <w:abstractNum w:abstractNumId="45">
    <w:nsid w:val="3AA10581"/>
    <w:multiLevelType w:val="hybridMultilevel"/>
    <w:lvl w:ilvl="0">
      <w:lvlJc w:val="left"/>
      <w:lvlText w:val="%1:"/>
      <w:numFmt w:val="upperLetter"/>
      <w:start w:val="1"/>
    </w:lvl>
  </w:abstractNum>
  <w:abstractNum w:abstractNumId="46">
    <w:nsid w:val="63DE60CD"/>
    <w:multiLevelType w:val="hybridMultilevel"/>
    <w:lvl w:ilvl="0">
      <w:lvlJc w:val="left"/>
      <w:lvlText w:val="%1:"/>
      <w:numFmt w:val="upperLetter"/>
      <w:start w:val="1"/>
    </w:lvl>
  </w:abstractNum>
  <w:abstractNum w:abstractNumId="47">
    <w:nsid w:val="621AF471"/>
    <w:multiLevelType w:val="hybridMultilevel"/>
    <w:lvl w:ilvl="0">
      <w:lvlJc w:val="left"/>
      <w:lvlText w:val="%1:"/>
      <w:numFmt w:val="upperLetter"/>
      <w:start w:val="1"/>
    </w:lvl>
  </w:abstractNum>
  <w:abstractNum w:abstractNumId="48">
    <w:nsid w:val="73CFE165"/>
    <w:multiLevelType w:val="hybridMultilevel"/>
    <w:lvl w:ilvl="0">
      <w:lvlJc w:val="left"/>
      <w:lvlText w:val="%1:"/>
      <w:numFmt w:val="upperLetter"/>
      <w:start w:val="1"/>
    </w:lvl>
  </w:abstractNum>
  <w:abstractNum w:abstractNumId="49">
    <w:nsid w:val="20F88EA6"/>
    <w:multiLevelType w:val="hybridMultilevel"/>
    <w:lvl w:ilvl="0">
      <w:lvlJc w:val="left"/>
      <w:lvlText w:val="%1:"/>
      <w:numFmt w:val="upperLetter"/>
      <w:start w:val="17"/>
    </w:lvl>
  </w:abstractNum>
  <w:abstractNum w:abstractNumId="50">
    <w:nsid w:val="617C843E"/>
    <w:multiLevelType w:val="hybridMultilevel"/>
    <w:lvl w:ilvl="0">
      <w:lvlJc w:val="left"/>
      <w:lvlText w:val="%1:"/>
      <w:numFmt w:val="upperLetter"/>
      <w:start w:val="1"/>
    </w:lvl>
  </w:abstractNum>
  <w:abstractNum w:abstractNumId="51">
    <w:nsid w:val="7B541FAB"/>
    <w:multiLevelType w:val="hybridMultilevel"/>
    <w:lvl w:ilvl="0">
      <w:lvlJc w:val="left"/>
      <w:lvlText w:val="•"/>
      <w:numFmt w:val="bullet"/>
      <w:start w:val="1"/>
    </w:lvl>
  </w:abstractNum>
  <w:abstractNum w:abstractNumId="52">
    <w:nsid w:val="2A79EC49"/>
    <w:multiLevelType w:val="hybridMultilevel"/>
    <w:lvl w:ilvl="0">
      <w:lvlJc w:val="left"/>
      <w:lvlText w:val="•"/>
      <w:numFmt w:val="bullet"/>
      <w:start w:val="1"/>
    </w:lvl>
  </w:abstractNum>
  <w:abstractNum w:abstractNumId="53">
    <w:nsid w:val="338125CF"/>
    <w:multiLevelType w:val="hybridMultilevel"/>
    <w:lvl w:ilvl="0">
      <w:lvlJc w:val="left"/>
      <w:lvlText w:val="%1:"/>
      <w:numFmt w:val="upperLetter"/>
      <w:start w:val="1"/>
    </w:lvl>
  </w:abstractNum>
  <w:abstractNum w:abstractNumId="54">
    <w:nsid w:val="47C7C971"/>
    <w:multiLevelType w:val="hybridMultilevel"/>
    <w:lvl w:ilvl="0">
      <w:lvlJc w:val="left"/>
      <w:lvlText w:val="%1:"/>
      <w:numFmt w:val="upperLetter"/>
      <w:start w:val="1"/>
    </w:lvl>
  </w:abstractNum>
  <w:abstractNum w:abstractNumId="55">
    <w:nsid w:val="46F8284B"/>
    <w:multiLevelType w:val="hybridMultilevel"/>
    <w:lvl w:ilvl="0">
      <w:lvlJc w:val="left"/>
      <w:lvlText w:val="%1:"/>
      <w:numFmt w:val="upperLetter"/>
      <w:start w:val="1"/>
    </w:lvl>
  </w:abstractNum>
  <w:abstractNum w:abstractNumId="56">
    <w:nsid w:val="4FA327CE"/>
    <w:multiLevelType w:val="hybridMultilevel"/>
    <w:lvl w:ilvl="0">
      <w:lvlJc w:val="left"/>
      <w:lvlText w:val="%1:"/>
      <w:numFmt w:val="upperLetter"/>
      <w:start w:val="1"/>
    </w:lvl>
  </w:abstractNum>
  <w:abstractNum w:abstractNumId="57">
    <w:nsid w:val="1873983A"/>
    <w:multiLevelType w:val="hybridMultilevel"/>
    <w:lvl w:ilvl="0">
      <w:lvlJc w:val="left"/>
      <w:lvlText w:val="%1:"/>
      <w:numFmt w:val="upperLetter"/>
      <w:start w:val="1"/>
    </w:lvl>
  </w:abstractNum>
  <w:abstractNum w:abstractNumId="58">
    <w:nsid w:val="3D2DD275"/>
    <w:multiLevelType w:val="hybridMultilevel"/>
    <w:lvl w:ilvl="0">
      <w:lvlJc w:val="left"/>
      <w:lvlText w:val="%1:"/>
      <w:numFmt w:val="upperLetter"/>
      <w:start w:val="1"/>
    </w:lvl>
  </w:abstractNum>
  <w:abstractNum w:abstractNumId="59">
    <w:nsid w:val="2E17ECA7"/>
    <w:multiLevelType w:val="hybridMultilevel"/>
    <w:lvl w:ilvl="0">
      <w:lvlJc w:val="left"/>
      <w:lvlText w:val="%1:"/>
      <w:numFmt w:val="upperLetter"/>
      <w:start w:val="1"/>
    </w:lvl>
  </w:abstractNum>
  <w:abstractNum w:abstractNumId="60">
    <w:nsid w:val="53B2564F"/>
    <w:multiLevelType w:val="hybridMultilevel"/>
    <w:lvl w:ilvl="0">
      <w:lvlJc w:val="left"/>
      <w:lvlText w:val="•"/>
      <w:numFmt w:val="bullet"/>
      <w:start w:val="1"/>
    </w:lvl>
  </w:abstractNum>
  <w:abstractNum w:abstractNumId="61">
    <w:nsid w:val="75509D76"/>
    <w:multiLevelType w:val="hybridMultilevel"/>
    <w:lvl w:ilvl="0">
      <w:lvlJc w:val="left"/>
      <w:lvlText w:val="%1:"/>
      <w:numFmt w:val="upperLetter"/>
      <w:start w:val="1"/>
    </w:lvl>
  </w:abstractNum>
  <w:abstractNum w:abstractNumId="62">
    <w:nsid w:val="1AF7F0EA"/>
    <w:multiLevelType w:val="hybridMultilevel"/>
    <w:lvl w:ilvl="0">
      <w:lvlJc w:val="left"/>
      <w:lvlText w:val="%1:"/>
      <w:numFmt w:val="upperLetter"/>
      <w:start w:val="1"/>
    </w:lvl>
  </w:abstractNum>
  <w:abstractNum w:abstractNumId="63">
    <w:nsid w:val="4DA32C7E"/>
    <w:multiLevelType w:val="hybridMultilevel"/>
    <w:lvl w:ilvl="0">
      <w:lvlJc w:val="left"/>
      <w:lvlText w:val="%1:"/>
      <w:numFmt w:val="upperLetter"/>
      <w:start w:val="1"/>
    </w:lvl>
  </w:abstractNum>
  <w:abstractNum w:abstractNumId="64">
    <w:nsid w:val="6EC68664"/>
    <w:multiLevelType w:val="hybridMultilevel"/>
    <w:lvl w:ilvl="0">
      <w:lvlJc w:val="left"/>
      <w:lvlText w:val="•"/>
      <w:numFmt w:val="bullet"/>
      <w:start w:val="1"/>
    </w:lvl>
  </w:abstractNum>
  <w:abstractNum w:abstractNumId="65">
    <w:nsid w:val="E0D31FF"/>
    <w:multiLevelType w:val="hybridMultilevel"/>
    <w:lvl w:ilvl="0">
      <w:lvlJc w:val="left"/>
      <w:lvlText w:val="•"/>
      <w:numFmt w:val="bullet"/>
      <w:start w:val="1"/>
    </w:lvl>
  </w:abstractNum>
  <w:abstractNum w:abstractNumId="66">
    <w:nsid w:val="2FD0AD81"/>
    <w:multiLevelType w:val="hybridMultilevel"/>
    <w:lvl w:ilvl="0">
      <w:lvlJc w:val="left"/>
      <w:lvlText w:val="%1:"/>
      <w:numFmt w:val="upperLetter"/>
      <w:start w:val="1"/>
    </w:lvl>
  </w:abstractNum>
  <w:abstractNum w:abstractNumId="67">
    <w:nsid w:val="1978EBEB"/>
    <w:multiLevelType w:val="hybridMultilevel"/>
    <w:lvl w:ilvl="0">
      <w:lvlJc w:val="left"/>
      <w:lvlText w:val="%1:"/>
      <w:numFmt w:val="upperLetter"/>
      <w:start w:val="1"/>
    </w:lvl>
  </w:abstractNum>
  <w:abstractNum w:abstractNumId="68">
    <w:nsid w:val="52C12C61"/>
    <w:multiLevelType w:val="hybridMultilevel"/>
    <w:lvl w:ilvl="0">
      <w:lvlJc w:val="left"/>
      <w:lvlText w:val="%1:"/>
      <w:numFmt w:val="upperLetter"/>
      <w:start w:val="1"/>
    </w:lvl>
  </w:abstractNum>
  <w:abstractNum w:abstractNumId="69">
    <w:nsid w:val="4BDD53FD"/>
    <w:multiLevelType w:val="hybridMultilevel"/>
    <w:lvl w:ilvl="0">
      <w:lvlJc w:val="left"/>
      <w:lvlText w:val="%1:"/>
      <w:numFmt w:val="upperLetter"/>
      <w:start w:val="1"/>
    </w:lvl>
  </w:abstractNum>
  <w:abstractNum w:abstractNumId="70">
    <w:nsid w:val="569951FE"/>
    <w:multiLevelType w:val="hybridMultilevel"/>
    <w:lvl w:ilvl="0">
      <w:lvlJc w:val="left"/>
      <w:lvlText w:val="%1:"/>
      <w:numFmt w:val="upperLetter"/>
      <w:start w:val="1"/>
    </w:lvl>
  </w:abstractNum>
  <w:abstractNum w:abstractNumId="71">
    <w:nsid w:val="4C54E2C3"/>
    <w:multiLevelType w:val="hybridMultilevel"/>
    <w:lvl w:ilvl="0">
      <w:lvlJc w:val="left"/>
      <w:lvlText w:val="%1:"/>
      <w:numFmt w:val="upperLetter"/>
      <w:start w:val="1"/>
    </w:lvl>
  </w:abstractNum>
  <w:abstractNum w:abstractNumId="72">
    <w:nsid w:val="788BD9B"/>
    <w:multiLevelType w:val="hybridMultilevel"/>
    <w:lvl w:ilvl="0">
      <w:lvlJc w:val="left"/>
      <w:lvlText w:val="%1:"/>
      <w:numFmt w:val="upperLetter"/>
      <w:start w:val="1"/>
    </w:lvl>
  </w:abstractNum>
  <w:abstractNum w:abstractNumId="73">
    <w:nsid w:val="47CAA567"/>
    <w:multiLevelType w:val="hybridMultilevel"/>
    <w:lvl w:ilvl="0">
      <w:lvlJc w:val="left"/>
      <w:lvlText w:val="%1:"/>
      <w:numFmt w:val="upperLetter"/>
      <w:start w:val="1"/>
    </w:lvl>
  </w:abstractNum>
  <w:abstractNum w:abstractNumId="74">
    <w:nsid w:val="48249DBF"/>
    <w:multiLevelType w:val="hybridMultilevel"/>
    <w:lvl w:ilvl="0">
      <w:lvlJc w:val="left"/>
      <w:lvlText w:val="%1:"/>
      <w:numFmt w:val="upperLetter"/>
      <w:start w:val="1"/>
    </w:lvl>
  </w:abstractNum>
  <w:abstractNum w:abstractNumId="75">
    <w:nsid w:val="1F0E5D0D"/>
    <w:multiLevelType w:val="hybridMultilevel"/>
    <w:lvl w:ilvl="0">
      <w:lvlJc w:val="left"/>
      <w:lvlText w:val="%1:"/>
      <w:numFmt w:val="upperLetter"/>
      <w:start w:val="1"/>
    </w:lvl>
  </w:abstractNum>
  <w:abstractNum w:abstractNumId="76">
    <w:nsid w:val="26BAAE9"/>
    <w:multiLevelType w:val="hybridMultilevel"/>
    <w:lvl w:ilvl="0">
      <w:lvlJc w:val="left"/>
      <w:lvlText w:val="%1:"/>
      <w:numFmt w:val="upperLetter"/>
      <w:start w:val="1"/>
    </w:lvl>
  </w:abstractNum>
  <w:abstractNum w:abstractNumId="77">
    <w:nsid w:val="2C02FE8C"/>
    <w:multiLevelType w:val="hybridMultilevel"/>
    <w:lvl w:ilvl="0">
      <w:lvlJc w:val="left"/>
      <w:lvlText w:val="%1:"/>
      <w:numFmt w:val="upperLetter"/>
      <w:start w:val="1"/>
    </w:lvl>
  </w:abstractNum>
  <w:abstractNum w:abstractNumId="78">
    <w:nsid w:val="129517E"/>
    <w:multiLevelType w:val="hybridMultilevel"/>
    <w:lvl w:ilvl="0">
      <w:lvlJc w:val="left"/>
      <w:lvlText w:val="%1:"/>
      <w:numFmt w:val="upperLetter"/>
      <w:start w:val="1"/>
    </w:lvl>
  </w:abstractNum>
  <w:abstractNum w:abstractNumId="79">
    <w:nsid w:val="763B8C4E"/>
    <w:multiLevelType w:val="hybridMultilevel"/>
    <w:lvl w:ilvl="0">
      <w:lvlJc w:val="left"/>
      <w:lvlText w:val="(%1)"/>
      <w:numFmt w:val="lowerRoman"/>
      <w:start w:val="1"/>
    </w:lvl>
  </w:abstractNum>
  <w:abstractNum w:abstractNumId="80">
    <w:nsid w:val="4CFB8D32"/>
    <w:multiLevelType w:val="hybridMultilevel"/>
    <w:lvl w:ilvl="0">
      <w:lvlJc w:val="left"/>
      <w:lvlText w:val="•"/>
      <w:numFmt w:val="bullet"/>
      <w:start w:val="1"/>
    </w:lvl>
  </w:abstractNum>
  <w:abstractNum w:abstractNumId="81">
    <w:nsid w:val="62A5D5BD"/>
    <w:multiLevelType w:val="hybridMultilevel"/>
    <w:lvl w:ilvl="0">
      <w:lvlJc w:val="left"/>
      <w:lvlText w:val="•"/>
      <w:numFmt w:val="bullet"/>
      <w:start w:val="1"/>
    </w:lvl>
  </w:abstractNum>
  <w:abstractNum w:abstractNumId="82">
    <w:nsid w:val="718FABF9"/>
    <w:multiLevelType w:val="hybridMultilevel"/>
    <w:lvl w:ilvl="0">
      <w:lvlJc w:val="left"/>
      <w:lvlText w:val="•"/>
      <w:numFmt w:val="bullet"/>
      <w:start w:val="1"/>
    </w:lvl>
  </w:abstractNum>
  <w:abstractNum w:abstractNumId="83">
    <w:nsid w:val="7775797C"/>
    <w:multiLevelType w:val="hybridMultilevel"/>
    <w:lvl w:ilvl="0">
      <w:lvlJc w:val="left"/>
      <w:lvlText w:val="•"/>
      <w:numFmt w:val="bullet"/>
      <w:start w:val="1"/>
    </w:lvl>
  </w:abstractNum>
  <w:abstractNum w:abstractNumId="84">
    <w:nsid w:val="1626FB8C"/>
    <w:multiLevelType w:val="hybridMultilevel"/>
    <w:lvl w:ilvl="0">
      <w:lvlJc w:val="left"/>
      <w:lvlText w:val="•"/>
      <w:numFmt w:val="bullet"/>
      <w:start w:val="1"/>
    </w:lvl>
  </w:abstractNum>
  <w:abstractNum w:abstractNumId="85">
    <w:nsid w:val="3957756A"/>
    <w:multiLevelType w:val="hybridMultilevel"/>
    <w:lvl w:ilvl="0">
      <w:lvlJc w:val="left"/>
      <w:lvlText w:val="•"/>
      <w:numFmt w:val="bullet"/>
      <w:start w:val="1"/>
    </w:lvl>
  </w:abstractNum>
  <w:abstractNum w:abstractNumId="86">
    <w:nsid w:val="3E6DA1C7"/>
    <w:multiLevelType w:val="hybridMultilevel"/>
    <w:lvl w:ilvl="0">
      <w:lvlJc w:val="left"/>
      <w:lvlText w:val="•"/>
      <w:numFmt w:val="bullet"/>
      <w:start w:val="1"/>
    </w:lvl>
  </w:abstractNum>
  <w:abstractNum w:abstractNumId="87">
    <w:nsid w:val="65CA235B"/>
    <w:multiLevelType w:val="hybridMultilevel"/>
    <w:lvl w:ilvl="0">
      <w:lvlJc w:val="left"/>
      <w:lvlText w:val="•"/>
      <w:numFmt w:val="bullet"/>
      <w:start w:val="1"/>
    </w:lvl>
  </w:abstractNum>
  <w:abstractNum w:abstractNumId="88">
    <w:nsid w:val="51CB0DA4"/>
    <w:multiLevelType w:val="hybridMultilevel"/>
    <w:lvl w:ilvl="0">
      <w:lvlJc w:val="left"/>
      <w:lvlText w:val="•"/>
      <w:numFmt w:val="bullet"/>
      <w:start w:val="1"/>
    </w:lvl>
  </w:abstractNum>
  <w:abstractNum w:abstractNumId="89">
    <w:nsid w:val="7B9B743C"/>
    <w:multiLevelType w:val="hybridMultilevel"/>
    <w:lvl w:ilvl="0">
      <w:lvlJc w:val="left"/>
      <w:lvlText w:val="•"/>
      <w:numFmt w:val="bullet"/>
      <w:start w:val="1"/>
    </w:lvl>
  </w:abstractNum>
  <w:abstractNum w:abstractNumId="90">
    <w:nsid w:val="13E21002"/>
    <w:multiLevelType w:val="hybridMultilevel"/>
    <w:lvl w:ilvl="0">
      <w:lvlJc w:val="left"/>
      <w:lvlText w:val="•"/>
      <w:numFmt w:val="bullet"/>
      <w:start w:val="1"/>
    </w:lvl>
  </w:abstractNum>
  <w:abstractNum w:abstractNumId="91">
    <w:nsid w:val="257D63F4"/>
    <w:multiLevelType w:val="hybridMultilevel"/>
    <w:lvl w:ilvl="0">
      <w:lvlJc w:val="left"/>
      <w:lvlText w:val="•"/>
      <w:numFmt w:val="bullet"/>
      <w:start w:val="1"/>
    </w:lvl>
  </w:abstractNum>
  <w:abstractNum w:abstractNumId="92">
    <w:nsid w:val="70EC11B2"/>
    <w:multiLevelType w:val="hybridMultilevel"/>
    <w:lvl w:ilvl="0">
      <w:lvlJc w:val="left"/>
      <w:lvlText w:val="•"/>
      <w:numFmt w:val="bullet"/>
      <w:start w:val="1"/>
    </w:lvl>
  </w:abstractNum>
  <w:abstractNum w:abstractNumId="93">
    <w:nsid w:val="2EDA00ED"/>
    <w:multiLevelType w:val="hybridMultilevel"/>
    <w:lvl w:ilvl="0">
      <w:lvlJc w:val="left"/>
      <w:lvlText w:val="(%1)"/>
      <w:numFmt w:val="decimal"/>
      <w:start w:val="1"/>
    </w:lvl>
  </w:abstractNum>
  <w:abstractNum w:abstractNumId="94">
    <w:nsid w:val="73209072"/>
    <w:multiLevelType w:val="hybridMultilevel"/>
    <w:lvl w:ilvl="0">
      <w:lvlJc w:val="left"/>
      <w:lvlText w:val="•"/>
      <w:numFmt w:val="bullet"/>
      <w:start w:val="1"/>
    </w:lvl>
  </w:abstractNum>
  <w:abstractNum w:abstractNumId="95">
    <w:nsid w:val="5FB29816"/>
    <w:multiLevelType w:val="hybridMultilevel"/>
    <w:lvl w:ilvl="0">
      <w:lvlJc w:val="left"/>
      <w:lvlText w:val="•"/>
      <w:numFmt w:val="bullet"/>
      <w:start w:val="1"/>
    </w:lvl>
    <w:lvl w:ilvl="1">
      <w:lvlJc w:val="left"/>
      <w:lvlText w:val="◦"/>
      <w:numFmt w:val="bullet"/>
      <w:start w:val="1"/>
    </w:lvl>
  </w:abstractNum>
  <w:abstractNum w:abstractNumId="96">
    <w:nsid w:val="3CE732EC"/>
    <w:multiLevelType w:val="hybridMultilevel"/>
    <w:lvl w:ilvl="0">
      <w:lvlJc w:val="left"/>
      <w:lvlText w:val="•"/>
      <w:numFmt w:val="bullet"/>
      <w:start w:val="1"/>
    </w:lvl>
  </w:abstractNum>
  <w:abstractNum w:abstractNumId="97">
    <w:nsid w:val="22F13DF3"/>
    <w:multiLevelType w:val="hybridMultilevel"/>
    <w:lvl w:ilvl="0">
      <w:lvlJc w:val="left"/>
      <w:lvlText w:val="•"/>
      <w:numFmt w:val="bullet"/>
      <w:start w:val="1"/>
    </w:lvl>
  </w:abstractNum>
  <w:abstractNum w:abstractNumId="98">
    <w:nsid w:val="792B8401"/>
    <w:multiLevelType w:val="hybridMultilevel"/>
    <w:lvl w:ilvl="0">
      <w:lvlJc w:val="left"/>
      <w:lvlText w:val="•"/>
      <w:numFmt w:val="bullet"/>
      <w:start w:val="1"/>
    </w:lvl>
  </w:abstractNum>
  <w:abstractNum w:abstractNumId="99">
    <w:nsid w:val="FA85F4D"/>
    <w:multiLevelType w:val="hybridMultilevel"/>
    <w:lvl w:ilvl="0">
      <w:lvlJc w:val="left"/>
      <w:lvlText w:val="•"/>
      <w:numFmt w:val="bullet"/>
      <w:start w:val="1"/>
    </w:lvl>
  </w:abstractNum>
  <w:abstractNum w:abstractNumId="100">
    <w:nsid w:val="6ECE91F0"/>
    <w:multiLevelType w:val="hybridMultilevel"/>
    <w:lvl w:ilvl="0">
      <w:lvlJc w:val="left"/>
      <w:lvlText w:val="•"/>
      <w:numFmt w:val="bullet"/>
      <w:start w:val="1"/>
    </w:lvl>
  </w:abstractNum>
  <w:abstractNum w:abstractNumId="101">
    <w:nsid w:val="4FC4D600"/>
    <w:multiLevelType w:val="hybridMultilevel"/>
    <w:lvl w:ilvl="0">
      <w:lvlJc w:val="left"/>
      <w:lvlText w:val="•"/>
      <w:numFmt w:val="bullet"/>
      <w:start w:val="1"/>
    </w:lvl>
  </w:abstractNum>
  <w:abstractNum w:abstractNumId="102">
    <w:nsid w:val="5BFD4210"/>
    <w:multiLevelType w:val="hybridMultilevel"/>
    <w:lvl w:ilvl="0">
      <w:lvlJc w:val="left"/>
      <w:lvlText w:val="•"/>
      <w:numFmt w:val="bullet"/>
      <w:start w:val="1"/>
    </w:lvl>
  </w:abstractNum>
  <w:abstractNum w:abstractNumId="103">
    <w:nsid w:val="76574F8B"/>
    <w:multiLevelType w:val="hybridMultilevel"/>
    <w:lvl w:ilvl="0">
      <w:lvlJc w:val="left"/>
      <w:lvlText w:val="•"/>
      <w:numFmt w:val="bullet"/>
      <w:start w:val="1"/>
    </w:lvl>
  </w:abstractNum>
  <w:abstractNum w:abstractNumId="104">
    <w:nsid w:val="178F7B67"/>
    <w:multiLevelType w:val="hybridMultilevel"/>
    <w:lvl w:ilvl="0">
      <w:lvlJc w:val="left"/>
      <w:lvlText w:val="•"/>
      <w:numFmt w:val="bullet"/>
      <w:start w:val="1"/>
    </w:lvl>
  </w:abstractNum>
  <w:abstractNum w:abstractNumId="105">
    <w:nsid w:val="2421DFCF"/>
    <w:multiLevelType w:val="hybridMultilevel"/>
    <w:lvl w:ilvl="0">
      <w:lvlJc w:val="left"/>
      <w:lvlText w:val="•"/>
      <w:numFmt w:val="bullet"/>
      <w:start w:val="1"/>
    </w:lvl>
  </w:abstractNum>
  <w:abstractNum w:abstractNumId="106">
    <w:nsid w:val="1565AC99"/>
    <w:multiLevelType w:val="hybridMultilevel"/>
    <w:lvl w:ilvl="0">
      <w:lvlJc w:val="left"/>
      <w:lvlText w:val="•"/>
      <w:numFmt w:val="bullet"/>
      <w:start w:val="1"/>
    </w:lvl>
  </w:abstractNum>
  <w:abstractNum w:abstractNumId="107">
    <w:nsid w:val="19FB2650"/>
    <w:multiLevelType w:val="hybridMultilevel"/>
    <w:lvl w:ilvl="0">
      <w:lvlJc w:val="left"/>
      <w:lvlText w:val="•"/>
      <w:numFmt w:val="bullet"/>
      <w:start w:val="1"/>
    </w:lvl>
  </w:abstractNum>
  <w:abstractNum w:abstractNumId="108">
    <w:nsid w:val="5024DE5B"/>
    <w:multiLevelType w:val="hybridMultilevel"/>
    <w:lvl w:ilvl="0">
      <w:lvlJc w:val="left"/>
      <w:lvlText w:val="•"/>
      <w:numFmt w:val="bullet"/>
      <w:start w:val="1"/>
    </w:lvl>
  </w:abstractNum>
  <w:abstractNum w:abstractNumId="109">
    <w:nsid w:val="168EFE17"/>
    <w:multiLevelType w:val="hybridMultilevel"/>
    <w:lvl w:ilvl="0">
      <w:lvlJc w:val="left"/>
      <w:lvlText w:val="•"/>
      <w:numFmt w:val="bullet"/>
      <w:start w:val="1"/>
    </w:lvl>
  </w:abstractNum>
  <w:abstractNum w:abstractNumId="110">
    <w:nsid w:val="1036B29F"/>
    <w:multiLevelType w:val="hybridMultilevel"/>
    <w:lvl w:ilvl="0">
      <w:lvlJc w:val="left"/>
      <w:lvlText w:val="•"/>
      <w:numFmt w:val="bullet"/>
      <w:start w:val="1"/>
    </w:lvl>
  </w:abstractNum>
  <w:abstractNum w:abstractNumId="111">
    <w:nsid w:val="1D206B8E"/>
    <w:multiLevelType w:val="hybridMultilevel"/>
    <w:lvl w:ilvl="0">
      <w:lvlJc w:val="left"/>
      <w:lvlText w:val="•"/>
      <w:numFmt w:val="bullet"/>
      <w:start w:val="1"/>
    </w:lvl>
  </w:abstractNum>
  <w:abstractNum w:abstractNumId="112">
    <w:nsid w:val="7934D3D4"/>
    <w:multiLevelType w:val="hybridMultilevel"/>
    <w:lvl w:ilvl="0">
      <w:lvlJc w:val="left"/>
      <w:lvlText w:val="•"/>
      <w:numFmt w:val="bullet"/>
      <w:start w:val="1"/>
    </w:lvl>
  </w:abstractNum>
  <w:abstractNum w:abstractNumId="113">
    <w:nsid w:val="1C65E98"/>
    <w:multiLevelType w:val="hybridMultilevel"/>
    <w:lvl w:ilvl="0">
      <w:lvlJc w:val="left"/>
      <w:lvlText w:val="•"/>
      <w:numFmt w:val="bullet"/>
      <w:start w:val="1"/>
    </w:lvl>
  </w:abstractNum>
  <w:abstractNum w:abstractNumId="114">
    <w:nsid w:val="1495E50A"/>
    <w:multiLevelType w:val="hybridMultilevel"/>
    <w:lvl w:ilvl="0">
      <w:lvlJc w:val="left"/>
      <w:lvlText w:val="•"/>
      <w:numFmt w:val="bullet"/>
      <w:start w:val="1"/>
    </w:lvl>
  </w:abstractNum>
  <w:abstractNum w:abstractNumId="115">
    <w:nsid w:val="F5BCF61"/>
    <w:multiLevelType w:val="hybridMultilevel"/>
    <w:lvl w:ilvl="0">
      <w:lvlJc w:val="left"/>
      <w:lvlText w:val="•"/>
      <w:numFmt w:val="bullet"/>
      <w:start w:val="1"/>
    </w:lvl>
  </w:abstractNum>
  <w:abstractNum w:abstractNumId="116">
    <w:nsid w:val="3B1DD403"/>
    <w:multiLevelType w:val="hybridMultilevel"/>
    <w:lvl w:ilvl="0">
      <w:lvlJc w:val="left"/>
      <w:lvlText w:val="•"/>
      <w:numFmt w:val="bullet"/>
      <w:start w:val="1"/>
    </w:lvl>
  </w:abstractNum>
  <w:abstractNum w:abstractNumId="117">
    <w:nsid w:val="530386D1"/>
    <w:multiLevelType w:val="hybridMultilevel"/>
    <w:lvl w:ilvl="0">
      <w:lvlJc w:val="left"/>
      <w:lvlText w:val="•"/>
      <w:numFmt w:val="bullet"/>
      <w:start w:val="1"/>
    </w:lvl>
  </w:abstractNum>
  <w:abstractNum w:abstractNumId="118">
    <w:nsid w:val="7525F2BC"/>
    <w:multiLevelType w:val="hybridMultilevel"/>
    <w:lvl w:ilvl="0">
      <w:lvlJc w:val="left"/>
      <w:lvlText w:val="•"/>
      <w:numFmt w:val="bullet"/>
      <w:start w:val="1"/>
    </w:lvl>
  </w:abstractNum>
  <w:abstractNum w:abstractNumId="119">
    <w:nsid w:val="CE8E1A7"/>
    <w:multiLevelType w:val="hybridMultilevel"/>
    <w:lvl w:ilvl="0">
      <w:lvlJc w:val="left"/>
      <w:lvlText w:val="•"/>
      <w:numFmt w:val="bullet"/>
      <w:start w:val="1"/>
    </w:lvl>
  </w:abstractNum>
  <w:abstractNum w:abstractNumId="120">
    <w:nsid w:val="4E9EFB0D"/>
    <w:multiLevelType w:val="hybridMultilevel"/>
    <w:lvl w:ilvl="0">
      <w:lvlJc w:val="left"/>
      <w:lvlText w:val="•"/>
      <w:numFmt w:val="bullet"/>
      <w:start w:val="1"/>
    </w:lvl>
  </w:abstractNum>
  <w:abstractNum w:abstractNumId="121">
    <w:nsid w:val="90802BE"/>
    <w:multiLevelType w:val="hybridMultilevel"/>
    <w:lvl w:ilvl="0">
      <w:lvlJc w:val="left"/>
      <w:lvlText w:val="•"/>
      <w:numFmt w:val="bullet"/>
      <w:start w:val="1"/>
    </w:lvl>
  </w:abstractNum>
  <w:abstractNum w:abstractNumId="122">
    <w:nsid w:val="3266459B"/>
    <w:multiLevelType w:val="hybridMultilevel"/>
    <w:lvl w:ilvl="0">
      <w:lvlJc w:val="left"/>
      <w:lvlText w:val="•"/>
      <w:numFmt w:val="bullet"/>
      <w:start w:val="1"/>
    </w:lvl>
  </w:abstractNum>
  <w:abstractNum w:abstractNumId="123">
    <w:nsid w:val="3F8B0CBF"/>
    <w:multiLevelType w:val="hybridMultilevel"/>
    <w:lvl w:ilvl="0">
      <w:lvlJc w:val="left"/>
      <w:lvlText w:val="•"/>
      <w:numFmt w:val="bullet"/>
      <w:start w:val="1"/>
    </w:lvl>
  </w:abstractNum>
  <w:abstractNum w:abstractNumId="124">
    <w:nsid w:val="37E203AB"/>
    <w:multiLevelType w:val="hybridMultilevel"/>
    <w:lvl w:ilvl="0">
      <w:lvlJc w:val="left"/>
      <w:lvlText w:val="%1."/>
      <w:numFmt w:val="decimal"/>
      <w:start w:val="1"/>
    </w:lvl>
  </w:abstractNum>
  <w:abstractNum w:abstractNumId="125">
    <w:nsid w:val="2586D60E"/>
    <w:multiLevelType w:val="hybridMultilevel"/>
    <w:lvl w:ilvl="0">
      <w:lvlJc w:val="left"/>
      <w:lvlText w:val="%1."/>
      <w:numFmt w:val="decimal"/>
      <w:start w:val="2"/>
    </w:lvl>
  </w:abstractNum>
  <w:abstractNum w:abstractNumId="126">
    <w:nsid w:val="1F3DA4D5"/>
    <w:multiLevelType w:val="hybridMultilevel"/>
    <w:lvl w:ilvl="0">
      <w:lvlJc w:val="left"/>
      <w:lvlText w:val="•"/>
      <w:numFmt w:val="bullet"/>
      <w:start w:val="1"/>
    </w:lvl>
  </w:abstractNum>
  <w:abstractNum w:abstractNumId="127">
    <w:nsid w:val="74C93698"/>
    <w:multiLevelType w:val="hybridMultilevel"/>
    <w:lvl w:ilvl="0">
      <w:lvlJc w:val="left"/>
      <w:lvlText w:val="•"/>
      <w:numFmt w:val="bullet"/>
      <w:start w:val="1"/>
    </w:lvl>
  </w:abstractNum>
  <w:abstractNum w:abstractNumId="128">
    <w:nsid w:val="48781401"/>
    <w:multiLevelType w:val="hybridMultilevel"/>
    <w:lvl w:ilvl="0">
      <w:lvlJc w:val="left"/>
      <w:lvlText w:val="%1."/>
      <w:numFmt w:val="decimal"/>
      <w:start w:val="3"/>
    </w:lvl>
  </w:abstractNum>
  <w:abstractNum w:abstractNumId="129">
    <w:nsid w:val="186928D6"/>
    <w:multiLevelType w:val="hybridMultilevel"/>
    <w:lvl w:ilvl="0">
      <w:lvlJc w:val="left"/>
      <w:lvlText w:val="•"/>
      <w:numFmt w:val="bullet"/>
      <w:start w:val="1"/>
    </w:lvl>
  </w:abstractNum>
  <w:abstractNum w:abstractNumId="130">
    <w:nsid w:val="47195E5"/>
    <w:multiLevelType w:val="hybridMultilevel"/>
    <w:lvl w:ilvl="0">
      <w:lvlJc w:val="left"/>
      <w:lvlText w:val="%1."/>
      <w:numFmt w:val="decimal"/>
      <w:start w:val="3"/>
    </w:lvl>
    <w:lvl w:ilvl="1">
      <w:lvlJc w:val="left"/>
      <w:lvlText w:val="•"/>
      <w:numFmt w:val="bullet"/>
      <w:start w:val="1"/>
    </w:lvl>
  </w:abstractNum>
  <w:abstractNum w:abstractNumId="131">
    <w:nsid w:val="3746A5F2"/>
    <w:multiLevelType w:val="hybridMultilevel"/>
    <w:lvl w:ilvl="0">
      <w:lvlJc w:val="left"/>
      <w:lvlText w:val="(%1)"/>
      <w:numFmt w:val="decimal"/>
      <w:start w:val="1"/>
    </w:lvl>
  </w:abstractNum>
  <w:abstractNum w:abstractNumId="132">
    <w:nsid w:val="682DFED6"/>
    <w:multiLevelType w:val="hybridMultilevel"/>
    <w:lvl w:ilvl="0">
      <w:lvlJc w:val="left"/>
      <w:lvlText w:val="%1."/>
      <w:numFmt w:val="decimal"/>
      <w:start w:val="5"/>
    </w:lvl>
  </w:abstractNum>
  <w:abstractNum w:abstractNumId="133">
    <w:nsid w:val="606ED7F6"/>
    <w:multiLevelType w:val="hybridMultilevel"/>
    <w:lvl w:ilvl="0">
      <w:lvlJc w:val="left"/>
      <w:lvlText w:val="(%1)"/>
      <w:numFmt w:val="upperLetter"/>
      <w:start w:val="1"/>
    </w:lvl>
  </w:abstractNum>
  <w:abstractNum w:abstractNumId="134">
    <w:nsid w:val="2D9DF57D"/>
    <w:multiLevelType w:val="hybridMultilevel"/>
    <w:lvl w:ilvl="0">
      <w:lvlJc w:val="left"/>
      <w:lvlText w:val="(%1)"/>
      <w:numFmt w:val="lowerLetter"/>
      <w:start w:val="1"/>
    </w:lvl>
  </w:abstractNum>
  <w:abstractNum w:abstractNumId="135">
    <w:nsid w:val="7FBD7A3E"/>
    <w:multiLevelType w:val="hybridMultilevel"/>
    <w:lvl w:ilvl="0">
      <w:lvlJc w:val="left"/>
      <w:lvlText w:val="(%1)"/>
      <w:numFmt w:val="lowerLetter"/>
      <w:start w:val="2"/>
    </w:lvl>
  </w:abstractNum>
  <w:abstractNum w:abstractNumId="136">
    <w:nsid w:val="490B7C5"/>
    <w:multiLevelType w:val="hybridMultilevel"/>
    <w:lvl w:ilvl="0">
      <w:lvlJc w:val="left"/>
      <w:lvlText w:val="(%1)"/>
      <w:numFmt w:val="lowerRoman"/>
      <w:start w:val="1"/>
    </w:lvl>
  </w:abstractNum>
  <w:abstractNum w:abstractNumId="137">
    <w:nsid w:val="4303A216"/>
    <w:multiLevelType w:val="hybridMultilevel"/>
    <w:lvl w:ilvl="0">
      <w:lvlJc w:val="left"/>
      <w:lvlText w:val="%1."/>
      <w:numFmt w:val="decimal"/>
      <w:start w:val="6"/>
    </w:lvl>
  </w:abstractNum>
  <w:abstractNum w:abstractNumId="138">
    <w:nsid w:val="19B8A08E"/>
    <w:multiLevelType w:val="hybridMultilevel"/>
    <w:lvl w:ilvl="0">
      <w:lvlJc w:val="left"/>
      <w:lvlText w:val="(%1)"/>
      <w:numFmt w:val="upperLetter"/>
      <w:start w:val="1"/>
    </w:lvl>
  </w:abstractNum>
  <w:abstractNum w:abstractNumId="139">
    <w:nsid w:val="54B59621"/>
    <w:multiLevelType w:val="hybridMultilevel"/>
    <w:lvl w:ilvl="0">
      <w:lvlJc w:val="left"/>
      <w:lvlText w:val="(%1)"/>
      <w:numFmt w:val="lowerLetter"/>
      <w:start w:val="1"/>
    </w:lvl>
  </w:abstractNum>
  <w:abstractNum w:abstractNumId="140">
    <w:nsid w:val="5992A02E"/>
    <w:multiLevelType w:val="hybridMultilevel"/>
    <w:lvl w:ilvl="0">
      <w:lvlJc w:val="left"/>
      <w:lvlText w:val="•"/>
      <w:numFmt w:val="bullet"/>
      <w:start w:val="1"/>
    </w:lvl>
  </w:abstractNum>
  <w:abstractNum w:abstractNumId="141">
    <w:nsid w:val="29EF532D"/>
    <w:multiLevelType w:val="hybridMultilevel"/>
    <w:lvl w:ilvl="0">
      <w:lvlJc w:val="left"/>
      <w:lvlText w:val="•"/>
      <w:numFmt w:val="bullet"/>
      <w:start w:val="1"/>
    </w:lvl>
  </w:abstractNum>
  <w:abstractNum w:abstractNumId="142">
    <w:nsid w:val="71D601AF"/>
    <w:multiLevelType w:val="hybridMultilevel"/>
    <w:lvl w:ilvl="0">
      <w:lvlJc w:val="left"/>
      <w:lvlText w:val="•"/>
      <w:numFmt w:val="bullet"/>
      <w:start w:val="1"/>
    </w:lvl>
  </w:abstractNum>
  <w:abstractNum w:abstractNumId="143">
    <w:nsid w:val="52C77402"/>
    <w:multiLevelType w:val="hybridMultilevel"/>
    <w:lvl w:ilvl="0">
      <w:lvlJc w:val="left"/>
      <w:lvlText w:val="•"/>
      <w:numFmt w:val="bullet"/>
      <w:start w:val="1"/>
    </w:lvl>
  </w:abstractNum>
  <w:abstractNum w:abstractNumId="144">
    <w:nsid w:val="2BB5B1C6"/>
    <w:multiLevelType w:val="hybridMultilevel"/>
    <w:lvl w:ilvl="0">
      <w:lvlJc w:val="left"/>
      <w:lvlText w:val="•"/>
      <w:numFmt w:val="bullet"/>
      <w:start w:val="1"/>
    </w:lvl>
  </w:abstractNum>
  <w:abstractNum w:abstractNumId="145">
    <w:nsid w:val="66BE6B9"/>
    <w:multiLevelType w:val="hybridMultilevel"/>
    <w:lvl w:ilvl="0">
      <w:lvlJc w:val="left"/>
      <w:lvlText w:val="(%1)"/>
      <w:numFmt w:val="lowerLetter"/>
      <w:start w:val="1"/>
    </w:lvl>
  </w:abstractNum>
  <w:abstractNum w:abstractNumId="146">
    <w:nsid w:val="62234363"/>
    <w:multiLevelType w:val="hybridMultilevel"/>
    <w:lvl w:ilvl="0">
      <w:lvlJc w:val="left"/>
      <w:lvlText w:val="(%1)"/>
      <w:numFmt w:val="lowerLetter"/>
      <w:start w:val="3"/>
    </w:lvl>
  </w:abstractNum>
  <w:abstractNum w:abstractNumId="147">
    <w:nsid w:val="66D385C9"/>
    <w:multiLevelType w:val="hybridMultilevel"/>
    <w:lvl w:ilvl="0">
      <w:lvlJc w:val="left"/>
      <w:lvlText w:val="(%1)"/>
      <w:numFmt w:val="lowerRoman"/>
      <w:start w:val="2"/>
    </w:lvl>
  </w:abstractNum>
  <w:abstractNum w:abstractNumId="148">
    <w:nsid w:val="596F6D8A"/>
    <w:multiLevelType w:val="hybridMultilevel"/>
    <w:lvl w:ilvl="0">
      <w:lvlJc w:val="left"/>
      <w:lvlText w:val="•"/>
      <w:numFmt w:val="bullet"/>
      <w:start w:val="1"/>
    </w:lvl>
    <w:lvl w:ilvl="1">
      <w:lvlJc w:val="left"/>
      <w:lvlText w:val="(%2)"/>
      <w:numFmt w:val="lowerRoman"/>
      <w:start w:val="5"/>
    </w:lvl>
  </w:abstractNum>
  <w:abstractNum w:abstractNumId="149">
    <w:nsid w:val="5749361F"/>
    <w:multiLevelType w:val="hybridMultilevel"/>
    <w:lvl w:ilvl="0">
      <w:lvlJc w:val="left"/>
      <w:lvlText w:val="•"/>
      <w:numFmt w:val="bullet"/>
      <w:start w:val="1"/>
    </w:lvl>
  </w:abstractNum>
  <w:abstractNum w:abstractNumId="150">
    <w:nsid w:val="73BC6770"/>
    <w:multiLevelType w:val="hybridMultilevel"/>
    <w:lvl w:ilvl="0">
      <w:lvlJc w:val="left"/>
      <w:lvlText w:val="•"/>
      <w:numFmt w:val="bullet"/>
      <w:start w:val="1"/>
    </w:lvl>
  </w:abstractNum>
  <w:abstractNum w:abstractNumId="151">
    <w:nsid w:val="280E6897"/>
    <w:multiLevelType w:val="hybridMultilevel"/>
    <w:lvl w:ilvl="0">
      <w:lvlJc w:val="left"/>
      <w:lvlText w:val="•"/>
      <w:numFmt w:val="bullet"/>
      <w:start w:val="1"/>
    </w:lvl>
  </w:abstractNum>
  <w:abstractNum w:abstractNumId="152">
    <w:nsid w:val="605138DE"/>
    <w:multiLevelType w:val="hybridMultilevel"/>
    <w:lvl w:ilvl="0">
      <w:lvlJc w:val="left"/>
      <w:lvlText w:val="•"/>
      <w:numFmt w:val="bullet"/>
      <w:start w:val="1"/>
    </w:lvl>
  </w:abstractNum>
  <w:abstractNum w:abstractNumId="153">
    <w:nsid w:val="2622AD0C"/>
    <w:multiLevelType w:val="hybridMultilevel"/>
    <w:lvl w:ilvl="0">
      <w:lvlJc w:val="left"/>
      <w:lvlText w:val="(%1)"/>
      <w:numFmt w:val="lowerLetter"/>
      <w:start w:val="3"/>
    </w:lvl>
  </w:abstractNum>
  <w:abstractNum w:abstractNumId="154">
    <w:nsid w:val="67997556"/>
    <w:multiLevelType w:val="hybridMultilevel"/>
    <w:lvl w:ilvl="0">
      <w:lvlJc w:val="left"/>
      <w:lvlText w:val="•"/>
      <w:numFmt w:val="bullet"/>
      <w:start w:val="1"/>
    </w:lvl>
  </w:abstractNum>
  <w:abstractNum w:abstractNumId="155">
    <w:nsid w:val="18333C89"/>
    <w:multiLevelType w:val="hybridMultilevel"/>
    <w:lvl w:ilvl="0">
      <w:lvlJc w:val="left"/>
      <w:lvlText w:val="•"/>
      <w:numFmt w:val="bullet"/>
      <w:start w:val="1"/>
    </w:lvl>
  </w:abstractNum>
  <w:abstractNum w:abstractNumId="156">
    <w:nsid w:val="4BA9831A"/>
    <w:multiLevelType w:val="hybridMultilevel"/>
    <w:lvl w:ilvl="0">
      <w:lvlJc w:val="left"/>
      <w:lvlText w:val="•"/>
      <w:numFmt w:val="bullet"/>
      <w:start w:val="1"/>
    </w:lvl>
  </w:abstractNum>
  <w:abstractNum w:abstractNumId="157">
    <w:nsid w:val="6D71A2B"/>
    <w:multiLevelType w:val="hybridMultilevel"/>
    <w:lvl w:ilvl="0">
      <w:lvlJc w:val="left"/>
      <w:lvlText w:val="•"/>
      <w:numFmt w:val="bullet"/>
      <w:start w:val="1"/>
    </w:lvl>
  </w:abstractNum>
  <w:abstractNum w:abstractNumId="158">
    <w:nsid w:val="CFC7321"/>
    <w:multiLevelType w:val="hybridMultilevel"/>
    <w:lvl w:ilvl="0">
      <w:lvlJc w:val="left"/>
      <w:lvlText w:val="•"/>
      <w:numFmt w:val="bullet"/>
      <w:start w:val="1"/>
    </w:lvl>
  </w:abstractNum>
  <w:abstractNum w:abstractNumId="159">
    <w:nsid w:val="1421971B"/>
    <w:multiLevelType w:val="hybridMultilevel"/>
    <w:lvl w:ilvl="0">
      <w:lvlJc w:val="left"/>
      <w:lvlText w:val="•"/>
      <w:numFmt w:val="bullet"/>
      <w:start w:val="1"/>
    </w:lvl>
  </w:abstractNum>
  <w:abstractNum w:abstractNumId="160">
    <w:nsid w:val="1F404301"/>
    <w:multiLevelType w:val="hybridMultilevel"/>
    <w:lvl w:ilvl="0">
      <w:lvlJc w:val="left"/>
      <w:lvlText w:val="(%1)"/>
      <w:numFmt w:val="lowerRoman"/>
      <w:start w:val="2"/>
    </w:lvl>
  </w:abstractNum>
  <w:abstractNum w:abstractNumId="161">
    <w:nsid w:val="116E0907"/>
    <w:multiLevelType w:val="hybridMultilevel"/>
    <w:lvl w:ilvl="0">
      <w:lvlJc w:val="left"/>
      <w:lvlText w:val="•"/>
      <w:numFmt w:val="bullet"/>
      <w:start w:val="1"/>
    </w:lvl>
  </w:abstractNum>
  <w:abstractNum w:abstractNumId="162">
    <w:nsid w:val="4B683D0D"/>
    <w:multiLevelType w:val="hybridMultilevel"/>
    <w:lvl w:ilvl="0">
      <w:lvlJc w:val="left"/>
      <w:lvlText w:val="•"/>
      <w:numFmt w:val="bullet"/>
      <w:start w:val="1"/>
    </w:lvl>
  </w:abstractNum>
  <w:abstractNum w:abstractNumId="163">
    <w:nsid w:val="76E41D8"/>
    <w:multiLevelType w:val="hybridMultilevel"/>
    <w:lvl w:ilvl="0">
      <w:lvlJc w:val="left"/>
      <w:lvlText w:val="•"/>
      <w:numFmt w:val="bullet"/>
      <w:start w:val="1"/>
    </w:lvl>
  </w:abstractNum>
  <w:abstractNum w:abstractNumId="164">
    <w:nsid w:val="71DCE0FD"/>
    <w:multiLevelType w:val="hybridMultilevel"/>
    <w:lvl w:ilvl="0">
      <w:lvlJc w:val="left"/>
      <w:lvlText w:val="•"/>
      <w:numFmt w:val="bullet"/>
      <w:start w:val="1"/>
    </w:lvl>
  </w:abstractNum>
  <w:abstractNum w:abstractNumId="165">
    <w:nsid w:val="7906328B"/>
    <w:multiLevelType w:val="hybridMultilevel"/>
    <w:lvl w:ilvl="0">
      <w:lvlJc w:val="left"/>
      <w:lvlText w:val="•"/>
      <w:numFmt w:val="bullet"/>
      <w:start w:val="1"/>
    </w:lvl>
  </w:abstractNum>
  <w:abstractNum w:abstractNumId="166">
    <w:nsid w:val="72BBC16"/>
    <w:multiLevelType w:val="hybridMultilevel"/>
    <w:lvl w:ilvl="0">
      <w:lvlJc w:val="left"/>
      <w:lvlText w:val="•"/>
      <w:numFmt w:val="bullet"/>
      <w:start w:val="1"/>
    </w:lvl>
  </w:abstractNum>
  <w:abstractNum w:abstractNumId="167">
    <w:nsid w:val="766D98C2"/>
    <w:multiLevelType w:val="hybridMultilevel"/>
    <w:lvl w:ilvl="0">
      <w:lvlJc w:val="left"/>
      <w:lvlText w:val="•"/>
      <w:numFmt w:val="bullet"/>
      <w:start w:val="1"/>
    </w:lvl>
  </w:abstractNum>
  <w:abstractNum w:abstractNumId="168">
    <w:nsid w:val="3C09D4A1"/>
    <w:multiLevelType w:val="hybridMultilevel"/>
    <w:lvl w:ilvl="0">
      <w:lvlJc w:val="left"/>
      <w:lvlText w:val="•"/>
      <w:numFmt w:val="bullet"/>
      <w:start w:val="1"/>
    </w:lvl>
  </w:abstractNum>
  <w:abstractNum w:abstractNumId="169">
    <w:nsid w:val="20E45CA4"/>
    <w:multiLevelType w:val="hybridMultilevel"/>
    <w:lvl w:ilvl="0">
      <w:lvlJc w:val="left"/>
      <w:lvlText w:val="•"/>
      <w:numFmt w:val="bullet"/>
      <w:start w:val="1"/>
    </w:lvl>
  </w:abstractNum>
  <w:abstractNum w:abstractNumId="170">
    <w:nsid w:val="4B232EE3"/>
    <w:multiLevelType w:val="hybridMultilevel"/>
    <w:lvl w:ilvl="0">
      <w:lvlJc w:val="left"/>
      <w:lvlText w:val="•"/>
      <w:numFmt w:val="bullet"/>
      <w:start w:val="1"/>
    </w:lvl>
  </w:abstractNum>
  <w:abstractNum w:abstractNumId="171">
    <w:nsid w:val="159C74CF"/>
    <w:multiLevelType w:val="hybridMultilevel"/>
    <w:lvl w:ilvl="0">
      <w:lvlJc w:val="left"/>
      <w:lvlText w:val="%1."/>
      <w:numFmt w:val="decimal"/>
      <w:start w:val="1"/>
    </w:lvl>
  </w:abstractNum>
  <w:abstractNum w:abstractNumId="172">
    <w:nsid w:val="4AD3AFD2"/>
    <w:multiLevelType w:val="hybridMultilevel"/>
    <w:lvl w:ilvl="0">
      <w:lvlJc w:val="left"/>
      <w:lvlText w:val="•"/>
      <w:numFmt w:val="bullet"/>
      <w:start w:val="1"/>
    </w:lvl>
  </w:abstractNum>
  <w:abstractNum w:abstractNumId="173">
    <w:nsid w:val="3CF93092"/>
    <w:multiLevelType w:val="hybridMultilevel"/>
    <w:lvl w:ilvl="0">
      <w:lvlJc w:val="left"/>
      <w:lvlText w:val="%1."/>
      <w:numFmt w:val="decimal"/>
      <w:start w:val="1"/>
    </w:lvl>
  </w:abstractNum>
  <w:abstractNum w:abstractNumId="174">
    <w:nsid w:val="6863E8D2"/>
    <w:multiLevelType w:val="hybridMultilevel"/>
    <w:lvl w:ilvl="0">
      <w:lvlJc w:val="left"/>
      <w:lvlText w:val="•"/>
      <w:numFmt w:val="bullet"/>
      <w:start w:val="1"/>
    </w:lvl>
  </w:abstractNum>
  <w:abstractNum w:abstractNumId="175">
    <w:nsid w:val="76896198"/>
    <w:multiLevelType w:val="hybridMultilevel"/>
    <w:lvl w:ilvl="0">
      <w:lvlJc w:val="left"/>
      <w:lvlText w:val="•"/>
      <w:numFmt w:val="bullet"/>
      <w:start w:val="1"/>
    </w:lvl>
  </w:abstractNum>
  <w:abstractNum w:abstractNumId="176">
    <w:nsid w:val="4365174B"/>
    <w:multiLevelType w:val="hybridMultilevel"/>
    <w:lvl w:ilvl="0">
      <w:lvlJc w:val="left"/>
      <w:lvlText w:val="•"/>
      <w:numFmt w:val="bullet"/>
      <w:start w:val="1"/>
    </w:lvl>
  </w:abstractNum>
  <w:abstractNum w:abstractNumId="177">
    <w:nsid w:val="4A872C35"/>
    <w:multiLevelType w:val="hybridMultilevel"/>
    <w:lvl w:ilvl="0">
      <w:lvlJc w:val="left"/>
      <w:lvlText w:val="•"/>
      <w:numFmt w:val="bullet"/>
      <w:start w:val="1"/>
    </w:lvl>
  </w:abstractNum>
  <w:abstractNum w:abstractNumId="178">
    <w:nsid w:val="5D5CE761"/>
    <w:multiLevelType w:val="hybridMultilevel"/>
    <w:lvl w:ilvl="0">
      <w:lvlJc w:val="left"/>
      <w:lvlText w:val="•"/>
      <w:numFmt w:val="bullet"/>
      <w:start w:val="1"/>
    </w:lvl>
  </w:abstractNum>
  <w:abstractNum w:abstractNumId="179">
    <w:nsid w:val="1CD484D5"/>
    <w:multiLevelType w:val="hybridMultilevel"/>
    <w:lvl w:ilvl="0">
      <w:lvlJc w:val="left"/>
      <w:lvlText w:val="(%1)"/>
      <w:numFmt w:val="decimal"/>
      <w:start w:val="1"/>
    </w:lvl>
  </w:abstractNum>
  <w:abstractNum w:abstractNumId="180">
    <w:nsid w:val="21D06255"/>
    <w:multiLevelType w:val="hybridMultilevel"/>
    <w:lvl w:ilvl="0">
      <w:lvlJc w:val="left"/>
      <w:lvlText w:val="•"/>
      <w:numFmt w:val="bullet"/>
      <w:start w:val="1"/>
    </w:lvl>
    <w:lvl w:ilvl="1">
      <w:lvlJc w:val="left"/>
      <w:lvlText w:val="◦"/>
      <w:numFmt w:val="bullet"/>
      <w:start w:val="1"/>
    </w:lvl>
  </w:abstractNum>
  <w:abstractNum w:abstractNumId="181">
    <w:nsid w:val="51194ED1"/>
    <w:multiLevelType w:val="hybridMultilevel"/>
    <w:lvl w:ilvl="0">
      <w:lvlJc w:val="left"/>
      <w:lvlText w:val="•"/>
      <w:numFmt w:val="bullet"/>
      <w:start w:val="1"/>
    </w:lvl>
  </w:abstractNum>
  <w:abstractNum w:abstractNumId="182">
    <w:nsid w:val="44E2ED6C"/>
    <w:multiLevelType w:val="hybridMultilevel"/>
    <w:lvl w:ilvl="0">
      <w:lvlJc w:val="left"/>
      <w:lvlText w:val="•"/>
      <w:numFmt w:val="bullet"/>
      <w:start w:val="1"/>
    </w:lvl>
  </w:abstractNum>
  <w:abstractNum w:abstractNumId="183">
    <w:nsid w:val="2219B33"/>
    <w:multiLevelType w:val="hybridMultilevel"/>
    <w:lvl w:ilvl="0">
      <w:lvlJc w:val="left"/>
      <w:lvlText w:val="(%1)"/>
      <w:numFmt w:val="decimal"/>
      <w:start w:val="1"/>
    </w:lvl>
  </w:abstractNum>
  <w:abstractNum w:abstractNumId="184">
    <w:nsid w:val="773BFBDD"/>
    <w:multiLevelType w:val="hybridMultilevel"/>
    <w:lvl w:ilvl="0">
      <w:lvlJc w:val="left"/>
      <w:lvlText w:val="•"/>
      <w:numFmt w:val="bullet"/>
      <w:start w:val="1"/>
    </w:lvl>
  </w:abstractNum>
  <w:abstractNum w:abstractNumId="185">
    <w:nsid w:val="2C7C62C2"/>
    <w:multiLevelType w:val="hybridMultilevel"/>
    <w:lvl w:ilvl="0">
      <w:lvlJc w:val="left"/>
      <w:lvlText w:val="•"/>
      <w:numFmt w:val="bullet"/>
      <w:start w:val="1"/>
    </w:lvl>
  </w:abstractNum>
  <w:abstractNum w:abstractNumId="186">
    <w:nsid w:val="1A54D7BC"/>
    <w:multiLevelType w:val="hybridMultilevel"/>
    <w:lvl w:ilvl="0">
      <w:lvlJc w:val="left"/>
      <w:lvlText w:val="•"/>
      <w:numFmt w:val="bullet"/>
      <w:start w:val="1"/>
    </w:lvl>
  </w:abstractNum>
  <w:abstractNum w:abstractNumId="187">
    <w:nsid w:val="42E57EF7"/>
    <w:multiLevelType w:val="hybridMultilevel"/>
    <w:lvl w:ilvl="0">
      <w:lvlJc w:val="left"/>
      <w:lvlText w:val="•"/>
      <w:numFmt w:val="bullet"/>
      <w:start w:val="1"/>
    </w:lvl>
  </w:abstractNum>
  <w:abstractNum w:abstractNumId="188">
    <w:nsid w:val="33537CED"/>
    <w:multiLevelType w:val="hybridMultilevel"/>
    <w:lvl w:ilvl="0">
      <w:lvlJc w:val="left"/>
      <w:lvlText w:val="•"/>
      <w:numFmt w:val="bullet"/>
      <w:start w:val="1"/>
    </w:lvl>
  </w:abstractNum>
  <w:abstractNum w:abstractNumId="189">
    <w:nsid w:val="27514ADE"/>
    <w:multiLevelType w:val="hybridMultilevel"/>
    <w:lvl w:ilvl="0">
      <w:lvlJc w:val="left"/>
      <w:lvlText w:val="•"/>
      <w:numFmt w:val="bullet"/>
      <w:start w:val="1"/>
    </w:lvl>
  </w:abstractNum>
  <w:abstractNum w:abstractNumId="190">
    <w:nsid w:val="57071613"/>
    <w:multiLevelType w:val="hybridMultilevel"/>
    <w:lvl w:ilvl="0">
      <w:lvlJc w:val="left"/>
      <w:lvlText w:val="•"/>
      <w:numFmt w:val="bullet"/>
      <w:start w:val="1"/>
    </w:lvl>
  </w:abstractNum>
  <w:abstractNum w:abstractNumId="191">
    <w:nsid w:val="5293BFEF"/>
    <w:multiLevelType w:val="hybridMultilevel"/>
    <w:lvl w:ilvl="0">
      <w:lvlJc w:val="left"/>
      <w:lvlText w:val="•"/>
      <w:numFmt w:val="bullet"/>
      <w:start w:val="1"/>
    </w:lvl>
  </w:abstractNum>
  <w:abstractNum w:abstractNumId="192">
    <w:nsid w:val="38BF53E5"/>
    <w:multiLevelType w:val="hybridMultilevel"/>
    <w:lvl w:ilvl="0">
      <w:lvlJc w:val="left"/>
      <w:lvlText w:val="•"/>
      <w:numFmt w:val="bullet"/>
      <w:start w:val="1"/>
    </w:lvl>
  </w:abstractNum>
  <w:abstractNum w:abstractNumId="193">
    <w:nsid w:val="226F5320"/>
    <w:multiLevelType w:val="hybridMultilevel"/>
    <w:lvl w:ilvl="0">
      <w:lvlJc w:val="left"/>
      <w:lvlText w:val="•"/>
      <w:numFmt w:val="bullet"/>
      <w:start w:val="1"/>
    </w:lvl>
  </w:abstractNum>
  <w:abstractNum w:abstractNumId="194">
    <w:nsid w:val="5A0201C7"/>
    <w:multiLevelType w:val="hybridMultilevel"/>
    <w:lvl w:ilvl="0">
      <w:lvlJc w:val="left"/>
      <w:lvlText w:val="•"/>
      <w:numFmt w:val="bullet"/>
      <w:start w:val="1"/>
    </w:lvl>
  </w:abstractNum>
  <w:abstractNum w:abstractNumId="195">
    <w:nsid w:val="2A9C34E2"/>
    <w:multiLevelType w:val="hybridMultilevel"/>
    <w:lvl w:ilvl="0">
      <w:lvlJc w:val="left"/>
      <w:lvlText w:val="•"/>
      <w:numFmt w:val="bullet"/>
      <w:start w:val="1"/>
    </w:lvl>
  </w:abstractNum>
  <w:abstractNum w:abstractNumId="196">
    <w:nsid w:val="1B7585AB"/>
    <w:multiLevelType w:val="hybridMultilevel"/>
    <w:lvl w:ilvl="0">
      <w:lvlJc w:val="left"/>
      <w:lvlText w:val="%1."/>
      <w:numFmt w:val="decimal"/>
      <w:start w:val="1"/>
    </w:lvl>
  </w:abstractNum>
  <w:abstractNum w:abstractNumId="197">
    <w:nsid w:val="612DBDDD"/>
    <w:multiLevelType w:val="hybridMultilevel"/>
    <w:lvl w:ilvl="0">
      <w:lvlJc w:val="left"/>
      <w:lvlText w:val="%1."/>
      <w:numFmt w:val="decimal"/>
      <w:start w:val="1"/>
    </w:lvl>
  </w:abstractNum>
  <w:abstractNum w:abstractNumId="198">
    <w:nsid w:val="2109CDA4"/>
    <w:multiLevelType w:val="hybridMultilevel"/>
    <w:lvl w:ilvl="0">
      <w:lvlJc w:val="left"/>
      <w:lvlText w:val="%1."/>
      <w:numFmt w:val="decimal"/>
      <w:start w:val="1"/>
    </w:lvl>
  </w:abstractNum>
  <w:abstractNum w:abstractNumId="199">
    <w:nsid w:val="577F5A4D"/>
    <w:multiLevelType w:val="hybridMultilevel"/>
    <w:lvl w:ilvl="0">
      <w:lvlJc w:val="left"/>
      <w:lvlText w:val="%1."/>
      <w:numFmt w:val="decimal"/>
      <w:start w:val="4"/>
    </w:lvl>
  </w:abstractNum>
  <w:abstractNum w:abstractNumId="200">
    <w:nsid w:val="2121A81"/>
    <w:multiLevelType w:val="hybridMultilevel"/>
    <w:lvl w:ilvl="0">
      <w:lvlJc w:val="left"/>
      <w:lvlText w:val="•"/>
      <w:numFmt w:val="bullet"/>
      <w:start w:val="1"/>
    </w:lvl>
  </w:abstractNum>
  <w:abstractNum w:abstractNumId="201">
    <w:nsid w:val="6C2CFC88"/>
    <w:multiLevelType w:val="hybridMultilevel"/>
    <w:lvl w:ilvl="0">
      <w:lvlJc w:val="left"/>
      <w:lvlText w:val="•"/>
      <w:numFmt w:val="bullet"/>
      <w:start w:val="1"/>
    </w:lvl>
  </w:abstractNum>
  <w:abstractNum w:abstractNumId="202">
    <w:nsid w:val="6D1BCF1C"/>
    <w:multiLevelType w:val="hybridMultilevel"/>
    <w:lvl w:ilvl="0">
      <w:lvlJc w:val="left"/>
      <w:lvlText w:val="•"/>
      <w:numFmt w:val="bullet"/>
      <w:start w:val="1"/>
    </w:lvl>
  </w:abstractNum>
  <w:abstractNum w:abstractNumId="203">
    <w:nsid w:val="4CE5CA53"/>
    <w:multiLevelType w:val="hybridMultilevel"/>
    <w:lvl w:ilvl="0">
      <w:lvlJc w:val="left"/>
      <w:lvlText w:val="•"/>
      <w:numFmt w:val="bullet"/>
      <w:start w:val="1"/>
    </w:lvl>
  </w:abstractNum>
  <w:abstractNum w:abstractNumId="204">
    <w:nsid w:val="29262D1A"/>
    <w:multiLevelType w:val="hybridMultilevel"/>
    <w:lvl w:ilvl="0">
      <w:lvlJc w:val="left"/>
      <w:lvlText w:val="(%1)"/>
      <w:numFmt w:val="decimal"/>
      <w:start w:val="1"/>
    </w:lvl>
  </w:abstractNum>
  <w:abstractNum w:abstractNumId="205">
    <w:nsid w:val="557FB7EE"/>
    <w:multiLevelType w:val="hybridMultilevel"/>
    <w:lvl w:ilvl="0">
      <w:lvlJc w:val="left"/>
      <w:lvlText w:val="•"/>
      <w:numFmt w:val="bullet"/>
      <w:start w:val="1"/>
    </w:lvl>
  </w:abstractNum>
  <w:abstractNum w:abstractNumId="206">
    <w:nsid w:val="436F2BEB"/>
    <w:multiLevelType w:val="hybridMultilevel"/>
    <w:lvl w:ilvl="0">
      <w:lvlJc w:val="left"/>
      <w:lvlText w:val="(%1)"/>
      <w:numFmt w:val="decimal"/>
      <w:start w:val="1"/>
    </w:lvl>
  </w:abstractNum>
  <w:abstractNum w:abstractNumId="207">
    <w:nsid w:val="6C8B4466"/>
    <w:multiLevelType w:val="hybridMultilevel"/>
    <w:lvl w:ilvl="0">
      <w:lvlJc w:val="left"/>
      <w:lvlText w:val="(%1)"/>
      <w:numFmt w:val="decimal"/>
      <w:start w:val="2"/>
    </w:lvl>
  </w:abstractNum>
  <w:abstractNum w:abstractNumId="208">
    <w:nsid w:val="2006E424"/>
    <w:multiLevelType w:val="hybridMultilevel"/>
    <w:lvl w:ilvl="0">
      <w:lvlJc w:val="left"/>
      <w:lvlText w:val="(%1)"/>
      <w:numFmt w:val="lowerLetter"/>
      <w:start w:val="1"/>
    </w:lvl>
    <w:lvl w:ilvl="1">
      <w:lvlJc w:val="left"/>
      <w:lvlText w:val="(%2)"/>
      <w:numFmt w:val="lowerLetter"/>
      <w:start w:val="24"/>
    </w:lvl>
  </w:abstractNum>
  <w:abstractNum w:abstractNumId="209">
    <w:nsid w:val="20CC134C"/>
    <w:multiLevelType w:val="hybridMultilevel"/>
    <w:lvl w:ilvl="0">
      <w:lvlJc w:val="left"/>
      <w:lvlText w:val="•"/>
      <w:numFmt w:val="bullet"/>
      <w:start w:val="1"/>
    </w:lvl>
  </w:abstractNum>
  <w:abstractNum w:abstractNumId="210">
    <w:nsid w:val="95FC93B"/>
    <w:multiLevelType w:val="hybridMultilevel"/>
    <w:lvl w:ilvl="0">
      <w:lvlJc w:val="left"/>
      <w:lvlText w:val="•"/>
      <w:numFmt w:val="bullet"/>
      <w:start w:val="1"/>
    </w:lvl>
  </w:abstractNum>
  <w:abstractNum w:abstractNumId="211">
    <w:nsid w:val="41D74679"/>
    <w:multiLevelType w:val="hybridMultilevel"/>
    <w:lvl w:ilvl="0">
      <w:lvlJc w:val="left"/>
      <w:lvlText w:val="•"/>
      <w:numFmt w:val="bullet"/>
      <w:start w:val="1"/>
    </w:lvl>
  </w:abstractNum>
  <w:abstractNum w:abstractNumId="212">
    <w:nsid w:val="71E5621E"/>
    <w:multiLevelType w:val="hybridMultilevel"/>
    <w:lvl w:ilvl="0">
      <w:lvlJc w:val="left"/>
      <w:lvlText w:val="•"/>
      <w:numFmt w:val="bullet"/>
      <w:start w:val="1"/>
    </w:lvl>
  </w:abstractNum>
  <w:abstractNum w:abstractNumId="213">
    <w:nsid w:val="4E42B6A8"/>
    <w:multiLevelType w:val="hybridMultilevel"/>
    <w:lvl w:ilvl="0">
      <w:lvlJc w:val="left"/>
      <w:lvlText w:val="•"/>
      <w:numFmt w:val="bullet"/>
      <w:start w:val="1"/>
    </w:lvl>
  </w:abstractNum>
  <w:abstractNum w:abstractNumId="214">
    <w:nsid w:val="43F8E1AC"/>
    <w:multiLevelType w:val="hybridMultilevel"/>
    <w:lvl w:ilvl="0">
      <w:lvlJc w:val="left"/>
      <w:lvlText w:val="•"/>
      <w:numFmt w:val="bullet"/>
      <w:start w:val="1"/>
    </w:lvl>
  </w:abstractNum>
  <w:abstractNum w:abstractNumId="215">
    <w:nsid w:val="69215DFB"/>
    <w:multiLevelType w:val="hybridMultilevel"/>
    <w:lvl w:ilvl="0">
      <w:lvlJc w:val="left"/>
      <w:lvlText w:val="•"/>
      <w:numFmt w:val="bullet"/>
      <w:start w:val="1"/>
    </w:lvl>
  </w:abstractNum>
  <w:abstractNum w:abstractNumId="216">
    <w:nsid w:val="7ABF196A"/>
    <w:multiLevelType w:val="hybridMultilevel"/>
    <w:lvl w:ilvl="0">
      <w:lvlJc w:val="left"/>
      <w:lvlText w:val="•"/>
      <w:numFmt w:val="bullet"/>
      <w:start w:val="1"/>
    </w:lvl>
  </w:abstractNum>
  <w:abstractNum w:abstractNumId="217">
    <w:nsid w:val="5E4DB968"/>
    <w:multiLevelType w:val="hybridMultilevel"/>
    <w:lvl w:ilvl="0">
      <w:lvlJc w:val="left"/>
      <w:lvlText w:val="•"/>
      <w:numFmt w:val="bullet"/>
      <w:start w:val="1"/>
    </w:lvl>
  </w:abstractNum>
  <w:abstractNum w:abstractNumId="218">
    <w:nsid w:val="2C06DCF3"/>
    <w:multiLevelType w:val="hybridMultilevel"/>
    <w:lvl w:ilvl="0">
      <w:lvlJc w:val="left"/>
      <w:lvlText w:val="(%1)"/>
      <w:numFmt w:val="decimal"/>
      <w:start w:val="1"/>
    </w:lvl>
  </w:abstractNum>
  <w:abstractNum w:abstractNumId="219">
    <w:nsid w:val="2E129658"/>
    <w:multiLevelType w:val="hybridMultilevel"/>
    <w:lvl w:ilvl="0">
      <w:lvlJc w:val="left"/>
      <w:lvlText w:val="(%1)"/>
      <w:numFmt w:val="decimal"/>
      <w:start w:val="1"/>
    </w:lvl>
  </w:abstractNum>
  <w:abstractNum w:abstractNumId="220">
    <w:nsid w:val="59F0446"/>
    <w:multiLevelType w:val="hybridMultilevel"/>
    <w:lvl w:ilvl="0">
      <w:lvlJc w:val="left"/>
      <w:lvlText w:val="(%1)"/>
      <w:numFmt w:val="decimal"/>
      <w:start w:val="1"/>
    </w:lvl>
  </w:abstractNum>
  <w:abstractNum w:abstractNumId="221">
    <w:nsid w:val="30DF306"/>
    <w:multiLevelType w:val="hybridMultilevel"/>
    <w:lvl w:ilvl="0">
      <w:lvlJc w:val="left"/>
      <w:lvlText w:val="(%1)"/>
      <w:numFmt w:val="decimal"/>
      <w:start w:val="1"/>
    </w:lvl>
  </w:abstractNum>
  <w:abstractNum w:abstractNumId="222">
    <w:nsid w:val="A65647"/>
    <w:multiLevelType w:val="hybridMultilevel"/>
    <w:lvl w:ilvl="0">
      <w:lvlJc w:val="left"/>
      <w:lvlText w:val="•"/>
      <w:numFmt w:val="bullet"/>
      <w:start w:val="1"/>
    </w:lvl>
  </w:abstractNum>
  <w:abstractNum w:abstractNumId="223">
    <w:nsid w:val="3E5E582B"/>
    <w:multiLevelType w:val="hybridMultilevel"/>
    <w:lvl w:ilvl="0">
      <w:lvlJc w:val="left"/>
      <w:lvlText w:val="•"/>
      <w:numFmt w:val="bullet"/>
      <w:start w:val="1"/>
    </w:lvl>
  </w:abstractNum>
  <w:abstractNum w:abstractNumId="224">
    <w:nsid w:val="257D4626"/>
    <w:multiLevelType w:val="hybridMultilevel"/>
    <w:lvl w:ilvl="0">
      <w:lvlJc w:val="left"/>
      <w:lvlText w:val="•"/>
      <w:numFmt w:val="bullet"/>
      <w:start w:val="1"/>
    </w:lvl>
  </w:abstractNum>
  <w:abstractNum w:abstractNumId="225">
    <w:nsid w:val="5AA8580E"/>
    <w:multiLevelType w:val="hybridMultilevel"/>
    <w:lvl w:ilvl="0">
      <w:lvlJc w:val="left"/>
      <w:lvlText w:val="•"/>
      <w:numFmt w:val="bullet"/>
      <w:start w:val="1"/>
    </w:lvl>
  </w:abstractNum>
  <w:abstractNum w:abstractNumId="226">
    <w:nsid w:val="68FA8D0D"/>
    <w:multiLevelType w:val="hybridMultilevel"/>
    <w:lvl w:ilvl="0">
      <w:lvlJc w:val="left"/>
      <w:lvlText w:val="•"/>
      <w:numFmt w:val="bullet"/>
      <w:start w:val="1"/>
    </w:lvl>
  </w:abstractNum>
  <w:abstractNum w:abstractNumId="227">
    <w:nsid w:val="40F2CBD2"/>
    <w:multiLevelType w:val="hybridMultilevel"/>
    <w:lvl w:ilvl="0">
      <w:lvlJc w:val="left"/>
      <w:lvlText w:val="(%1)"/>
      <w:numFmt w:val="decimal"/>
      <w:start w:val="1"/>
    </w:lvl>
  </w:abstractNum>
  <w:abstractNum w:abstractNumId="228">
    <w:nsid w:val="3BD615EB"/>
    <w:multiLevelType w:val="hybridMultilevel"/>
    <w:lvl w:ilvl="0">
      <w:lvlJc w:val="left"/>
      <w:lvlText w:val="(%1)"/>
      <w:numFmt w:val="decimal"/>
      <w:start w:val="1"/>
    </w:lvl>
  </w:abstractNum>
  <w:abstractNum w:abstractNumId="229">
    <w:nsid w:val="A045AB2"/>
    <w:multiLevelType w:val="hybridMultilevel"/>
    <w:lvl w:ilvl="0">
      <w:lvlJc w:val="left"/>
      <w:lvlText w:val="(%1)"/>
      <w:numFmt w:val="decimal"/>
      <w:start w:val="1"/>
    </w:lvl>
  </w:abstractNum>
  <w:abstractNum w:abstractNumId="230">
    <w:nsid w:val="1872261F"/>
    <w:multiLevelType w:val="hybridMultilevel"/>
    <w:lvl w:ilvl="0">
      <w:lvlJc w:val="left"/>
      <w:lvlText w:val="(%1)"/>
      <w:numFmt w:val="decimal"/>
      <w:start w:val="3"/>
    </w:lvl>
  </w:abstractNum>
  <w:abstractNum w:abstractNumId="231">
    <w:nsid w:val="3DE8306C"/>
    <w:multiLevelType w:val="hybridMultilevel"/>
    <w:lvl w:ilvl="0">
      <w:lvlJc w:val="left"/>
      <w:lvlText w:val="(%1)"/>
      <w:numFmt w:val="decimal"/>
      <w:start w:val="1"/>
    </w:lvl>
  </w:abstractNum>
  <w:abstractNum w:abstractNumId="232">
    <w:nsid w:val="7631573A"/>
    <w:multiLevelType w:val="hybridMultilevel"/>
    <w:lvl w:ilvl="0">
      <w:lvlJc w:val="left"/>
      <w:lvlText w:val="•"/>
      <w:numFmt w:val="bullet"/>
      <w:start w:val="1"/>
    </w:lvl>
  </w:abstractNum>
  <w:abstractNum w:abstractNumId="233">
    <w:nsid w:val="58DF53B"/>
    <w:multiLevelType w:val="hybridMultilevel"/>
    <w:lvl w:ilvl="0">
      <w:lvlJc w:val="left"/>
      <w:lvlText w:val="•"/>
      <w:numFmt w:val="bullet"/>
      <w:start w:val="1"/>
    </w:lvl>
  </w:abstractNum>
  <w:abstractNum w:abstractNumId="234">
    <w:nsid w:val="ACDFAC0"/>
    <w:multiLevelType w:val="hybridMultilevel"/>
    <w:lvl w:ilvl="0">
      <w:lvlJc w:val="left"/>
      <w:lvlText w:val="•"/>
      <w:numFmt w:val="bullet"/>
      <w:start w:val="1"/>
    </w:lvl>
  </w:abstractNum>
  <w:abstractNum w:abstractNumId="235">
    <w:nsid w:val="1F578454"/>
    <w:multiLevelType w:val="hybridMultilevel"/>
    <w:lvl w:ilvl="0">
      <w:lvlJc w:val="left"/>
      <w:lvlText w:val="•"/>
      <w:numFmt w:val="bullet"/>
      <w:start w:val="1"/>
    </w:lvl>
  </w:abstractNum>
  <w:abstractNum w:abstractNumId="236">
    <w:nsid w:val="5B0DAD2A"/>
    <w:multiLevelType w:val="hybridMultilevel"/>
    <w:lvl w:ilvl="0">
      <w:lvlJc w:val="left"/>
      <w:lvlText w:val="•"/>
      <w:numFmt w:val="bullet"/>
      <w:start w:val="1"/>
    </w:lvl>
  </w:abstractNum>
  <w:abstractNum w:abstractNumId="237">
    <w:nsid w:val="4E3D26AB"/>
    <w:multiLevelType w:val="hybridMultilevel"/>
    <w:lvl w:ilvl="0">
      <w:lvlJc w:val="left"/>
      <w:lvlText w:val="•"/>
      <w:numFmt w:val="bullet"/>
      <w:start w:val="1"/>
    </w:lvl>
  </w:abstractNum>
  <w:abstractNum w:abstractNumId="238">
    <w:nsid w:val="BE2C8BA"/>
    <w:multiLevelType w:val="hybridMultilevel"/>
    <w:lvl w:ilvl="0">
      <w:lvlJc w:val="left"/>
      <w:lvlText w:val="(%1)"/>
      <w:numFmt w:val="decimal"/>
      <w:start w:val="2"/>
    </w:lvl>
  </w:abstractNum>
  <w:abstractNum w:abstractNumId="239">
    <w:nsid w:val="7B14914E"/>
    <w:multiLevelType w:val="hybridMultilevel"/>
    <w:lvl w:ilvl="0">
      <w:lvlJc w:val="left"/>
      <w:lvlText w:val="•"/>
      <w:numFmt w:val="bullet"/>
      <w:start w:val="1"/>
    </w:lvl>
  </w:abstractNum>
  <w:abstractNum w:abstractNumId="240">
    <w:nsid w:val="6F0939F8"/>
    <w:multiLevelType w:val="hybridMultilevel"/>
    <w:lvl w:ilvl="0">
      <w:lvlJc w:val="left"/>
      <w:lvlText w:val="•"/>
      <w:numFmt w:val="bullet"/>
      <w:start w:val="1"/>
    </w:lvl>
  </w:abstractNum>
  <w:abstractNum w:abstractNumId="241">
    <w:nsid w:val="154291F6"/>
    <w:multiLevelType w:val="hybridMultilevel"/>
    <w:lvl w:ilvl="0">
      <w:lvlJc w:val="left"/>
      <w:lvlText w:val="•"/>
      <w:numFmt w:val="bullet"/>
      <w:start w:val="1"/>
    </w:lvl>
  </w:abstractNum>
  <w:abstractNum w:abstractNumId="242">
    <w:nsid w:val="3CEBD7C7"/>
    <w:multiLevelType w:val="hybridMultilevel"/>
    <w:lvl w:ilvl="0">
      <w:lvlJc w:val="left"/>
      <w:lvlText w:val="•"/>
      <w:numFmt w:val="bullet"/>
      <w:start w:val="1"/>
    </w:lvl>
  </w:abstractNum>
  <w:abstractNum w:abstractNumId="243">
    <w:nsid w:val="60EE9C16"/>
    <w:multiLevelType w:val="hybridMultilevel"/>
    <w:lvl w:ilvl="0">
      <w:lvlJc w:val="left"/>
      <w:lvlText w:val="•"/>
      <w:numFmt w:val="bullet"/>
      <w:start w:val="1"/>
    </w:lvl>
  </w:abstractNum>
  <w:abstractNum w:abstractNumId="244">
    <w:nsid w:val="6385489E"/>
    <w:multiLevelType w:val="hybridMultilevel"/>
    <w:lvl w:ilvl="0">
      <w:lvlJc w:val="left"/>
      <w:lvlText w:val="•"/>
      <w:numFmt w:val="bullet"/>
      <w:start w:val="1"/>
    </w:lvl>
  </w:abstractNum>
  <w:abstractNum w:abstractNumId="245">
    <w:nsid w:val="E4B973"/>
    <w:multiLevelType w:val="hybridMultilevel"/>
    <w:lvl w:ilvl="0">
      <w:lvlJc w:val="left"/>
      <w:lvlText w:val="•"/>
      <w:numFmt w:val="bullet"/>
      <w:start w:val="1"/>
    </w:lvl>
  </w:abstractNum>
  <w:abstractNum w:abstractNumId="246">
    <w:nsid w:val="4A0FFA11"/>
    <w:multiLevelType w:val="hybridMultilevel"/>
    <w:lvl w:ilvl="0">
      <w:lvlJc w:val="left"/>
      <w:lvlText w:val="(%1)"/>
      <w:numFmt w:val="decimal"/>
      <w:start w:val="1"/>
    </w:lvl>
  </w:abstractNum>
  <w:abstractNum w:abstractNumId="247">
    <w:nsid w:val="5E446208"/>
    <w:multiLevelType w:val="hybridMultilevel"/>
    <w:lvl w:ilvl="0">
      <w:lvlJc w:val="left"/>
      <w:lvlText w:val="(%1)"/>
      <w:numFmt w:val="decimal"/>
      <w:start w:val="7"/>
    </w:lvl>
  </w:abstractNum>
  <w:abstractNum w:abstractNumId="248">
    <w:nsid w:val="5F3272DB"/>
    <w:multiLevelType w:val="hybridMultilevel"/>
    <w:lvl w:ilvl="0">
      <w:lvlJc w:val="left"/>
      <w:lvlText w:val="•"/>
      <w:numFmt w:val="bullet"/>
      <w:start w:val="1"/>
    </w:lvl>
  </w:abstractNum>
  <w:abstractNum w:abstractNumId="249">
    <w:nsid w:val="7616D704"/>
    <w:multiLevelType w:val="hybridMultilevel"/>
    <w:lvl w:ilvl="0">
      <w:lvlJc w:val="left"/>
      <w:lvlText w:val="•"/>
      <w:numFmt w:val="bullet"/>
      <w:start w:val="1"/>
    </w:lvl>
  </w:abstractNum>
  <w:abstractNum w:abstractNumId="250">
    <w:nsid w:val="C56F860"/>
    <w:multiLevelType w:val="hybridMultilevel"/>
    <w:lvl w:ilvl="0">
      <w:lvlJc w:val="left"/>
      <w:lvlText w:val="(%1)"/>
      <w:numFmt w:val="decimal"/>
      <w:start w:val="1"/>
    </w:lvl>
  </w:abstractNum>
  <w:abstractNum w:abstractNumId="251">
    <w:nsid w:val="64D17722"/>
    <w:multiLevelType w:val="hybridMultilevel"/>
    <w:lvl w:ilvl="0">
      <w:lvlJc w:val="left"/>
      <w:lvlText w:val="•"/>
      <w:numFmt w:val="bullet"/>
      <w:start w:val="1"/>
    </w:lvl>
  </w:abstractNum>
  <w:abstractNum w:abstractNumId="252">
    <w:nsid w:val="7924CA0A"/>
    <w:multiLevelType w:val="hybridMultilevel"/>
    <w:lvl w:ilvl="0">
      <w:lvlJc w:val="left"/>
      <w:lvlText w:val="•"/>
      <w:numFmt w:val="bullet"/>
      <w:start w:val="1"/>
    </w:lvl>
  </w:abstractNum>
  <w:abstractNum w:abstractNumId="253">
    <w:nsid w:val="CFD4EA7"/>
    <w:multiLevelType w:val="hybridMultilevel"/>
    <w:lvl w:ilvl="0">
      <w:lvlJc w:val="left"/>
      <w:lvlText w:val="%1."/>
      <w:numFmt w:val="decimal"/>
      <w:start w:val="4"/>
    </w:lvl>
  </w:abstractNum>
  <w:abstractNum w:abstractNumId="254">
    <w:nsid w:val="232FCF4D"/>
    <w:multiLevelType w:val="hybridMultilevel"/>
    <w:lvl w:ilvl="0">
      <w:lvlJc w:val="left"/>
      <w:lvlText w:val="%1."/>
      <w:numFmt w:val="decimal"/>
      <w:start w:val="5"/>
    </w:lvl>
  </w:abstractNum>
  <w:abstractNum w:abstractNumId="255">
    <w:nsid w:val="1EA21031"/>
    <w:multiLevelType w:val="hybridMultilevel"/>
    <w:lvl w:ilvl="0">
      <w:lvlJc w:val="left"/>
      <w:lvlText w:val="\endash "/>
      <w:numFmt w:val="bullet"/>
      <w:start w:val="1"/>
    </w:lvl>
  </w:abstractNum>
  <w:abstractNum w:abstractNumId="256">
    <w:nsid w:val="67A5A6B5"/>
    <w:multiLevelType w:val="hybridMultilevel"/>
    <w:lvl w:ilvl="0">
      <w:lvlJc w:val="left"/>
      <w:lvlText w:val="\endash "/>
      <w:numFmt w:val="bullet"/>
      <w:start w:val="1"/>
    </w:lvl>
  </w:abstractNum>
  <w:abstractNum w:abstractNumId="257">
    <w:nsid w:val="C2A5C5B"/>
    <w:multiLevelType w:val="hybridMultilevel"/>
    <w:lvl w:ilvl="0">
      <w:lvlJc w:val="left"/>
      <w:lvlText w:val="%1."/>
      <w:numFmt w:val="decimal"/>
      <w:start w:val="11"/>
    </w:lvl>
  </w:abstractNum>
  <w:abstractNum w:abstractNumId="258">
    <w:nsid w:val="5F94DC03"/>
    <w:multiLevelType w:val="hybridMultilevel"/>
    <w:lvl w:ilvl="0">
      <w:lvlJc w:val="left"/>
      <w:lvlText w:val="(%1)"/>
      <w:numFmt w:val="lowerLetter"/>
      <w:start w:val="3"/>
    </w:lvl>
  </w:abstractNum>
  <w:abstractNum w:abstractNumId="259">
    <w:nsid w:val="237BBCA0"/>
    <w:multiLevelType w:val="hybridMultilevel"/>
    <w:lvl w:ilvl="0">
      <w:lvlJc w:val="left"/>
      <w:lvlText w:val="•"/>
      <w:numFmt w:val="bullet"/>
      <w:start w:val="1"/>
    </w:lvl>
  </w:abstractNum>
  <w:abstractNum w:abstractNumId="260">
    <w:nsid w:val="162EB70D"/>
    <w:multiLevelType w:val="hybridMultilevel"/>
    <w:lvl w:ilvl="0">
      <w:lvlJc w:val="left"/>
      <w:lvlText w:val="•"/>
      <w:numFmt w:val="bullet"/>
      <w:start w:val="1"/>
    </w:lvl>
  </w:abstractNum>
  <w:abstractNum w:abstractNumId="261">
    <w:nsid w:val="78070222"/>
    <w:multiLevelType w:val="hybridMultilevel"/>
    <w:lvl w:ilvl="0">
      <w:lvlJc w:val="left"/>
      <w:lvlText w:val="•"/>
      <w:numFmt w:val="bullet"/>
      <w:start w:val="1"/>
    </w:lvl>
  </w:abstractNum>
  <w:abstractNum w:abstractNumId="262">
    <w:nsid w:val="6163ED0D"/>
    <w:multiLevelType w:val="hybridMultilevel"/>
    <w:lvl w:ilvl="0">
      <w:lvlJc w:val="left"/>
      <w:lvlText w:val="$"/>
      <w:numFmt w:val="bullet"/>
      <w:start w:val="1"/>
    </w:lvl>
  </w:abstractNum>
  <w:abstractNum w:abstractNumId="263">
    <w:nsid w:val="C600E47"/>
    <w:multiLevelType w:val="hybridMultilevel"/>
    <w:lvl w:ilvl="0">
      <w:lvlJc w:val="left"/>
      <w:lvlText w:val="•"/>
      <w:numFmt w:val="bullet"/>
      <w:start w:val="1"/>
    </w:lvl>
  </w:abstractNum>
  <w:abstractNum w:abstractNumId="264">
    <w:nsid w:val="7D94F75D"/>
    <w:multiLevelType w:val="hybridMultilevel"/>
    <w:lvl w:ilvl="0">
      <w:lvlJc w:val="left"/>
      <w:lvlText w:val="•"/>
      <w:numFmt w:val="bullet"/>
      <w:start w:val="1"/>
    </w:lvl>
  </w:abstractNum>
  <w:abstractNum w:abstractNumId="265">
    <w:nsid w:val="6C31E7CD"/>
    <w:multiLevelType w:val="hybridMultilevel"/>
    <w:lvl w:ilvl="0">
      <w:lvlJc w:val="left"/>
      <w:lvlText w:val="•"/>
      <w:numFmt w:val="bullet"/>
      <w:start w:val="1"/>
    </w:lvl>
  </w:abstractNum>
  <w:abstractNum w:abstractNumId="266">
    <w:nsid w:val="2BB7929B"/>
    <w:multiLevelType w:val="hybridMultilevel"/>
    <w:lvl w:ilvl="0">
      <w:lvlJc w:val="left"/>
      <w:lvlText w:val="•"/>
      <w:numFmt w:val="bullet"/>
      <w:start w:val="1"/>
    </w:lvl>
  </w:abstractNum>
  <w:abstractNum w:abstractNumId="267">
    <w:nsid w:val="58A2A487"/>
    <w:multiLevelType w:val="hybridMultilevel"/>
    <w:lvl w:ilvl="0">
      <w:lvlJc w:val="left"/>
      <w:lvlText w:val="(%1)"/>
      <w:numFmt w:val="lowerLetter"/>
      <w:start w:val="3"/>
    </w:lvl>
  </w:abstractNum>
  <w:abstractNum w:abstractNumId="268">
    <w:nsid w:val="3A6F0E78"/>
    <w:multiLevelType w:val="hybridMultilevel"/>
    <w:lvl w:ilvl="0">
      <w:lvlJc w:val="left"/>
      <w:lvlText w:val="(%1)"/>
      <w:numFmt w:val="lowerLetter"/>
      <w:start w:val="1"/>
    </w:lvl>
    <w:lvl w:ilvl="1">
      <w:lvlJc w:val="left"/>
      <w:lvlText w:val="(%2)"/>
      <w:numFmt w:val="lowerLetter"/>
      <w:start w:val="9"/>
    </w:lvl>
  </w:abstractNum>
  <w:abstractNum w:abstractNumId="269">
    <w:nsid w:val="379A5B56"/>
    <w:multiLevelType w:val="hybridMultilevel"/>
    <w:lvl w:ilvl="0">
      <w:lvlJc w:val="left"/>
      <w:lvlText w:val="%1"/>
      <w:numFmt w:val="lowerLetter"/>
      <w:start w:val="1"/>
    </w:lvl>
    <w:lvl w:ilvl="1">
      <w:lvlJc w:val="left"/>
      <w:lvlText w:val="(%2)"/>
      <w:numFmt w:val="lowerRoman"/>
      <w:start w:val="2"/>
    </w:lvl>
  </w:abstractNum>
  <w:abstractNum w:abstractNumId="270">
    <w:nsid w:val="53B735D5"/>
    <w:multiLevelType w:val="hybridMultilevel"/>
    <w:lvl w:ilvl="0">
      <w:lvlJc w:val="left"/>
      <w:lvlText w:val="(%1)"/>
      <w:numFmt w:val="lowerLetter"/>
      <w:start w:val="2"/>
    </w:lvl>
    <w:lvl w:ilvl="1">
      <w:lvlJc w:val="left"/>
      <w:lvlText w:val="(%2)"/>
      <w:numFmt w:val="lowerRoman"/>
      <w:start w:val="1"/>
    </w:lvl>
  </w:abstractNum>
  <w:abstractNum w:abstractNumId="271">
    <w:nsid w:val="29784870"/>
    <w:multiLevelType w:val="hybridMultilevel"/>
    <w:lvl w:ilvl="0">
      <w:lvlJc w:val="left"/>
      <w:lvlText w:val="(%1)"/>
      <w:numFmt w:val="lowerLetter"/>
      <w:start w:val="1"/>
    </w:lvl>
  </w:abstractNum>
  <w:abstractNum w:abstractNumId="272">
    <w:nsid w:val="4CDCED4C"/>
    <w:multiLevelType w:val="hybridMultilevel"/>
    <w:lvl w:ilvl="0">
      <w:lvlJc w:val="left"/>
      <w:lvlText w:val="(%1)"/>
      <w:numFmt w:val="lowerLetter"/>
      <w:start w:val="4"/>
    </w:lvl>
  </w:abstractNum>
  <w:abstractNum w:abstractNumId="273">
    <w:nsid w:val="10A30D9C"/>
    <w:multiLevelType w:val="hybridMultilevel"/>
    <w:lvl w:ilvl="0">
      <w:lvlJc w:val="left"/>
      <w:lvlText w:val="%1"/>
      <w:numFmt w:val="lowerLetter"/>
      <w:start w:val="1"/>
    </w:lvl>
    <w:lvl w:ilvl="1">
      <w:lvlJc w:val="left"/>
      <w:lvlText w:val="(%2)"/>
      <w:numFmt w:val="lowerLetter"/>
      <w:start w:val="1"/>
    </w:lvl>
  </w:abstractNum>
  <w:abstractNum w:abstractNumId="274">
    <w:nsid w:val="A66E486"/>
    <w:multiLevelType w:val="hybridMultilevel"/>
    <w:lvl w:ilvl="0">
      <w:lvlJc w:val="left"/>
      <w:lvlText w:val="(%1)"/>
      <w:numFmt w:val="lowerLetter"/>
      <w:start w:val="9"/>
    </w:lvl>
    <w:lvl w:ilvl="1">
      <w:lvlJc w:val="left"/>
      <w:lvlText w:val="(%2)"/>
      <w:numFmt w:val="lowerLetter"/>
      <w:start w:val="2"/>
    </w:lvl>
  </w:abstractNum>
  <w:abstractNum w:abstractNumId="275">
    <w:nsid w:val="306235EA"/>
    <w:multiLevelType w:val="hybridMultilevel"/>
    <w:lvl w:ilvl="0">
      <w:lvlJc w:val="left"/>
      <w:lvlText w:val="(%1)"/>
      <w:numFmt w:val="lowerLetter"/>
      <w:start w:val="1"/>
    </w:lvl>
  </w:abstractNum>
  <w:abstractNum w:abstractNumId="276">
    <w:nsid w:val="1187C70F"/>
    <w:multiLevelType w:val="hybridMultilevel"/>
    <w:lvl w:ilvl="0">
      <w:lvlJc w:val="left"/>
      <w:lvlText w:val="(%1)"/>
      <w:numFmt w:val="lowerRoman"/>
      <w:start w:val="1"/>
    </w:lvl>
  </w:abstractNum>
  <w:abstractNum w:abstractNumId="277">
    <w:nsid w:val="5476DE98"/>
    <w:multiLevelType w:val="hybridMultilevel"/>
    <w:lvl w:ilvl="0">
      <w:lvlJc w:val="left"/>
      <w:lvlText w:val="(%1)"/>
      <w:numFmt w:val="lowerLetter"/>
      <w:start w:val="2"/>
    </w:lvl>
  </w:abstractNum>
  <w:abstractNum w:abstractNumId="278">
    <w:nsid w:val="EA697F2"/>
    <w:multiLevelType w:val="hybridMultilevel"/>
    <w:lvl w:ilvl="0">
      <w:lvlJc w:val="left"/>
      <w:lvlText w:val="(%1)"/>
      <w:numFmt w:val="lowerLetter"/>
      <w:start w:val="1"/>
    </w:lvl>
  </w:abstractNum>
  <w:abstractNum w:abstractNumId="279">
    <w:nsid w:val="70BA39EB"/>
    <w:multiLevelType w:val="hybridMultilevel"/>
    <w:lvl w:ilvl="0">
      <w:lvlJc w:val="left"/>
      <w:lvlText w:val="(%1)"/>
      <w:numFmt w:val="lowerLetter"/>
      <w:start w:val="2"/>
    </w:lvl>
  </w:abstractNum>
  <w:abstractNum w:abstractNumId="280">
    <w:nsid w:val="4A8DB59C"/>
    <w:multiLevelType w:val="hybridMultilevel"/>
    <w:lvl w:ilvl="0">
      <w:lvlJc w:val="left"/>
      <w:lvlText w:val="(%1)"/>
      <w:numFmt w:val="lowerLetter"/>
      <w:start w:val="6"/>
    </w:lvl>
  </w:abstractNum>
  <w:abstractNum w:abstractNumId="281">
    <w:nsid w:val="1AFD9053"/>
    <w:multiLevelType w:val="hybridMultilevel"/>
    <w:lvl w:ilvl="0">
      <w:lvlJc w:val="left"/>
      <w:lvlText w:val="(%1)"/>
      <w:numFmt w:val="lowerLetter"/>
      <w:start w:val="1"/>
    </w:lvl>
  </w:abstractNum>
  <w:abstractNum w:abstractNumId="282">
    <w:nsid w:val="558BB10D"/>
    <w:multiLevelType w:val="hybridMultilevel"/>
    <w:lvl w:ilvl="0">
      <w:lvlJc w:val="left"/>
      <w:lvlText w:val="%1"/>
      <w:numFmt w:val="lowerLetter"/>
      <w:start w:val="1"/>
    </w:lvl>
    <w:lvl w:ilvl="1">
      <w:lvlJc w:val="left"/>
      <w:lvlText w:val="(%2)"/>
      <w:numFmt w:val="lowerLetter"/>
      <w:start w:val="2"/>
    </w:lvl>
  </w:abstractNum>
  <w:abstractNum w:abstractNumId="283">
    <w:nsid w:val="43B27FA7"/>
    <w:multiLevelType w:val="hybridMultilevel"/>
    <w:lvl w:ilvl="0">
      <w:lvlJc w:val="left"/>
      <w:lvlText w:val="(%1)"/>
      <w:numFmt w:val="lowerLetter"/>
      <w:start w:val="9"/>
    </w:lvl>
    <w:lvl w:ilvl="1">
      <w:lvlJc w:val="left"/>
      <w:lvlText w:val="(%2)"/>
      <w:numFmt w:val="lowerLetter"/>
      <w:start w:val="5"/>
    </w:lvl>
  </w:abstractNum>
  <w:abstractNum w:abstractNumId="284">
    <w:nsid w:val="27FADEFA"/>
    <w:multiLevelType w:val="hybridMultilevel"/>
    <w:lvl w:ilvl="0">
      <w:lvlJc w:val="left"/>
      <w:lvlText w:val="(%1)"/>
      <w:numFmt w:val="lowerLetter"/>
      <w:start w:val="1"/>
    </w:lvl>
    <w:lvl w:ilvl="1">
      <w:lvlJc w:val="left"/>
      <w:lvlText w:val="(%2)"/>
      <w:numFmt w:val="lowerRoman"/>
      <w:start w:val="1"/>
    </w:lvl>
  </w:abstractNum>
  <w:abstractNum w:abstractNumId="285">
    <w:nsid w:val="78BB805A"/>
    <w:multiLevelType w:val="hybridMultilevel"/>
    <w:lvl w:ilvl="0">
      <w:lvlJc w:val="left"/>
      <w:lvlText w:val="(%1)"/>
      <w:numFmt w:val="lowerLetter"/>
      <w:start w:val="1"/>
    </w:lvl>
  </w:abstractNum>
  <w:abstractNum w:abstractNumId="286">
    <w:nsid w:val="62548FD8"/>
    <w:multiLevelType w:val="hybridMultilevel"/>
    <w:lvl w:ilvl="0">
      <w:lvlJc w:val="left"/>
      <w:lvlText w:val="(%1)"/>
      <w:numFmt w:val="lowerLetter"/>
      <w:start w:val="1"/>
    </w:lvl>
  </w:abstractNum>
  <w:abstractNum w:abstractNumId="287">
    <w:nsid w:val="FA085B0"/>
    <w:multiLevelType w:val="hybridMultilevel"/>
    <w:lvl w:ilvl="0">
      <w:lvlJc w:val="left"/>
      <w:lvlText w:val="(%1)"/>
      <w:numFmt w:val="lowerLetter"/>
      <w:start w:val="2"/>
    </w:lvl>
  </w:abstractNum>
  <w:abstractNum w:abstractNumId="288">
    <w:nsid w:val="4E5DCB5"/>
    <w:multiLevelType w:val="hybridMultilevel"/>
    <w:lvl w:ilvl="0">
      <w:lvlJc w:val="left"/>
      <w:lvlText w:val="(%1)"/>
      <w:numFmt w:val="lowerLetter"/>
      <w:start w:val="1"/>
    </w:lvl>
  </w:abstractNum>
  <w:abstractNum w:abstractNumId="289">
    <w:nsid w:val="41E96BDB"/>
    <w:multiLevelType w:val="hybridMultilevel"/>
    <w:lvl w:ilvl="0">
      <w:lvlJc w:val="left"/>
      <w:lvlText w:val="(%1)"/>
      <w:numFmt w:val="lowerLetter"/>
      <w:start w:val="1"/>
    </w:lvl>
  </w:abstractNum>
  <w:abstractNum w:abstractNumId="290">
    <w:nsid w:val="331C4250"/>
    <w:multiLevelType w:val="hybridMultilevel"/>
    <w:lvl w:ilvl="0">
      <w:lvlJc w:val="left"/>
      <w:lvlText w:val="(%1)"/>
      <w:numFmt w:val="lowerLetter"/>
      <w:start w:val="1"/>
    </w:lvl>
  </w:abstractNum>
  <w:abstractNum w:abstractNumId="291">
    <w:nsid w:val="1B1493C2"/>
    <w:multiLevelType w:val="hybridMultilevel"/>
    <w:lvl w:ilvl="0">
      <w:lvlJc w:val="left"/>
      <w:lvlText w:val="(%1)"/>
      <w:numFmt w:val="lowerLetter"/>
      <w:start w:val="1"/>
    </w:lvl>
    <w:lvl w:ilvl="1">
      <w:lvlJc w:val="left"/>
      <w:lvlText w:val="(%2)"/>
      <w:numFmt w:val="lowerRoman"/>
      <w:start w:val="1"/>
    </w:lvl>
  </w:abstractNum>
  <w:abstractNum w:abstractNumId="292">
    <w:nsid w:val="39F06D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3">
    <w:nsid w:val="14802F5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4">
    <w:nsid w:val="2774A209"/>
    <w:multiLevelType w:val="hybridMultilevel"/>
    <w:lvl w:ilvl="0">
      <w:lvlJc w:val="left"/>
      <w:lvlText w:val="(%1)"/>
      <w:numFmt w:val="decimal"/>
      <w:start w:val="37"/>
    </w:lvl>
    <w:lvl w:ilvl="1">
      <w:lvlJc w:val="left"/>
      <w:lvlText w:val="(%2)"/>
      <w:numFmt w:val="lowerLetter"/>
      <w:start w:val="6"/>
    </w:lvl>
    <w:lvl w:ilvl="2">
      <w:lvlJc w:val="left"/>
      <w:lvlText w:val="%3"/>
      <w:numFmt w:val="lowerRoman"/>
      <w:start w:val="1"/>
    </w:lvl>
  </w:abstractNum>
  <w:abstractNum w:abstractNumId="295">
    <w:nsid w:val="3785655A"/>
    <w:multiLevelType w:val="hybridMultilevel"/>
    <w:lvl w:ilvl="0">
      <w:lvlJc w:val="left"/>
      <w:lvlText w:val="(%1)"/>
      <w:numFmt w:val="lowerLetter"/>
      <w:start w:val="9"/>
    </w:lvl>
  </w:abstractNum>
  <w:abstractNum w:abstractNumId="296">
    <w:nsid w:val="B2172A"/>
    <w:multiLevelType w:val="hybridMultilevel"/>
    <w:lvl w:ilvl="0">
      <w:lvlJc w:val="left"/>
      <w:lvlText w:val="%1"/>
      <w:numFmt w:val="lowerLetter"/>
      <w:start w:val="1"/>
    </w:lvl>
    <w:lvl w:ilvl="1">
      <w:lvlJc w:val="left"/>
      <w:lvlText w:val="(%2)"/>
      <w:numFmt w:val="lowerLetter"/>
      <w:start w:val="1"/>
    </w:lvl>
  </w:abstractNum>
  <w:abstractNum w:abstractNumId="297">
    <w:nsid w:val="532C34A5"/>
    <w:multiLevelType w:val="hybridMultilevel"/>
    <w:lvl w:ilvl="0">
      <w:lvlJc w:val="left"/>
      <w:lvlText w:val="(%1)"/>
      <w:numFmt w:val="lowerLetter"/>
      <w:start w:val="35"/>
    </w:lvl>
    <w:lvl w:ilvl="1">
      <w:lvlJc w:val="left"/>
      <w:lvlText w:val="(%2)"/>
      <w:numFmt w:val="lowerLetter"/>
      <w:start w:val="4"/>
    </w:lvl>
  </w:abstractNum>
  <w:abstractNum w:abstractNumId="298">
    <w:nsid w:val="102809E2"/>
    <w:multiLevelType w:val="hybridMultilevel"/>
    <w:lvl w:ilvl="0">
      <w:lvlJc w:val="left"/>
      <w:lvlText w:val="%1"/>
      <w:numFmt w:val="lowerLetter"/>
      <w:start w:val="1"/>
    </w:lvl>
    <w:lvl w:ilvl="1">
      <w:lvlJc w:val="left"/>
      <w:lvlText w:val="(%2)"/>
      <w:numFmt w:val="lowerLetter"/>
      <w:start w:val="6"/>
    </w:lvl>
  </w:abstractNum>
  <w:abstractNum w:abstractNumId="299">
    <w:nsid w:val="3B2125A3"/>
    <w:multiLevelType w:val="hybridMultilevel"/>
    <w:lvl w:ilvl="0">
      <w:lvlJc w:val="left"/>
      <w:lvlText w:val="(%1)"/>
      <w:numFmt w:val="lowerLetter"/>
      <w:start w:val="9"/>
    </w:lvl>
    <w:lvl w:ilvl="1">
      <w:lvlJc w:val="left"/>
      <w:lvlText w:val="(%2)"/>
      <w:numFmt w:val="lowerLetter"/>
      <w:start w:val="7"/>
    </w:lvl>
  </w:abstractNum>
  <w:abstractNum w:abstractNumId="300">
    <w:nsid w:val="AC68FFB"/>
    <w:multiLevelType w:val="hybridMultilevel"/>
    <w:lvl w:ilvl="0">
      <w:lvlJc w:val="left"/>
      <w:lvlText w:val="(%1)"/>
      <w:numFmt w:val="lowerLetter"/>
      <w:start w:val="9"/>
    </w:lvl>
    <w:lvl w:ilvl="1">
      <w:lvlJc w:val="left"/>
      <w:lvlText w:val="(%2)"/>
      <w:numFmt w:val="lowerLetter"/>
      <w:start w:val="9"/>
    </w:lvl>
  </w:abstractNum>
  <w:abstractNum w:abstractNumId="301">
    <w:nsid w:val="63DF3FB7"/>
    <w:multiLevelType w:val="hybridMultilevel"/>
    <w:lvl w:ilvl="0">
      <w:lvlJc w:val="left"/>
      <w:lvlText w:val="(%1)"/>
      <w:numFmt w:val="lowerLetter"/>
      <w:start w:val="1"/>
    </w:lvl>
  </w:abstractNum>
  <w:abstractNum w:abstractNumId="302">
    <w:nsid w:val="64996E13"/>
    <w:multiLevelType w:val="hybridMultilevel"/>
    <w:lvl w:ilvl="0">
      <w:lvlJc w:val="left"/>
      <w:lvlText w:val="(%1)"/>
      <w:numFmt w:val="lowerLetter"/>
      <w:start w:val="3"/>
    </w:lvl>
  </w:abstractNum>
  <w:abstractNum w:abstractNumId="303">
    <w:nsid w:val="57A37D47"/>
    <w:multiLevelType w:val="hybridMultilevel"/>
    <w:lvl w:ilvl="0">
      <w:lvlJc w:val="left"/>
      <w:lvlText w:val="(%1)"/>
      <w:numFmt w:val="lowerLetter"/>
      <w:start w:val="1"/>
    </w:lvl>
  </w:abstractNum>
  <w:abstractNum w:abstractNumId="304">
    <w:nsid w:val="74824D54"/>
    <w:multiLevelType w:val="hybridMultilevel"/>
    <w:lvl w:ilvl="0">
      <w:lvlJc w:val="left"/>
      <w:lvlText w:val="(%1)"/>
      <w:numFmt w:val="lowerLetter"/>
      <w:start w:val="8"/>
    </w:lvl>
  </w:abstractNum>
  <w:abstractNum w:abstractNumId="305">
    <w:nsid w:val="6F00529A"/>
    <w:multiLevelType w:val="hybridMultilevel"/>
    <w:lvl w:ilvl="0">
      <w:lvlJc w:val="left"/>
      <w:lvlText w:val="(%1)"/>
      <w:numFmt w:val="lowerLetter"/>
      <w:start w:val="1"/>
    </w:lvl>
  </w:abstractNum>
  <w:abstractNum w:abstractNumId="306">
    <w:nsid w:val="805B331"/>
    <w:multiLevelType w:val="hybridMultilevel"/>
    <w:lvl w:ilvl="0">
      <w:lvlJc w:val="left"/>
      <w:lvlText w:val="%1"/>
      <w:numFmt w:val="lowerRoman"/>
      <w:start w:val="1"/>
    </w:lvl>
    <w:lvl w:ilvl="1">
      <w:lvlJc w:val="left"/>
      <w:lvlText w:val="(%2)"/>
      <w:numFmt w:val="lowerLetter"/>
      <w:start w:val="6"/>
    </w:lvl>
  </w:abstractNum>
  <w:abstractNum w:abstractNumId="307">
    <w:nsid w:val="60A1463"/>
    <w:multiLevelType w:val="hybridMultilevel"/>
    <w:lvl w:ilvl="0">
      <w:lvlJc w:val="left"/>
      <w:lvlText w:val="(%1)"/>
      <w:numFmt w:val="lowerRoman"/>
      <w:start w:val="4"/>
    </w:lvl>
    <w:lvl w:ilvl="1">
      <w:lvlJc w:val="left"/>
      <w:lvlText w:val="(%2)"/>
      <w:numFmt w:val="lowerLetter"/>
      <w:start w:val="7"/>
    </w:lvl>
  </w:abstractNum>
  <w:abstractNum w:abstractNumId="308">
    <w:nsid w:val="43773132"/>
    <w:multiLevelType w:val="hybridMultilevel"/>
    <w:lvl w:ilvl="0">
      <w:lvlJc w:val="left"/>
      <w:lvlText w:val="(%1)"/>
      <w:numFmt w:val="lowerLetter"/>
      <w:start w:val="1"/>
    </w:lvl>
  </w:abstractNum>
  <w:abstractNum w:abstractNumId="309">
    <w:nsid w:val="16AC4B23"/>
    <w:multiLevelType w:val="hybridMultilevel"/>
    <w:lvl w:ilvl="0">
      <w:lvlJc w:val="left"/>
      <w:lvlText w:val="(%1)"/>
      <w:numFmt w:val="lowerLetter"/>
      <w:start w:val="1"/>
    </w:lvl>
    <w:lvl w:ilvl="1">
      <w:lvlJc w:val="left"/>
      <w:lvlText w:val="(%2)"/>
      <w:numFmt w:val="lowerRoman"/>
      <w:start w:val="1"/>
    </w:lvl>
  </w:abstractNum>
  <w:abstractNum w:abstractNumId="310">
    <w:nsid w:val="76C44E4E"/>
    <w:multiLevelType w:val="hybridMultilevel"/>
    <w:lvl w:ilvl="0">
      <w:lvlJc w:val="left"/>
      <w:lvlText w:val="%1"/>
      <w:numFmt w:val="lowerLetter"/>
      <w:start w:val="1"/>
    </w:lvl>
    <w:lvl w:ilvl="1">
      <w:lvlJc w:val="left"/>
      <w:lvlText w:val="(%2)"/>
      <w:numFmt w:val="lowerRoman"/>
      <w:start w:val="3"/>
    </w:lvl>
  </w:abstractNum>
  <w:abstractNum w:abstractNumId="311">
    <w:nsid w:val="E04E6CE"/>
    <w:multiLevelType w:val="hybridMultilevel"/>
    <w:lvl w:ilvl="0">
      <w:lvlJc w:val="left"/>
      <w:lvlText w:val="(%1)"/>
      <w:numFmt w:val="lowerLetter"/>
      <w:start w:val="2"/>
    </w:lvl>
    <w:lvl w:ilvl="1">
      <w:lvlJc w:val="left"/>
      <w:lvlText w:val="%2"/>
      <w:numFmt w:val="lowerRoman"/>
      <w:start w:val="1"/>
    </w:lvl>
  </w:abstractNum>
  <w:abstractNum w:abstractNumId="312">
    <w:nsid w:val="31A9DB76"/>
    <w:multiLevelType w:val="hybridMultilevel"/>
    <w:lvl w:ilvl="0">
      <w:lvlJc w:val="left"/>
      <w:lvlText w:val="(%1)"/>
      <w:numFmt w:val="lowerLetter"/>
      <w:start w:val="1"/>
    </w:lvl>
  </w:abstractNum>
  <w:abstractNum w:abstractNumId="313">
    <w:nsid w:val="4C4FFF5B"/>
    <w:multiLevelType w:val="hybridMultilevel"/>
    <w:lvl w:ilvl="0">
      <w:lvlJc w:val="left"/>
      <w:lvlText w:val="(%1)"/>
      <w:numFmt w:val="lowerLetter"/>
      <w:start w:val="4"/>
    </w:lvl>
  </w:abstractNum>
  <w:abstractNum w:abstractNumId="314">
    <w:nsid w:val="51B76675"/>
    <w:multiLevelType w:val="hybridMultilevel"/>
    <w:lvl w:ilvl="0">
      <w:lvlJc w:val="left"/>
      <w:lvlText w:val="(%1)"/>
      <w:numFmt w:val="lowerLetter"/>
      <w:start w:val="1"/>
    </w:lvl>
  </w:abstractNum>
  <w:abstractNum w:abstractNumId="315">
    <w:nsid w:val="59A4BA71"/>
    <w:multiLevelType w:val="hybridMultilevel"/>
    <w:lvl w:ilvl="0">
      <w:lvlJc w:val="left"/>
      <w:lvlText w:val="(%1)"/>
      <w:numFmt w:val="lowerLetter"/>
      <w:start w:val="1"/>
    </w:lvl>
  </w:abstractNum>
  <w:abstractNum w:abstractNumId="316">
    <w:nsid w:val="450B7FB6"/>
    <w:multiLevelType w:val="hybridMultilevel"/>
    <w:lvl w:ilvl="0">
      <w:lvlJc w:val="left"/>
      <w:lvlText w:val="(%1)"/>
      <w:numFmt w:val="lowerLetter"/>
      <w:start w:val="1"/>
    </w:lvl>
  </w:abstractNum>
  <w:abstractNum w:abstractNumId="317">
    <w:nsid w:val="340BF64D"/>
    <w:multiLevelType w:val="hybridMultilevel"/>
    <w:lvl w:ilvl="0">
      <w:lvlJc w:val="left"/>
      <w:lvlText w:val="%1"/>
      <w:numFmt w:val="upperLetter"/>
      <w:start w:val="1"/>
    </w:lvl>
    <w:lvl w:ilvl="1">
      <w:lvlJc w:val="left"/>
      <w:lvlText w:val="(%2)"/>
      <w:numFmt w:val="lowerLetter"/>
      <w:start w:val="3"/>
    </w:lvl>
  </w:abstractNum>
  <w:abstractNum w:abstractNumId="318">
    <w:nsid w:val="69454021"/>
    <w:multiLevelType w:val="hybridMultilevel"/>
    <w:lvl w:ilvl="0">
      <w:lvlJc w:val="left"/>
      <w:lvlText w:val="(%1)"/>
      <w:numFmt w:val="upperLetter"/>
      <w:start w:val="1"/>
    </w:lvl>
    <w:lvl w:ilvl="1">
      <w:lvlJc w:val="left"/>
      <w:lvlText w:val="(%2)"/>
      <w:numFmt w:val="lowerLetter"/>
      <w:start w:val="5"/>
    </w:lvl>
  </w:abstractNum>
  <w:abstractNum w:abstractNumId="319">
    <w:nsid w:val="49F15C6B"/>
    <w:multiLevelType w:val="hybridMultilevel"/>
    <w:lvl w:ilvl="0">
      <w:lvlJc w:val="left"/>
      <w:lvlText w:val="(%1)"/>
      <w:numFmt w:val="lowerLetter"/>
      <w:start w:val="1"/>
    </w:lvl>
  </w:abstractNum>
  <w:abstractNum w:abstractNumId="320">
    <w:nsid w:val="75F56228"/>
    <w:multiLevelType w:val="hybridMultilevel"/>
    <w:lvl w:ilvl="0">
      <w:lvlJc w:val="left"/>
      <w:lvlText w:val="(%1)"/>
      <w:numFmt w:val="lowerLetter"/>
      <w:start w:val="2"/>
    </w:lvl>
  </w:abstractNum>
  <w:abstractNum w:abstractNumId="321">
    <w:nsid w:val="1C618271"/>
    <w:multiLevelType w:val="hybridMultilevel"/>
    <w:lvl w:ilvl="0">
      <w:lvlJc w:val="left"/>
      <w:lvlText w:val="(%1)"/>
      <w:numFmt w:val="lowerLetter"/>
      <w:start w:val="1"/>
    </w:lvl>
  </w:abstractNum>
  <w:abstractNum w:abstractNumId="322">
    <w:nsid w:val="6505F02E"/>
    <w:multiLevelType w:val="hybridMultilevel"/>
    <w:lvl w:ilvl="0">
      <w:lvlJc w:val="left"/>
      <w:lvlText w:val="(%1)"/>
      <w:numFmt w:val="lowerLetter"/>
      <w:start w:val="1"/>
    </w:lvl>
  </w:abstractNum>
  <w:abstractNum w:abstractNumId="323">
    <w:nsid w:val="2FE5D025"/>
    <w:multiLevelType w:val="hybridMultilevel"/>
    <w:lvl w:ilvl="0">
      <w:lvlJc w:val="left"/>
      <w:lvlText w:val="(%1)"/>
      <w:numFmt w:val="lowerLetter"/>
      <w:start w:val="1"/>
    </w:lvl>
  </w:abstractNum>
  <w:abstractNum w:abstractNumId="324">
    <w:nsid w:val="30E1B1CF"/>
    <w:multiLevelType w:val="hybridMultilevel"/>
    <w:lvl w:ilvl="0">
      <w:lvlJc w:val="left"/>
      <w:lvlText w:val="(%1)"/>
      <w:numFmt w:val="lowerLetter"/>
      <w:start w:val="1"/>
    </w:lvl>
  </w:abstractNum>
  <w:abstractNum w:abstractNumId="325">
    <w:nsid w:val="C7A9237"/>
    <w:multiLevelType w:val="hybridMultilevel"/>
    <w:lvl w:ilvl="0">
      <w:lvlJc w:val="left"/>
      <w:lvlText w:val="(%1)"/>
      <w:numFmt w:val="lowerLetter"/>
      <w:start w:val="1"/>
    </w:lvl>
  </w:abstractNum>
  <w:abstractNum w:abstractNumId="326">
    <w:nsid w:val="676B3580"/>
    <w:multiLevelType w:val="hybridMultilevel"/>
    <w:lvl w:ilvl="0">
      <w:lvlJc w:val="left"/>
      <w:lvlText w:val="(%1)"/>
      <w:numFmt w:val="lowerLetter"/>
      <w:start w:val="1"/>
    </w:lvl>
  </w:abstractNum>
  <w:abstractNum w:abstractNumId="327">
    <w:nsid w:val="3193C8F9"/>
    <w:multiLevelType w:val="hybridMultilevel"/>
    <w:lvl w:ilvl="0">
      <w:lvlJc w:val="left"/>
      <w:lvlText w:val="(%1)"/>
      <w:numFmt w:val="lowerLetter"/>
      <w:start w:val="1"/>
    </w:lvl>
  </w:abstractNum>
  <w:abstractNum w:abstractNumId="328">
    <w:nsid w:val="5FA6C6DC"/>
    <w:multiLevelType w:val="hybridMultilevel"/>
    <w:lvl w:ilvl="0">
      <w:lvlJc w:val="left"/>
      <w:lvlText w:val="(%1)"/>
      <w:numFmt w:val="lowerLetter"/>
      <w:start w:val="4"/>
    </w:lvl>
  </w:abstractNum>
  <w:abstractNum w:abstractNumId="329">
    <w:nsid w:val="77933F62"/>
    <w:multiLevelType w:val="hybridMultilevel"/>
    <w:lvl w:ilvl="0">
      <w:lvlJc w:val="left"/>
      <w:lvlText w:val="(%1)"/>
      <w:numFmt w:val="lowerLetter"/>
      <w:start w:val="14"/>
    </w:lvl>
  </w:abstractNum>
  <w:abstractNum w:abstractNumId="330">
    <w:nsid w:val="6CB4EE9C"/>
    <w:multiLevelType w:val="hybridMultilevel"/>
    <w:lvl w:ilvl="0">
      <w:lvlJc w:val="left"/>
      <w:lvlText w:val="(%1)"/>
      <w:numFmt w:val="lowerLetter"/>
      <w:start w:val="25"/>
    </w:lvl>
  </w:abstractNum>
  <w:abstractNum w:abstractNumId="331">
    <w:nsid w:val="6A6D56D7"/>
    <w:multiLevelType w:val="hybridMultilevel"/>
    <w:lvl w:ilvl="0">
      <w:lvlJc w:val="left"/>
      <w:lvlText w:val="(%1)"/>
      <w:numFmt w:val="lowerLetter"/>
      <w:start w:val="1"/>
    </w:lvl>
  </w:abstractNum>
  <w:abstractNum w:abstractNumId="332">
    <w:nsid w:val="5B727F19"/>
    <w:multiLevelType w:val="hybridMultilevel"/>
    <w:lvl w:ilvl="0">
      <w:lvlJc w:val="left"/>
      <w:lvlText w:val="%1"/>
      <w:numFmt w:val="lowerRoman"/>
      <w:start w:val="1"/>
    </w:lvl>
    <w:lvl w:ilvl="1">
      <w:lvlJc w:val="left"/>
      <w:lvlText w:val="(%2)"/>
      <w:numFmt w:val="lowerLetter"/>
      <w:start w:val="3"/>
    </w:lvl>
  </w:abstractNum>
  <w:abstractNum w:abstractNumId="333">
    <w:nsid w:val="514E5CB0"/>
    <w:multiLevelType w:val="hybridMultilevel"/>
    <w:lvl w:ilvl="0">
      <w:lvlJc w:val="left"/>
      <w:lvlText w:val="(%1)"/>
      <w:numFmt w:val="lowerRoman"/>
      <w:start w:val="6"/>
    </w:lvl>
    <w:lvl w:ilvl="1">
      <w:lvlJc w:val="left"/>
      <w:lvlText w:val="(%2)"/>
      <w:numFmt w:val="lowerLetter"/>
      <w:start w:val="9"/>
    </w:lvl>
  </w:abstractNum>
  <w:abstractNum w:abstractNumId="334">
    <w:nsid w:val="4210D41E"/>
    <w:multiLevelType w:val="hybridMultilevel"/>
    <w:lvl w:ilvl="0">
      <w:lvlJc w:val="left"/>
      <w:lvlText w:val="(%1)"/>
      <w:numFmt w:val="lowerLetter"/>
      <w:start w:val="1"/>
    </w:lvl>
    <w:lvl w:ilvl="1">
      <w:lvlJc w:val="left"/>
      <w:lvlText w:val="(%2)"/>
      <w:numFmt w:val="lowerRoman"/>
      <w:start w:val="1"/>
    </w:lvl>
  </w:abstractNum>
  <w:abstractNum w:abstractNumId="335">
    <w:nsid w:val="4FF4CC6D"/>
    <w:multiLevelType w:val="hybridMultilevel"/>
    <w:lvl w:ilvl="0">
      <w:lvlJc w:val="left"/>
      <w:lvlText w:val="(%1)"/>
      <w:numFmt w:val="upperLetter"/>
      <w:start w:val="6"/>
    </w:lvl>
    <w:lvl w:ilvl="1">
      <w:lvlJc w:val="left"/>
      <w:lvlText w:val="(%2)"/>
      <w:numFmt w:val="lowerRoman"/>
      <w:start w:val="4"/>
    </w:lvl>
  </w:abstractNum>
  <w:abstractNum w:abstractNumId="336">
    <w:nsid w:val="404EAF4A"/>
    <w:multiLevelType w:val="hybridMultilevel"/>
    <w:lvl w:ilvl="0">
      <w:lvlJc w:val="left"/>
      <w:lvlText w:val="(%1)"/>
      <w:numFmt w:val="lowerLetter"/>
      <w:start w:val="2"/>
    </w:lvl>
  </w:abstractNum>
  <w:abstractNum w:abstractNumId="337">
    <w:nsid w:val="4A16874F"/>
    <w:multiLevelType w:val="hybridMultilevel"/>
    <w:lvl w:ilvl="0">
      <w:lvlJc w:val="left"/>
      <w:lvlText w:val="(%1)"/>
      <w:numFmt w:val="lowerLetter"/>
      <w:start w:val="3"/>
    </w:lvl>
  </w:abstractNum>
  <w:abstractNum w:abstractNumId="338">
    <w:nsid w:val="55FEE0D1"/>
    <w:multiLevelType w:val="hybridMultilevel"/>
    <w:lvl w:ilvl="0">
      <w:lvlJc w:val="left"/>
      <w:lvlText w:val="(%1)"/>
      <w:numFmt w:val="lowerLetter"/>
      <w:start w:val="1"/>
    </w:lvl>
  </w:abstractNum>
  <w:abstractNum w:abstractNumId="339">
    <w:nsid w:val="3C5E07C"/>
    <w:multiLevelType w:val="hybridMultilevel"/>
    <w:lvl w:ilvl="0">
      <w:lvlJc w:val="left"/>
      <w:lvlText w:val="(%1)"/>
      <w:numFmt w:val="lowerLetter"/>
      <w:start w:val="2"/>
    </w:lvl>
  </w:abstractNum>
  <w:abstractNum w:abstractNumId="340">
    <w:nsid w:val="60C2D273"/>
    <w:multiLevelType w:val="hybridMultilevel"/>
    <w:lvl w:ilvl="0">
      <w:lvlJc w:val="left"/>
      <w:lvlText w:val="(%1)"/>
      <w:numFmt w:val="lowerLetter"/>
      <w:start w:val="1"/>
    </w:lvl>
  </w:abstractNum>
  <w:abstractNum w:abstractNumId="341">
    <w:nsid w:val="4CC32F1F"/>
    <w:multiLevelType w:val="hybridMultilevel"/>
    <w:lvl w:ilvl="0">
      <w:lvlJc w:val="left"/>
      <w:lvlText w:val="(%1)"/>
      <w:numFmt w:val="lowerLetter"/>
      <w:start w:val="61"/>
    </w:lvl>
    <w:lvl w:ilvl="1">
      <w:lvlJc w:val="left"/>
      <w:lvlText w:val="(%2)"/>
      <w:numFmt w:val="lowerLetter"/>
      <w:start w:val="4"/>
    </w:lvl>
  </w:abstractNum>
  <w:abstractNum w:abstractNumId="342">
    <w:nsid w:val="11CAC74A"/>
    <w:multiLevelType w:val="hybridMultilevel"/>
    <w:lvl w:ilvl="0">
      <w:lvlJc w:val="left"/>
      <w:lvlText w:val="%1"/>
      <w:numFmt w:val="lowerLetter"/>
      <w:start w:val="1"/>
    </w:lvl>
    <w:lvl w:ilvl="1">
      <w:lvlJc w:val="left"/>
      <w:lvlText w:val="(%2)"/>
      <w:numFmt w:val="lowerLetter"/>
      <w:start w:val="1"/>
    </w:lvl>
  </w:abstractNum>
  <w:abstractNum w:abstractNumId="343">
    <w:nsid w:val="126CADE9"/>
    <w:multiLevelType w:val="hybridMultilevel"/>
    <w:lvl w:ilvl="0">
      <w:lvlJc w:val="left"/>
      <w:lvlText w:val="(%1)"/>
      <w:numFmt w:val="lowerLetter"/>
      <w:start w:val="61"/>
    </w:lvl>
    <w:lvl w:ilvl="1">
      <w:lvlJc w:val="left"/>
      <w:lvlText w:val="(%2)"/>
      <w:numFmt w:val="lowerLetter"/>
      <w:start w:val="2"/>
    </w:lvl>
  </w:abstractNum>
  <w:abstractNum w:abstractNumId="344">
    <w:nsid w:val="19132E7B"/>
    <w:multiLevelType w:val="hybridMultilevel"/>
    <w:lvl w:ilvl="0">
      <w:lvlJc w:val="left"/>
      <w:lvlText w:val="(%1)"/>
      <w:numFmt w:val="lowerLetter"/>
      <w:start w:val="1"/>
    </w:lvl>
  </w:abstractNum>
  <w:abstractNum w:abstractNumId="345">
    <w:nsid w:val="63822DC0"/>
    <w:multiLevelType w:val="hybridMultilevel"/>
    <w:lvl w:ilvl="0">
      <w:lvlJc w:val="left"/>
      <w:lvlText w:val="(%1)"/>
      <w:numFmt w:val="lowerLetter"/>
      <w:start w:val="1"/>
    </w:lvl>
  </w:abstractNum>
  <w:abstractNum w:abstractNumId="346">
    <w:nsid w:val="6C11685A"/>
    <w:multiLevelType w:val="hybridMultilevel"/>
    <w:lvl w:ilvl="0">
      <w:lvlJc w:val="left"/>
      <w:lvlText w:val="(%1)"/>
      <w:numFmt w:val="lowerLetter"/>
      <w:start w:val="1"/>
    </w:lvl>
  </w:abstractNum>
  <w:abstractNum w:abstractNumId="347">
    <w:nsid w:val="5E1EAE31"/>
    <w:multiLevelType w:val="hybridMultilevel"/>
    <w:lvl w:ilvl="0">
      <w:lvlJc w:val="left"/>
      <w:lvlText w:val="(%1)"/>
      <w:numFmt w:val="lowerLetter"/>
      <w:start w:val="1"/>
    </w:lvl>
  </w:abstractNum>
  <w:abstractNum w:abstractNumId="348">
    <w:nsid w:val="178E240D"/>
    <w:multiLevelType w:val="hybridMultilevel"/>
    <w:lvl w:ilvl="0">
      <w:lvlJc w:val="left"/>
      <w:lvlText w:val="(%1)"/>
      <w:numFmt w:val="lowerLetter"/>
      <w:start w:val="4"/>
    </w:lvl>
  </w:abstractNum>
  <w:abstractNum w:abstractNumId="349">
    <w:nsid w:val="5556A87B"/>
    <w:multiLevelType w:val="hybridMultilevel"/>
    <w:lvl w:ilvl="0">
      <w:lvlJc w:val="left"/>
      <w:lvlText w:val="(%1)"/>
      <w:numFmt w:val="lowerLetter"/>
      <w:start w:val="1"/>
    </w:lvl>
  </w:abstractNum>
  <w:abstractNum w:abstractNumId="350">
    <w:nsid w:val="28100A9C"/>
    <w:multiLevelType w:val="hybridMultilevel"/>
    <w:lvl w:ilvl="0">
      <w:lvlJc w:val="left"/>
      <w:lvlText w:val="(%1)"/>
      <w:numFmt w:val="lowerLetter"/>
      <w:start w:val="1"/>
    </w:lvl>
  </w:abstractNum>
  <w:abstractNum w:abstractNumId="351">
    <w:nsid w:val="D838636"/>
    <w:multiLevelType w:val="hybridMultilevel"/>
    <w:lvl w:ilvl="0">
      <w:lvlJc w:val="left"/>
      <w:lvlText w:val="(%1)"/>
      <w:numFmt w:val="lowerLetter"/>
      <w:start w:val="2"/>
    </w:lvl>
  </w:abstractNum>
  <w:abstractNum w:abstractNumId="352">
    <w:nsid w:val="71B82AED"/>
    <w:multiLevelType w:val="hybridMultilevel"/>
    <w:lvl w:ilvl="0">
      <w:lvlJc w:val="left"/>
      <w:lvlText w:val="(%1)"/>
      <w:numFmt w:val="lowerLetter"/>
      <w:start w:val="1"/>
    </w:lvl>
    <w:lvl w:ilvl="1">
      <w:lvlJc w:val="left"/>
      <w:lvlText w:val="(%2)"/>
      <w:numFmt w:val="lowerRoman"/>
      <w:start w:val="1"/>
    </w:lvl>
  </w:abstractNum>
  <w:abstractNum w:abstractNumId="353">
    <w:nsid w:val="D15FACA"/>
    <w:multiLevelType w:val="hybridMultilevel"/>
    <w:lvl w:ilvl="0">
      <w:lvlJc w:val="left"/>
      <w:lvlText w:val="%1"/>
      <w:numFmt w:val="lowerLetter"/>
      <w:start w:val="1"/>
    </w:lvl>
    <w:lvl w:ilvl="1">
      <w:lvlJc w:val="left"/>
      <w:lvlText w:val="(%2)"/>
      <w:numFmt w:val="lowerLetter"/>
      <w:start w:val="1"/>
    </w:lvl>
  </w:abstractNum>
  <w:abstractNum w:abstractNumId="354">
    <w:nsid w:val="3D69565B"/>
    <w:multiLevelType w:val="hybridMultilevel"/>
    <w:lvl w:ilvl="0">
      <w:lvlJc w:val="left"/>
      <w:lvlText w:val="(%1)"/>
      <w:numFmt w:val="lowerLetter"/>
      <w:start w:val="35"/>
    </w:lvl>
    <w:lvl w:ilvl="1">
      <w:lvlJc w:val="left"/>
      <w:lvlText w:val="%2"/>
      <w:numFmt w:val="lowerLetter"/>
      <w:start w:val="1"/>
    </w:lvl>
  </w:abstractNum>
  <w:abstractNum w:abstractNumId="355">
    <w:nsid w:val="2299DCBC"/>
    <w:multiLevelType w:val="hybridMultilevel"/>
    <w:lvl w:ilvl="0">
      <w:lvlJc w:val="left"/>
      <w:lvlText w:val="(%1)"/>
      <w:numFmt w:val="lowerLetter"/>
      <w:start w:val="1"/>
    </w:lvl>
  </w:abstractNum>
  <w:abstractNum w:abstractNumId="356">
    <w:nsid w:val="19908D02"/>
    <w:multiLevelType w:val="hybridMultilevel"/>
    <w:lvl w:ilvl="0">
      <w:lvlJc w:val="left"/>
      <w:lvlText w:val="(%1)"/>
      <w:numFmt w:val="lowerLetter"/>
      <w:start w:val="1"/>
    </w:lvl>
  </w:abstractNum>
  <w:abstractNum w:abstractNumId="357">
    <w:nsid w:val="24D48BDB"/>
    <w:multiLevelType w:val="hybridMultilevel"/>
    <w:lvl w:ilvl="0">
      <w:lvlJc w:val="left"/>
      <w:lvlText w:val="(%1)"/>
      <w:numFmt w:val="lowerLetter"/>
      <w:start w:val="6"/>
    </w:lvl>
    <w:lvl w:ilvl="1">
      <w:lvlJc w:val="left"/>
      <w:lvlText w:val="(%2)"/>
      <w:numFmt w:val="lowerLetter"/>
      <w:start w:val="9"/>
    </w:lvl>
  </w:abstractNum>
  <w:abstractNum w:abstractNumId="358">
    <w:nsid w:val="542DA5B5"/>
    <w:multiLevelType w:val="hybridMultilevel"/>
    <w:lvl w:ilvl="0">
      <w:lvlJc w:val="left"/>
      <w:lvlText w:val="(%1)"/>
      <w:numFmt w:val="lowerLetter"/>
      <w:start w:val="1"/>
    </w:lvl>
  </w:abstractNum>
  <w:abstractNum w:abstractNumId="359">
    <w:nsid w:val="793753DE"/>
    <w:multiLevelType w:val="hybridMultilevel"/>
    <w:lvl w:ilvl="0">
      <w:lvlJc w:val="left"/>
      <w:lvlText w:val="(%1)"/>
      <w:numFmt w:val="lowerLetter"/>
      <w:start w:val="1"/>
    </w:lvl>
  </w:abstractNum>
  <w:abstractNum w:abstractNumId="360">
    <w:nsid w:val="1C67CB3D"/>
    <w:multiLevelType w:val="hybridMultilevel"/>
    <w:lvl w:ilvl="0">
      <w:lvlJc w:val="left"/>
      <w:lvlText w:val="(%1)"/>
      <w:numFmt w:val="lowerLetter"/>
      <w:start w:val="1"/>
    </w:lvl>
  </w:abstractNum>
  <w:abstractNum w:abstractNumId="361">
    <w:nsid w:val="40E29452"/>
    <w:multiLevelType w:val="hybridMultilevel"/>
    <w:lvl w:ilvl="0">
      <w:lvlJc w:val="left"/>
      <w:lvlText w:val="(%1)"/>
      <w:numFmt w:val="lowerLetter"/>
      <w:start w:val="1"/>
    </w:lvl>
  </w:abstractNum>
  <w:abstractNum w:abstractNumId="362">
    <w:nsid w:val="63A4AAB6"/>
    <w:multiLevelType w:val="hybridMultilevel"/>
    <w:lvl w:ilvl="0">
      <w:lvlJc w:val="left"/>
      <w:lvlText w:val="(%1)"/>
      <w:numFmt w:val="lowerLetter"/>
      <w:start w:val="2"/>
    </w:lvl>
  </w:abstractNum>
  <w:abstractNum w:abstractNumId="363">
    <w:nsid w:val="77DA4A57"/>
    <w:multiLevelType w:val="hybridMultilevel"/>
    <w:lvl w:ilvl="0">
      <w:lvlJc w:val="left"/>
      <w:lvlText w:val="(%1)"/>
      <w:numFmt w:val="lowerLetter"/>
      <w:start w:val="1"/>
    </w:lvl>
  </w:abstractNum>
  <w:abstractNum w:abstractNumId="364">
    <w:nsid w:val="1230F102"/>
    <w:multiLevelType w:val="hybridMultilevel"/>
    <w:lvl w:ilvl="0">
      <w:lvlJc w:val="left"/>
      <w:lvlText w:val="(%1)"/>
      <w:numFmt w:val="lowerRoman"/>
      <w:start w:val="2"/>
    </w:lvl>
  </w:abstractNum>
  <w:abstractNum w:abstractNumId="365">
    <w:nsid w:val="25B57ED4"/>
    <w:multiLevelType w:val="hybridMultilevel"/>
    <w:lvl w:ilvl="0">
      <w:lvlJc w:val="left"/>
      <w:lvlText w:val="(%1)"/>
      <w:numFmt w:val="lowerRoman"/>
      <w:start w:val="7"/>
    </w:lvl>
  </w:abstractNum>
  <w:abstractNum w:abstractNumId="366">
    <w:nsid w:val="47CF16C4"/>
    <w:multiLevelType w:val="hybridMultilevel"/>
    <w:lvl w:ilvl="0">
      <w:lvlJc w:val="left"/>
      <w:lvlText w:val="(%1)"/>
      <w:numFmt w:val="lowerRoman"/>
      <w:start w:val="3"/>
    </w:lvl>
  </w:abstractNum>
  <w:abstractNum w:abstractNumId="367">
    <w:nsid w:val="527FA04C"/>
    <w:multiLevelType w:val="hybridMultilevel"/>
    <w:lvl w:ilvl="0">
      <w:lvlJc w:val="left"/>
      <w:lvlText w:val="(%1)"/>
      <w:numFmt w:val="lowerLetter"/>
      <w:start w:val="1"/>
    </w:lvl>
    <w:lvl w:ilvl="1">
      <w:lvlJc w:val="left"/>
      <w:lvlText w:val="(%2)"/>
      <w:numFmt w:val="lowerLetter"/>
      <w:start w:val="9"/>
    </w:lvl>
  </w:abstractNum>
  <w:abstractNum w:abstractNumId="368">
    <w:nsid w:val="6FCC0624"/>
    <w:multiLevelType w:val="hybridMultilevel"/>
    <w:lvl w:ilvl="0">
      <w:lvlJc w:val="left"/>
      <w:lvlText w:val="%1."/>
      <w:numFmt w:val="decimal"/>
      <w:start w:val="1"/>
    </w:lvl>
  </w:abstractNum>
  <w:abstractNum w:abstractNumId="369">
    <w:nsid w:val="1DCDF795"/>
    <w:multiLevelType w:val="hybridMultilevel"/>
    <w:lvl w:ilvl="0">
      <w:lvlJc w:val="left"/>
      <w:lvlText w:val="%1."/>
      <w:numFmt w:val="decimal"/>
      <w:start w:val="1"/>
    </w:lvl>
  </w:abstractNum>
  <w:abstractNum w:abstractNumId="370">
    <w:nsid w:val="564580C8"/>
    <w:multiLevelType w:val="hybridMultilevel"/>
    <w:lvl w:ilvl="0">
      <w:lvlJc w:val="left"/>
      <w:lvlText w:val="%1."/>
      <w:numFmt w:val="decimal"/>
      <w:start w:val="1"/>
    </w:lvl>
  </w:abstractNum>
  <w:abstractNum w:abstractNumId="371">
    <w:nsid w:val="508ED897"/>
    <w:multiLevelType w:val="hybridMultilevel"/>
    <w:lvl w:ilvl="0">
      <w:lvlJc w:val="left"/>
      <w:lvlText w:val="%1."/>
      <w:numFmt w:val="decimal"/>
      <w:start w:val="4"/>
    </w:lvl>
  </w:abstractNum>
  <w:abstractNum w:abstractNumId="372">
    <w:nsid w:val="6A9126B5"/>
    <w:multiLevelType w:val="hybridMultilevel"/>
    <w:lvl w:ilvl="0">
      <w:lvlJc w:val="left"/>
      <w:lvlText w:val="%1."/>
      <w:numFmt w:val="decimal"/>
      <w:start w:val="1"/>
    </w:lvl>
  </w:abstractNum>
  <w:abstractNum w:abstractNumId="373">
    <w:nsid w:val="68104812"/>
    <w:multiLevelType w:val="hybridMultilevel"/>
    <w:lvl w:ilvl="0">
      <w:lvlJc w:val="left"/>
      <w:lvlText w:val="%1."/>
      <w:numFmt w:val="decimal"/>
      <w:start w:val="1"/>
    </w:lvl>
  </w:abstractNum>
  <w:abstractNum w:abstractNumId="374">
    <w:nsid w:val="62FB8680"/>
    <w:multiLevelType w:val="hybridMultilevel"/>
    <w:lvl w:ilvl="0">
      <w:lvlJc w:val="left"/>
      <w:lvlText w:val="%1."/>
      <w:numFmt w:val="decimal"/>
      <w:start w:val="2"/>
    </w:lvl>
  </w:abstractNum>
  <w:abstractNum w:abstractNumId="375">
    <w:nsid w:val="3A45530"/>
    <w:multiLevelType w:val="hybridMultilevel"/>
    <w:lvl w:ilvl="0">
      <w:lvlJc w:val="left"/>
      <w:lvlText w:val="(%1)"/>
      <w:numFmt w:val="decimal"/>
      <w:start w:val="60"/>
    </w:lvl>
  </w:abstractNum>
  <w:abstractNum w:abstractNumId="376">
    <w:nsid w:val="4B9275D2"/>
    <w:multiLevelType w:val="hybridMultilevel"/>
    <w:lvl w:ilvl="0">
      <w:lvlJc w:val="left"/>
      <w:lvlText w:val="(%1)"/>
      <w:numFmt w:val="lowerLetter"/>
      <w:start w:val="1"/>
    </w:lvl>
  </w:abstractNum>
  <w:abstractNum w:abstractNumId="377">
    <w:nsid w:val="4F0CEEDB"/>
    <w:multiLevelType w:val="hybridMultilevel"/>
    <w:lvl w:ilvl="0">
      <w:lvlJc w:val="left"/>
      <w:lvlText w:val="(%1)"/>
      <w:numFmt w:val="lowerLetter"/>
      <w:start w:val="2"/>
    </w:lvl>
    <w:lvl w:ilvl="1">
      <w:lvlJc w:val="left"/>
      <w:lvlText w:val="(%2)"/>
      <w:numFmt w:val="lowerRoman"/>
      <w:start w:val="1"/>
    </w:lvl>
  </w:abstractNum>
  <w:abstractNum w:abstractNumId="378">
    <w:nsid w:val="61C30361"/>
    <w:multiLevelType w:val="hybridMultilevel"/>
    <w:lvl w:ilvl="0">
      <w:lvlJc w:val="left"/>
      <w:lvlText w:val="(%1)"/>
      <w:numFmt w:val="lowerLetter"/>
      <w:start w:val="3"/>
    </w:lvl>
    <w:lvl w:ilvl="1">
      <w:lvlJc w:val="left"/>
      <w:lvlText w:val="(%2)"/>
      <w:numFmt w:val="lowerRoman"/>
      <w:start w:val="1"/>
    </w:lvl>
  </w:abstractNum>
  <w:abstractNum w:abstractNumId="379">
    <w:nsid w:val="632099E0"/>
    <w:multiLevelType w:val="hybridMultilevel"/>
    <w:lvl w:ilvl="0">
      <w:lvlJc w:val="left"/>
      <w:lvlText w:val="%1"/>
      <w:numFmt w:val="lowerLetter"/>
      <w:start w:val="1"/>
    </w:lvl>
    <w:lvl w:ilvl="1">
      <w:lvlJc w:val="left"/>
      <w:lvlText w:val="(%2)"/>
      <w:numFmt w:val="lowerRoman"/>
      <w:start w:val="6"/>
    </w:lvl>
  </w:abstractNum>
  <w:abstractNum w:abstractNumId="380">
    <w:nsid w:val="24639756"/>
    <w:multiLevelType w:val="hybridMultilevel"/>
    <w:lvl w:ilvl="0">
      <w:lvlJc w:val="left"/>
      <w:lvlText w:val="(%1)"/>
      <w:numFmt w:val="lowerLetter"/>
      <w:start w:val="4"/>
    </w:lvl>
    <w:lvl w:ilvl="1">
      <w:lvlJc w:val="left"/>
      <w:lvlText w:val="(%2)"/>
      <w:numFmt w:val="lowerRoman"/>
      <w:start w:val="1"/>
    </w:lvl>
  </w:abstractNum>
  <w:abstractNum w:abstractNumId="381">
    <w:nsid w:val="9D30DFD"/>
    <w:multiLevelType w:val="hybridMultilevel"/>
    <w:lvl w:ilvl="0">
      <w:lvlJc w:val="left"/>
      <w:lvlText w:val="(%1)"/>
      <w:numFmt w:val="lowerRoman"/>
      <w:start w:val="4"/>
    </w:lvl>
  </w:abstractNum>
  <w:abstractNum w:abstractNumId="382">
    <w:nsid w:val="70A42016"/>
    <w:multiLevelType w:val="hybridMultilevel"/>
    <w:lvl w:ilvl="0">
      <w:lvlJc w:val="left"/>
      <w:lvlText w:val="(%1)"/>
      <w:numFmt w:val="lowerRoman"/>
      <w:start w:val="8"/>
    </w:lvl>
  </w:abstractNum>
  <w:abstractNum w:abstractNumId="383">
    <w:nsid w:val="161BC243"/>
    <w:multiLevelType w:val="hybridMultilevel"/>
    <w:lvl w:ilvl="0">
      <w:lvlJc w:val="left"/>
      <w:lvlText w:val="(%1)"/>
      <w:numFmt w:val="lowerLetter"/>
      <w:start w:val="6"/>
    </w:lvl>
  </w:abstractNum>
  <w:abstractNum w:abstractNumId="384">
    <w:nsid w:val="16E908C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85">
    <w:nsid w:val="2E0D7671"/>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386">
    <w:nsid w:val="38B59EFF"/>
    <w:multiLevelType w:val="hybridMultilevel"/>
    <w:lvl w:ilvl="0">
      <w:lvlJc w:val="left"/>
      <w:lvlText w:val="(%1)"/>
      <w:numFmt w:val="upperLetter"/>
      <w:start w:val="2"/>
    </w:lvl>
  </w:abstractNum>
  <w:abstractNum w:abstractNumId="387">
    <w:nsid w:val="307995CA"/>
    <w:multiLevelType w:val="hybridMultilevel"/>
    <w:lvl w:ilvl="0">
      <w:lvlJc w:val="left"/>
      <w:lvlText w:val="(%1)"/>
      <w:numFmt w:val="lowerLetter"/>
      <w:start w:val="1"/>
    </w:lvl>
  </w:abstractNum>
  <w:abstractNum w:abstractNumId="388">
    <w:nsid w:val="52E2024D"/>
    <w:multiLevelType w:val="hybridMultilevel"/>
    <w:lvl w:ilvl="0">
      <w:lvlJc w:val="left"/>
      <w:lvlText w:val="%1."/>
      <w:numFmt w:val="decimal"/>
      <w:start w:val="1"/>
    </w:lvl>
  </w:abstractNum>
  <w:abstractNum w:abstractNumId="389">
    <w:nsid w:val="CE344B5"/>
    <w:multiLevelType w:val="hybridMultilevel"/>
    <w:lvl w:ilvl="0">
      <w:lvlJc w:val="left"/>
      <w:lvlText w:val="%1."/>
      <w:numFmt w:val="decimal"/>
      <w:start w:val="3"/>
    </w:lvl>
  </w:abstractNum>
  <w:abstractNum w:abstractNumId="390">
    <w:nsid w:val="29B0E9A8"/>
    <w:multiLevelType w:val="hybridMultilevel"/>
    <w:lvl w:ilvl="0">
      <w:lvlJc w:val="left"/>
      <w:lvlText w:val="(%1)"/>
      <w:numFmt w:val="lowerLetter"/>
      <w:start w:val="1"/>
    </w:lvl>
  </w:abstractNum>
  <w:abstractNum w:abstractNumId="391">
    <w:nsid w:val="6F49CD8A"/>
    <w:multiLevelType w:val="hybridMultilevel"/>
    <w:lvl w:ilvl="0">
      <w:lvlJc w:val="left"/>
      <w:lvlText w:val="(%1)"/>
      <w:numFmt w:val="lowerLetter"/>
      <w:start w:val="12"/>
    </w:lvl>
  </w:abstractNum>
  <w:abstractNum w:abstractNumId="392">
    <w:nsid w:val="4DC5D907"/>
    <w:multiLevelType w:val="hybridMultilevel"/>
    <w:lvl w:ilvl="0">
      <w:lvlJc w:val="left"/>
      <w:lvlText w:val="%1."/>
      <w:numFmt w:val="decimal"/>
      <w:start w:val="5"/>
    </w:lvl>
  </w:abstractNum>
  <w:abstractNum w:abstractNumId="393">
    <w:nsid w:val="D55945E"/>
    <w:multiLevelType w:val="hybridMultilevel"/>
    <w:lvl w:ilvl="0">
      <w:lvlJc w:val="left"/>
      <w:lvlText w:val="(%1)"/>
      <w:numFmt w:val="lowerLetter"/>
      <w:start w:val="1"/>
    </w:lvl>
  </w:abstractNum>
  <w:abstractNum w:abstractNumId="394">
    <w:nsid w:val="672417E1"/>
    <w:multiLevelType w:val="hybridMultilevel"/>
    <w:lvl w:ilvl="0">
      <w:lvlJc w:val="left"/>
      <w:lvlText w:val="%1."/>
      <w:numFmt w:val="decimal"/>
      <w:start w:val="6"/>
    </w:lvl>
  </w:abstractNum>
  <w:abstractNum w:abstractNumId="395">
    <w:nsid w:val="5FF6CA09"/>
    <w:multiLevelType w:val="hybridMultilevel"/>
    <w:lvl w:ilvl="0">
      <w:lvlJc w:val="left"/>
      <w:lvlText w:val="%1."/>
      <w:numFmt w:val="decimal"/>
      <w:start w:val="7"/>
    </w:lvl>
  </w:abstractNum>
  <w:abstractNum w:abstractNumId="396">
    <w:nsid w:val="330B1333"/>
    <w:multiLevelType w:val="hybridMultilevel"/>
    <w:lvl w:ilvl="0">
      <w:lvlJc w:val="left"/>
      <w:lvlText w:val="%1."/>
      <w:numFmt w:val="decimal"/>
      <w:start w:val="8"/>
    </w:lvl>
  </w:abstractNum>
  <w:abstractNum w:abstractNumId="397">
    <w:nsid w:val="2EF32EA6"/>
    <w:multiLevelType w:val="hybridMultilevel"/>
    <w:lvl w:ilvl="0">
      <w:lvlJc w:val="left"/>
      <w:lvlText w:val="%1."/>
      <w:numFmt w:val="decimal"/>
      <w:start w:val="9"/>
    </w:lvl>
  </w:abstractNum>
  <w:abstractNum w:abstractNumId="398">
    <w:nsid w:val="32766A55"/>
    <w:multiLevelType w:val="hybridMultilevel"/>
    <w:lvl w:ilvl="0">
      <w:lvlJc w:val="left"/>
      <w:lvlText w:val="(%1)"/>
      <w:numFmt w:val="lowerLetter"/>
      <w:start w:val="2"/>
    </w:lvl>
  </w:abstractNum>
  <w:abstractNum w:abstractNumId="399">
    <w:nsid w:val="22D71957"/>
    <w:multiLevelType w:val="hybridMultilevel"/>
    <w:lvl w:ilvl="0">
      <w:lvlJc w:val="left"/>
      <w:lvlText w:val="%1."/>
      <w:numFmt w:val="decimal"/>
      <w:start w:val="10"/>
    </w:lvl>
  </w:abstractNum>
  <w:abstractNum w:abstractNumId="400">
    <w:nsid w:val="4CC1263B"/>
    <w:multiLevelType w:val="hybridMultilevel"/>
    <w:lvl w:ilvl="0">
      <w:lvlJc w:val="left"/>
      <w:lvlText w:val="(%1)"/>
      <w:numFmt w:val="lowerLetter"/>
      <w:start w:val="1"/>
    </w:lvl>
  </w:abstractNum>
  <w:abstractNum w:abstractNumId="401">
    <w:nsid w:val="8BBEB1D"/>
    <w:multiLevelType w:val="hybridMultilevel"/>
    <w:lvl w:ilvl="0">
      <w:lvlJc w:val="left"/>
      <w:lvlText w:val="%1."/>
      <w:numFmt w:val="decimal"/>
      <w:start w:val="11"/>
    </w:lvl>
    <w:lvl w:ilvl="1">
      <w:lvlJc w:val="left"/>
      <w:lvlText w:val="(%2)"/>
      <w:numFmt w:val="lowerLetter"/>
      <w:start w:val="1"/>
    </w:lvl>
  </w:abstractNum>
  <w:abstractNum w:abstractNumId="402">
    <w:nsid w:val="7365F1EE"/>
    <w:multiLevelType w:val="hybridMultilevel"/>
    <w:lvl w:ilvl="0">
      <w:lvlJc w:val="left"/>
      <w:lvlText w:val="%1."/>
      <w:numFmt w:val="decimal"/>
      <w:start w:val="12"/>
    </w:lvl>
  </w:abstractNum>
  <w:abstractNum w:abstractNumId="403">
    <w:nsid w:val="37524CF0"/>
    <w:multiLevelType w:val="hybridMultilevel"/>
    <w:lvl w:ilvl="0">
      <w:lvlJc w:val="left"/>
      <w:lvlText w:val="%1."/>
      <w:numFmt w:val="decimal"/>
      <w:start w:val="13"/>
    </w:lvl>
  </w:abstractNum>
  <w:abstractNum w:abstractNumId="404">
    <w:nsid w:val="70CC332F"/>
    <w:multiLevelType w:val="hybridMultilevel"/>
    <w:lvl w:ilvl="0">
      <w:lvlJc w:val="left"/>
      <w:lvlText w:val="%1."/>
      <w:numFmt w:val="decimal"/>
      <w:start w:val="14"/>
    </w:lvl>
  </w:abstractNum>
  <w:abstractNum w:abstractNumId="405">
    <w:nsid w:val="5661786E"/>
    <w:multiLevelType w:val="hybridMultilevel"/>
    <w:lvl w:ilvl="0">
      <w:lvlJc w:val="left"/>
      <w:lvlText w:val="(%1)"/>
      <w:numFmt w:val="lowerLetter"/>
      <w:start w:val="3"/>
    </w:lvl>
    <w:lvl w:ilvl="1">
      <w:lvlJc w:val="left"/>
      <w:lvlText w:val="%2."/>
      <w:numFmt w:val="decimal"/>
      <w:start w:val="15"/>
    </w:lvl>
  </w:abstractNum>
  <w:abstractNum w:abstractNumId="406">
    <w:nsid w:val="3AF6A220"/>
    <w:multiLevelType w:val="hybridMultilevel"/>
    <w:lvl w:ilvl="0">
      <w:lvlJc w:val="left"/>
      <w:lvlText w:val="%1."/>
      <w:numFmt w:val="decimal"/>
      <w:start w:val="16"/>
    </w:lvl>
  </w:abstractNum>
  <w:abstractNum w:abstractNumId="407">
    <w:nsid w:val="3C5EA902"/>
    <w:multiLevelType w:val="hybridMultilevel"/>
    <w:lvl w:ilvl="0">
      <w:lvlJc w:val="left"/>
      <w:lvlText w:val="%1."/>
      <w:numFmt w:val="decimal"/>
      <w:start w:val="18"/>
    </w:lvl>
  </w:abstractNum>
  <w:abstractNum w:abstractNumId="408">
    <w:nsid w:val="256E6749"/>
    <w:multiLevelType w:val="hybridMultilevel"/>
    <w:lvl w:ilvl="0">
      <w:lvlJc w:val="left"/>
      <w:lvlText w:val="(%1)"/>
      <w:numFmt w:val="lowerLetter"/>
      <w:start w:val="1"/>
    </w:lvl>
  </w:abstractNum>
  <w:abstractNum w:abstractNumId="409">
    <w:nsid w:val="1CB9A581"/>
    <w:multiLevelType w:val="hybridMultilevel"/>
    <w:lvl w:ilvl="0">
      <w:lvlJc w:val="left"/>
      <w:lvlText w:val="(%1)"/>
      <w:numFmt w:val="lowerLetter"/>
      <w:start w:val="5"/>
    </w:lvl>
  </w:abstractNum>
  <w:abstractNum w:abstractNumId="410">
    <w:nsid w:val="1F7F42E2"/>
    <w:multiLevelType w:val="hybridMultilevel"/>
    <w:lvl w:ilvl="0">
      <w:lvlJc w:val="left"/>
      <w:lvlText w:val="%1."/>
      <w:numFmt w:val="decimal"/>
      <w:start w:val="22"/>
    </w:lvl>
  </w:abstractNum>
  <w:abstractNum w:abstractNumId="411">
    <w:nsid w:val="49D1FEA0"/>
    <w:multiLevelType w:val="hybridMultilevel"/>
    <w:lvl w:ilvl="0">
      <w:lvlJc w:val="left"/>
      <w:lvlText w:val="%1."/>
      <w:numFmt w:val="decimal"/>
      <w:start w:val="25"/>
    </w:lvl>
  </w:abstractNum>
  <w:abstractNum w:abstractNumId="412">
    <w:nsid w:val="268CB37F"/>
    <w:multiLevelType w:val="hybridMultilevel"/>
    <w:lvl w:ilvl="0">
      <w:lvlJc w:val="left"/>
      <w:lvlText w:val="(%1)"/>
      <w:numFmt w:val="lowerLetter"/>
      <w:start w:val="1"/>
    </w:lvl>
  </w:abstractNum>
  <w:abstractNum w:abstractNumId="413">
    <w:nsid w:val="102362F8"/>
    <w:multiLevelType w:val="hybridMultilevel"/>
    <w:lvl w:ilvl="0">
      <w:lvlJc w:val="left"/>
      <w:lvlText w:val="(%1)"/>
      <w:numFmt w:val="lowerLetter"/>
      <w:start w:val="1"/>
    </w:lvl>
  </w:abstractNum>
  <w:abstractNum w:abstractNumId="414">
    <w:nsid w:val="5FEDC0E3"/>
    <w:multiLevelType w:val="hybridMultilevel"/>
    <w:lvl w:ilvl="0">
      <w:lvlJc w:val="left"/>
      <w:lvlText w:val="(%1)"/>
      <w:numFmt w:val="lowerLetter"/>
      <w:start w:val="1"/>
    </w:lvl>
  </w:abstractNum>
  <w:abstractNum w:abstractNumId="415">
    <w:nsid w:val="3D75BC47"/>
    <w:multiLevelType w:val="hybridMultilevel"/>
    <w:lvl w:ilvl="0">
      <w:lvlJc w:val="left"/>
      <w:lvlText w:val="(%1)"/>
      <w:numFmt w:val="lowerLetter"/>
      <w:start w:val="19"/>
    </w:lvl>
  </w:abstractNum>
  <w:abstractNum w:abstractNumId="416">
    <w:nsid w:val="3E30D969"/>
    <w:multiLevelType w:val="hybridMultilevel"/>
    <w:lvl w:ilvl="0">
      <w:lvlJc w:val="left"/>
      <w:lvlText w:val="(%1)"/>
      <w:numFmt w:val="lowerLetter"/>
      <w:start w:val="27"/>
    </w:lvl>
  </w:abstractNum>
  <w:abstractNum w:abstractNumId="417">
    <w:nsid w:val="18A35FE3"/>
    <w:multiLevelType w:val="hybridMultilevel"/>
    <w:lvl w:ilvl="0">
      <w:lvlJc w:val="left"/>
      <w:lvlText w:val="%1."/>
      <w:numFmt w:val="decimal"/>
      <w:start w:val="29"/>
    </w:lvl>
  </w:abstractNum>
  <w:abstractNum w:abstractNumId="418">
    <w:nsid w:val="6DEF5211"/>
    <w:multiLevelType w:val="hybridMultilevel"/>
    <w:lvl w:ilvl="0">
      <w:lvlJc w:val="left"/>
      <w:lvlText w:val="%1."/>
      <w:numFmt w:val="decimal"/>
      <w:start w:val="1"/>
    </w:lvl>
  </w:abstractNum>
  <w:abstractNum w:abstractNumId="419">
    <w:nsid w:val="1112DBB6"/>
    <w:multiLevelType w:val="hybridMultilevel"/>
    <w:lvl w:ilvl="0">
      <w:lvlJc w:val="left"/>
      <w:lvlText w:val="%1."/>
      <w:numFmt w:val="decimal"/>
      <w:start w:val="3"/>
    </w:lvl>
  </w:abstractNum>
  <w:abstractNum w:abstractNumId="420">
    <w:nsid w:val="2586A498"/>
    <w:multiLevelType w:val="hybridMultilevel"/>
    <w:lvl w:ilvl="0">
      <w:lvlJc w:val="left"/>
      <w:lvlText w:val="%1."/>
      <w:numFmt w:val="decimal"/>
      <w:start w:val="4"/>
    </w:lvl>
    <w:lvl w:ilvl="1">
      <w:lvlJc w:val="left"/>
      <w:lvlText w:val="(%2)"/>
      <w:numFmt w:val="lowerLetter"/>
      <w:start w:val="1"/>
    </w:lvl>
  </w:abstractNum>
  <w:abstractNum w:abstractNumId="421">
    <w:nsid w:val="17A03BB9"/>
    <w:multiLevelType w:val="hybridMultilevel"/>
    <w:lvl w:ilvl="0">
      <w:lvlJc w:val="left"/>
      <w:lvlText w:val="%1"/>
      <w:numFmt w:val="decimal"/>
      <w:start w:val="1"/>
    </w:lvl>
    <w:lvl w:ilvl="1">
      <w:lvlJc w:val="left"/>
      <w:lvlText w:val="(%2)"/>
      <w:numFmt w:val="lowerLetter"/>
      <w:start w:val="9"/>
    </w:lvl>
  </w:abstractNum>
  <w:abstractNum w:abstractNumId="422">
    <w:nsid w:val="5CA941"/>
    <w:multiLevelType w:val="hybridMultilevel"/>
    <w:lvl w:ilvl="0">
      <w:lvlJc w:val="left"/>
      <w:lvlText w:val="%1."/>
      <w:numFmt w:val="decimal"/>
      <w:start w:val="5"/>
    </w:lvl>
    <w:lvl w:ilvl="1">
      <w:lvlJc w:val="left"/>
      <w:lvlText w:val="(%2)"/>
      <w:numFmt w:val="lowerLetter"/>
      <w:start w:val="1"/>
    </w:lvl>
  </w:abstractNum>
  <w:abstractNum w:abstractNumId="423">
    <w:nsid w:val="734C7D9F"/>
    <w:multiLevelType w:val="hybridMultilevel"/>
    <w:lvl w:ilvl="0">
      <w:lvlJc w:val="left"/>
      <w:lvlText w:val="%1."/>
      <w:numFmt w:val="decimal"/>
      <w:start w:val="6"/>
    </w:lvl>
    <w:lvl w:ilvl="1">
      <w:lvlJc w:val="left"/>
      <w:lvlText w:val="(%2)"/>
      <w:numFmt w:val="lowerLetter"/>
      <w:start w:val="1"/>
    </w:lvl>
  </w:abstractNum>
  <w:abstractNum w:abstractNumId="424">
    <w:nsid w:val="24F5D018"/>
    <w:multiLevelType w:val="hybridMultilevel"/>
    <w:lvl w:ilvl="0">
      <w:lvlJc w:val="left"/>
      <w:lvlText w:val="(%1)"/>
      <w:numFmt w:val="lowerLetter"/>
      <w:start w:val="2"/>
    </w:lvl>
  </w:abstractNum>
  <w:abstractNum w:abstractNumId="425">
    <w:nsid w:val="6780C12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26">
    <w:nsid w:val="534347A8"/>
    <w:multiLevelType w:val="hybridMultilevel"/>
    <w:lvl w:ilvl="0">
      <w:lvlJc w:val="left"/>
      <w:lvlText w:val="%1"/>
      <w:numFmt w:val="decimal"/>
      <w:start w:val="1"/>
    </w:lvl>
    <w:lvl w:ilvl="1">
      <w:lvlJc w:val="left"/>
      <w:lvlText w:val="(%2)"/>
      <w:numFmt w:val="lowerLetter"/>
      <w:start w:val="2"/>
    </w:lvl>
  </w:abstractNum>
  <w:abstractNum w:abstractNumId="427">
    <w:nsid w:val="5800E34B"/>
    <w:multiLevelType w:val="hybridMultilevel"/>
    <w:lvl w:ilvl="0">
      <w:lvlJc w:val="left"/>
      <w:lvlText w:val="%1."/>
      <w:numFmt w:val="decimal"/>
      <w:start w:val="11"/>
    </w:lvl>
    <w:lvl w:ilvl="1">
      <w:lvlJc w:val="left"/>
      <w:lvlText w:val="(%2)"/>
      <w:numFmt w:val="lowerLetter"/>
      <w:start w:val="1"/>
    </w:lvl>
  </w:abstractNum>
  <w:abstractNum w:abstractNumId="428">
    <w:nsid w:val="1673EFC8"/>
    <w:multiLevelType w:val="hybridMultilevel"/>
    <w:lvl w:ilvl="0">
      <w:lvlJc w:val="left"/>
      <w:lvlText w:val="%1"/>
      <w:numFmt w:val="decimal"/>
      <w:start w:val="1"/>
    </w:lvl>
    <w:lvl w:ilvl="1">
      <w:lvlJc w:val="left"/>
      <w:lvlText w:val="(%2)"/>
      <w:numFmt w:val="lowerLetter"/>
      <w:start w:val="3"/>
    </w:lvl>
  </w:abstractNum>
  <w:abstractNum w:abstractNumId="429">
    <w:nsid w:val="5B9B1FD"/>
    <w:multiLevelType w:val="hybridMultilevel"/>
    <w:lvl w:ilvl="0">
      <w:lvlJc w:val="left"/>
      <w:lvlText w:val="%1."/>
      <w:numFmt w:val="decimal"/>
      <w:start w:val="12"/>
    </w:lvl>
    <w:lvl w:ilvl="1">
      <w:lvlJc w:val="left"/>
      <w:lvlText w:val="%2"/>
      <w:numFmt w:val="lowerLetter"/>
      <w:start w:val="1"/>
    </w:lvl>
  </w:abstractNum>
  <w:abstractNum w:abstractNumId="430">
    <w:nsid w:val="7AD7FCA2"/>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431">
    <w:nsid w:val="63351604"/>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432">
    <w:nsid w:val="E759D1A"/>
    <w:multiLevelType w:val="hybridMultilevel"/>
    <w:lvl w:ilvl="0">
      <w:lvlJc w:val="left"/>
      <w:lvlText w:val="%1."/>
      <w:numFmt w:val="decimal"/>
      <w:start w:val="24"/>
    </w:lvl>
    <w:lvl w:ilvl="1">
      <w:lvlJc w:val="left"/>
      <w:lvlText w:val="(%2)"/>
      <w:numFmt w:val="lowerLetter"/>
      <w:start w:val="1"/>
    </w:lvl>
  </w:abstractNum>
  <w:abstractNum w:abstractNumId="433">
    <w:nsid w:val="6E3DEE90"/>
    <w:multiLevelType w:val="hybridMultilevel"/>
    <w:lvl w:ilvl="0">
      <w:lvlJc w:val="left"/>
      <w:lvlText w:val="%1"/>
      <w:numFmt w:val="decimal"/>
      <w:start w:val="1"/>
    </w:lvl>
    <w:lvl w:ilvl="1">
      <w:lvlJc w:val="left"/>
      <w:lvlText w:val="(%2)"/>
      <w:numFmt w:val="lowerLetter"/>
      <w:start w:val="2"/>
    </w:lvl>
  </w:abstractNum>
  <w:abstractNum w:abstractNumId="434">
    <w:nsid w:val="1A8762F4"/>
    <w:multiLevelType w:val="hybridMultilevel"/>
    <w:lvl w:ilvl="0">
      <w:lvlJc w:val="left"/>
      <w:lvlText w:val="%1."/>
      <w:numFmt w:val="decimal"/>
      <w:start w:val="28"/>
    </w:lvl>
    <w:lvl w:ilvl="1">
      <w:lvlJc w:val="left"/>
      <w:lvlText w:val="%2"/>
      <w:numFmt w:val="lowerLetter"/>
      <w:start w:val="1"/>
    </w:lvl>
  </w:abstractNum>
  <w:abstractNum w:abstractNumId="435">
    <w:nsid w:val="7F41D049"/>
    <w:multiLevelType w:val="hybridMultilevel"/>
    <w:lvl w:ilvl="0">
      <w:lvlJc w:val="left"/>
      <w:lvlText w:val="(%1)"/>
      <w:numFmt w:val="lowerLetter"/>
      <w:start w:val="1"/>
    </w:lvl>
    <w:lvl w:ilvl="1">
      <w:lvlJc w:val="left"/>
      <w:lvlText w:val="(%2)"/>
      <w:numFmt w:val="lowerLetter"/>
      <w:start w:val="2"/>
    </w:lvl>
  </w:abstractNum>
  <w:abstractNum w:abstractNumId="436">
    <w:nsid w:val="449F66FE"/>
    <w:multiLevelType w:val="hybridMultilevel"/>
    <w:lvl w:ilvl="0">
      <w:lvlJc w:val="left"/>
      <w:lvlText w:val="(%1)"/>
      <w:numFmt w:val="lowerLetter"/>
      <w:start w:val="11"/>
    </w:lvl>
    <w:lvl w:ilvl="1">
      <w:lvlJc w:val="left"/>
      <w:lvlText w:val="%2."/>
      <w:numFmt w:val="lowerRoman"/>
      <w:start w:val="1"/>
    </w:lvl>
  </w:abstractNum>
  <w:abstractNum w:abstractNumId="437">
    <w:nsid w:val="557E0515"/>
    <w:multiLevelType w:val="hybridMultilevel"/>
    <w:lvl w:ilvl="0">
      <w:lvlJc w:val="left"/>
      <w:lvlText w:val="(%1)"/>
      <w:numFmt w:val="lowerLetter"/>
      <w:start w:val="23"/>
    </w:lvl>
  </w:abstractNum>
  <w:abstractNum w:abstractNumId="438">
    <w:nsid w:val="3BA0794B"/>
    <w:multiLevelType w:val="hybridMultilevel"/>
    <w:lvl w:ilvl="0">
      <w:lvlJc w:val="left"/>
      <w:lvlText w:val="(%1)"/>
      <w:numFmt w:val="lowerLetter"/>
      <w:start w:val="1"/>
    </w:lvl>
  </w:abstractNum>
  <w:abstractNum w:abstractNumId="439">
    <w:nsid w:val="6A0DCE48"/>
    <w:multiLevelType w:val="hybridMultilevel"/>
    <w:lvl w:ilvl="0">
      <w:lvlJc w:val="left"/>
      <w:lvlText w:val="(%1)"/>
      <w:numFmt w:val="lowerLetter"/>
      <w:start w:val="1"/>
    </w:lvl>
  </w:abstractNum>
  <w:abstractNum w:abstractNumId="440">
    <w:nsid w:val="7237AA96"/>
    <w:multiLevelType w:val="hybridMultilevel"/>
    <w:lvl w:ilvl="0">
      <w:lvlJc w:val="left"/>
      <w:lvlText w:val="%1."/>
      <w:numFmt w:val="decimal"/>
      <w:start w:val="1"/>
    </w:lvl>
    <w:lvl w:ilvl="1">
      <w:lvlJc w:val="left"/>
      <w:lvlText w:val="%2."/>
      <w:numFmt w:val="lowerLetter"/>
      <w:start w:val="1"/>
    </w:lvl>
    <w:lvl w:ilvl="2">
      <w:lvlJc w:val="left"/>
      <w:lvlText w:val="\ldblquote"/>
      <w:numFmt w:val="bullet"/>
      <w:start w:val="1"/>
    </w:lvl>
  </w:abstractNum>
  <w:abstractNum w:abstractNumId="441">
    <w:nsid w:val="5B1FBC2D"/>
    <w:multiLevelType w:val="hybridMultilevel"/>
    <w:lvl w:ilvl="0">
      <w:lvlJc w:val="left"/>
      <w:lvlText w:val="%1."/>
      <w:numFmt w:val="lowerLetter"/>
      <w:start w:val="3"/>
    </w:lvl>
  </w:abstractNum>
  <w:abstractNum w:abstractNumId="442">
    <w:nsid w:val="33DFCCE8"/>
    <w:multiLevelType w:val="hybridMultilevel"/>
    <w:lvl w:ilvl="0">
      <w:lvlJc w:val="left"/>
      <w:lvlText w:val="%1."/>
      <w:numFmt w:val="decimal"/>
      <w:start w:val="2"/>
    </w:lvl>
  </w:abstractNum>
  <w:abstractNum w:abstractNumId="443">
    <w:nsid w:val="18C45E15"/>
    <w:multiLevelType w:val="hybridMultilevel"/>
    <w:lvl w:ilvl="0">
      <w:lvlJc w:val="left"/>
      <w:lvlText w:val="%1."/>
      <w:numFmt w:val="decimal"/>
      <w:start w:val="1"/>
    </w:lvl>
  </w:abstractNum>
  <w:abstractNum w:abstractNumId="444">
    <w:nsid w:val="6B431F25"/>
    <w:multiLevelType w:val="hybridMultilevel"/>
    <w:lvl w:ilvl="0">
      <w:lvlJc w:val="left"/>
      <w:lvlText w:val="%1."/>
      <w:numFmt w:val="decimal"/>
      <w:start w:val="1"/>
    </w:lvl>
  </w:abstractNum>
  <w:abstractNum w:abstractNumId="445">
    <w:nsid w:val="13CD8DCB"/>
    <w:multiLevelType w:val="hybridMultilevel"/>
    <w:lvl w:ilvl="0">
      <w:lvlJc w:val="left"/>
      <w:lvlText w:val="%1."/>
      <w:numFmt w:val="decimal"/>
      <w:start w:val="1"/>
    </w:lvl>
  </w:abstractNum>
  <w:abstractNum w:abstractNumId="446">
    <w:nsid w:val="563A1A5C"/>
    <w:multiLevelType w:val="hybridMultilevel"/>
    <w:lvl w:ilvl="0">
      <w:lvlJc w:val="left"/>
      <w:lvlText w:val="%1"/>
      <w:numFmt w:val="lowerLetter"/>
      <w:start w:val="1"/>
    </w:lvl>
    <w:lvl w:ilvl="1">
      <w:lvlJc w:val="left"/>
      <w:lvlText w:val="%2."/>
      <w:numFmt w:val="decimal"/>
      <w:start w:val="4"/>
    </w:lvl>
  </w:abstractNum>
  <w:abstractNum w:abstractNumId="447">
    <w:nsid w:val="2973F88F"/>
    <w:multiLevelType w:val="hybridMultilevel"/>
    <w:lvl w:ilvl="0">
      <w:lvlJc w:val="left"/>
      <w:lvlText w:val="(%1)"/>
      <w:numFmt w:val="lowerLetter"/>
      <w:start w:val="1"/>
    </w:lvl>
    <w:lvl w:ilvl="1">
      <w:lvlJc w:val="left"/>
      <w:lvlText w:val="%2."/>
      <w:numFmt w:val="decimal"/>
      <w:start w:val="6"/>
    </w:lvl>
  </w:abstractNum>
  <w:abstractNum w:abstractNumId="448">
    <w:nsid w:val="2C70EDAE"/>
    <w:multiLevelType w:val="hybridMultilevel"/>
    <w:lvl w:ilvl="0">
      <w:lvlJc w:val="left"/>
      <w:lvlText w:val="%1."/>
      <w:numFmt w:val="decimal"/>
      <w:start w:val="1"/>
    </w:lvl>
  </w:abstractNum>
  <w:abstractNum w:abstractNumId="449">
    <w:nsid w:val="44296C6D"/>
    <w:multiLevelType w:val="hybridMultilevel"/>
    <w:lvl w:ilvl="0">
      <w:lvlJc w:val="left"/>
      <w:lvlText w:val="%1."/>
      <w:numFmt w:val="decimal"/>
      <w:start w:val="1"/>
    </w:lvl>
  </w:abstractNum>
  <w:abstractNum w:abstractNumId="450">
    <w:nsid w:val="3A86D445"/>
    <w:multiLevelType w:val="hybridMultilevel"/>
    <w:lvl w:ilvl="0">
      <w:lvlJc w:val="left"/>
      <w:lvlText w:val="%1."/>
      <w:numFmt w:val="decimal"/>
      <w:start w:val="2"/>
    </w:lvl>
  </w:abstractNum>
  <w:abstractNum w:abstractNumId="451">
    <w:nsid w:val="51F79246"/>
    <w:multiLevelType w:val="hybridMultilevel"/>
    <w:lvl w:ilvl="0">
      <w:lvlJc w:val="left"/>
      <w:lvlText w:val="%1."/>
      <w:numFmt w:val="decimal"/>
      <w:start w:val="1"/>
    </w:lvl>
    <w:lvl w:ilvl="1">
      <w:lvlJc w:val="left"/>
      <w:lvlText w:val="(%2)"/>
      <w:numFmt w:val="lowerLetter"/>
      <w:start w:val="1"/>
    </w:lvl>
  </w:abstractNum>
  <w:abstractNum w:abstractNumId="452">
    <w:nsid w:val="5BC9A827"/>
    <w:multiLevelType w:val="hybridMultilevel"/>
    <w:lvl w:ilvl="0">
      <w:lvlJc w:val="left"/>
      <w:lvlText w:val="(%1)"/>
      <w:numFmt w:val="lowerLetter"/>
      <w:start w:val="2"/>
    </w:lvl>
    <w:lvl w:ilvl="1">
      <w:lvlJc w:val="left"/>
      <w:lvlText w:val="(%2)"/>
      <w:numFmt w:val="lowerRoman"/>
      <w:start w:val="1"/>
    </w:lvl>
  </w:abstractNum>
  <w:abstractNum w:abstractNumId="453">
    <w:nsid w:val="3AE37D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54">
    <w:nsid w:val="45440F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55">
    <w:nsid w:val="BF783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56">
    <w:nsid w:val="22643EA9"/>
    <w:multiLevelType w:val="hybridMultilevel"/>
    <w:lvl w:ilvl="0">
      <w:lvlJc w:val="left"/>
      <w:lvlText w:val="%1"/>
      <w:numFmt w:val="lowerLetter"/>
      <w:start w:val="1"/>
    </w:lvl>
    <w:lvl w:ilvl="1">
      <w:lvlJc w:val="left"/>
      <w:lvlText w:val="(%2)"/>
      <w:numFmt w:val="lowerLetter"/>
      <w:start w:val="3"/>
    </w:lvl>
  </w:abstractNum>
  <w:abstractNum w:abstractNumId="457">
    <w:nsid w:val="1887578D"/>
    <w:multiLevelType w:val="hybridMultilevel"/>
    <w:lvl w:ilvl="0">
      <w:lvlJc w:val="left"/>
      <w:lvlText w:val="(%1)"/>
      <w:numFmt w:val="lowerLetter"/>
      <w:start w:val="35"/>
    </w:lvl>
    <w:lvl w:ilvl="1">
      <w:lvlJc w:val="left"/>
      <w:lvlText w:val="(%2)"/>
      <w:numFmt w:val="lowerLetter"/>
      <w:start w:val="7"/>
    </w:lvl>
  </w:abstractNum>
  <w:abstractNum w:abstractNumId="458">
    <w:nsid w:val="58C05B8A"/>
    <w:multiLevelType w:val="hybridMultilevel"/>
    <w:lvl w:ilvl="0">
      <w:lvlJc w:val="left"/>
      <w:lvlText w:val="(%1)"/>
      <w:numFmt w:val="lowerLetter"/>
      <w:start w:val="8"/>
    </w:lvl>
  </w:abstractNum>
  <w:abstractNum w:abstractNumId="459">
    <w:nsid w:val="38D82E71"/>
    <w:multiLevelType w:val="hybridMultilevel"/>
    <w:lvl w:ilvl="0">
      <w:lvlJc w:val="left"/>
      <w:lvlText w:val="(%1)"/>
      <w:numFmt w:val="lowerLetter"/>
      <w:start w:val="13"/>
    </w:lvl>
  </w:abstractNum>
  <w:abstractNum w:abstractNumId="460">
    <w:nsid w:val="1E41098A"/>
    <w:multiLevelType w:val="hybridMultilevel"/>
    <w:lvl w:ilvl="0">
      <w:lvlJc w:val="left"/>
      <w:lvlText w:val="%1"/>
      <w:numFmt w:val="decimal"/>
      <w:start w:val="1"/>
    </w:lvl>
    <w:lvl w:ilvl="1">
      <w:lvlJc w:val="left"/>
      <w:lvlText w:val="(%2)"/>
      <w:numFmt w:val="lowerLetter"/>
      <w:start w:val="18"/>
    </w:lvl>
  </w:abstractNum>
  <w:abstractNum w:abstractNumId="461">
    <w:nsid w:val="5398582C"/>
    <w:multiLevelType w:val="hybridMultilevel"/>
    <w:lvl w:ilvl="0">
      <w:lvlJc w:val="left"/>
      <w:lvlText w:val="%1."/>
      <w:numFmt w:val="decimal"/>
      <w:start w:val="4"/>
    </w:lvl>
    <w:lvl w:ilvl="1">
      <w:lvlJc w:val="left"/>
      <w:lvlText w:val="(%2)"/>
      <w:numFmt w:val="lowerLetter"/>
      <w:start w:val="1"/>
    </w:lvl>
  </w:abstractNum>
  <w:abstractNum w:abstractNumId="462">
    <w:nsid w:val="1C0D4475"/>
    <w:multiLevelType w:val="hybridMultilevel"/>
    <w:lvl w:ilvl="0">
      <w:lvlJc w:val="left"/>
      <w:lvlText w:val="(%1)"/>
      <w:numFmt w:val="lowerLetter"/>
      <w:start w:val="4"/>
    </w:lvl>
  </w:abstractNum>
  <w:abstractNum w:abstractNumId="463">
    <w:nsid w:val="2CB6A6A4"/>
    <w:multiLevelType w:val="hybridMultilevel"/>
    <w:lvl w:ilvl="0">
      <w:lvlJc w:val="left"/>
      <w:lvlText w:val="(%1)"/>
      <w:numFmt w:val="lowerLetter"/>
      <w:start w:val="7"/>
    </w:lvl>
  </w:abstractNum>
  <w:abstractNum w:abstractNumId="464">
    <w:nsid w:val="41D646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3"/>
    </w:lvl>
  </w:abstractNum>
  <w:abstractNum w:abstractNumId="465">
    <w:nsid w:val="3694A76A"/>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7"/>
    </w:lvl>
  </w:abstractNum>
  <w:abstractNum w:abstractNumId="466">
    <w:nsid w:val="2BF876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67">
    <w:nsid w:val="675ADBA"/>
    <w:multiLevelType w:val="hybridMultilevel"/>
    <w:lvl w:ilvl="0">
      <w:lvlJc w:val="left"/>
      <w:lvlText w:val="(%1)"/>
      <w:numFmt w:val="upperLetter"/>
      <w:start w:val="2"/>
    </w:lvl>
  </w:abstractNum>
  <w:abstractNum w:abstractNumId="468">
    <w:nsid w:val="C12AC7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69">
    <w:nsid w:val="6798F039"/>
    <w:multiLevelType w:val="hybridMultilevel"/>
    <w:lvl w:ilvl="0">
      <w:lvlJc w:val="left"/>
      <w:lvlText w:val="(%1)"/>
      <w:numFmt w:val="decimal"/>
      <w:start w:val="1"/>
    </w:lvl>
    <w:lvl w:ilvl="1">
      <w:lvlJc w:val="left"/>
      <w:lvlText w:val="(%2)"/>
      <w:numFmt w:val="lowerRoman"/>
      <w:start w:val="3"/>
    </w:lvl>
  </w:abstractNum>
  <w:abstractNum w:abstractNumId="470">
    <w:nsid w:val="70837C02"/>
    <w:multiLevelType w:val="hybridMultilevel"/>
    <w:lvl w:ilvl="0">
      <w:lvlJc w:val="left"/>
      <w:lvlText w:val="%1"/>
      <w:numFmt w:val="lowerLetter"/>
      <w:start w:val="1"/>
    </w:lvl>
    <w:lvl w:ilvl="1">
      <w:lvlJc w:val="left"/>
      <w:lvlText w:val="(%2)"/>
      <w:numFmt w:val="lowerRoman"/>
      <w:start w:val="7"/>
    </w:lvl>
  </w:abstractNum>
  <w:abstractNum w:abstractNumId="471">
    <w:nsid w:val="7E4A5715"/>
    <w:multiLevelType w:val="hybridMultilevel"/>
    <w:lvl w:ilvl="0">
      <w:lvlJc w:val="left"/>
      <w:lvlText w:val="(%1)"/>
      <w:numFmt w:val="lowerLetter"/>
      <w:start w:val="3"/>
    </w:lvl>
    <w:lvl w:ilvl="1">
      <w:lvlJc w:val="left"/>
      <w:lvlText w:val="(%2)"/>
      <w:numFmt w:val="lowerRoman"/>
      <w:start w:val="1"/>
    </w:lvl>
  </w:abstractNum>
  <w:abstractNum w:abstractNumId="472">
    <w:nsid w:val="42B8AC67"/>
    <w:multiLevelType w:val="hybridMultilevel"/>
    <w:lvl w:ilvl="0">
      <w:lvlJc w:val="left"/>
      <w:lvlText w:val="(%1)"/>
      <w:numFmt w:val="lowerRoman"/>
      <w:start w:val="2"/>
    </w:lvl>
  </w:abstractNum>
  <w:abstractNum w:abstractNumId="473">
    <w:nsid w:val="246348EA"/>
    <w:multiLevelType w:val="hybridMultilevel"/>
    <w:lvl w:ilvl="0">
      <w:lvlJc w:val="left"/>
      <w:lvlText w:val="%1."/>
      <w:numFmt w:val="decimal"/>
      <w:start w:val="6"/>
    </w:lvl>
    <w:lvl w:ilvl="1">
      <w:lvlJc w:val="left"/>
      <w:lvlText w:val="(%2)"/>
      <w:numFmt w:val="lowerLetter"/>
      <w:start w:val="1"/>
    </w:lvl>
  </w:abstractNum>
  <w:abstractNum w:abstractNumId="474">
    <w:nsid w:val="170EB5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5">
    <w:nsid w:val="2DFBCB8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6">
    <w:nsid w:val="3830D6B6"/>
    <w:multiLevelType w:val="hybridMultilevel"/>
    <w:lvl w:ilvl="0">
      <w:lvlJc w:val="left"/>
      <w:lvlText w:val="%1"/>
      <w:numFmt w:val="decimal"/>
      <w:start w:val="1"/>
    </w:lvl>
    <w:lvl w:ilvl="1">
      <w:lvlJc w:val="left"/>
      <w:lvlText w:val="(%2)"/>
      <w:numFmt w:val="lowerLetter"/>
      <w:start w:val="3"/>
    </w:lvl>
  </w:abstractNum>
  <w:abstractNum w:abstractNumId="477">
    <w:nsid w:val="6D48CF87"/>
    <w:multiLevelType w:val="hybridMultilevel"/>
    <w:lvl w:ilvl="0">
      <w:lvlJc w:val="left"/>
      <w:lvlText w:val="%1."/>
      <w:numFmt w:val="decimal"/>
      <w:start w:val="9"/>
    </w:lvl>
    <w:lvl w:ilvl="1">
      <w:lvlJc w:val="left"/>
      <w:lvlText w:val="(%2)"/>
      <w:numFmt w:val="lowerLetter"/>
      <w:start w:val="1"/>
    </w:lvl>
  </w:abstractNum>
  <w:abstractNum w:abstractNumId="478">
    <w:nsid w:val="576FC41B"/>
    <w:multiLevelType w:val="hybridMultilevel"/>
    <w:lvl w:ilvl="0">
      <w:lvlJc w:val="left"/>
      <w:lvlText w:val="(%1)"/>
      <w:numFmt w:val="lowerLetter"/>
      <w:start w:val="6"/>
    </w:lvl>
  </w:abstractNum>
  <w:abstractNum w:abstractNumId="479">
    <w:nsid w:val="64A1C464"/>
    <w:multiLevelType w:val="hybridMultilevel"/>
    <w:lvl w:ilvl="0">
      <w:lvlJc w:val="left"/>
      <w:lvlText w:val="(%1)"/>
      <w:numFmt w:val="lowerRoman"/>
      <w:start w:val="4"/>
    </w:lvl>
  </w:abstractNum>
  <w:abstractNum w:abstractNumId="480">
    <w:nsid w:val="31723BF5"/>
    <w:multiLevelType w:val="hybridMultilevel"/>
    <w:lvl w:ilvl="0">
      <w:lvlJc w:val="left"/>
      <w:lvlText w:val="(%1)"/>
      <w:numFmt w:val="lowerLetter"/>
      <w:start w:val="15"/>
    </w:lvl>
  </w:abstractNum>
  <w:abstractNum w:abstractNumId="481">
    <w:nsid w:val="11F69861"/>
    <w:multiLevelType w:val="hybridMultilevel"/>
    <w:lvl w:ilvl="0">
      <w:lvlJc w:val="left"/>
      <w:lvlText w:val="(%1)"/>
      <w:numFmt w:val="lowerLetter"/>
      <w:start w:val="17"/>
    </w:lvl>
    <w:lvl w:ilvl="1">
      <w:lvlJc w:val="left"/>
      <w:lvlText w:val="(%2)"/>
      <w:numFmt w:val="lowerLetter"/>
      <w:start w:val="9"/>
    </w:lvl>
  </w:abstractNum>
  <w:abstractNum w:abstractNumId="482">
    <w:nsid w:val="369956AB"/>
    <w:multiLevelType w:val="hybridMultilevel"/>
    <w:lvl w:ilvl="0">
      <w:lvlJc w:val="left"/>
      <w:lvlText w:val="%1"/>
      <w:numFmt w:val="lowerLetter"/>
      <w:start w:val="1"/>
    </w:lvl>
    <w:lvl w:ilvl="1">
      <w:lvlJc w:val="left"/>
      <w:lvlText w:val="(%2)"/>
      <w:numFmt w:val="lowerLetter"/>
      <w:start w:val="35"/>
    </w:lvl>
  </w:abstractNum>
  <w:abstractNum w:abstractNumId="483">
    <w:nsid w:val="D3BE41C"/>
    <w:multiLevelType w:val="hybridMultilevel"/>
    <w:lvl w:ilvl="0">
      <w:lvlJc w:val="left"/>
      <w:lvlText w:val="(%1)"/>
      <w:numFmt w:val="lowerLetter"/>
      <w:start w:val="19"/>
    </w:lvl>
    <w:lvl w:ilvl="1">
      <w:lvlJc w:val="left"/>
      <w:lvlText w:val="%2"/>
      <w:numFmt w:val="lowerLetter"/>
      <w:start w:val="1"/>
    </w:lvl>
  </w:abstractNum>
  <w:abstractNum w:abstractNumId="484">
    <w:nsid w:val="4CDA15E7"/>
    <w:multiLevelType w:val="hybridMultilevel"/>
    <w:lvl w:ilvl="0">
      <w:lvlJc w:val="left"/>
      <w:lvlText w:val="(%1)"/>
      <w:numFmt w:val="lowerLetter"/>
      <w:start w:val="21"/>
    </w:lvl>
  </w:abstractNum>
  <w:abstractNum w:abstractNumId="485">
    <w:nsid w:val="7BDD6690"/>
    <w:multiLevelType w:val="hybridMultilevel"/>
    <w:lvl w:ilvl="0">
      <w:lvlJc w:val="left"/>
      <w:lvlText w:val="☐"/>
      <w:numFmt w:val="bullet"/>
      <w:start w:val="1"/>
    </w:lvl>
  </w:abstractNum>
  <w:abstractNum w:abstractNumId="486">
    <w:nsid w:val="DFB5C5B"/>
    <w:multiLevelType w:val="hybridMultilevel"/>
    <w:lvl w:ilvl="0">
      <w:lvlJc w:val="left"/>
      <w:lvlText w:val="%1."/>
      <w:numFmt w:val="upperLetter"/>
      <w:start w:val="1"/>
    </w:lvl>
    <w:lvl w:ilvl="1">
      <w:lvlJc w:val="left"/>
      <w:lvlText w:val="%2."/>
      <w:numFmt w:val="decimal"/>
      <w:start w:val="1"/>
    </w:lvl>
  </w:abstractNum>
  <w:abstractNum w:abstractNumId="487">
    <w:nsid w:val="6F3E5490"/>
    <w:multiLevelType w:val="hybridMultilevel"/>
    <w:lvl w:ilvl="0">
      <w:lvlJc w:val="left"/>
      <w:lvlText w:val="%1."/>
      <w:numFmt w:val="upperLetter"/>
      <w:start w:val="2"/>
    </w:lvl>
    <w:lvl w:ilvl="1">
      <w:lvlJc w:val="left"/>
      <w:lvlText w:val="%2."/>
      <w:numFmt w:val="decimal"/>
      <w:start w:val="1"/>
    </w:lvl>
  </w:abstractNum>
  <w:abstractNum w:abstractNumId="488">
    <w:nsid w:val="1464BE1E"/>
    <w:multiLevelType w:val="hybridMultilevel"/>
    <w:lvl w:ilvl="0">
      <w:lvlJc w:val="left"/>
      <w:lvlText w:val="%1."/>
      <w:numFmt w:val="upperLetter"/>
      <w:start w:val="3"/>
    </w:lvl>
    <w:lvl w:ilvl="1">
      <w:lvlJc w:val="left"/>
      <w:lvlText w:val="☐"/>
      <w:numFmt w:val="bullet"/>
      <w:start w:val="1"/>
    </w:lvl>
  </w:abstractNum>
  <w:abstractNum w:abstractNumId="489">
    <w:nsid w:val="66BBB7E5"/>
    <w:multiLevelType w:val="hybridMultilevel"/>
    <w:lvl w:ilvl="0">
      <w:lvlJc w:val="left"/>
      <w:lvlText w:val="☐"/>
      <w:numFmt w:val="bullet"/>
      <w:start w:val="1"/>
    </w:lvl>
  </w:abstractNum>
  <w:abstractNum w:abstractNumId="490">
    <w:nsid w:val="28168302"/>
    <w:multiLevelType w:val="hybridMultilevel"/>
    <w:lvl w:ilvl="0">
      <w:lvlJc w:val="left"/>
      <w:lvlText w:val="☐"/>
      <w:numFmt w:val="bullet"/>
      <w:start w:val="1"/>
    </w:lvl>
  </w:abstractNum>
  <w:abstractNum w:abstractNumId="491">
    <w:nsid w:val="32A5C7A8"/>
    <w:multiLevelType w:val="hybridMultilevel"/>
    <w:lvl w:ilvl="0">
      <w:lvlJc w:val="left"/>
      <w:lvlText w:val="☐"/>
      <w:numFmt w:val="bullet"/>
      <w:start w:val="1"/>
    </w:lvl>
  </w:abstractNum>
  <w:abstractNum w:abstractNumId="492">
    <w:nsid w:val="3A541011"/>
    <w:multiLevelType w:val="hybridMultilevel"/>
    <w:lvl w:ilvl="0">
      <w:lvlJc w:val="left"/>
      <w:lvlText w:val="%1."/>
      <w:numFmt w:val="decimal"/>
      <w:start w:val="1"/>
    </w:lvl>
  </w:abstractNum>
  <w:abstractNum w:abstractNumId="493">
    <w:nsid w:val="4423C777"/>
    <w:multiLevelType w:val="hybridMultilevel"/>
    <w:lvl w:ilvl="0">
      <w:lvlJc w:val="left"/>
      <w:lvlText w:val="(%1)"/>
      <w:numFmt w:val="lowerLetter"/>
      <w:start w:val="3"/>
    </w:lvl>
  </w:abstractNum>
  <w:abstractNum w:abstractNumId="494">
    <w:nsid w:val="5F5C6E4D"/>
    <w:multiLevelType w:val="hybridMultilevel"/>
    <w:lvl w:ilvl="0">
      <w:lvlJc w:val="left"/>
      <w:lvlText w:val="(%1)"/>
      <w:numFmt w:val="lowerLetter"/>
      <w:start w:val="5"/>
    </w:lvl>
    <w:lvl w:ilvl="1">
      <w:lvlJc w:val="left"/>
      <w:lvlText w:val="%2."/>
      <w:numFmt w:val="decimal"/>
      <w:start w:val="3"/>
    </w:lvl>
  </w:abstractNum>
  <w:abstractNum w:abstractNumId="495">
    <w:nsid w:val="7C2A56CD"/>
    <w:multiLevelType w:val="hybridMultilevel"/>
    <w:lvl w:ilvl="0">
      <w:lvlJc w:val="left"/>
      <w:lvlText w:val="(%1)"/>
      <w:numFmt w:val="lowerLetter"/>
      <w:start w:val="1"/>
    </w:lvl>
  </w:abstractNum>
  <w:abstractNum w:abstractNumId="496">
    <w:nsid w:val="7AB86EE1"/>
    <w:multiLevelType w:val="hybridMultilevel"/>
    <w:lvl w:ilvl="0">
      <w:lvlJc w:val="left"/>
      <w:lvlText w:val="(%1)"/>
      <w:numFmt w:val="lowerLetter"/>
      <w:start w:val="9"/>
    </w:lvl>
  </w:abstractNum>
  <w:abstractNum w:abstractNumId="497">
    <w:nsid w:val="B54E53B"/>
    <w:multiLevelType w:val="hybridMultilevel"/>
    <w:lvl w:ilvl="0">
      <w:lvlJc w:val="left"/>
      <w:lvlText w:val="%1."/>
      <w:numFmt w:val="decimal"/>
      <w:start w:val="5"/>
    </w:lvl>
  </w:abstractNum>
  <w:abstractNum w:abstractNumId="498">
    <w:nsid w:val="2A00487"/>
    <w:multiLevelType w:val="hybridMultilevel"/>
    <w:lvl w:ilvl="0">
      <w:lvlJc w:val="left"/>
      <w:lvlText w:val="(%1)"/>
      <w:numFmt w:val="lowerLetter"/>
      <w:start w:val="1"/>
    </w:lvl>
  </w:abstractNum>
  <w:abstractNum w:abstractNumId="499">
    <w:nsid w:val="6CB1B60"/>
    <w:multiLevelType w:val="hybridMultilevel"/>
    <w:lvl w:ilvl="0">
      <w:lvlJc w:val="left"/>
      <w:lvlText w:val="%1."/>
      <w:numFmt w:val="decimal"/>
      <w:start w:val="6"/>
    </w:lvl>
  </w:abstractNum>
  <w:abstractNum w:abstractNumId="500">
    <w:nsid w:val="72EDD574"/>
    <w:multiLevelType w:val="hybridMultilevel"/>
    <w:lvl w:ilvl="0">
      <w:lvlJc w:val="left"/>
      <w:lvlText w:val="%1."/>
      <w:numFmt w:val="decimal"/>
      <w:start w:val="7"/>
    </w:lvl>
  </w:abstractNum>
  <w:abstractNum w:abstractNumId="501">
    <w:nsid w:val="7323808A"/>
    <w:multiLevelType w:val="hybridMultilevel"/>
    <w:lvl w:ilvl="0">
      <w:lvlJc w:val="left"/>
      <w:lvlText w:val="%1."/>
      <w:numFmt w:val="decimal"/>
      <w:start w:val="8"/>
    </w:lvl>
  </w:abstractNum>
  <w:abstractNum w:abstractNumId="502">
    <w:nsid w:val="5157276"/>
    <w:multiLevelType w:val="hybridMultilevel"/>
    <w:lvl w:ilvl="0">
      <w:lvlJc w:val="left"/>
      <w:lvlText w:val="%1."/>
      <w:numFmt w:val="decimal"/>
      <w:start w:val="9"/>
    </w:lvl>
  </w:abstractNum>
  <w:abstractNum w:abstractNumId="503">
    <w:nsid w:val="35A681DB"/>
    <w:multiLevelType w:val="hybridMultilevel"/>
    <w:lvl w:ilvl="0">
      <w:lvlJc w:val="left"/>
      <w:lvlText w:val="%1."/>
      <w:numFmt w:val="decimal"/>
      <w:start w:val="10"/>
    </w:lvl>
  </w:abstractNum>
  <w:abstractNum w:abstractNumId="504">
    <w:nsid w:val="1786C974"/>
    <w:multiLevelType w:val="hybridMultilevel"/>
    <w:lvl w:ilvl="0">
      <w:lvlJc w:val="left"/>
      <w:lvlText w:val="(%1)"/>
      <w:numFmt w:val="lowerLetter"/>
      <w:start w:val="1"/>
    </w:lvl>
  </w:abstractNum>
  <w:abstractNum w:abstractNumId="505">
    <w:nsid w:val="1C2427A1"/>
    <w:multiLevelType w:val="hybridMultilevel"/>
    <w:lvl w:ilvl="0">
      <w:lvlJc w:val="left"/>
      <w:lvlText w:val="(%1)"/>
      <w:numFmt w:val="lowerLetter"/>
      <w:start w:val="2"/>
    </w:lvl>
  </w:abstractNum>
  <w:abstractNum w:abstractNumId="506">
    <w:nsid w:val="63A24D68"/>
    <w:multiLevelType w:val="hybridMultilevel"/>
    <w:lvl w:ilvl="0">
      <w:lvlJc w:val="left"/>
      <w:lvlText w:val="%1."/>
      <w:numFmt w:val="decimal"/>
      <w:start w:val="11"/>
    </w:lvl>
    <w:lvl w:ilvl="1">
      <w:lvlJc w:val="left"/>
      <w:lvlText w:val="(%2)"/>
      <w:numFmt w:val="lowerLetter"/>
      <w:start w:val="1"/>
    </w:lvl>
  </w:abstractNum>
  <w:abstractNum w:abstractNumId="507">
    <w:nsid w:val="4FB7A02A"/>
    <w:multiLevelType w:val="hybridMultilevel"/>
    <w:lvl w:ilvl="0">
      <w:lvlJc w:val="left"/>
      <w:lvlText w:val="%1."/>
      <w:numFmt w:val="decimal"/>
      <w:start w:val="12"/>
    </w:lvl>
  </w:abstractNum>
  <w:abstractNum w:abstractNumId="508">
    <w:nsid w:val="96CF728"/>
    <w:multiLevelType w:val="hybridMultilevel"/>
    <w:lvl w:ilvl="0">
      <w:lvlJc w:val="left"/>
      <w:lvlText w:val="%1."/>
      <w:numFmt w:val="decimal"/>
      <w:start w:val="13"/>
    </w:lvl>
  </w:abstractNum>
  <w:abstractNum w:abstractNumId="509">
    <w:nsid w:val="3B121183"/>
    <w:multiLevelType w:val="hybridMultilevel"/>
    <w:lvl w:ilvl="0">
      <w:lvlJc w:val="left"/>
      <w:lvlText w:val="%1."/>
      <w:numFmt w:val="decimal"/>
      <w:start w:val="14"/>
    </w:lvl>
  </w:abstractNum>
  <w:abstractNum w:abstractNumId="510">
    <w:nsid w:val="3459648F"/>
    <w:multiLevelType w:val="hybridMultilevel"/>
    <w:lvl w:ilvl="0">
      <w:lvlJc w:val="left"/>
      <w:lvlText w:val="%1."/>
      <w:numFmt w:val="decimal"/>
      <w:start w:val="15"/>
    </w:lvl>
  </w:abstractNum>
  <w:abstractNum w:abstractNumId="511">
    <w:nsid w:val="3ADF331D"/>
    <w:multiLevelType w:val="hybridMultilevel"/>
    <w:lvl w:ilvl="0">
      <w:lvlJc w:val="left"/>
      <w:lvlText w:val="%1."/>
      <w:numFmt w:val="decimal"/>
      <w:start w:val="16"/>
    </w:lvl>
  </w:abstractNum>
  <w:abstractNum w:abstractNumId="512">
    <w:nsid w:val="4D08A9E4"/>
    <w:multiLevelType w:val="hybridMultilevel"/>
    <w:lvl w:ilvl="0">
      <w:lvlJc w:val="left"/>
      <w:lvlText w:val="%1."/>
      <w:numFmt w:val="decimal"/>
      <w:start w:val="18"/>
    </w:lvl>
  </w:abstractNum>
  <w:abstractNum w:abstractNumId="513">
    <w:nsid w:val="6AF2BB3A"/>
    <w:multiLevelType w:val="hybridMultilevel"/>
    <w:lvl w:ilvl="0">
      <w:lvlJc w:val="left"/>
      <w:lvlText w:val="(%1)"/>
      <w:numFmt w:val="lowerLetter"/>
      <w:start w:val="1"/>
    </w:lvl>
  </w:abstractNum>
  <w:abstractNum w:abstractNumId="514">
    <w:nsid w:val="481B1739"/>
    <w:multiLevelType w:val="hybridMultilevel"/>
    <w:lvl w:ilvl="0">
      <w:lvlJc w:val="left"/>
      <w:lvlText w:val="(%1)"/>
      <w:numFmt w:val="lowerLetter"/>
      <w:start w:val="3"/>
    </w:lvl>
  </w:abstractNum>
  <w:abstractNum w:abstractNumId="515">
    <w:nsid w:val="19E2BFCC"/>
    <w:multiLevelType w:val="hybridMultilevel"/>
    <w:lvl w:ilvl="0">
      <w:lvlJc w:val="left"/>
      <w:lvlText w:val="%1."/>
      <w:numFmt w:val="decimal"/>
      <w:start w:val="22"/>
    </w:lvl>
  </w:abstractNum>
  <w:abstractNum w:abstractNumId="516">
    <w:nsid w:val="66D021CA"/>
    <w:multiLevelType w:val="hybridMultilevel"/>
    <w:lvl w:ilvl="0">
      <w:lvlJc w:val="left"/>
      <w:lvlText w:val="%1."/>
      <w:numFmt w:val="decimal"/>
      <w:start w:val="23"/>
    </w:lvl>
  </w:abstractNum>
  <w:abstractNum w:abstractNumId="517">
    <w:nsid w:val="56167394"/>
    <w:multiLevelType w:val="hybridMultilevel"/>
    <w:lvl w:ilvl="0">
      <w:lvlJc w:val="left"/>
      <w:lvlText w:val="(%1)"/>
      <w:numFmt w:val="lowerLetter"/>
      <w:start w:val="1"/>
    </w:lvl>
  </w:abstractNum>
  <w:abstractNum w:abstractNumId="518">
    <w:nsid w:val="921145C"/>
    <w:multiLevelType w:val="hybridMultilevel"/>
    <w:lvl w:ilvl="0">
      <w:lvlJc w:val="left"/>
      <w:lvlText w:val="(%1)"/>
      <w:numFmt w:val="lowerLetter"/>
      <w:start w:val="5"/>
    </w:lvl>
  </w:abstractNum>
  <w:abstractNum w:abstractNumId="519">
    <w:nsid w:val="7B34DFE8"/>
    <w:multiLevelType w:val="hybridMultilevel"/>
    <w:lvl w:ilvl="0">
      <w:lvlJc w:val="left"/>
      <w:lvlText w:val="(%1)"/>
      <w:numFmt w:val="lowerLetter"/>
      <w:start w:val="1"/>
    </w:lvl>
  </w:abstractNum>
  <w:abstractNum w:abstractNumId="520">
    <w:nsid w:val="3CD22B79"/>
    <w:multiLevelType w:val="hybridMultilevel"/>
    <w:lvl w:ilvl="0">
      <w:lvlJc w:val="left"/>
      <w:lvlText w:val="(%1)"/>
      <w:numFmt w:val="lowerLetter"/>
      <w:start w:val="2"/>
    </w:lvl>
  </w:abstractNum>
  <w:abstractNum w:abstractNumId="521">
    <w:nsid w:val="3137975E"/>
    <w:multiLevelType w:val="hybridMultilevel"/>
    <w:lvl w:ilvl="0">
      <w:lvlJc w:val="left"/>
      <w:lvlText w:val="(%1)"/>
      <w:numFmt w:val="lowerLetter"/>
      <w:start w:val="1"/>
    </w:lvl>
  </w:abstractNum>
  <w:abstractNum w:abstractNumId="522">
    <w:nsid w:val="2DDAA791"/>
    <w:multiLevelType w:val="hybridMultilevel"/>
    <w:lvl w:ilvl="0">
      <w:lvlJc w:val="left"/>
      <w:lvlText w:val="(%1)"/>
      <w:numFmt w:val="lowerLetter"/>
      <w:start w:val="12"/>
    </w:lvl>
  </w:abstractNum>
  <w:abstractNum w:abstractNumId="523">
    <w:nsid w:val="77263B8A"/>
    <w:multiLevelType w:val="hybridMultilevel"/>
    <w:lvl w:ilvl="0">
      <w:lvlJc w:val="left"/>
      <w:lvlText w:val="(%1)"/>
      <w:numFmt w:val="lowerLetter"/>
      <w:start w:val="27"/>
    </w:lvl>
  </w:abstractNum>
  <w:abstractNum w:abstractNumId="524">
    <w:nsid w:val="755B5ED6"/>
    <w:multiLevelType w:val="hybridMultilevel"/>
    <w:lvl w:ilvl="0">
      <w:lvlJc w:val="left"/>
      <w:lvlText w:val="(%1)"/>
      <w:numFmt w:val="lowerLetter"/>
      <w:start w:val="43"/>
    </w:lvl>
  </w:abstractNum>
  <w:abstractNum w:abstractNumId="525">
    <w:nsid w:val="D3715DE"/>
    <w:multiLevelType w:val="hybridMultilevel"/>
    <w:lvl w:ilvl="0">
      <w:lvlJc w:val="left"/>
      <w:lvlText w:val="%1."/>
      <w:numFmt w:val="decimal"/>
      <w:start w:val="29"/>
    </w:lvl>
  </w:abstractNum>
  <w:abstractNum w:abstractNumId="526">
    <w:nsid w:val="73509257"/>
    <w:multiLevelType w:val="hybridMultilevel"/>
    <w:lvl w:ilvl="0">
      <w:lvlJc w:val="left"/>
      <w:lvlText w:val="%1."/>
      <w:numFmt w:val="decimal"/>
      <w:start w:val="1"/>
    </w:lvl>
  </w:abstractNum>
  <w:abstractNum w:abstractNumId="527">
    <w:nsid w:val="7013CDB7"/>
    <w:multiLevelType w:val="hybridMultilevel"/>
    <w:lvl w:ilvl="0">
      <w:lvlJc w:val="left"/>
      <w:lvlText w:val="%1."/>
      <w:numFmt w:val="decimal"/>
      <w:start w:val="3"/>
    </w:lvl>
  </w:abstractNum>
  <w:abstractNum w:abstractNumId="528">
    <w:nsid w:val="188BFB19"/>
    <w:multiLevelType w:val="hybridMultilevel"/>
    <w:lvl w:ilvl="0">
      <w:lvlJc w:val="left"/>
      <w:lvlText w:val="%1."/>
      <w:numFmt w:val="decimal"/>
      <w:start w:val="4"/>
    </w:lvl>
    <w:lvl w:ilvl="1">
      <w:lvlJc w:val="left"/>
      <w:lvlText w:val="(%2)"/>
      <w:numFmt w:val="lowerLetter"/>
      <w:start w:val="1"/>
    </w:lvl>
  </w:abstractNum>
  <w:abstractNum w:abstractNumId="529">
    <w:nsid w:val="75F096DF"/>
    <w:multiLevelType w:val="hybridMultilevel"/>
    <w:lvl w:ilvl="0">
      <w:lvlJc w:val="left"/>
      <w:lvlText w:val="%1"/>
      <w:numFmt w:val="decimal"/>
      <w:start w:val="1"/>
    </w:lvl>
    <w:lvl w:ilvl="1">
      <w:lvlJc w:val="left"/>
      <w:lvlText w:val="(%2)"/>
      <w:numFmt w:val="lowerLetter"/>
      <w:start w:val="9"/>
    </w:lvl>
  </w:abstractNum>
  <w:abstractNum w:abstractNumId="530">
    <w:nsid w:val="76DEE918"/>
    <w:multiLevelType w:val="hybridMultilevel"/>
    <w:lvl w:ilvl="0">
      <w:lvlJc w:val="left"/>
      <w:lvlText w:val="%1."/>
      <w:numFmt w:val="decimal"/>
      <w:start w:val="5"/>
    </w:lvl>
    <w:lvl w:ilvl="1">
      <w:lvlJc w:val="left"/>
      <w:lvlText w:val="(%2)"/>
      <w:numFmt w:val="lowerLetter"/>
      <w:start w:val="1"/>
    </w:lvl>
  </w:abstractNum>
  <w:abstractNum w:abstractNumId="531">
    <w:nsid w:val="B79D08D"/>
    <w:multiLevelType w:val="hybridMultilevel"/>
    <w:lvl w:ilvl="0">
      <w:lvlJc w:val="left"/>
      <w:lvlText w:val="%1."/>
      <w:numFmt w:val="decimal"/>
      <w:start w:val="6"/>
    </w:lvl>
    <w:lvl w:ilvl="1">
      <w:lvlJc w:val="left"/>
      <w:lvlText w:val="(%2)"/>
      <w:numFmt w:val="lowerLetter"/>
      <w:start w:val="1"/>
    </w:lvl>
  </w:abstractNum>
  <w:abstractNum w:abstractNumId="532">
    <w:nsid w:val="69141769"/>
    <w:multiLevelType w:val="hybridMultilevel"/>
    <w:lvl w:ilvl="0">
      <w:lvlJc w:val="left"/>
      <w:lvlText w:val="(%1)"/>
      <w:numFmt w:val="lowerLetter"/>
      <w:start w:val="2"/>
    </w:lvl>
  </w:abstractNum>
  <w:abstractNum w:abstractNumId="533">
    <w:nsid w:val="7BF45B8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34">
    <w:nsid w:val="4120526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35">
    <w:nsid w:val="9AE0DD"/>
    <w:multiLevelType w:val="hybridMultilevel"/>
    <w:lvl w:ilvl="0">
      <w:lvlJc w:val="left"/>
      <w:lvlText w:val="%1"/>
      <w:numFmt w:val="decimal"/>
      <w:start w:val="1"/>
    </w:lvl>
    <w:lvl w:ilvl="1">
      <w:lvlJc w:val="left"/>
      <w:lvlText w:val="(%2)"/>
      <w:numFmt w:val="lowerLetter"/>
      <w:start w:val="2"/>
    </w:lvl>
  </w:abstractNum>
  <w:abstractNum w:abstractNumId="536">
    <w:nsid w:val="1818832F"/>
    <w:multiLevelType w:val="hybridMultilevel"/>
    <w:lvl w:ilvl="0">
      <w:lvlJc w:val="left"/>
      <w:lvlText w:val="%1."/>
      <w:numFmt w:val="decimal"/>
      <w:start w:val="11"/>
    </w:lvl>
    <w:lvl w:ilvl="1">
      <w:lvlJc w:val="left"/>
      <w:lvlText w:val="(%2)"/>
      <w:numFmt w:val="lowerLetter"/>
      <w:start w:val="1"/>
    </w:lvl>
  </w:abstractNum>
  <w:abstractNum w:abstractNumId="537">
    <w:nsid w:val="24C29FD1"/>
    <w:multiLevelType w:val="hybridMultilevel"/>
    <w:lvl w:ilvl="0">
      <w:lvlJc w:val="left"/>
      <w:lvlText w:val="%1"/>
      <w:numFmt w:val="decimal"/>
      <w:start w:val="1"/>
    </w:lvl>
    <w:lvl w:ilvl="1">
      <w:lvlJc w:val="left"/>
      <w:lvlText w:val="(%2)"/>
      <w:numFmt w:val="lowerLetter"/>
      <w:start w:val="2"/>
    </w:lvl>
  </w:abstractNum>
  <w:abstractNum w:abstractNumId="538">
    <w:nsid w:val="50528108"/>
    <w:multiLevelType w:val="hybridMultilevel"/>
    <w:lvl w:ilvl="0">
      <w:lvlJc w:val="left"/>
      <w:lvlText w:val="%1."/>
      <w:numFmt w:val="decimal"/>
      <w:start w:val="12"/>
    </w:lvl>
    <w:lvl w:ilvl="1">
      <w:lvlJc w:val="left"/>
      <w:lvlText w:val="%2"/>
      <w:numFmt w:val="lowerLetter"/>
      <w:start w:val="1"/>
    </w:lvl>
  </w:abstractNum>
  <w:abstractNum w:abstractNumId="539">
    <w:nsid w:val="21857A57"/>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abstractNum>
  <w:abstractNum w:abstractNumId="540">
    <w:nsid w:val="5FD4B154"/>
    <w:multiLevelType w:val="hybridMultilevel"/>
    <w:lvl w:ilvl="0">
      <w:lvlJc w:val="left"/>
      <w:lvlText w:val="(%1)"/>
      <w:numFmt w:val="decimal"/>
      <w:start w:val="6"/>
    </w:lvl>
    <w:lvl w:ilvl="1">
      <w:lvlJc w:val="left"/>
      <w:lvlText w:val="%2."/>
      <w:numFmt w:val="decimal"/>
      <w:start w:val="22"/>
    </w:lvl>
    <w:lvl w:ilvl="2">
      <w:lvlJc w:val="left"/>
      <w:lvlText w:val="(%3)"/>
      <w:numFmt w:val="lowerLetter"/>
      <w:start w:val="1"/>
    </w:lvl>
  </w:abstractNum>
  <w:abstractNum w:abstractNumId="541">
    <w:nsid w:val="4ABE597"/>
    <w:multiLevelType w:val="hybridMultilevel"/>
    <w:lvl w:ilvl="0">
      <w:lvlJc w:val="left"/>
      <w:lvlText w:val="%1."/>
      <w:numFmt w:val="decimal"/>
      <w:start w:val="23"/>
    </w:lvl>
    <w:lvl w:ilvl="1">
      <w:lvlJc w:val="left"/>
      <w:lvlText w:val="(%2)"/>
      <w:numFmt w:val="lowerLetter"/>
      <w:start w:val="1"/>
    </w:lvl>
  </w:abstractNum>
  <w:abstractNum w:abstractNumId="542">
    <w:nsid w:val="5C64AD75"/>
    <w:multiLevelType w:val="hybridMultilevel"/>
    <w:lvl w:ilvl="0">
      <w:lvlJc w:val="left"/>
      <w:lvlText w:val="%1"/>
      <w:numFmt w:val="decimal"/>
      <w:start w:val="1"/>
    </w:lvl>
    <w:lvl w:ilvl="1">
      <w:lvlJc w:val="left"/>
      <w:lvlText w:val="(%2)"/>
      <w:numFmt w:val="lowerLetter"/>
      <w:start w:val="2"/>
    </w:lvl>
  </w:abstractNum>
  <w:abstractNum w:abstractNumId="543">
    <w:nsid w:val="2CDD5B39"/>
    <w:multiLevelType w:val="hybridMultilevel"/>
    <w:lvl w:ilvl="0">
      <w:lvlJc w:val="left"/>
      <w:lvlText w:val="%1."/>
      <w:numFmt w:val="decimal"/>
      <w:start w:val="28"/>
    </w:lvl>
    <w:lvl w:ilvl="1">
      <w:lvlJc w:val="left"/>
      <w:lvlText w:val="(%2)"/>
      <w:numFmt w:val="lowerLetter"/>
      <w:start w:val="1"/>
    </w:lvl>
  </w:abstractNum>
  <w:abstractNum w:abstractNumId="544">
    <w:nsid w:val="6F9EA0D1"/>
    <w:multiLevelType w:val="hybridMultilevel"/>
    <w:lvl w:ilvl="0">
      <w:lvlJc w:val="left"/>
      <w:lvlText w:val="(%1)"/>
      <w:numFmt w:val="lowerLetter"/>
      <w:start w:val="11"/>
    </w:lvl>
    <w:lvl w:ilvl="1">
      <w:lvlJc w:val="left"/>
      <w:lvlText w:val="%2."/>
      <w:numFmt w:val="lowerRoman"/>
      <w:start w:val="1"/>
    </w:lvl>
  </w:abstractNum>
  <w:abstractNum w:abstractNumId="545">
    <w:nsid w:val="247FC4AE"/>
    <w:multiLevelType w:val="hybridMultilevel"/>
    <w:lvl w:ilvl="0">
      <w:lvlJc w:val="left"/>
      <w:lvlText w:val="%1"/>
      <w:numFmt w:val="lowerRoman"/>
      <w:start w:val="3"/>
    </w:lvl>
  </w:abstractNum>
  <w:abstractNum w:abstractNumId="546">
    <w:nsid w:val="46C01B05"/>
    <w:multiLevelType w:val="hybridMultilevel"/>
    <w:lvl w:ilvl="0">
      <w:lvlJc w:val="left"/>
      <w:lvlText w:val="%1"/>
      <w:numFmt w:val="lowerLetter"/>
      <w:start w:val="1"/>
    </w:lvl>
    <w:lvl w:ilvl="1">
      <w:lvlJc w:val="left"/>
      <w:lvlText w:val="%2."/>
      <w:numFmt w:val="lowerRoman"/>
      <w:start w:val="4"/>
    </w:lvl>
  </w:abstractNum>
  <w:abstractNum w:abstractNumId="547">
    <w:nsid w:val="566EC29B"/>
    <w:multiLevelType w:val="hybridMultilevel"/>
    <w:lvl w:ilvl="0">
      <w:lvlJc w:val="left"/>
      <w:lvlText w:val="(%1)"/>
      <w:numFmt w:val="lowerLetter"/>
      <w:start w:val="14"/>
    </w:lvl>
    <w:lvl w:ilvl="1">
      <w:lvlJc w:val="left"/>
      <w:lvlText w:val="%2"/>
      <w:numFmt w:val="lowerRoman"/>
      <w:start w:val="1"/>
    </w:lvl>
  </w:abstractNum>
  <w:abstractNum w:abstractNumId="548">
    <w:nsid w:val="7A963843"/>
    <w:multiLevelType w:val="hybridMultilevel"/>
    <w:lvl w:ilvl="0">
      <w:lvlJc w:val="left"/>
      <w:lvlText w:val="(%1)"/>
      <w:numFmt w:val="lowerLetter"/>
      <w:start w:val="15"/>
    </w:lvl>
  </w:abstractNum>
  <w:abstractNum w:abstractNumId="549">
    <w:nsid w:val="4FE12F61"/>
    <w:multiLevelType w:val="hybridMultilevel"/>
    <w:lvl w:ilvl="0">
      <w:lvlJc w:val="left"/>
      <w:lvlText w:val="(%1)"/>
      <w:numFmt w:val="lowerLetter"/>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2021-06-28T15:28:27Z</dcterms:created>
  <dcterms:modified xsi:type="dcterms:W3CDTF">2021-06-28T15:28:27Z</dcterms:modified>
</cp:coreProperties>
</file>