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920" w:right="1120" w:hanging="2794"/>
        <w:spacing w:after="0" w:line="493" w:lineRule="auto"/>
        <w:tabs>
          <w:tab w:leader="none" w:pos="1327"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ind w:left="55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3420" w:right="940" w:hanging="2479"/>
        <w:spacing w:after="0" w:line="500" w:lineRule="auto"/>
        <w:tabs>
          <w:tab w:leader="none" w:pos="11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No. 001-39482</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CM Life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85-1966622</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 Corvex Management LP</w:t>
            </w:r>
          </w:p>
        </w:tc>
        <w:tc>
          <w:tcPr>
            <w:tcW w:w="5500" w:type="dxa"/>
            <w:vAlign w:val="bottom"/>
          </w:tcPr>
          <w:p>
            <w:pPr>
              <w:spacing w:after="0"/>
              <w:rPr>
                <w:sz w:val="24"/>
                <w:szCs w:val="24"/>
                <w:color w:val="auto"/>
              </w:rPr>
            </w:pPr>
          </w:p>
        </w:tc>
      </w:tr>
      <w:tr>
        <w:trPr>
          <w:trHeight w:val="216"/>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667 Madison Avenue</w:t>
            </w:r>
          </w:p>
        </w:tc>
        <w:tc>
          <w:tcPr>
            <w:tcW w:w="5500" w:type="dxa"/>
            <w:vAlign w:val="bottom"/>
          </w:tcPr>
          <w:p>
            <w:pPr>
              <w:spacing w:after="0"/>
              <w:rPr>
                <w:sz w:val="18"/>
                <w:szCs w:val="18"/>
                <w:color w:val="auto"/>
              </w:rPr>
            </w:pPr>
          </w:p>
        </w:tc>
      </w:tr>
      <w:tr>
        <w:trPr>
          <w:trHeight w:val="241"/>
        </w:trPr>
        <w:tc>
          <w:tcPr>
            <w:tcW w:w="5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New York, New York</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10065</w:t>
            </w:r>
          </w:p>
        </w:tc>
      </w:tr>
      <w:tr>
        <w:trPr>
          <w:trHeight w:val="23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474-6745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8"/>
        </w:trPr>
        <w:tc>
          <w:tcPr>
            <w:tcW w:w="53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7"/>
              </w:rPr>
              <w:t>Units, each consisting of one share of Class A common stock, par</w:t>
            </w:r>
          </w:p>
        </w:tc>
        <w:tc>
          <w:tcPr>
            <w:tcW w:w="2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rPr>
              <w:t>CMLFU</w:t>
            </w:r>
          </w:p>
        </w:tc>
        <w:tc>
          <w:tcPr>
            <w:tcW w:w="220" w:type="dxa"/>
            <w:vAlign w:val="bottom"/>
            <w:tcBorders>
              <w:top w:val="single" w:sz="8" w:color="CCEEFF"/>
            </w:tcBorders>
            <w:shd w:val="clear" w:color="auto" w:fill="CCEEFF"/>
          </w:tcPr>
          <w:p>
            <w:pPr>
              <w:spacing w:after="0"/>
              <w:rPr>
                <w:sz w:val="17"/>
                <w:szCs w:val="17"/>
                <w:color w:val="auto"/>
              </w:rPr>
            </w:pPr>
          </w:p>
        </w:tc>
        <w:tc>
          <w:tcPr>
            <w:tcW w:w="38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5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0"/>
              </w:rPr>
              <w:t>value $0.0001 per share, and one-third of one redeemable warrant</w:t>
            </w:r>
          </w:p>
        </w:tc>
        <w:tc>
          <w:tcPr>
            <w:tcW w:w="1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r>
      <w:tr>
        <w:trPr>
          <w:trHeight w:val="198"/>
        </w:trPr>
        <w:tc>
          <w:tcPr>
            <w:tcW w:w="55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Class A common stock, par value $0.0001 per share</w:t>
            </w:r>
          </w:p>
        </w:tc>
        <w:tc>
          <w:tcPr>
            <w:tcW w:w="19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rPr>
              <w:t>CMLF</w:t>
            </w:r>
          </w:p>
        </w:tc>
        <w:tc>
          <w:tcPr>
            <w:tcW w:w="38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5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Redeemable warrants, each whole warrant exercisable for one share</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CMLFW</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b w:val="1"/>
          <w:bCs w:val="1"/>
          <w:color w:val="auto"/>
        </w:rPr>
        <w:t>of Class A common stock at an exercise price of $11.50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504" w:right="339" w:bottom="0" w:gutter="0" w:footer="0" w:header="0"/>
        </w:sectPr>
      </w:pPr>
    </w:p>
    <w:bookmarkStart w:id="1" w:name="page2"/>
    <w:bookmarkEnd w:id="1"/>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last business day of the Registrant’s most recently completed second fiscal quarter), the Registrant’s securities were not publicly traded. The Registrant’s Units began trading on The Nasdaq Capital Market on September 2, 2020 and the Registrant’s Class A common stock, par value $0.0001 per share, began trading separately from its Units on October 26, 2020.</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29, 2021, there were 44,275,000 shares of the Registrant’s Class A common stock, par value $0.0001 per share, and 11,068,750 shares of the Registrant’s Class B common stock, par value $0.0001 per share, issued and outstanding.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rPr>
              <w:t>CM LIFE SCIENCES, INC.</w:t>
            </w:r>
          </w:p>
        </w:tc>
        <w:tc>
          <w:tcPr>
            <w:tcW w:w="78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80" w:type="dxa"/>
            <w:vAlign w:val="bottom"/>
            <w:gridSpan w:val="11"/>
          </w:tcPr>
          <w:p>
            <w:pPr>
              <w:jc w:val="center"/>
              <w:ind w:right="2380"/>
              <w:spacing w:after="0"/>
              <w:rPr>
                <w:sz w:val="20"/>
                <w:szCs w:val="20"/>
                <w:color w:val="auto"/>
              </w:rPr>
            </w:pPr>
            <w:r>
              <w:rPr>
                <w:rFonts w:ascii="Arial" w:cs="Arial" w:eastAsia="Arial" w:hAnsi="Arial"/>
                <w:sz w:val="18"/>
                <w:szCs w:val="18"/>
                <w:b w:val="1"/>
                <w:bCs w:val="1"/>
                <w:color w:val="auto"/>
                <w:w w:val="98"/>
              </w:rPr>
              <w:t>FORM 10-K FOR THE YEAR ENDED DECEMBER 31, 2020</w:t>
            </w:r>
          </w:p>
        </w:tc>
        <w:tc>
          <w:tcPr>
            <w:tcW w:w="78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0" w:type="dxa"/>
            <w:vAlign w:val="bottom"/>
            <w:gridSpan w:val="8"/>
          </w:tcPr>
          <w:p>
            <w:pPr>
              <w:jc w:val="center"/>
              <w:ind w:right="368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4"/>
                <w:szCs w:val="24"/>
                <w:color w:val="auto"/>
              </w:rPr>
            </w:pPr>
          </w:p>
        </w:tc>
      </w:tr>
      <w:tr>
        <w:trPr>
          <w:trHeight w:val="439"/>
        </w:trPr>
        <w:tc>
          <w:tcPr>
            <w:tcW w:w="5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r>
      <w:tr>
        <w:trPr>
          <w:trHeight w:val="196"/>
        </w:trPr>
        <w:tc>
          <w:tcPr>
            <w:tcW w:w="1140" w:type="dxa"/>
            <w:vAlign w:val="bottom"/>
            <w:gridSpan w:val="6"/>
            <w:shd w:val="clear" w:color="auto" w:fill="CCEEFF"/>
          </w:tcPr>
          <w:p>
            <w:pPr>
              <w:spacing w:after="0" w:line="16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Part 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6"/>
        </w:trPr>
        <w:tc>
          <w:tcPr>
            <w:tcW w:w="520" w:type="dxa"/>
            <w:vAlign w:val="bottom"/>
            <w:gridSpan w:val="2"/>
            <w:shd w:val="clear" w:color="auto" w:fill="CCEE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Item 1.</w:t>
              </w:r>
            </w:hyperlink>
          </w:p>
        </w:tc>
        <w:tc>
          <w:tcPr>
            <w:tcW w:w="620" w:type="dxa"/>
            <w:vAlign w:val="bottom"/>
            <w:gridSpan w:val="4"/>
            <w:shd w:val="clear" w:color="auto" w:fill="CCEEFF"/>
          </w:tcPr>
          <w:p>
            <w:pPr>
              <w:spacing w:after="0"/>
              <w:rPr>
                <w:sz w:val="15"/>
                <w:szCs w:val="15"/>
                <w:color w:val="auto"/>
              </w:rPr>
            </w:pPr>
          </w:p>
        </w:tc>
        <w:tc>
          <w:tcPr>
            <w:tcW w:w="9320" w:type="dxa"/>
            <w:vAlign w:val="bottom"/>
            <w:gridSpan w:val="21"/>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Business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
        </w:trPr>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1A.</w:t>
              </w:r>
            </w:hyperlink>
          </w:p>
        </w:tc>
        <w:tc>
          <w:tcPr>
            <w:tcW w:w="9320" w:type="dxa"/>
            <w:vAlign w:val="bottom"/>
            <w:gridSpan w:val="21"/>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9"/>
              </w:rPr>
              <w:t>9</w:t>
            </w:r>
          </w:p>
        </w:tc>
      </w:tr>
      <w:tr>
        <w:trPr>
          <w:trHeight w:val="21"/>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40" w:type="dxa"/>
            <w:vAlign w:val="bottom"/>
            <w:gridSpan w:val="5"/>
            <w:shd w:val="clear" w:color="auto" w:fill="CCEEFF"/>
          </w:tcPr>
          <w:p>
            <w:pPr>
              <w:spacing w:after="0" w:line="17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Item 1B.</w:t>
              </w:r>
            </w:hyperlink>
          </w:p>
        </w:tc>
        <w:tc>
          <w:tcPr>
            <w:tcW w:w="500" w:type="dxa"/>
            <w:vAlign w:val="bottom"/>
            <w:shd w:val="clear" w:color="auto" w:fill="CCEEFF"/>
          </w:tcPr>
          <w:p>
            <w:pPr>
              <w:spacing w:after="0"/>
              <w:rPr>
                <w:sz w:val="17"/>
                <w:szCs w:val="17"/>
                <w:color w:val="auto"/>
              </w:rPr>
            </w:pPr>
          </w:p>
        </w:tc>
        <w:tc>
          <w:tcPr>
            <w:tcW w:w="9320" w:type="dxa"/>
            <w:vAlign w:val="bottom"/>
            <w:gridSpan w:val="21"/>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Unresolved Staff Comments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175"/>
        </w:trPr>
        <w:tc>
          <w:tcPr>
            <w:tcW w:w="64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2.</w:t>
              </w:r>
            </w:hyperlink>
          </w:p>
        </w:tc>
        <w:tc>
          <w:tcPr>
            <w:tcW w:w="500" w:type="dxa"/>
            <w:vAlign w:val="bottom"/>
            <w:tcBorders>
              <w:top w:val="single" w:sz="8" w:color="CCEEFF"/>
            </w:tcBorders>
          </w:tcPr>
          <w:p>
            <w:pPr>
              <w:spacing w:after="0"/>
              <w:rPr>
                <w:sz w:val="15"/>
                <w:szCs w:val="15"/>
                <w:color w:val="auto"/>
              </w:rPr>
            </w:pPr>
          </w:p>
        </w:tc>
        <w:tc>
          <w:tcPr>
            <w:tcW w:w="204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Properties</w:t>
              </w:r>
            </w:hyperlink>
          </w:p>
        </w:tc>
        <w:tc>
          <w:tcPr>
            <w:tcW w:w="7280" w:type="dxa"/>
            <w:vAlign w:val="bottom"/>
            <w:tcBorders>
              <w:top w:val="single" w:sz="8" w:color="CCEEFF"/>
            </w:tcBorders>
            <w:gridSpan w:val="11"/>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1"/>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620" w:type="dxa"/>
            <w:vAlign w:val="bottom"/>
            <w:tcBorders>
              <w:bottom w:val="single" w:sz="8" w:color="CCEEFF"/>
            </w:tcBorders>
            <w:gridSpan w:val="4"/>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7980" w:type="dxa"/>
            <w:vAlign w:val="bottom"/>
            <w:tcBorders>
              <w:bottom w:val="single" w:sz="8" w:color="CCEEFF"/>
            </w:tcBorders>
            <w:gridSpan w:val="16"/>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9320" w:type="dxa"/>
            <w:vAlign w:val="bottom"/>
            <w:gridSpan w:val="21"/>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1"/>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1140" w:type="dxa"/>
            <w:vAlign w:val="bottom"/>
            <w:gridSpan w:val="6"/>
          </w:tcPr>
          <w:p>
            <w:pPr>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1140" w:type="dxa"/>
            <w:vAlign w:val="bottom"/>
            <w:gridSpan w:val="6"/>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5.</w:t>
              </w:r>
            </w:hyperlink>
          </w:p>
        </w:tc>
        <w:tc>
          <w:tcPr>
            <w:tcW w:w="9320" w:type="dxa"/>
            <w:vAlign w:val="bottom"/>
            <w:gridSpan w:val="21"/>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0"/>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6.</w:t>
              </w:r>
            </w:hyperlink>
          </w:p>
        </w:tc>
        <w:tc>
          <w:tcPr>
            <w:tcW w:w="620" w:type="dxa"/>
            <w:vAlign w:val="bottom"/>
            <w:tcBorders>
              <w:bottom w:val="single" w:sz="8" w:color="CCEEFF"/>
            </w:tcBorders>
            <w:gridSpan w:val="4"/>
            <w:shd w:val="clear" w:color="auto" w:fill="CCEEFF"/>
          </w:tcPr>
          <w:p>
            <w:pPr>
              <w:spacing w:after="0"/>
              <w:rPr>
                <w:sz w:val="17"/>
                <w:szCs w:val="17"/>
                <w:color w:val="auto"/>
              </w:rPr>
            </w:pPr>
          </w:p>
        </w:tc>
        <w:tc>
          <w:tcPr>
            <w:tcW w:w="17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Selected Financial Data</w:t>
              </w:r>
            </w:hyperlink>
          </w:p>
        </w:tc>
        <w:tc>
          <w:tcPr>
            <w:tcW w:w="7600" w:type="dxa"/>
            <w:vAlign w:val="bottom"/>
            <w:tcBorders>
              <w:bottom w:val="single" w:sz="8" w:color="CCEEFF"/>
            </w:tcBorders>
            <w:gridSpan w:val="1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176"/>
        </w:trPr>
        <w:tc>
          <w:tcPr>
            <w:tcW w:w="1140" w:type="dxa"/>
            <w:vAlign w:val="bottom"/>
            <w:gridSpan w:val="6"/>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7.</w:t>
              </w:r>
            </w:hyperlink>
          </w:p>
        </w:tc>
        <w:tc>
          <w:tcPr>
            <w:tcW w:w="9320" w:type="dxa"/>
            <w:vAlign w:val="bottom"/>
            <w:gridSpan w:val="21"/>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7A.</w:t>
              </w:r>
            </w:hyperlink>
          </w:p>
        </w:tc>
        <w:tc>
          <w:tcPr>
            <w:tcW w:w="9320" w:type="dxa"/>
            <w:vAlign w:val="bottom"/>
            <w:gridSpan w:val="21"/>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175"/>
        </w:trPr>
        <w:tc>
          <w:tcPr>
            <w:tcW w:w="64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8.</w:t>
              </w:r>
            </w:hyperlink>
          </w:p>
        </w:tc>
        <w:tc>
          <w:tcPr>
            <w:tcW w:w="50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Financial Statements and Supplementary Data</w:t>
              </w:r>
            </w:hyperlink>
          </w:p>
        </w:tc>
        <w:tc>
          <w:tcPr>
            <w:tcW w:w="4960" w:type="dxa"/>
            <w:vAlign w:val="bottom"/>
            <w:tcBorders>
              <w:top w:val="single" w:sz="8" w:color="CCEEFF"/>
            </w:tcBorders>
            <w:gridSpan w:val="6"/>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9.</w:t>
              </w:r>
            </w:hyperlink>
          </w:p>
        </w:tc>
        <w:tc>
          <w:tcPr>
            <w:tcW w:w="620" w:type="dxa"/>
            <w:vAlign w:val="bottom"/>
            <w:tcBorders>
              <w:bottom w:val="single" w:sz="8" w:color="CCEEFF"/>
            </w:tcBorders>
            <w:gridSpan w:val="4"/>
            <w:shd w:val="clear" w:color="auto" w:fill="CCEEFF"/>
          </w:tcPr>
          <w:p>
            <w:pPr>
              <w:spacing w:after="0"/>
              <w:rPr>
                <w:sz w:val="17"/>
                <w:szCs w:val="17"/>
                <w:color w:val="auto"/>
              </w:rPr>
            </w:pPr>
          </w:p>
        </w:tc>
        <w:tc>
          <w:tcPr>
            <w:tcW w:w="65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Changes in and Disagreements With Accountants on Accounting and Financial Disclosure</w:t>
              </w:r>
            </w:hyperlink>
          </w:p>
        </w:tc>
        <w:tc>
          <w:tcPr>
            <w:tcW w:w="2800" w:type="dxa"/>
            <w:vAlign w:val="bottom"/>
            <w:tcBorders>
              <w:bottom w:val="single" w:sz="8" w:color="CCEEFF"/>
            </w:tcBorders>
            <w:gridSpan w:val="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176"/>
        </w:trPr>
        <w:tc>
          <w:tcPr>
            <w:tcW w:w="1140" w:type="dxa"/>
            <w:vAlign w:val="bottom"/>
            <w:gridSpan w:val="6"/>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9A.</w:t>
              </w:r>
            </w:hyperlink>
          </w:p>
        </w:tc>
        <w:tc>
          <w:tcPr>
            <w:tcW w:w="9320" w:type="dxa"/>
            <w:vAlign w:val="bottom"/>
            <w:gridSpan w:val="21"/>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0"/>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9B.</w:t>
              </w:r>
            </w:hyperlink>
          </w:p>
        </w:tc>
        <w:tc>
          <w:tcPr>
            <w:tcW w:w="9320" w:type="dxa"/>
            <w:vAlign w:val="bottom"/>
            <w:gridSpan w:val="21"/>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6"/>
        </w:trPr>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10.</w:t>
              </w:r>
            </w:hyperlink>
          </w:p>
        </w:tc>
        <w:tc>
          <w:tcPr>
            <w:tcW w:w="9320" w:type="dxa"/>
            <w:vAlign w:val="bottom"/>
            <w:gridSpan w:val="21"/>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Directors, Executive Officers and Corporate Governance</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6"/>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11.</w:t>
              </w:r>
            </w:hyperlink>
          </w:p>
        </w:tc>
        <w:tc>
          <w:tcPr>
            <w:tcW w:w="9320" w:type="dxa"/>
            <w:vAlign w:val="bottom"/>
            <w:gridSpan w:val="21"/>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Executive Compensation</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0"/>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12.</w:t>
              </w:r>
            </w:hyperlink>
          </w:p>
        </w:tc>
        <w:tc>
          <w:tcPr>
            <w:tcW w:w="9320" w:type="dxa"/>
            <w:vAlign w:val="bottom"/>
            <w:gridSpan w:val="21"/>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0"/>
        </w:trPr>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13.</w:t>
              </w:r>
            </w:hyperlink>
          </w:p>
        </w:tc>
        <w:tc>
          <w:tcPr>
            <w:tcW w:w="9320" w:type="dxa"/>
            <w:vAlign w:val="bottom"/>
            <w:gridSpan w:val="21"/>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Certain Relationships and Related Transactions, and Director Independence</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0"/>
        </w:trPr>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Item 14.</w:t>
              </w:r>
            </w:hyperlink>
          </w:p>
        </w:tc>
        <w:tc>
          <w:tcPr>
            <w:tcW w:w="9320" w:type="dxa"/>
            <w:vAlign w:val="bottom"/>
            <w:gridSpan w:val="21"/>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Principal Accountant Fees and Services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216"/>
        </w:trPr>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IV.</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15.</w:t>
              </w:r>
            </w:hyperlink>
          </w:p>
        </w:tc>
        <w:tc>
          <w:tcPr>
            <w:tcW w:w="9320" w:type="dxa"/>
            <w:vAlign w:val="bottom"/>
            <w:gridSpan w:val="21"/>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Exhibit and Financial Statement Schedules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r>
      <w:tr>
        <w:trPr>
          <w:trHeight w:val="20"/>
        </w:trPr>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16.</w:t>
              </w:r>
            </w:hyperlink>
          </w:p>
        </w:tc>
        <w:tc>
          <w:tcPr>
            <w:tcW w:w="9320" w:type="dxa"/>
            <w:vAlign w:val="bottom"/>
            <w:gridSpan w:val="21"/>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Form 10-K Summary</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53</w:t>
            </w: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CM Life Sciences, Inc. (the “Company,” “we”, “our” or “us”) is filing this Annual Report on Form 10-K/A (Amendment No. 1), or this Annual Report, to amend our Annual Report on Form 10-K for the period ended December 31, 2020, originally filed with the Securities and Exchange Commission, or the SEC, on March 30, 2021, or the Original Filing, to restate our consolidated financial statements for the period ended December 31, 2020. We are also restating the financial statement as of September 4, 2020 and as of and for the period ended September 30, 2020 in the accompanying financial statements included in this Annual Report, including describing the restatement and its impact on previously reported amounts.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12, 2021, the Staff of the Division of Corporation Finance (the “SEC Staff”) of the Securities and Exchange Commission (the “SEC”) released a public statement highlighting the potential accounting implications of certain terms of warrants issued by Special Purpose Acquisition Companies (“SPACs”). In the statement, the SEC Staff, among other things, highlighted potential accounting implications of certain terms that are common in warrants issued in connection with the initial public offerings of special purpose acquisition companies such as the Company. As a result of the SEC Staff statement and in light of evolving views as to certain provisions commonly included in warrants issued by special purpose acquisition companies, the Company, in consultation with the Company’s independent registered public accounting firm, re-evaluated its accounting for its public warrants and private placement warrants issued in connection with the Company’s initial public offering (the “Warrants”).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restatement results from the Company's prior accounting for its Warrants issued in connection with its initial public offering in September 2020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 In other words, in the event of a qualifying cash tender offer (which could be outside the control of the Company), all Warrant holders would be entitled to cash, while only certain of the holders of the underlying common shares would be entitled to cash.</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audit of the Company’s financial statements for the period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 concluded the tender offer provision included in the warrant agreement fails the “classified in shareholders’ equity” criteria as contemplated by ASC Section 815-40-25.</w:t>
      </w:r>
    </w:p>
    <w:p>
      <w:pPr>
        <w:spacing w:after="0" w:line="17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a result of the above SEC Staff guidance,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operating , cash flows or cash and marketable securities held in the trust account.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restatement, the Company’s management reassessed the effectiveness of its disclosure controls and procedures for the periods affected by the restatement. As a result of that reassessment, the Company’s management determined that its disclosure controls and procedures for such periods were not effective with respect to the classification of the Company's Warrants as components of equity instead of as derivative liabilities. For more information, see Item 9A included in this Annual Report on Form 10-K/A.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amended its previously filed Current Report on Form 8-K, Annual Report on Form 10-K or Quarterly Report on Form 10-Q for the periods affected by the restatement. The financial information that has been previously filed or otherwise reported for these period is superseded by the information in this Annual Report on Form 10-K/A, and the financial statements and related financial information contained in such previously filed reports should no longer be relied upon.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restatement is more fully described in Note 2 of the notes to the financial statements included herein.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CAUTIONARY NOTE REGARDING FORWARD-LOOKING STATEMENTS AND RISK FACTOR SUMMARY</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on Form 10-K contains statements that are forward-looking and as such are not historical facts. This includes, without limitation, statements under “Item 7. Management’s Discussion and Analysis of Financial Condition and Results of Operations” regarding our financial position, business strategy and the plans and objectives of management for future operations, including with respect to our recently announced proposed business combination with Sema4 (as defined below). These statements constitute projections, forecasts and forward-looking statements within the meaning of the Private Securities Litigation Reform Act of 1995. The words “anticipate,” “believe,” “continue,” “could,” “estimate,” “expect,” “intends,” “may,” “might,” “plan,” “possible,” “potential,” “predict,” “project,” “should,” “would” and similar expressions may identify forward-looking statements, but the absence of these words does not mean that a statement is not forward-looking. The forward-looking statements contained in this Annual Report on Form 10-K are based on our current expectations and beliefs concerning future developments and their potential effects on us. There can be no assurance that future developments affecting us will be those that we have anticipated.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 occurrence of one or more of the events or circumstances described in “Item 1A. Risk Factors,” alone or in combination with other events or circumstances, may materially adversely affect our business, financial condition and operating results. Such risks include, but are not limited to:</w:t>
      </w:r>
    </w:p>
    <w:p>
      <w:pPr>
        <w:spacing w:after="0" w:line="171" w:lineRule="exact"/>
        <w:rPr>
          <w:sz w:val="20"/>
          <w:szCs w:val="20"/>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a blank check company with no operating history and no revenues, and you have no basis on which to evaluate our ability to achieve our business objective.</w:t>
      </w:r>
    </w:p>
    <w:p>
      <w:pPr>
        <w:spacing w:after="0" w:line="170"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Your only opportunity to affect your investment decision regarding a potential Business Combination may be limited to the exercise of your right to redeem your shares from us for cash.</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seek stockholder approval of our initial Business Combination, our initial stockholders and management team have agreed to vote in favor of such initial Business Combination, regardless of how our Public Stockholders vote.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70" w:lineRule="exact"/>
        <w:rPr>
          <w:rFonts w:ascii="Arial" w:cs="Arial" w:eastAsia="Arial" w:hAnsi="Arial"/>
          <w:sz w:val="18"/>
          <w:szCs w:val="18"/>
          <w:color w:val="auto"/>
        </w:rPr>
      </w:pPr>
    </w:p>
    <w:p>
      <w:pPr>
        <w:jc w:val="both"/>
        <w:ind w:left="660" w:right="20" w:hanging="328"/>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requirement that we complete our initial Business Combination within 24 months after the closing of this offering or during any extension period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71" w:lineRule="exact"/>
        <w:rPr>
          <w:rFonts w:ascii="Arial" w:cs="Arial" w:eastAsia="Arial" w:hAnsi="Arial"/>
          <w:sz w:val="17"/>
          <w:szCs w:val="17"/>
          <w:color w:val="auto"/>
        </w:rPr>
      </w:pPr>
    </w:p>
    <w:p>
      <w:pPr>
        <w:jc w:val="both"/>
        <w:ind w:left="660" w:right="2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seek stockholder approval of our initial Business Combination, our Sponsor, initial stockholders, directors, executive officers, advisors and their affiliates may elect to purchase shares or public warrants from Public Stockholders, which may influence a vote on a proposed Business Combination and reduce the public “float” of our Class A Common Stock.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 stockholder fails to receive notice of our offer to redeem our Public Shares in connection with our initial Business Combination, or fails to comply with the procedures for submitting or tendering its shares, such shares may not be redeemed.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may delist our securities from trading on its exchange, which could limit investors’ ability to make transactions in our securities and subject us to additional trading restrictions.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 will not be entitled to protections normally afforded to investors of many other blank check companies.</w:t>
      </w:r>
    </w:p>
    <w:p>
      <w:pPr>
        <w:spacing w:after="0" w:line="225" w:lineRule="exact"/>
        <w:rPr>
          <w:rFonts w:ascii="Arial" w:cs="Arial" w:eastAsia="Arial" w:hAnsi="Arial"/>
          <w:sz w:val="18"/>
          <w:szCs w:val="18"/>
          <w:color w:val="auto"/>
        </w:rPr>
      </w:pPr>
    </w:p>
    <w:p>
      <w:pPr>
        <w:jc w:val="both"/>
        <w:ind w:left="660" w:right="2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their pro rata portion of the funds in the Trust Account that are available for distribution to Public Stockholders, and our warrants will expire worthless.</w:t>
      </w:r>
    </w:p>
    <w:p>
      <w:pPr>
        <w:spacing w:after="0" w:line="186" w:lineRule="exact"/>
        <w:rPr>
          <w:rFonts w:ascii="Arial" w:cs="Arial" w:eastAsia="Arial" w:hAnsi="Arial"/>
          <w:sz w:val="18"/>
          <w:szCs w:val="18"/>
          <w:color w:val="auto"/>
        </w:rPr>
      </w:pPr>
    </w:p>
    <w:p>
      <w:pPr>
        <w:jc w:val="both"/>
        <w:ind w:left="660" w:right="2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net proceeds of the Initial Public Offering not being held in the Trust Account are insufficient to allow us to operate for at least the 24 months following the closing of the Initial Public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Past performance by our management team and their affiliates may not be indicative of future performance of an investment in us.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Unlike some other similarly structured special purpose acquisition companies, our initial stockholders will receive additional Class A Common Stock if we issue certain shares to consummate an initial Business Combination.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Should one or more of these risks materialize, or should any of our assumptions prove incorrect, actual results may vary in material respects from those projected in these forward-looking statements. In that event, the trading price of our securities could decline, and you could lose all or part of your investment.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References in this Annual Report on Form 10-K (this “Annual Report”) to “we,” “us,” “our” or the “Company” are to CM Life Sciences, Inc., a blank check company incorporated in Delaware. References to our “management” or our “management team” refer to our officers and directors, and references to the “Sponsor” refer to CM Life Sciences Holdings, LLC, a Delaware limited liability company. References to our “initial stockholders” refer to our Sponsor and each of our independent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blank check company incorporated on July 10, 2020, as a Delaware corporation, for the purpose of effecting a merger, share exchange, asset acquisition, share purchase, reorganization or similar business combination with one or more businesses (the “Business Combination”). While we may pursue an initial Business Combination target in any industry, sector or geographic region, we intend to capitalize on our management team’s background and experience to identify promising opportunities in the life sciences sector. Our sponsor is CM Life Sciences Holdings, LLC a Delaware limited liability company (our “Sponsor”).</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neither engaged in any operations nor generated any revenue to date. Based on our business activities, the Company is a “shell company” as defined under the Exchange Act of 1934 (the “Exchange Act”) because we have no operations and nominal assets consisting almost entirely of cash.</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Registration statements for our initial public offering (the “Initial Public Offering”) became effective on September 1, 2020. On September 4, 2020, we consummated our Initial Public Offering of 44,275,000 units (the “Units” and, with respect to the shares of Class A common stock, par value $0.0001 per share (“Class A Common Stock”) included in the Units offered, the “Public Shares”), including 5,775,000 additional Units to cover over-allotments (the “Over-Allotment Units”), at $10.00 per Unit, generating gross proceeds of $442.75 million.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Substantially concurrently with the closing of the Initial Public Offering, we consummated the private placement (the “Private Placement”) of 7,236,667 warrants (each, a “Private Placement Warrant” and collectively, the “Private Placement Warrants”), at a price of $1.50 per Private Placement Warrant to the Sponsor, generating gross proceeds of approximately $10.86 million.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consummation of the Initial Public Offering, on July 16, 2020, the Sponsor paid $25,000, or approximately $0.002 per share, to cover certain offering costs of the Company in consideration for 10,062,500 shares (the “Founder Shares”) of Class B common stock of the Company, par value $0.0001 per share (“Class B Common Stock”). In August 2020, our Sponsor transferred 25,000 Founder Shares to each of Mr. Islam, Dr. Leproust and Mr. Turner. On September 1, 2020, we effected a 1:1.1 stock split of our Class B Common Stock, resulting in our Sponsor holding an aggregate of 10,993,750 Founder Shares and there being an aggregate of 11,068,750 Founder Shares outstanding.</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the closing of the Initial Public Offering and the Private Placement, $442.75 million ($10.00 per Unit) of the net proceeds of the Initial Public Offering and certain of the proceeds of the Private Placement were placed in a trust account (“Trust Account”) with Continental Stock Transfer &amp; Trust Company acting as trustee and invested in United States government treasury bills with a maturity of 185 days or less or in money market funds investing solely in U.S. Treasuries and meeting certain conditions under Rule 2a-7 under the Investment Company Act of 1940, as amended (the “Investment Company Act”), as determined by the Company, until the earlier of: (i) the completion of an initial Business Combination and (ii) the distribution of the Trust Account as described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both"/>
        <w:spacing w:after="0" w:line="269" w:lineRule="auto"/>
        <w:rPr>
          <w:sz w:val="20"/>
          <w:szCs w:val="20"/>
          <w:color w:val="auto"/>
        </w:rPr>
      </w:pPr>
      <w:r>
        <w:rPr>
          <w:rFonts w:ascii="Arial" w:cs="Arial" w:eastAsia="Arial" w:hAnsi="Arial"/>
          <w:sz w:val="17"/>
          <w:szCs w:val="17"/>
          <w:color w:val="auto"/>
        </w:rPr>
        <w:t>We entered into separate forward purchase agreements with affiliates of our Sponsor, Casdin Capital, LLC (“Casdin Capital”) and Corvex Management LP (“Corvex Management”), in their capacities as investment advisors on behalf of one or more investment funds, clients or accounts managed by each of Casdin Capital and Corvex Management, respectively (collectively, their “Clients”), pursuant to which, subject to the conditions described below, they will cause certain Clients to purchase from us up to an aggregate amount of 15,000,000 shares of Class A Common Stock (the “Forward Purchase Shares”) for $10.00 per Forward Purchase Share, or an aggregate amount of up to $150,000,000, in a private placement that will close concurrently with the closing of our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Class A Common Stock and warrants trade on The Nasdaq Capital Market (“Nasdaq”) under the symbols “CMLF” and “CMLFW,” respectively. Those Units not separated continue to trade on Nasdaq under the symbol “CMLFU.”</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has broad discretion with respect to the specific application of the net proceeds of its Initial Public Offering and the sale of Private Placement Warrants, although substantially all of the net proceeds are intended to be applied generally toward consummating our initial Business Combination. Our initial Business Combination must be with one or more operating businesses or assets with a fair market value equal to at least 80% of the net assets held in the Trust Account (net of amounts disbursed to management for working capital purposes and excluding the amount of any deferred underwriting discount held in Trust) at the time we sign a definitive agreement in connection with the initial Business Combination. However, we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effectuate a Business Combination using the proceeds from the Initial Public Offering and Private Placement, and from additional issuances of, if any, our capital stock and our debt, or a combination of cash, stock and debt. We have not engaged in, and we will not engage in, any operations until we complete a Business Combination, and we have not generated any operating revenue to date. We will not generate any operating revenues until after completion of our initial Business Combination, at the earliest. Our entire activity since inception through December 31, 2020 related to our formation, the preparation for the Initial Public Offering, and following the closing of the Initial Public Offering, the search for a prospective initial Business Combination. Based on our business activities, we are a “shell company” as defined under the Exchange Act, because we have no operations and nominal assets consisting almost entirely of cash.</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provide the holders of our Public Shares (the “Public Stockholders”) with the opportunity to redeem all or a portion of their Public Shares upon the completion of our initial Business Combination either (i) in connection with a general meeting called to approve the initial Business Combination or (ii) by means of a tender offer. The decision as to whether we will seek stockholder approval of our initial Business Combination or conduct a tender offer will be made by us. The Public Stockholders will be entitled to redeem their Public Shares for a pro rata portion of the amount then in the Trust Account. The per-share amount to be distributed to Public Stockholders who redeem their Public Shares will not be reduced by the deferred underwriting commissions we pay to the underwriters of the Initial Public Offering.</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are unable to complete a Business Combination within 24 months from the closing of the Initial Public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Pending Sema4 Business Combination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10, 2021, we entered into an Agreement and Plan of Merger (the “Merger Agreement”) with Mount Sinai Genomics, Inc., a Delaware corporation, d/b/a Sema4 (“Sema4”), and S-IV Sub, Inc., a Delaware corporation and our direct wholly-owned subsidiary (“Merger Sub”). Pursuant to the terms of the Merger Agreement and subject to the conditions thereof, we will acquire Sema4 through the merger of Merger Sub with and into Sema4, with Sema4 surviving as our wholly-owned subsidiary (the “Merger”) and, in connection with the Merger, our name will be changed to a name to be determined by Sema4 (and reasonably acceptable to us) (together with the other agreements and transactions contemplated by the Merger Agreement, the “Sema4 Business Combination”). Holders of Sema4 Capital Stock (as defined below) will receive common stock of CM Life Sciences and, at their election, up to $343 million in cash in exchange for shares of Sema4. The consummation of the proposed Sema4 Business Combination is subject to certain conditions as further described in the Merger Agreement.</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10, 2021, concurrently with the execution of the Merger Agreement, we entered into subscription agreements (collectively, the “Subscription Agreements”) with certain investors (collectively, the “PIPE Investors” which include certain existing equityholders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 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more information about the Merger Agreement and the proposed Sema4 Business Combination, see “Item 7. Management’s Discussion and Analysis of Financial Condition and Results of Operations — Sema4 Business Combination Announcement,” as well as our Current Report on Form 8-K filed with the SEC on February 11, 2021 and the proxy statement that we will file with the SEC. Unless specifically stated, this Annual Report does not give effect to the proposed Sema4 Business Combination and does not contain the risks associated with the proposed Sema4 Business Combination. Such risks and effects relating to the proposed Sema4 Business Combination will be included in the proxy statement.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team intends to leverage the strong life sciences knowledge base and public and private market experience of our Sponsor in completing our initial Business Combination. Our Sponsor is an affiliate of Eli Casdin, founder and Chief Investment Officer of Casdin Capital, and of Keith Meister, founder and Chief Investment Officer of Corvex Management, two leading investment firms.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Over the years, members of our management team from Casdin Capital have developed a rich, reflective and repeatable scientific process as rigorous as any found in relevant research labs, which we intend to draw upon as we evaluate targets. Our strategy is to seek out every possible data point and test every possible hypothesis. By methodically breaking down core elements, from treatments to management teams to political-historical context, and examining them from all angles, testing theories as we go, our leadership team learns and grows in step with the life sciences industry itself. When we assess company targets and the mechanisms for solving them, whether a drug or a technology application, we will seek to understand their innovative methodologies, not just their market potential. Beyond the science, we will also scrutinize target markets and competitors, question CEOs, Executive Teams and Boards on their ability to measure outcomes and push toward solutions, and create models for everything from commercial launch capabilities to regulatory hurdles to an entire team’s industry expertise and history. Deep knowledge of the science and its applications is only the beginning. Our experience continually reminds us to focus on leadership’s ability to grow a business and create an empowered workforce, and we seek companies that create the drive and resilience necessary to reach ambitious goals and, ultimately, market success.</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Casdin Capital has developed relationships going back to the unlocking of the human genome, and today is a familiar and trusted participant in this dynamic and complex industry, as well-versed in the science as in the business models that underpin it. As an affiliate of Casdin Capital with key management members from Casdin Capital, we intend to leverage its reputation and position as more than just an investor, but a key partner to major and emerging companies, to work with the most successful and innovative industry professionals, the ones who will continue to drive growth and profits over the next few decades. Combined with Corvex Management, our leadership team is diverse and deep, with strengths in science and business, in research and investing, capital markets and corporate board rooms, and as alert to industry realignments as they are to subtle market moves. Success and strong returns come as much from our collective dedication as it does from our area-expertise. Our seasoned management team and board intends to leverage information from industry experts, scientists, management teams, and corporate directors to proceed with discipline and rigor to complete an attractive business combination that will produce attractive returns for our shareholders.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Consistent with our acquisition strategy, we have identified the following criteria to evaluate prospective target businesses. We intend to seek to acquire companies in the Life Sciences Tools, Synthetic Biology and Diagnostics fields and that we believe:</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 potential scientific or other business advantage or opportunity in the markets in which they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strong and experienced management teams or key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offer attractive risk-adjusted equity returns for our shareholders.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we believe does not meet the above criteria and guidelines, we will disclose that the target business does not meet the above criteria in our stockholder communications related to our initial business combination, which would be in the form of proxy materials or tender offer documents, as applicable, that we would file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Additionally, pursuant to Nasdaq rules, any initial business combination must be approved by a majority of our independent directors.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Sourcing of Potential Initial Business Combination Targets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 Our second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Warrants following the Initial Public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Our second amended and restated certificate of incorporation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Stockholders upon Completion of Our Initial Business Combination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may hold in connection with the completion of our initial Business Combination.</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the Initial Public Offering, in order to, among other reasons, satisfy such net tangible assets or minimum cash requirements.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Limitations on Redemptions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second amended and restated certificate of incorporation provides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the Initial Public Offering, in order to, among other reasons, satisfy such net tangible assets or minimum cash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redemptions pursuant to tender offer rules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event we conduct redemptions pursuant to the tender offer rules, we will:</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25"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to be less than $5,000,001. If Public Stockholders tender more shares than we have offered to purchase, we will withdraw the tender offer and not complete the initial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our initial Business Combination to a stockholder vote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we provide our Public Stockholders with the opportunity to redeem their Public Shares in connection with a stockholder meeting, we will:</w:t>
      </w:r>
    </w:p>
    <w:p>
      <w:pPr>
        <w:spacing w:after="0" w:line="225" w:lineRule="exact"/>
        <w:rPr>
          <w:sz w:val="20"/>
          <w:szCs w:val="20"/>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the Initial Public Offering (including in open market and privately-negotiated transactions) in favor of our initial Business Combination. For purposes of seeking approval of the majority of our outstanding shares of common stock voted, non-votes will have no effect on the approval of our initial Business Combination once a quorum is obtained.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in the Trust Account will be used to purchase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In the event that our Sponsor, initial stockholders, directors,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purpose of any such purchases of shares could be to (i) vote such shares in favor of the Business Combination and thereby increase the likelihood of obtaining the requisite stockholder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Upon Completion of Our Initial Business Combination If We Seek Stockholder Approval</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second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the Initial Public Offering, which we refer to as the “Excess Shares,” without our prior consent. We believe this restriction will discourage stockholders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stockholder holding more than an aggregate of 20% of the shares sold in the Initial Public Offering could threaten to exercise its redemption rights if such holder’s shares are not purchased by us, our Sponsor or our management at a premium to the then-current market price or on other undesirable terms. By limiting our stockholders’ ability to redeem no more than 20% of the shares sold in the Initial Public Offering without our prior consent,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we would not be restricting our stockholders’ ability to vote all of their shares (including Excess Shares) for or against our initial Business Combination.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second amended and restated certificate of incorporation provides that we will have only 24 months from the closing of the Initial Public Offering to complete our initial Business Combination. If we are unable to complete our initial Business Combination within such 24-month period from the closing of the Initial Public Offering or during any extended period of time that we may have to consummate an initial business combination as a result of an amendment to our amended and restated certificate of incorporation (an “Extension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 or during any Extension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Additionally, the number of blank check companies looking for Business Combination targets has increased compared to recent years and many of these blank check companies are sponsored by entities or persons that have significant experience with completing Business Combinations. While we believe there are numerous target businesses we could potentially acquire with the net proceeds from our Initial Public Offering and Private Placement, if the proposed Sema4 Business Combination is not consummated, our ability to compete with respect to the acquisition of certain target businesses will be limited by our available financial resources. This inherent competitive limitation gives others an advantage in pursuing the acquisition of certain target businesses.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Any of these obligations may place us at a competitive disadvantage in successfully negotiating a Business Combination. If we have not completed our initial Business Combination within the required time period, our Public Stockholders may receive only approximately $10.00 per share, or less in certain circumstances, on the liquidation of our Trust Account and our warrants will expire worthless.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have three executive officers: Eli Casdin, Brian Emes and Shaun Rodriguez.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the status of the proposed Sema4 Business Combination and, if the proposed Sema4 Business Combination is not consummated, whether a different target business has been selected for our initial Business Combination and the current stage of the Business Combination process. We do not intend to have any full time employees prior to the completion of our initial Business Combination.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together with the other information contained in this Annual Report, including our financial statements and related notes,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financial condition and operating results. For risk factors related to the proposed Sema4 Business Combination, see the “Risk Factors” section of the proxy statement that we will file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Risks Relating to the Company and Our Search for, and Consummation of or Inability to Consummate, a Business Combination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choose not to hold a stockholder vote to approve our initial Business Combination if the Business Combination would not require stockholder approval under applicable law or stock exchange listing requirement. Except for as required by applicable law or stock exchange requirement,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a majority of our Public Stockholders do not approve of the Business Combination we complete.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may be limited to the exercise of your right to redeem your shares from us for cash.</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You may not be provided with an opportunity to evaluate the specific merits or risks of our initial Business Combination. Since our board of directors may complete a Business Combination without seeking stockholder approval, Public Stockholders may not have the right or opportunity to vote on the Business Combination, unless we seek such stockholder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initial stockholders and management team have agreed to vote in favor of such initial Business Combination, regardless of how our Public Stockholders vote.</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initial stockholders own a substantial percentage of our outstanding common stock. Our initial stockholders and management team also may from time to time purchase Class A Common Stock prior to the completion of our initial Business Combination. Our second amended and restated certificate of incorporation provides that, if we seek stockholder approval of an initial Business Combination, such initial Business Combination will be approved if we receive the affirmative vote of a majority of the shares entitled to vote at such meeting, including the Founder Shares. Accordingly, if we seek stockholder approval of our initial Business Combination, the agreement by our initial stockholders and management team to vote in favor of our initial Business Combination will increase the likelihood that we will receive the requisite stockholder approval for such initial Business Combination.</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consummate a Business Combination with a target.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seek to enter into a Business Combination transaction agreement with minimum cash requirement for (i) cash consideration to be paid to the target or its owners, (ii) cash for working capital or other general corporate purposes or (iii) the retention of cash to satisfy other conditions. If too many Public Stockholders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make us unable to satisfy a minimum cash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the time we enter into a Business Combination Agreement,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Common Stock results in the issues of shares of Class A Common Stock on a greater than one-to-one basis upon conversion of the shares of Class B Common Stock at the time of our initial Business Combination. In addition, the amount of the deferred underwriting commissions payable to the underwriters will not be adjusted for any shares that are redeemed in connection with an initial Business Combination. The per share amount we will distribute to stockholders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The requirement that we complete our initial Business Combination within 24 months after the closing of the Initial Public Offering or during any Extension Period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potential target business with which we enter into negotiations concerning a Business Combination will be aware that we must complete our initial Business Combination within 24 months after the closing of the Initial Public Offering or during any Extension Period.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coronavirus (COVID-19) outbreak and the status of debt and equity markets.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able to complete our initial Business Combination within 24 months after the closing of the Initial Public Offering or during any Extension Period, in which case we would cease all operations except for the purpose of winding up and we would redeem our Public Shares and liquidate.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not be able to find a suitable target business and complete our initial Business Combination within 24 months after the closing of the Initial Public Offering or during any Extension Period.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we seek stockholder approval of our initial Business Combination, our Sponsor, initial stockholders, directors, executive officers, advisors and their affiliates may elect to purchase shares or public warrants from Public Stockholders, which may influence a vote on a proposed Business Combination and reduce the public “float” of our Class A Common Stock or public warrants.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although they are under no obligation to do so. There is no limit on the number of shares our initial stockholders, directors, officers, advisors or their respective affiliates may purchase in such transactions, subject to compliance with applicable law and Nasdaq rules. However, other than as expressly stated herein, they have no current commitments, plans or intentions to engage in such purchases or transactions and have not formulated any terms or conditions for any such purchases or transactions. None of the funds in the Trust Account will be used to purchase Public Shares or public warrants in such transactions. Such purchases may include a contractual acknowledgment that such stockholder, although still the record holder of our shares, is no longer the beneficial owner thereof and therefore agrees not to exercise its redemption rights.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that our Sponsor, initial stockholders, directors, executive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The purpose of any such purchases of shares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We expect any such purchases will be reported pursuant to Section 13 and Section 16 of the Exchange Act to the extent such purchasers are subject to such reporting requirements.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will comply with the proxy rules or tender offer rules, as applicable, when conducting redemptions in connection with our initial Business Combination. Despite our compliance with these rules, if a stockholder fails to receive our proxy materials or tender offer documents,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submit Public Shares for redemption. For example, we intend to require our Public Stockholders seeking to exercise their redemption rights, whether they are record holders or hold their shares in “street name,” to, at the holder’s option, either deliver their stock certificates to our transfer agent, or to deliver their shares to our transfer agent electronically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In the event that a stockholder fails to comply with these or any other procedures disclosed in the proxy or tender offer materials, as applicable, its shares may not be redeemed.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the net proceeds of the Initial Public Offering and the sale of the Private Placement Warrants are intended to be used to complete an initial Business Combination with a target business that has not been selected, we may be deemed to be a “blank check” company under the United States securities laws. However, because we had net tangible assets in excess of $5,000,000 upon the completion of the Initial Public offering and the sale of the Private Placement Warrants and we filed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became immediately tradable and we will have a longer period of time to complete our initial Business Combination than do companies subject to Rule 419. Moreover, we were subject to Rule 419, that rule would prohibit the release of any interest earned on funds held in the Trust Account to us unless and until the funds in the Trust Account were released to us in connection with our completion of an initial Business Combination.</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and we do not conduct redemptions pursuant to the tender offer rules, and if you or a “group” of stockholders are deemed to hold in excess of 20% of our Class A Common Stock, you will lose the ability to redeem all such shares in excess of 20% of our Class A Common Stock.</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second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the Excess Shares without our prior consent.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20% and, in order to dispose of such shares, would be required to sell your shares in open market transactions, potentially at a loss.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within the required time period, our Public Stockholders may receive only their pro rata portion of the funds in the Trust Account that are available for distribution to Public Stockholders, and our warrants will expire worthless.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the Initial Public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stockholder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within the required time period, our Public Stockholders may receive only their pro rata portion of the funds in the Trust Account that are available for distribution to Public Stockholders, and our warrants will expire worthless.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As a result of the SEC Statement, we reevaluated the accounting treatment of our 14,758,333 Public Warrants and 7,236,667 Private Placement Warrants, and determined to classify the Warrants as derivative liabilities measured at fair value, with changes in fair value each period reported in earnings.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included on our balance sheet as of December 31, 2020 contained elsewhere in this Annual Report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in the period of change.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7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as of December 31, 2020.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issuance of the SEC Statement, on April 12, 2021, after consultation with our independent registered public accounting firm, our management and our audit committee concluded that, in light of the SEC Statement, it was appropriate to restate our previously issued audited financial statements as of and for the period ended December 31, 2020 (the “Restatement”). See “—Our warrants are accounted for as liabilities and the changes in value of our Warrants could have a material effect on our financial results.” As part of such process, we identified a material weakness in our internal controls over financial reporting.</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We continue to evaluate steps to remediate the material weakness. These remediation measures may be time consuming and costly and there is no assurance that these initiatives will ultimately have the intended effects.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and following the Business Combination, the post-business combination company, may face litigation and other risks as a result of the material weakness in our internal control over financial reporting.</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issuance of the SEC Statement, after consultation with our independent registered public accounting firm, our management and our audit committee concluded that it was appropriate to restate our previously issued audited financial statements as of December 31, 2020 and for the period from July 10, 2020 (inception) through December 31, 2020. See section entitled “—Our Warrants are accounted for as liabilities and the changes in value of our warrants could have a material effect on our financial results.” As part of the Restatement, we identified a material weakness in our internal controls over financial reporting.</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such material weakness, the Restatement, the change in accounting for the Warrants, and other matters raised or that may in the future be raised by the SEC, we face potential for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As of the date of this Annual Report, we have no knowledge of any such litigation or dispute. However, we can provide no assurance that such litigation or dispute will not arise in the future. Any such litigation or dispute, whether successful or not, could have a material adverse effect on our business, results of operations and financial condition or our ability to complete a Business Combination.</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increases, there may be more competition to find an attractive target for an initial Business Combination. This could increase the costs associated with completing our initial Business Combination and may result in our inability to find a suitable target for our initial Business Combination.</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recent years, the number of special purpose acquisition companies that have been formed has increased substantially. Many companies have entered into Business Combinations with special purpose acquisition companies, and there are still many special purpose acquisition companies seeking targets for their initial Business Combination, as well as many additional special purpose acquisition companies currently in registration. As a result, at times, fewer attractive targets may be available, and it may require more time, effort and resources to identify a suitable target for an initial Business Combination.</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 suitable target for and/or complete our initial Business Combination.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the net proceeds of the Initial Public Offering not being held in the Trust Account are insufficient to allow us to operate for at least the 24 months following the closing of the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Of the net proceeds of the Initial Public Offering, only $1,000,000 will be available to us initially outside the Trust Account to fund our working capital requirements. We believe that the funds available to us outside of the Trust Account will be sufficient to allow us to operate for at least the 24 months following the closing of the Initial Public Offering;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spacing w:after="0" w:line="268" w:lineRule="auto"/>
        <w:rPr>
          <w:sz w:val="20"/>
          <w:szCs w:val="20"/>
          <w:color w:val="auto"/>
        </w:rPr>
      </w:pPr>
      <w:r>
        <w:rPr>
          <w:rFonts w:ascii="Arial" w:cs="Arial" w:eastAsia="Arial" w:hAnsi="Arial"/>
          <w:sz w:val="17"/>
          <w:szCs w:val="17"/>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warrants of the post-Business Combination entity at a price of $1.50 per warrant at the option of the lender. The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 within the required time period because we do not have sufficient funds available to us, we will be forced to cease operations and liquidate the Trust Account. Consequently, our Public Stockholders may only receive an estimated $10.00 per public share, or possibly less, on our redemption of our Public Shares, and our warrants will expire worthless.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recent months, 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 generally increased and the terms of such policies have generally become less favorable. These trends may continue into the future.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and complete an initial Business Combination. In order to obtain directors and officers liability insurance or modify its coverage as a result of becoming a public company, the post-Business Combination entity might need to incur greater expense and/or accept less favorable terms. Furthermore, any failure to obtain adequate directors and officers liability insurance could have an adverse impact on the post-Business Combination’s ability to attract and retain qualified officers and directors.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after completion of any initial Business Combination, our directors and officers could be subject to potential liability from claims arising from conduct alleged to have occurred prior to such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$10.00 per public share.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placing of funds in the Trust Account may not protect those funds from third party claims against us. Although we will seek to have all vendors, service providers, prospective target businesses and other entities (except for our independent registered public accounting firm)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The underwriters of the Initial Public Offering as well as our registered independent public accounting firm will not execute agreements with us waiving such claims to the monies held in the Trust Account.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spacing w:after="0" w:line="284"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required time period,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public share initially held in the Trust Account, due to claims of such creditors. Pursuant to the letter agreement dated as of September 1, 2020, our Sponsor has agreed that it will be liable to us if and to the extent any claims by a third party for services rendered or products sold to us, or a prospective target business with which we will enter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the Initial Public Offering against certain liabilities, including liabilities under the Securities Act of 1933, as amended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that the proceeds in the Trust Account are reduced below the lesser of (i) $10.00 per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spacing w:after="0" w:line="342" w:lineRule="auto"/>
        <w:rPr>
          <w:sz w:val="20"/>
          <w:szCs w:val="20"/>
          <w:color w:val="auto"/>
        </w:rPr>
      </w:pPr>
      <w:r>
        <w:rPr>
          <w:rFonts w:ascii="Arial" w:cs="Arial" w:eastAsia="Arial" w:hAnsi="Arial"/>
          <w:sz w:val="16"/>
          <w:szCs w:val="16"/>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not currently subject to.</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An investment in our securities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stockholder vote to amend our second amended and restated certificate of incorporation to modify the substance or timing of our obligation to redeem 100% of our Public Shares if we do not complete our initial Business Combination within 24 months from the closing of the Initial Public Offering or during any Extension Period or with respect to any other material provisions relating to stockholders’ rights or pre-initial Business Combination activity; and (iii) absent an initial Business Combination within 24 months from the closing of the Initial Public Offering or during any Extension Period,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the Initial Public Offering or during any Extension Period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anniversary of the dissolution. However, it is our intention to redeem our Public Shares as soon as reasonably possible following the 24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from the closing of the Initial Public Offering in the event we do not complete our initial Business Combination and, therefore, we do not intend to comply with the foregoing procedures.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24 months from the closing of the Initial Public Offering or during any Extension Period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 which could delay the opportunity for our stockholders to elect directors.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Nasdaq’s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Because we are neither limited to evaluating a target business in a particular industry, sector or geographic region nor have we selected any specific target businesses with which to pursue our initial Business Combination, you will be unable to ascertain the merits or risks of any particular target business’s operations.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efforts to identify a prospective initial Business Combination target will not be limited to a particular industry, sector or geographic region. While we may pursue an initial Business Combination opportunity in any industry, sector or geographic region, we expect to focus our efforts on the life sciences sector and intend to capitalize on the ability of our management team to identify, acquire and operate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Our second amended and restated certificate of incorporation prohibits us from effectuating a Business Combination with another blank check company or similar company with nominal operations.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both"/>
        <w:spacing w:after="0" w:line="269" w:lineRule="auto"/>
        <w:rPr>
          <w:sz w:val="20"/>
          <w:szCs w:val="20"/>
          <w:color w:val="auto"/>
        </w:rPr>
      </w:pPr>
      <w:r>
        <w:rPr>
          <w:rFonts w:ascii="Arial" w:cs="Arial" w:eastAsia="Arial" w:hAnsi="Arial"/>
          <w:sz w:val="17"/>
          <w:szCs w:val="17"/>
          <w:color w:val="auto"/>
        </w:rPr>
        <w:t>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performance by our management team and their respective affiliates may not be indicative of future performance of an investment in us.</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Information regarding performance by, or businesses associated with, our management team or businesses associated with them is presented for informational purposes only. Past performance by our management team and their respective affiliates is not a guarantee either (i) of success with respect to any Business Combination we may consummate or (ii) that we will be able to locate a suitable candidate for our initial Business Combination. You should not rely on the historical record of the performance of our management team’s or businesses associated with them as indicative of our future performance of an investment in us or the returns we will, or is likely to, generate going forward.</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In evaluating a prospective target business for our initial Business Combination, our management will consider the availability of funds from the sale of the Forward Purchase Shares, which may be used as part of the consideration to the sellers in the initial Business Combination. If all or some of the Forward Purchase Shares are not purchased under the forward purchase agreement, we may decide not to consummate our initial Business Combination, or if we decide to, we may lack sufficient funds to consummate our initial Business Combination.</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consummation of the Initial Public Offering, we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proceeds from the sale of these Forward Purchase Shares, together with the amounts available to us from the Trust Account (after giving effect to any redemptions of Public Shares) and any other equity or debt financing obtained by us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The amount of Forward Purchase Shares sold pursuant to the forward purchase agreements will be determined in our discretion based on our need for additional capital to consummate the initial Business Combination.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Each of Casdin Capital’s and Corvex Management’s obligation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including whether the investment complies with any guidelines, restrictions or conflicts of interest provisions applicable to such Clients. Accordingly, if either Casdin Capital or Corvex Management, as relevant, determines, as an investment advisor on behalf of such Clients that the initial Business Combination falls outside the investment objects of such Clients or is not reasonably acceptable to such Clients, it would not be obligated to purchase any Forward Purchase Shares. In addition, the obligation to purchase Forward Purchase Shares will be subject to fulfillment of customary closing conditions, including that our initial Business Combination must be consummated substantially concurrently with the purchase of Forward Purchase Shares. If the sale of Forward Purchase Shares does not close for any reason, including by reason of the failure to fund the purchase price, for example, we may lack sufficient funds to consummate our initial Business Combination.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Business Combination opportunities in industries, sectors or geographic regions that may be outside of our management’s areas of expertise.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expect to focus our search for a target business in the life sciences sector, we will consider a Business Combination in industries, sectors or geographic regions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As a result, our management may not be able to ascertain or assess adequately all of the relevant risk factors. Accordingly, any stockholders or warrant holders who choose to remain stockholders or warrant holders, respectively, following our initial Business Combination could suffer a reduction in the value of their shares. Such stockholders or warrant holders are unlikely to have a remedy for such reduction in value.</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stock exchange listing rules,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their pro rata portion of the funds in the Trust Account that are available for distribution to Public Stockholders, and our warrants will expire worthless.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stockholders from a financial point of view.</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spacing w:after="0" w:line="286" w:lineRule="auto"/>
        <w:rPr>
          <w:sz w:val="20"/>
          <w:szCs w:val="20"/>
          <w:color w:val="auto"/>
        </w:rPr>
      </w:pPr>
      <w:r>
        <w:rPr>
          <w:rFonts w:ascii="Arial" w:cs="Arial" w:eastAsia="Arial" w:hAnsi="Arial"/>
          <w:sz w:val="17"/>
          <w:szCs w:val="17"/>
          <w:b w:val="1"/>
          <w:bCs w:val="1"/>
          <w:i w:val="1"/>
          <w:iCs w:val="1"/>
          <w:color w:val="auto"/>
        </w:rPr>
        <w:t>We may only be able to complete one Business Combination with the proceeds of the Initial Public Offering, the sale of the Private Placement Warrants and the sale of Forward Purchase Shares, which will cause us to be solely dependent on a single business which may have a limited number of products or services. This lack of diversification may negatively impact our operations and profitability.</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net proceeds held in the Trust Account from the Initial Public Offering and the Private Placement of warrants provided us with $442,750,000 that we may use to complete our initial Business Combination (not taking into account the $15,496,250 of deferred underwriting commissions being held in the Trust Account). The proceeds from the sale of Forward Purchase Shares will be up to $150,000,000.</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9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do not have a specified maximum redemption threshold. The absence of such a redemption threshold may make it possible for us to complete our initial Business Combination with which a substantial majority of our stockholders or warrant holders do not agree.</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second amended and restated certificate of incorporation does not provide a specified maximum redemption threshold, except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in connection with such initial Business Combination, all shares of Class A Common Stock submitted for redemption will be returned to the holders thereof, and we instead may search for an alternate Business Combination.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second amended and restated certificate of incorporation or governing instruments in a manner that will make it easier for us to complete our initial Business Combination that our stockholders may not support.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second amended and restated certificate of incorporation will require the approval of holders of 65% of our common stock,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 outstanding Private Placement Warrants. In addition, our second amended and restated certificate of incorporation requires us to provide our Public Stockholders with the opportunity to redeem their Public Shares for cash if we propose an amendment to our a second amended and restated certificate of incorporation to modify the substance or timing of our obligation to redeem 100% of our Public Shares if we do not complete an initial Business Combination within 24 months of the closing of the Initial Public Offering or with respect to any other material provisions relating to stockholders’ rights or pre-initial Business Combination activity. To the extent any of such amendments would be deemed to fundamentally change the nature of our securities,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The provisions of our second amended and restated certificate of incorporation that relate to our pre-Business Combination activity (and corresponding provisions of the agreement governing the release of funds from our Trust Account) may be amended with the approval of holders of 65% of our common stock, which is a lower amendment threshold than that of some other special purpose acquisition companies. It may be easier for us, therefore, to amend our second amended and restated certificate of incorporation to facilitate the completion of an initial Business Combination that some of our stockholders may not support.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second amended and restated certificate of incorporation provides that any of its provisions related to pre-Business Combination activity (including the requirement to deposit proceeds of the Initial Public Offering and the private placement of warrants into the Trust Account and not release such amounts except in specified circumstances, and to provide redemption rights to Public Stockholders as described herein)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second amended and restated certificate of incorporation may be amended by holders of a majority of our outstanding common stock entitled to vote thereon, subject to applicable provisions of the DGCL or applicable stock exchange rules. Our initial stockholders, who will collectively beneficially own approximately 20% of our common stock, may participate in any vote to amend our second amended and restated certificate of incorporation and/or trust agreement and will have the discretion to vote in any manner they choose. As a result, we may be able to amend the provisions of our second amended and restated certificate of incorporation which govern our pre-Business Combination behavior more easily than some other special purpose acquisition companies, and this may increase our ability to complete a Business Combination with which you do not agree. Our stockholders may pursue remedies against us for any breach of our second amended and restated certificate of incorporation.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Sponsor, executive officers, directors and director nominees have agreed, pursuant to written agreements with us, that they will not propose any amendment to our second amended and restated certificate of incorporation to modify the substance or timing of our obligation to redeem 100% of our Public Shares if we do not complete our initial Business Combination within 24 months from the closing of the Initial Public Offering or during any Extension Period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stockholders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stockholders would need to pursue a stockholder derivative action, subject to applicable law.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Certain agreements related to the Initial Public Offering may be amended without stockholder approval.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of the agreements related to the Initial Public Offering to which we are a party, other than the warrant agreement and the investment management trust agreement, may be amended without stockholder approval. Such agreements are: the underwriting agreement; the letter agreement among us and our initial stockholders, Sponsor, officers and directors; the registration rights agreement among us and our initial stockholders; and the Private Placement Warrants purchase agreement between us and our Sponsor. These agreements contain various provisions that our Public Stockholders might deem to be material. For example, our letter agreement and the underwriting agreement contain certain lock-up provisions with respect to the Founder Shares, Private Placement Warrants and other securities held by our initial stockholders, Sponsor,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amendment entered into in connection with the consummation of our initial Business Combination will be disclosed in our proxy materials or tender offer documents, as applicable, related to such initial Business Combination, and any other material amendment to any of our material agreements will be disclosed in a filing with the SEC. Any such amendments would not require approval from our stockholders,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stockholders selling their securities earlier than they would otherwise be permitted, which may have an adverse effect on the price of our securities.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not selected any specific Business Combination target but may target businesses with enterprise values that are greater than we could acquire with the net proceeds of the Initial Public Offering, the sale of the Private Placement Warrants and the sale of the Forward Purchase Shares. As a result, if the cash portion of the purchase price exceeds the amount available from the Trust Account and the sale of Forward Purchase Shares, net of amounts needed to satisfy any redemption by Public Stockholders, or if the Forward Purchase Shares are not purchased under the forward purchase agreement,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initial stockholders control a substantial interest in us and thus may exert a substantial influence on actions requiring a stockholder vote, potentially in a manner that you do not support.</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initial stockholders own approximately 20% of our issued and outstanding common stock. Accordingly, they may exert a substantial influence on actions requiring a stockholder vote, potentially in a manner that you do not support, including amendments to our second amended and restated certificate of incorporation. If our initial stockholders purchase any units or any additional Class A Common Stock in the aftermarket or in privately negotiated transactions, this would increase their control. Neither our initial stockholders nor, to our knowledge, any of our officers or directors, have any current intention to purchase additional securities. Factors that would be considered in making such additional purchases would include consideration of the current trading price of our Class A Common Stock.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 Any Forward Purchase Shares will not be issued until completion of our initial Business Combination, and, accordingly, will not be included in any stockholder vote until such time.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development of the internal control of any such entity to achieve compliance with the Sarbanes-Oxley Act may increase the time and costs necessary to complete any such Business Combination.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effect our initial Business Combination with a company located outside of the United States, we would be subject to a variety of additional risks that may adversely affect us.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corruption;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initial Business Combination and our structure thereafter may not be tax-efficient to our stockholders and warrant holders. As a result of our Business Combination, our tax obligations may be more complex, burdensome and uncertain.</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will attempt to structure our initial Business Combination in a tax-efficient manner, tax structuring considerations are complex, the relevant facts and law are uncertain and may change, and we may prioritize commercial and other considerations over tax considerations. For example, in connection with our initial Business Combination and subject to any requisite stockholder approval, we may structure our Business Combination in a manner that requires stockholders and/or warrant holders to recognize gain or income for tax purposes, effect a Business Combination with a target company in another jurisdiction, or reincorporate in a different jurisdiction (including, but not limited to, the jurisdiction in which the target company or business is located). We do not intend to make any cash distributions to stockholders or warrant holders to pay taxes in connection with our Business Combination or thereafter. Accordingly, a stockholder or a warrant holder may need to satisfy any liability resulting from our initial Business Combination with cash from its own funds or by selling all or a portion of the shares received. In addition, stockholders and warrant holders may also be subject to additional income, withholding or other taxes with respect to their ownership of us after our initial Business Combination.</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we may effect a Business Combination with a target company that has business operations outside of the United States, and possibly, business operations in multiple jurisdictions. If we effect such a Business Combination, we could be subject to significant income, withholding and other tax obligations in a number of jurisdictions with respect to income, operations and subsidiaries related to those jurisdictions. Due to the complexity of tax obligations and filings in other jurisdictions, we may have a heightened risk related to audits or examinations by U.S. federal, state, local and non-U.S. taxing authorities. This additional complexity and risk could have an adverse effect on our after-tax profitability and financial condition.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Relating to Our Management Team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executive officers and directors and their loss could adversely affect our ability to operate.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In particular, certain of our officers and directors serve as an officer or director of CM Life Sciences II Inc. (Nasdaq: CMII) and CM Life Sciences III Inc., which are both blank check companies sponsored by an affiliate of Casdin Capital and Corvex Management.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Delaware law.</w:t>
      </w:r>
    </w:p>
    <w:p>
      <w:pPr>
        <w:spacing w:after="0" w:line="17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Our independent directors also serve as officers and board members for other entities. In particular, certain of our officers and directors serve as an officer or director of CM Life Sciences II Inc. (Nasdaq: CMII) and CM Life Sciences III Inc., which are both blank check companies sponsored by an affiliate of Casdin Capital and Corvex Management.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“Item 10. Directors, Executive Officers and Corporate Governance.”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spacing w:after="0" w:line="342" w:lineRule="auto"/>
        <w:rPr>
          <w:sz w:val="20"/>
          <w:szCs w:val="20"/>
          <w:color w:val="auto"/>
        </w:rPr>
      </w:pPr>
      <w:r>
        <w:rPr>
          <w:rFonts w:ascii="Arial" w:cs="Arial" w:eastAsia="Arial" w:hAnsi="Arial"/>
          <w:sz w:val="16"/>
          <w:szCs w:val="16"/>
          <w:b w:val="1"/>
          <w:bCs w:val="1"/>
          <w:i w:val="1"/>
          <w:i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Following the completion of the Initial Public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(including, without limitation, CM Life Sciences II Inc. and CM Life Sciences III Inc.).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second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ventures (including, without limitation, CM Life Sciences II Inc. and CM Life Sciences III Inc.) may present additional conflicts of interest in pursuing an initial Business Combination. However, we do not believe that any such potential conflicts would materially affect our ability to complete our initial business combination.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complete discussion of our executive officers’ and directors’ business affiliations and the potential conflicts of interest that you should be aware of, please see “Item 10. Directors, Executive Officers and Corporate Governance — Conflicts of Interest.”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executive officers, directors, security holders and their respective affiliates may have competitive pecuniary interests that conflict with our interests.</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 If this were the case, it would be a breach of their fiduciary duties to us as a matter of Delaware law and we or our stockholders might have a claim against such individuals for infringing on our stockholders’ rights. However, we might not ultimately be successful in any claim we may make against them for such reason.</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light of the involvement of our Sponsor, executive officers and directors with other entities, we may decide to acquire one or more businesses affiliated with our sponsor, executive officers, directors or existing holders. Our directors and officers also serve as officers and board members for other entities, including, without limitation, those described under “Item 10. Directors, Executive Officers and Corporate Governance — Conflicts of Interest.” Such entities may compete with us for Business Combination opportunities. We would pursue such a transaction if we determined that such affiliated entity met our criteria for a business combination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stockholders as they would be absent any conflicts of interest.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jc w:val="both"/>
        <w:spacing w:after="0" w:line="286" w:lineRule="auto"/>
        <w:rPr>
          <w:sz w:val="20"/>
          <w:szCs w:val="20"/>
          <w:color w:val="auto"/>
        </w:rPr>
      </w:pPr>
      <w:r>
        <w:rPr>
          <w:rFonts w:ascii="Arial" w:cs="Arial" w:eastAsia="Arial" w:hAnsi="Arial"/>
          <w:sz w:val="17"/>
          <w:szCs w:val="17"/>
          <w:b w:val="1"/>
          <w:bCs w:val="1"/>
          <w:i w:val="1"/>
          <w:iCs w:val="1"/>
          <w:color w:val="auto"/>
        </w:rPr>
        <w:t>Since our Sponsor, executive officers and directors will lose their entire investment in us if our initial Business Combination is not completed (other than with respect to public shares they may acquire during or after the Initial Public Offering), a conflict of interest may arise in determining whether a particular Business Combination target is appropriate for our initial Business Combination.</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16, 2020, our Sponsor paid $25,000, or approximately $0.002 per share, to cover certain of our offering costs in consideration of 10,062,500 Founder Shares. In August 2020, our Sponsor transferred 25,000 Founder Shares to each of Mr. Islam, Dr. Leproust and Mr. Turner. On September 1, 2020, we effected a 1:1.1 stock split of our Class B Common Stock, resulting in our Sponsor holding an aggregate of 10,993,750 Founder Shares and there being an aggregate of 11,068,750 Founder Shares outstanding. The Founder Shares will be worthless if we do not complete an initial Business Combination. In addition, our Sponsor and certain of our independent director nominees have purchases an aggregate of 7,236,667 warrants, each exercisable for one share of Class A Common Stock at $11.50 per share, for an aggregate purchase price of $10,855,000, or $1.50 per warrant, that will also be worthless if we do not complete our initial Business Combination.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the Initial Public Offering nears, which is the deadline for our completion of an initial Business Combination.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second amended and restated certificate of incorporation and Delaware law may have the effect of discouraging lawsuits against our directors and officers.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second amended and restated certificate of incorporation requires,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second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2" w:lineRule="exact"/>
        <w:rPr>
          <w:sz w:val="20"/>
          <w:szCs w:val="20"/>
          <w:color w:val="auto"/>
        </w:rPr>
      </w:pPr>
    </w:p>
    <w:p>
      <w:pPr>
        <w:jc w:val="both"/>
        <w:ind w:firstLine="8"/>
        <w:spacing w:after="0" w:line="252" w:lineRule="auto"/>
        <w:tabs>
          <w:tab w:leader="none" w:pos="2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our second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Section 22 of the Securities Act, however, created concurrent jurisdiction for federal and state courts over all suits brought to enforce any duty or liability created by the Securities Act or the rules and regulations thereunder. Accordingly, there is uncertainty as to whether a court would enforce such provisions, and the enforceability of similar choice of forum provisions in other companies’ charter documents has been challenged in legal proceedings. While the Delaware courts have determined that such exclusive forum provisions are facially valid, a stockholder may nevertheless seek to bring a claim in a venue other than those designated in the exclusive forum provisions, and there can be no assurance that such provisions will be enforced by a court in those other jurisdictions. Any person or entity purchasing or otherwise acquiring any interest in our securities shall be deemed to have notice of and consented to these provisions; however, we note that investors cannot waive compliance with the federal securities laws and the rules and regulations thereunder.</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believe this provision benefits us by providing increased consistency in the application of Delaware law in the types of lawsuits to which it applies, the provision may limit our stockholders’ ability to obtain a favorable judicial forum for disputes with us and may have the effect of discouraging lawsuits against our directors and officers.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second amended and restated certificate of incorporation and Delaware law may inhibit a takeover of us, which could limit the price investors might be willing to pay for our shares of Class A Common Stock and could entrench management.</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second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stock, which may make more difficult the removal of management and may discourage transactions that otherwise could involve payment of a premium over prevailing market prices for our securities.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officers and directors.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jc w:val="both"/>
        <w:ind w:firstLine="8"/>
        <w:spacing w:after="0" w:line="253" w:lineRule="auto"/>
        <w:tabs>
          <w:tab w:leader="none" w:pos="2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Post-Business Combination Company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4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jc w:val="both"/>
        <w:spacing w:after="0" w:line="308" w:lineRule="auto"/>
        <w:rPr>
          <w:sz w:val="20"/>
          <w:szCs w:val="20"/>
          <w:color w:val="auto"/>
        </w:rPr>
      </w:pPr>
      <w:r>
        <w:rPr>
          <w:rFonts w:ascii="Arial" w:cs="Arial" w:eastAsia="Arial" w:hAnsi="Arial"/>
          <w:sz w:val="17"/>
          <w:szCs w:val="17"/>
          <w:b w:val="1"/>
          <w:bCs w:val="1"/>
          <w:i w:val="1"/>
          <w:i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6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management may not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Class A Common Stock, our stockholders immediately prior to such transaction could own less than a majority of our outstanding Class A Common Stock subsequent to such transaction. In addition, other minority stockholders may subsequently combine their holdings resulting in a single person or group obtaining a larger share of the company’s shares than we initially acquired. Accordingly, this may make it more likely that our management will not maintain control of the target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blank check company with no operating history and no revenues, and you have no basis on which to evaluate our ability to achieve our business objective.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blank check company incorporated under the laws of the State of Delaware with no operating results. Because we lack an operating history, you have no basis upon which to evaluate our ability to achieve our business objective of completing our initial Business Combination. We have entered into the Merger Agreement, but we may be unable to complete the proposed Sema4 Business Combination. If we fail to complete our initial Business Combination, we will never generate any operating revenues.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jc w:val="both"/>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and (2) our annual revenues equal or exceed $100 million during such completed fiscal year or the market value of</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our common stock held by non-affiliates equals or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To the extent we take advantage of such reduced disclosure obligations, it may also make comparison of our financial statements with other public companies difficult or impossible.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2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We do not own any real estate or other physical properties material to our operation. We currently maintain our executive offices at 667 Madison Avenue,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 New York, New York 10065. We consider our current office space adequate for our current operations.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or any of our officers or directors in their corporate capacity.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Units began trading on Nasdaq on September 2, 2020. Each Unit consists of one share of Class A Common Stock and one-third of one redeemable warrant to purchase one share of Class A Common Stock. On October 23, 2020, we announced that holders of the Units may elect to separately trade the Class A Common Stock and redeemable warrants included in the Units commencing on October 26, 2020. The Units not separated continue to trade on Nasdaq under the symbol “CMLFU.” Any underlying Class A Common Stock and redeemable warrants that were separated trade on Nasdaq under the symbols “CMLF” and “CMLFW,”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March 22, 2021, there was approximately 1 holder of record of our Units, approximately 1 holder of record of our separately traded Class A Common Stock, and approximately 4 holders of record of our redeemable warrants. The number of record holders was determined from the records of our transfer agent and does not include beneficial owners whose securities are held in the names of various security brokers, dealers, and registered clearing agencies.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dividends in the foreseeable future. Further, if we incur any indebtedness in connection with our initial Business Combination, our ability to declare dividends may be limited by restrictive covenants we may agree to in connection therewith.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graph has been omitted as permitted under rules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Offerings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16, 2020, our Sponsor paid an aggregate of $25,000, or approximately $0.002 per share, to cover certain expenses on behalf of the Company in exchange for issuance of 10,062,500 Founder Shares. In August 2020, our Sponsor transferred 25,000 Founder Shares to each of the following directors: Mr. Islam, Dr. Leproust and Mr. Turner. On September 1, 2020, we effected a 1:1.1 stock split of our Class B Common Stock, resulting in our Sponsor holding an aggregate of 10,993,750 Founder Shares and there being an aggregate of 11,068,750 Founder Shares outstanding. The Sponsor agreed to forfeit up to an aggregate of 1,443,750 Founder Shares, on a pro rata basis, to the extent that the option to purchase additional units is not exercised in full by the underwriters, so that the Founder Shares would represent 20% of the Company’s issued and outstanding shares after the Initial Public Offering. The underwriters fully exercised their over-allotment option on September 2, 2020; thus, those Founder Shares were no longer subject to forfeiture.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Sponsor and certain of our independent directors purchased an aggregate of 7,236,667 Private Placement Warrants, each exercisable to purchase one share of Class A Common Stock at $11.50 per share, at a price of $1.50 per warrant, generating gross proceeds of $10,855,000, in a private placement that closed substantially concurrently with the closing of the Initial Public Offering. This issuance was made pursuant to the exemption from registration contained in Section 4(a)(2)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4, 2020, the Company consummated its Initial Public Offering of 44,275,000 Units, including the issuance of 5,775,000 Over-Allotment Units, at $10.00 per Unit, generating gross proceeds of $442.75 million. Jefferies LLC acted as the underwriter for the Initial Public Offering. The securities sold in the Initial Public Offering were registered under the Securities Act on registration statements on Form S-1 (Nos. 333-246251 and 333-248541). The registration statements became effective on September 1, 2020.</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Substantially concurrently with the closing of the Initial Public Offering, the Company consummated the Private Placement of 7,236,667 Private Placement Warrants, at a price of $1.50 per Private Placement Warrant to the Sponsor, generating gross proceeds of approximately $10.86 million.</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Initial Public Offering, we incurred offering costs of approximately $25.3 million (including deferred underwriting commissions of approximately $15.5 million). After deducting the underwriting discounts and commissions (excluding the deferred portion, which amount will be payable upon consummation of the initial Business Combination, if consummated) and the Initial Public Offering expenses, $442.75 million of the net proceeds from our Initial Public Offering and certain of the proceeds from the private placement of the Private Placement Warrants (or $10.00 per Unit sold in the Initial Public Offering) was placed in the Trust Account. The net proceeds of the Initial Public Offering and certain proceeds from the sale of the Private Placement Warrants are held in the Trust Account and invested as described elsewhere in this Annual Report on Form 10-K.</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material change in the planned use of the proceeds from the Initial Public Offering and Private Placement as is described in the Company’s final prospectus related to the Initial Public Offering. For a description of the use of the proceeds generated from the Initial Public Offering, see “Item 1.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has been omitted as permitted under rules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References to the “Company,” “our,” “us” or “we” refer to CM Life Sciences, Inc. The following discussion and analysis of the Company’s financial condition and results of operations should be read in conjunction with the audited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and Risk Factor Summary,” “Item 1A. Risk Factors” and elsewhere in this Annual Report on Form 10-K, as well as those that will be set forth in our preliminary prospectus/proxy statement to be included in a Registration Statement on Form S-4 that we will file with the SEC relating to the proposed Sema4 Business Combination.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has been amended and restated to give effect to the restatement and revision of our financial statements as more fully described in the Explanatory Note and in “Note 2—Restatement of Previously Issued Financial Statements” to our accompanying financial statements. For further detail regarding the restatement adjustments, see Explanatory Note and Item 9A: Controls and Procedures, both contained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blank check company incorporated on July 10, 2020 as a Delaware corporation and formed for the purpose of effecting a merger, capital stock exchange, asset acquisition, stock purchase, reorganization or similar Business Combination with one or more target businesses. We intend to effectuate our Business Combination using cash from the proceeds of our Initial Public Offering, the sale of the Private Placement Warrants that occurred simultaneously with the completion of our Initial Public Offering and the sale of the Forward Purchase Shares, shares issued to the owners of the target, debt issued to bank or other lenders or the owners of the target or others, or a combination of the foregoing.</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December 31, 2020 were organizational activities, the consummation of the Initial Public Offering, described below, and seeking to identify a target company for our initial Business Combination. We do not expect to generate any operating revenues until after the completion of our initial Business Combination. We generate non-operating income in the form of interest income on marketable securities held in the Trust Account. We will incur expenses as a result of being a public company (for legal, financial reporting, accounting and auditing compliance), as well as for due diligence expenses in connection with completing our initial Business Combination.</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result of the restatement described in Note 2 of the notes to the financial statements included herein, we classify the Warrants issued in connection with our Initial Public Offering as liabilities at their fair value and adjust the warrant instrument to fair value at each reporting period. This liability is subject to re-measurement at each balance sheet date until exercised, and any change in fair value is recognized in our statement of operations.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period from July 10, 2020 (inception) through December 31, 2020, we had a net loss of $39,907,599, which consists of operating costs of $206,195, a change in the fair value of the warrant liability of $38,510,584, transaction costs of $1,204,771 offset by interest income on marketable securities held in the Trust Account of $13,951.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4, 2020, we consummated the Initial Public Offering of 44,275,000 Units, which included the full exercise by the underwriters of the over-allotment option to purchase an additional 5,775,000 Units, at $10.00 per Unit, generating gross proceeds of $442,750,000. Simultaneously with the closing of the Initial Public Offering, we consummated the sale of 7,236,667 Private Placement Warrants to our Sponsor at a price of $1.50 per warrant, generating gross proceeds of $10,855,000.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Initial Public Offering, the exercise of the over-allotment option and the sale of the Private Placement Warrants, a total of $442,750,000 was placed in the Trust Account. We incurred $24,895,463 in transaction costs, including $8,855,000 of underwriting fees, $15,496,250 of deferred underwriting fees and $544,213 of other offering costs.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period from July 10, 2020 (inception) through December 31, 2020, cash used in operating activities was $386,106. Net loss of $39,907,599 was affected by interest earned on marketable securities held in the Trust Account of $13,951, a non-cash charge for the change in the fair value of warrant liabilities of $38,510,584, transaction costs of $1,204,771 and changes in operating assets and liabilities, which used $179,911 of cash from operating activities.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2020, we had cash and marketable securities held in the Trust Account of $442,763,951.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December 31, 2020, we did not withdraw any interest income from the Trust Account.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had $1,094,681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$1.50 per warrant at the option of the lender.</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Sema4 Business Combination Announcement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“Sema4 Business Combination”). Specifically, the Company entered into the Merger Agreement with Sema4 and S-IV Sub, Inc., a Delaware corporation and a direct, wholly-owned subsidiary of the Company (“Merger Sub”). Pursuant to the terms of the Merger Agreement, CMLS will acquire Sema4 through the merger of Merger Sub with and into Sema4, with Sema4 surviving as a wholly-owned subsidiary of CMLS (the “Merger”)</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Sema4 Business Combination is expected to close in the second quarter of 2021, following the receipt of the required approval by CMLS’s stockholders and the satisfaction of certain other customary closing conditions.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87" w:lineRule="exact"/>
        <w:rPr>
          <w:sz w:val="20"/>
          <w:szCs w:val="20"/>
          <w:color w:val="auto"/>
        </w:rPr>
      </w:pPr>
    </w:p>
    <w:p>
      <w:pPr>
        <w:jc w:val="both"/>
        <w:ind w:left="660" w:right="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83" w:lineRule="exact"/>
        <w:rPr>
          <w:rFonts w:ascii="Arial" w:cs="Arial" w:eastAsia="Arial" w:hAnsi="Arial"/>
          <w:sz w:val="18"/>
          <w:szCs w:val="18"/>
          <w:color w:val="auto"/>
        </w:rPr>
      </w:pPr>
    </w:p>
    <w:p>
      <w:pPr>
        <w:jc w:val="both"/>
        <w:ind w:left="660" w:right="2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a number of shares of common stock, par value $0.0001 per share, of CMLS (the “Common Stock”) equal to the quotient of: (i) (A) the product of (x) such stockholder’s total shares of Sema4 Capital Stock multiplied by (y) the per share amount calculated in accordance with the Merger Agreement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amount of cash payable to such stockholder pursuant to its cash election, if any, divided by (ii) $10.</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provided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as described below.</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underwriters are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we entered into separate forward purchase agreements with affiliates of the Sponsor, Casdin and Corvex, in their capacities as investment advisors on behalf of one or more investment funds, clients or accounts managed by the Clients, pursuant to which, subject to the conditions described below, they will cause the Clients to purchase from us up to an aggregate amount of 15,000,000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at our discretion based on our needs for additional capital to consummate a Business Combination. Under each forward purchase agreement, we are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us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 for the Warrants issued in connection with our Initial Public Offering in accordance with the guidance contained in ASC 815-40-15-7D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fair value of the Warrants issued in the IPO has been estimated using a Monte Carlo simulation methodology as of the date of the IPO and such Warrants’ quoted market price as of December 31, 2020. The Private Placement Warrants were valued using a Modified Black Scholes Option Pricing Model.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account for our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Class A common stock subject to possible redemption is presented as temporary equity, outside of the stockholders’ equity section of our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apply the two-class method in calculating earnings per share. Net income per common share, basic and diluted for Class A redeemable common stock is calculated by dividing the interest income earned on the Trust Account, net of applicable franchise and income taxes, by the weighted average number of Class A redeemable common stock outstanding for the period. Net loss per common share, basic and diluted for Class B non-redeemable common stock is calculated by dividing the net income, less income attributable to Class A redeemable common stock, by the weighted average number of Class B non-redeemable common stock outstanding for the period presented.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the Initial Public Offering or until we are no longer an “emerging growth company,” whichever earlier.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2020, we were not subject to any market or interest rate risk. The net proceeds received into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appears following Item 15 of this Report and is included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this Amendment, our management re-evaluated, with the participation of our current chief executive officer and chief financial officer (our “Certifying Officers”), the effectiveness of our disclosure controls and procedures as of December 31, 2020, pursuant to Rule 13a-15(b) under the Exchange Act. Based upon that evaluation, our Certifying Officers concluded that, solely due to the Company’s restatement of its financial statements to reclassify the Company’s Public Warrants and Private Placement Warrants as described in the Explanatory Note to this Amendment, our disclosure controls and procedures were not effective as December 31, 2020.</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3, 2021, we revised our prior position on accounting for warrants and concluded that our previously issued financial statements as of December 31, 2020 and for the period from July 10, 2020 (inception) through December 31, 2020; as of September 4, 2020; and as of and for the period ended September 30, 2020 should not be relied on because of a misapplication in the guidance on warrant accounting. However, the non-cash adjustments to the financial statements do not impact the amounts previously reported for our cash, cash and marketable securities held in the trust account, total assets, revenue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our financial statements included in this Amendment,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current directors and executive officer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r>
      <w:tr>
        <w:trPr>
          <w:trHeight w:val="216"/>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Eli D. Casdin</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Borders>
              <w:top w:val="single" w:sz="8" w:color="CCEEFF"/>
            </w:tcBorders>
            <w:shd w:val="clear" w:color="auto" w:fill="CCEEFF"/>
          </w:tcPr>
          <w:p>
            <w:pPr>
              <w:spacing w:after="0"/>
              <w:rPr>
                <w:sz w:val="18"/>
                <w:szCs w:val="18"/>
                <w:color w:val="auto"/>
              </w:rPr>
            </w:pPr>
          </w:p>
        </w:tc>
        <w:tc>
          <w:tcPr>
            <w:tcW w:w="7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Keith A. Meister</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Chairman</w:t>
            </w: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Emes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and Secretary</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Shaun Rodriguez</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Chief Strategy Officer</w:t>
            </w: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George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Munib Islam</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Emily Leproust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Nat Turner</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Eli Casdin </w:t>
      </w:r>
      <w:r>
        <w:rPr>
          <w:rFonts w:ascii="Arial" w:cs="Arial" w:eastAsia="Arial" w:hAnsi="Arial"/>
          <w:sz w:val="16"/>
          <w:szCs w:val="16"/>
          <w:color w:val="auto"/>
        </w:rPr>
        <w:t>has been our Chief Executive Officer since July 2020. He founded Casdin Capital, LLC, an investment firm focused on the life sciences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healthcare industry, in November 2011 and currently serves as its Chief Investment Officer. Since December 2020 and January 2021, Mr. Casdin has also served as Chief Executive Officer and a director of CM Life Sciences II Inc. (Nasdaq: CMII) and CM Life Sciences III Inc., respectively, both blank check companies. Mr. Casdin previously served on the board of directors of Exact Sciences Corp. (Nasdaq: EXAS). Mr. Casdin holds a B.S. degree from Columbia University School of General Studies and an MBA from Columbia Business School. His qualifications to serve on our board of directors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Keith Meister </w:t>
      </w:r>
      <w:r>
        <w:rPr>
          <w:rFonts w:ascii="Arial" w:cs="Arial" w:eastAsia="Arial" w:hAnsi="Arial"/>
          <w:sz w:val="16"/>
          <w:szCs w:val="16"/>
          <w:color w:val="auto"/>
        </w:rPr>
        <w:t>has been Chairman of our board of directors since July 2020. He founded Corvex Management LP, a New York based investment manager,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December 2010 and since its inception has served as its Managing Partner and Chief Investment Officer. From 2003 to 2010, Mr. Meister served as Chief Executive Officer and then Principal Executive Officer and Vice Chairman of the Board of Icahn Enterprises L.P. (Nasdaq: IEP), the primary investment vehicle for Carl Icahn. Mr. Meister currently serves as Chairman of CM Life Sciences II Inc. (Nasdaq: CMII) and CM Life Sciences III Inc., since December 2020 and January 2021, respectively. Mr. Meister also serves on the Board of Directors of MGM Resorts International (NYSE: MGM), a global hospitality and entertainment company, and its affiliate Roar Digital.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Brian Emes </w:t>
      </w:r>
      <w:r>
        <w:rPr>
          <w:rFonts w:ascii="Arial" w:cs="Arial" w:eastAsia="Arial" w:hAnsi="Arial"/>
          <w:sz w:val="17"/>
          <w:szCs w:val="17"/>
          <w:color w:val="auto"/>
        </w:rPr>
        <w:t>has been our Chief Financial Officer and Secretary since July 2020. Mr. Emes is also the Chief Financial Officer of Corvex Management LP,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York based investment manager, which he joined in January 2013. Since December 2020 and January 2021, Mr. Emes has also served as Chief Financial Officer of CM Life Sciences II Inc. (Nasdaq: CMII) and CM Life Sciences III Inc., respectively. Mr. Emes holds a B.S. degree in finance and marketing from Elon University’s Martha &amp; Spencer Love School of Business, and is a licensed certified public accountant.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Shaun Rodriguez </w:t>
      </w:r>
      <w:r>
        <w:rPr>
          <w:rFonts w:ascii="Arial" w:cs="Arial" w:eastAsia="Arial" w:hAnsi="Arial"/>
          <w:sz w:val="18"/>
          <w:szCs w:val="18"/>
          <w:color w:val="auto"/>
        </w:rPr>
        <w:t>has been our Chief Strategy Officer since July 2020. Mr. Rodriguez joined Casdin Capital, LLC, an investment firm focused on the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sciences and healthcare industry, in July 2015 as a Senior Research Analyst and currently serves as its Director of Life Science Research. His coverage universe at Casdin Capital, LLC focuses on life science tools, diagnostics, health technology and services, and industrial applications of biotechnology. Since December 2020 and January 2021, Mr. Rodriguez has also served as Chief Financial Officer of CM Life Sciences II Inc. (Nasdaq: CMII) and CM Life Sciences III Inc., respectively. From February 2011 to July 2015, Mr. Rodriguez served as Director and Senior Research Analyst in the healthcare equity research group of Cowen Inc. (Nasdaq: COWN), an investment bank and financial services company. Mr. Rodriguez holds a Ph.D. in biological sciences from Harvard University.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Sean George </w:t>
      </w:r>
      <w:r>
        <w:rPr>
          <w:rFonts w:ascii="Arial" w:cs="Arial" w:eastAsia="Arial" w:hAnsi="Arial"/>
          <w:sz w:val="18"/>
          <w:szCs w:val="18"/>
          <w:color w:val="auto"/>
        </w:rPr>
        <w:t>has served as a director since completion of the Initial Public Offering in September 2020. Dr. George has been Co-Founder, President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Invitae Corporation (NYSE: NVTA) since January 2017 and a director since 2010. He also served as Invitae’s President and Chief Operating Officer from August 2012 to January 2017 and as Chief Executive from January 2010 to August 2012. Prior to Invitae, he served as COO at Navigenics, Inc. an early pioneer in personalized genetics from 2007 to November 2009. Before joining Navigenics, Dr. George served in a variety of product, operating and commercial roles at Affymetrix, Inc., Invitrogen Corporation and Molecular Probes, Inc. Dr. George holds a B.S. in Molecular Genetics from UCLA, an M.S. in Molecular Biology from UC Santa Barbara, and a Ph.D. in Molecular Genetics from UC Santa Cruz. His qualifications to serve on our board of directors include his extensive experience in the life sciences sector and his leadership experience guiding an early stage company from startup to market leader.</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Munib Islam </w:t>
      </w:r>
      <w:r>
        <w:rPr>
          <w:rFonts w:ascii="Arial" w:cs="Arial" w:eastAsia="Arial" w:hAnsi="Arial"/>
          <w:sz w:val="17"/>
          <w:szCs w:val="17"/>
          <w:color w:val="auto"/>
        </w:rPr>
        <w:t>has served as a director since completion of the Initial Public Offering in September 2020. Mr. Islam served as Co-Chief Investment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 Partner at Third Point LLC, an investment management firm, from July 2019 through 2020. Prior to becoming co-Chief Investment Officer, he served as Head of Equities at Third Point from 2011 to July 2019, where he spearheaded research on Third Point’s strategic block investments globally. From 2008 to 2011, Mr. Islam worked at Highbridge Capital, an investment management firm, where he was a Managing Director and Portfolio Manager of Highbridge’s European Value Equities fund. Mr. Islam previously served on the Board and Executive Selection and Audit Committees of Baxter International, Inc. (NYSE: BAX) from 2015 to 2019, and he currently sits on the Boards of the Stanford Business School Trust and the Brearley School in New York City. Mr. Islam holds a B.A. in Economics from Dartmouth College, where he graduated magna cum laude, and an MBA from the Graduate School of Business at Stanford University. His qualifications to serve on our board of directors include his significant experience in governance, evaluation of investment opportunities, capital allocation, investment management and financial research.</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Emily Leproust</w:t>
      </w:r>
      <w:r>
        <w:rPr>
          <w:rFonts w:ascii="Arial" w:cs="Arial" w:eastAsia="Arial" w:hAnsi="Arial"/>
          <w:sz w:val="18"/>
          <w:szCs w:val="18"/>
          <w:color w:val="auto"/>
        </w:rPr>
        <w:t>, has served as a director since completion of the Initial Public Offering in September 2020. Dr. Leproust has been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Twist Bioscience Corp. (Nasdaq: TWST) since co-founding Twist in 2013. Since October 2018, she has also served as Chair of the board of directors for Twist. Prior to Twist, Dr. Leproust served in various positions at Agilent Technologies, Inc. (NYSE: A), most recently as its Director, Applications and Chemistry R&amp;D from February 2009 to April 2013. Dr. Leproust holds a M.Sc. in Industrial Chemistry from the Lyon School of Industrial Chemistry and a Ph.D. in Organic Chemistry from the University of Houston. Her qualifications to serve on our board of directors include her extensive professional and educational experience in the life sciences industry.</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Nat Turner </w:t>
      </w:r>
      <w:r>
        <w:rPr>
          <w:rFonts w:ascii="Arial" w:cs="Arial" w:eastAsia="Arial" w:hAnsi="Arial"/>
          <w:sz w:val="18"/>
          <w:szCs w:val="18"/>
          <w:color w:val="auto"/>
        </w:rPr>
        <w:t>has served as a director since completion of the Initial Public Offering in September 2020. Mr. Turner has been the Co-Founder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Flatiron Health, Inc., a healthcare technology company focusing on accelerating oncology research and improving patient care acquired by Roche Holding AG, since June 2012. Previously, Mr. Turner co-founded and served as Chief Executive Officer of Invite Media, Inc., an advertising technology company, from March 2007 until it was acquired by Google Inc. (Nasdaq: GOOGL) in June 2010, after which he remained at Google until June 2012. Mr. Turner received a B.S., cum laude, in Economics with concentrations in entrepreneurship and marketing from The Wharton School of the University of Pennsylvania. His qualifications to serve on our board of directors include his significant experience in the life sciences industry, both as an executive and as an angel investor.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Terms of Office and Election of Officers and Director</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board of directors consists of six members divided into three classes with only one class of directors being elected in each year, and with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the first class of directors, consisting of Dr. George and Dr. Leproust, will expire at our first annual meeting of stockholders. The term of office of the second class of directors, consisting of Mr. Islam and Mr. Turner, will expire at the second annual meeting of stockholders. The term of office of the third class of directors, consisting of Mr. Casdin and Mr. Meister, will expire at the third annual meeting of stockholders.</w:t>
      </w:r>
    </w:p>
    <w:p>
      <w:pPr>
        <w:spacing w:after="0" w:line="16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officers as it deems appropriate pursuant to our second amended and restated certificate of incorporation.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 Each of our audit committee, compensation committee and nominating and corporate governance committee are composed solely of independent directors. Each committee operates under a charter that was approved by our board of directors and has the composition and responsibilities described below. We have filed a copy of each committee charter as an exhibit to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our audit committee are Dr. George, Mr. Islam and Dr. Leproust. Mr. Islam serves as chairman of the audit committee.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Islam qualifies as an “audit committee financial expert” as defined in applicable SEC rules and has accounting or related financial management expertise.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225" w:lineRule="exact"/>
        <w:rPr>
          <w:sz w:val="20"/>
          <w:szCs w:val="20"/>
          <w:color w:val="auto"/>
        </w:rPr>
      </w:pPr>
    </w:p>
    <w:p>
      <w:pPr>
        <w:jc w:val="both"/>
        <w:ind w:left="660" w:right="20" w:hanging="328"/>
        <w:spacing w:after="0" w:line="27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171" w:lineRule="exact"/>
        <w:rPr>
          <w:rFonts w:ascii="Arial" w:cs="Arial" w:eastAsia="Arial" w:hAnsi="Arial"/>
          <w:sz w:val="17"/>
          <w:szCs w:val="17"/>
          <w:color w:val="auto"/>
        </w:rPr>
      </w:pPr>
    </w:p>
    <w:p>
      <w:pPr>
        <w:jc w:val="both"/>
        <w:ind w:left="660" w:right="2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independent registered public accounting firm have with us in order to evaluate their continued independence;</w:t>
      </w:r>
    </w:p>
    <w:p>
      <w:pPr>
        <w:spacing w:after="0" w:line="186" w:lineRule="exact"/>
        <w:rPr>
          <w:rFonts w:ascii="Arial" w:cs="Arial" w:eastAsia="Arial" w:hAnsi="Arial"/>
          <w:sz w:val="18"/>
          <w:szCs w:val="18"/>
          <w:color w:val="auto"/>
        </w:rPr>
      </w:pPr>
    </w:p>
    <w:p>
      <w:pPr>
        <w:jc w:val="both"/>
        <w:ind w:left="660" w:right="2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 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87" w:lineRule="exact"/>
        <w:rPr>
          <w:rFonts w:ascii="Arial" w:cs="Arial" w:eastAsia="Arial" w:hAnsi="Arial"/>
          <w:sz w:val="18"/>
          <w:szCs w:val="18"/>
          <w:color w:val="auto"/>
        </w:rPr>
      </w:pPr>
    </w:p>
    <w:p>
      <w:pPr>
        <w:jc w:val="both"/>
        <w:ind w:left="660" w:right="2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registered public accounting firm,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186" w:lineRule="exact"/>
        <w:rPr>
          <w:rFonts w:ascii="Arial" w:cs="Arial" w:eastAsia="Arial" w:hAnsi="Arial"/>
          <w:sz w:val="18"/>
          <w:szCs w:val="18"/>
          <w:color w:val="auto"/>
        </w:rPr>
      </w:pPr>
    </w:p>
    <w:p>
      <w:pPr>
        <w:jc w:val="both"/>
        <w:ind w:left="660" w:right="2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with management, the independent,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our compensation committee are Mr. Islam, Dr. Leproust and Mr. Turner. Dr. Leproust serves as chair of the compensation committee.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a compensation committee charter, which details the principal functions of the compensation committee, including:</w:t>
      </w:r>
    </w:p>
    <w:p>
      <w:pPr>
        <w:spacing w:after="0" w:line="225" w:lineRule="exact"/>
        <w:rPr>
          <w:sz w:val="20"/>
          <w:szCs w:val="20"/>
          <w:color w:val="auto"/>
        </w:rPr>
      </w:pPr>
    </w:p>
    <w:p>
      <w:pPr>
        <w:jc w:val="both"/>
        <w:ind w:left="660" w:right="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our nominating and corporate governance committee are Dr. George, Mr. Islam and Mr. Meister. Dr. George serves as chair of the nominating and corporate governance committee.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ind w:right="20"/>
        <w:spacing w:after="0" w:line="277" w:lineRule="auto"/>
        <w:rPr>
          <w:sz w:val="20"/>
          <w:szCs w:val="20"/>
          <w:color w:val="auto"/>
        </w:rPr>
      </w:pPr>
      <w:r>
        <w:rPr>
          <w:rFonts w:ascii="Arial" w:cs="Arial" w:eastAsia="Arial" w:hAnsi="Arial"/>
          <w:sz w:val="18"/>
          <w:szCs w:val="18"/>
          <w:color w:val="auto"/>
        </w:rPr>
        <w:t>We have adopted a nominating and corporate governance committee charter, which details the principal functions of the nominating and corporate governance committee, including:</w:t>
      </w:r>
    </w:p>
    <w:p>
      <w:pPr>
        <w:spacing w:after="0" w:line="170" w:lineRule="exact"/>
        <w:rPr>
          <w:sz w:val="20"/>
          <w:szCs w:val="20"/>
          <w:color w:val="auto"/>
        </w:rPr>
      </w:pPr>
    </w:p>
    <w:p>
      <w:pPr>
        <w:ind w:left="660" w:right="2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charter also provides that the nominating and corporate governance committee may, in its sole discretion, retain or obtain the advice of, and terminate, any search firm to be used to identify director candidates, and is directly responsible for approving the search firm’s fees and other retention terms.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adopted a code of ethics and business conduct (our “Code of Ethics”) applicable to our directors, officers and employees. We have filed a copy of our Code of Ethics as an exhibit to this Annual Report. You are able to review these documents by accessing our public filings at the SEC’s web site at www.sec.gov. In addition, a copy of the Code of Ethics will be provided without charge upon request from us. We intend to disclose any amendments to or waivers of certain provisions of our Code of Ethics in a Current Report on Form 8-K.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Our second amended and restated certificate of incorporation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line="277" w:lineRule="auto"/>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or contractual obligations to another entity (excluding non-profit and educational organizations with no connection to the life sciences sector):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Individual</w:t>
            </w:r>
          </w:p>
        </w:tc>
        <w:tc>
          <w:tcPr>
            <w:tcW w:w="120" w:type="dxa"/>
            <w:vAlign w:val="bottom"/>
            <w:tcBorders>
              <w:bottom w:val="single" w:sz="8" w:color="CCEEFF"/>
            </w:tcBorders>
          </w:tcPr>
          <w:p>
            <w:pPr>
              <w:spacing w:after="0"/>
              <w:rPr>
                <w:sz w:val="22"/>
                <w:szCs w:val="22"/>
                <w:color w:val="auto"/>
              </w:rPr>
            </w:pPr>
          </w:p>
        </w:tc>
        <w:tc>
          <w:tcPr>
            <w:tcW w:w="238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Entity</w:t>
            </w:r>
          </w:p>
        </w:tc>
        <w:tc>
          <w:tcPr>
            <w:tcW w:w="10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Entity’s Business</w:t>
            </w:r>
          </w:p>
        </w:tc>
        <w:tc>
          <w:tcPr>
            <w:tcW w:w="120" w:type="dxa"/>
            <w:vAlign w:val="bottom"/>
            <w:tcBorders>
              <w:bottom w:val="single" w:sz="8" w:color="CCEEFF"/>
            </w:tcBorders>
          </w:tcPr>
          <w:p>
            <w:pPr>
              <w:spacing w:after="0"/>
              <w:rPr>
                <w:sz w:val="22"/>
                <w:szCs w:val="22"/>
                <w:color w:val="auto"/>
              </w:rPr>
            </w:pPr>
          </w:p>
        </w:tc>
        <w:tc>
          <w:tcPr>
            <w:tcW w:w="448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Affiliation</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Eli Casdin</w:t>
            </w: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AbSci</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C2i Genomics</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Casdin Capital, LLC</w:t>
            </w:r>
            <w:r>
              <w:rPr>
                <w:rFonts w:ascii="Arial" w:cs="Arial" w:eastAsia="Arial" w:hAnsi="Arial"/>
                <w:sz w:val="29"/>
                <w:szCs w:val="29"/>
                <w:color w:val="auto"/>
                <w:vertAlign w:val="superscript"/>
              </w:rPr>
              <w:t>(1)</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manager</w:t>
            </w:r>
          </w:p>
        </w:tc>
        <w:tc>
          <w:tcPr>
            <w:tcW w:w="120" w:type="dxa"/>
            <w:vAlign w:val="bottom"/>
            <w:shd w:val="clear" w:color="auto" w:fill="CCEEFF"/>
          </w:tcPr>
          <w:p>
            <w:pPr>
              <w:spacing w:after="0"/>
              <w:rPr>
                <w:sz w:val="22"/>
                <w:szCs w:val="2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Chief Investment Officer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Cedilla Therapeutics, Inc.</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CM Life Sciences II Inc.</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Blank check company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CM Life Sciences III Inc.</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Blank check company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02"/>
        </w:trPr>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DNA Script</w:t>
            </w:r>
          </w:p>
        </w:tc>
        <w:tc>
          <w:tcPr>
            <w:tcW w:w="1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EQRx, Inc.</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GeneMatters, LLC</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Genomatica, Inc.</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New York Genome Center</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Prominex Inc.</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Sexton Biotechnologies</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Somalogic Inc</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Tenaya Therapeutics, Inc.</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Verana Health</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Vineti</w:t>
            </w: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5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5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Keith Meister</w:t>
            </w:r>
          </w:p>
        </w:tc>
        <w:tc>
          <w:tcPr>
            <w:tcW w:w="12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Corvex Management LP</w:t>
            </w:r>
            <w:r>
              <w:rPr>
                <w:rFonts w:ascii="Arial" w:cs="Arial" w:eastAsia="Arial" w:hAnsi="Arial"/>
                <w:sz w:val="29"/>
                <w:szCs w:val="29"/>
                <w:color w:val="auto"/>
                <w:vertAlign w:val="superscript"/>
              </w:rPr>
              <w:t>(1)</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manager</w:t>
            </w:r>
          </w:p>
        </w:tc>
        <w:tc>
          <w:tcPr>
            <w:tcW w:w="120" w:type="dxa"/>
            <w:vAlign w:val="bottom"/>
            <w:shd w:val="clear" w:color="auto" w:fill="CCEEFF"/>
          </w:tcPr>
          <w:p>
            <w:pPr>
              <w:spacing w:after="0"/>
              <w:rPr>
                <w:sz w:val="22"/>
                <w:szCs w:val="2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Managing Partner and Chief Investment Officer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CM Life Sciences II Inc.</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Blank check company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CM Life Sciences III Inc.</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Blank check company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MGM Resorts International</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Hospitality and entertainment</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Roar Digital, LLC</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w w:val="92"/>
              </w:rPr>
              <w:t>Sports betting and online gaming</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5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5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Brian Emes</w:t>
            </w:r>
          </w:p>
        </w:tc>
        <w:tc>
          <w:tcPr>
            <w:tcW w:w="12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Corvex Management LP</w:t>
            </w:r>
            <w:r>
              <w:rPr>
                <w:rFonts w:ascii="Arial" w:cs="Arial" w:eastAsia="Arial" w:hAnsi="Arial"/>
                <w:sz w:val="29"/>
                <w:szCs w:val="29"/>
                <w:color w:val="auto"/>
                <w:vertAlign w:val="superscript"/>
              </w:rPr>
              <w:t>(1)</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manager</w:t>
            </w:r>
          </w:p>
        </w:tc>
        <w:tc>
          <w:tcPr>
            <w:tcW w:w="120" w:type="dxa"/>
            <w:vAlign w:val="bottom"/>
            <w:shd w:val="clear" w:color="auto" w:fill="CCEEFF"/>
          </w:tcPr>
          <w:p>
            <w:pPr>
              <w:spacing w:after="0"/>
              <w:rPr>
                <w:sz w:val="22"/>
                <w:szCs w:val="2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CM Life Sciences II Inc.</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Blank check company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Secretary</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CM Life Sciences III Inc.</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Blank check company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Secretary</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5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Shaun Rodriguez</w:t>
            </w: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C2i Genomics</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Casdin Capital, LLC</w:t>
            </w:r>
            <w:r>
              <w:rPr>
                <w:rFonts w:ascii="Arial" w:cs="Arial" w:eastAsia="Arial" w:hAnsi="Arial"/>
                <w:sz w:val="29"/>
                <w:szCs w:val="29"/>
                <w:color w:val="auto"/>
                <w:vertAlign w:val="superscript"/>
              </w:rPr>
              <w:t>(1)</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 manager</w:t>
            </w:r>
          </w:p>
        </w:tc>
        <w:tc>
          <w:tcPr>
            <w:tcW w:w="120" w:type="dxa"/>
            <w:vAlign w:val="bottom"/>
            <w:shd w:val="clear" w:color="auto" w:fill="CCEEFF"/>
          </w:tcPr>
          <w:p>
            <w:pPr>
              <w:spacing w:after="0"/>
              <w:rPr>
                <w:sz w:val="22"/>
                <w:szCs w:val="2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 of Life Science Research</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CM Life Sciences II Inc.</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Blank check company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Chief Strategy Officer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CM Life Sciences III Inc.</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Blank check company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Chief Strategy Officer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GeneMatters, LLC</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Invetx</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02"/>
        </w:trPr>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Ivexsol</w:t>
            </w:r>
          </w:p>
        </w:tc>
        <w:tc>
          <w:tcPr>
            <w:tcW w:w="1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Prominex Inc.</w:t>
            </w: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5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Sean George</w:t>
            </w: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Invitae Corporation</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5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Emily Leproust</w:t>
            </w: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Twist Bioscience Corp.</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7"/>
              </w:rPr>
              <w:t>President, Chief Executive Officer and Chair of the Board</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5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Nat Turner</w:t>
            </w: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Flatiron Health, Inc.</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Clover Health, Inc.</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Zenreach, Inc.</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Biotechnology</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0" w:lineRule="exact"/>
        <w:rPr>
          <w:sz w:val="20"/>
          <w:szCs w:val="20"/>
          <w:color w:val="auto"/>
        </w:rPr>
      </w:pPr>
    </w:p>
    <w:p>
      <w:pPr>
        <w:ind w:left="5540" w:right="1940" w:hanging="5532"/>
        <w:spacing w:after="0" w:line="778" w:lineRule="auto"/>
        <w:tabs>
          <w:tab w:leader="none" w:pos="351"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Including with respect to one or more investment funds, clients or accounts for which such entity acts as investment advisor.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225" w:lineRule="exact"/>
        <w:rPr>
          <w:sz w:val="20"/>
          <w:szCs w:val="20"/>
          <w:color w:val="auto"/>
        </w:rPr>
      </w:pPr>
    </w:p>
    <w:p>
      <w:pPr>
        <w:jc w:val="both"/>
        <w:ind w:left="660" w:right="20" w:hanging="328"/>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87" w:lineRule="exact"/>
        <w:rPr>
          <w:rFonts w:ascii="Arial" w:cs="Arial" w:eastAsia="Arial" w:hAnsi="Arial"/>
          <w:sz w:val="18"/>
          <w:szCs w:val="18"/>
          <w:color w:val="auto"/>
        </w:rPr>
      </w:pPr>
    </w:p>
    <w:p>
      <w:pPr>
        <w:jc w:val="both"/>
        <w:ind w:left="660" w:right="20" w:hanging="328"/>
        <w:spacing w:after="0" w:line="267"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initial stockholders purchased Founder Shares prior to the Initial Public Offering and will purchase Private Placement Warrants in a transaction that will close simultaneously with the closing of the Initial Public Offering. Our initial stockholders have entered into agreements with us, pursuant to which they have agreed to waive their redemption rights with respect to their Founder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or after the Initial Public Offering. Additionally, our initial stockholders have agreed to waive their rights to liquidating distributions from the Trust Account with respect to their Founder Shares if we fail to complete our initial Business Combination within the prescribed time frame or during any Extension Period. If we do not complete our initial Business Combination within the prescribed time frame, the Private Placement Warrants will expire worthless. Furthermore, our initial stockholders have agreed not to transfer, assign or sell any of their Founder Shares until the earlier to occur of: (i) one year after the completion of our initial Business Combination and (ii) 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 Shares will be released from the lockup. Subject to certain limited exceptions, the Private Placement Warrants will not be transferable until 30 days following the completion of our initial Business Combination. Because each of our executive officers and director nominees will own common stock or warrants directly or indirectly, they may have a conflict of interest in determining whether a particular target business is an appropriate business with which to effectuate our initial Business Combination.</w:t>
      </w:r>
    </w:p>
    <w:p>
      <w:pPr>
        <w:spacing w:after="0" w:line="189" w:lineRule="exact"/>
        <w:rPr>
          <w:rFonts w:ascii="Arial" w:cs="Arial" w:eastAsia="Arial" w:hAnsi="Arial"/>
          <w:sz w:val="17"/>
          <w:szCs w:val="17"/>
          <w:color w:val="auto"/>
        </w:rPr>
      </w:pPr>
    </w:p>
    <w:p>
      <w:pPr>
        <w:jc w:val="both"/>
        <w:ind w:left="660" w:right="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our initial stockholders have agreed to vote their Founder Shares, and they and the other members of our management team have agreed to vote any Founder Shares they hold and any shares purchased during or after the offering in favor of our initial Business Combination.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our Sponsor transferred 25,000 Founder Shares to each of Mr. Islam, Dr. Leproust and Mr. Turner. None of our executive officers or directors have received any cash compensation for services rendered to us.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available to us at March 29, 2021 with respect to our common stock held by:</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color w:val="auto"/>
        </w:rPr>
        <w:t>The following table is based on 44,275,000 shares of Class A Common Stock and 11,068,750 shares of Class B Common Stock outstanding as of March 29, 2021. Unless otherwise indicated, we believe that all persons named in the table have sole voting and investment power with respect to all shares of common stock beneficially owned by them. The following table does not reflect record or beneficial ownership of the Private Placement Warrants as these are not exercisable within 60 days of March 29,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Name and Address of Beneficial Owner </w:t>
            </w:r>
            <w:r>
              <w:rPr>
                <w:rFonts w:ascii="Arial" w:cs="Arial" w:eastAsia="Arial" w:hAnsi="Arial"/>
                <w:sz w:val="29"/>
                <w:szCs w:val="29"/>
                <w:b w:val="1"/>
                <w:bCs w:val="1"/>
                <w:color w:val="auto"/>
                <w:vertAlign w:val="superscript"/>
              </w:rPr>
              <w:t>(1)</w:t>
            </w:r>
          </w:p>
        </w:tc>
        <w:tc>
          <w:tcPr>
            <w:tcW w:w="100" w:type="dxa"/>
            <w:vAlign w:val="bottom"/>
            <w:vMerge w:val="restart"/>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77"/>
        </w:trPr>
        <w:tc>
          <w:tcPr>
            <w:tcW w:w="85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11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5"/>
              </w:rPr>
              <w:t xml:space="preserve">Owned </w:t>
            </w:r>
            <w:r>
              <w:rPr>
                <w:rFonts w:ascii="Arial" w:cs="Arial" w:eastAsia="Arial" w:hAnsi="Arial"/>
                <w:sz w:val="29"/>
                <w:szCs w:val="29"/>
                <w:b w:val="1"/>
                <w:bCs w:val="1"/>
                <w:color w:val="auto"/>
                <w:w w:val="85"/>
                <w:vertAlign w:val="superscript"/>
              </w:rPr>
              <w:t>(2)</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5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CMLS Holdings, LLC (our Sponsor) </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10,993,750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57"/>
        </w:trPr>
        <w:tc>
          <w:tcPr>
            <w:tcW w:w="86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Eli Casdin </w:t>
            </w:r>
            <w:r>
              <w:rPr>
                <w:rFonts w:ascii="Arial" w:cs="Arial" w:eastAsia="Arial" w:hAnsi="Arial"/>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10,993,750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Keith Meister </w:t>
            </w:r>
            <w:r>
              <w:rPr>
                <w:rFonts w:ascii="Arial" w:cs="Arial" w:eastAsia="Arial" w:hAnsi="Arial"/>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10,993,750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Brian Emes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Shaun Rodriguez</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Sean George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Munib Islam</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Emily Leproust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 Turner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6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Sachem Head Capital Management LP </w:t>
            </w:r>
            <w:r>
              <w:rPr>
                <w:rFonts w:ascii="Arial" w:cs="Arial" w:eastAsia="Arial" w:hAnsi="Arial"/>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3,465,000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Magnetar Financial LLC </w:t>
            </w:r>
            <w:r>
              <w:rPr>
                <w:rFonts w:ascii="Arial" w:cs="Arial" w:eastAsia="Arial" w:hAnsi="Arial"/>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2,898,231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7"/>
        </w:trPr>
        <w:tc>
          <w:tcPr>
            <w:tcW w:w="86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BlueCrest Capital Management Limited </w:t>
            </w:r>
            <w:r>
              <w:rPr>
                <w:rFonts w:ascii="Arial" w:cs="Arial" w:eastAsia="Arial" w:hAnsi="Arial"/>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2,500,000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Millennium Management LLC </w:t>
            </w:r>
            <w:r>
              <w:rPr>
                <w:rFonts w:ascii="Arial" w:cs="Arial" w:eastAsia="Arial" w:hAnsi="Arial"/>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2,467,288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All directors, officers and director nominees as a group (8 individuals)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11,068,750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sz w:val="20"/>
          <w:szCs w:val="20"/>
          <w:color w:val="auto"/>
        </w:rPr>
      </w:pPr>
    </w:p>
    <w:p>
      <w:pPr>
        <w:ind w:left="340" w:right="20" w:hanging="332"/>
        <w:spacing w:after="0" w:line="258"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c/o Corvex Management LP, 667 Madison Avenue, New York, New York 10065.</w:t>
      </w:r>
    </w:p>
    <w:p>
      <w:pPr>
        <w:spacing w:after="0" w:line="1" w:lineRule="exact"/>
        <w:rPr>
          <w:rFonts w:ascii="Arial" w:cs="Arial" w:eastAsia="Arial" w:hAnsi="Arial"/>
          <w:sz w:val="18"/>
          <w:szCs w:val="18"/>
          <w:color w:val="auto"/>
        </w:rPr>
      </w:pPr>
    </w:p>
    <w:p>
      <w:pPr>
        <w:jc w:val="both"/>
        <w:ind w:left="340" w:right="2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Interests shown consist of shares of Class A Common Stock and shares of Class B Common Stock. The Class B Common Stock will automatically convert into Class A Common Stock concurrently with or immediately following the consummation of our initial Business Combination on a one-for-one basis, subject to adjustment, as described in the section entitled “Description of Securities” in our prospectus filed with the SEC pursuant to Rule 424(b)(4) (File No. 333-246251). Excludes Class A Common Stock issuable pursuant to the forward purchase agreements, as such shares will only be issued concurrently with the closing of our initial Business Combination.</w:t>
      </w:r>
    </w:p>
    <w:p>
      <w:pPr>
        <w:spacing w:after="0" w:line="1"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B Common Stock held directly by CMLS Holdings LLC. Each of C-LSH LLC, M-LSH LLC and Messrs. Casdin and Meister disclaims beneficial ownership of these shares except to the extent of its or his respective pecuniary interest therein.</w:t>
      </w:r>
    </w:p>
    <w:p>
      <w:pPr>
        <w:spacing w:after="0" w:line="2" w:lineRule="exact"/>
        <w:rPr>
          <w:rFonts w:ascii="Arial" w:cs="Arial" w:eastAsia="Arial" w:hAnsi="Arial"/>
          <w:sz w:val="16"/>
          <w:szCs w:val="16"/>
          <w:color w:val="auto"/>
        </w:rPr>
      </w:pPr>
    </w:p>
    <w:p>
      <w:pPr>
        <w:jc w:val="both"/>
        <w:ind w:left="340" w:right="2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According to a Schedule 13G filed with the SEC on September 11, 2020, each of Sachem Head Capital Management LP, Uncas GP LLC, Sachem Head GP LLC and Scott D. Ferguson has shared voting and dispositive power with regard to 3,465,000 shares of Class A Common Stock of the Company. The business address for each is 250 West 55th Street, 34th Floor, New York, New York 10019.</w:t>
      </w:r>
    </w:p>
    <w:p>
      <w:pPr>
        <w:spacing w:after="0" w:line="1" w:lineRule="exact"/>
        <w:rPr>
          <w:rFonts w:ascii="Arial" w:cs="Arial" w:eastAsia="Arial" w:hAnsi="Arial"/>
          <w:sz w:val="18"/>
          <w:szCs w:val="18"/>
          <w:color w:val="auto"/>
        </w:rPr>
      </w:pPr>
    </w:p>
    <w:p>
      <w:pPr>
        <w:jc w:val="both"/>
        <w:ind w:left="340" w:right="20" w:hanging="332"/>
        <w:spacing w:after="0" w:line="22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According to a Schedule 13G filed with the SEC on February 12, 2021, each of Magnetar Financial LLC, Magnetar Capital Partners LP, Supernova Management LLC and Alec N. Litowitz shares voting and dispositive power with regard to 2,898,231 shares of Class A Common Stock of the Company. The business address for each is 1603 Orrington Avenue,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Evanston, IL 60201.</w:t>
      </w:r>
    </w:p>
    <w:p>
      <w:pPr>
        <w:spacing w:after="0" w:line="1" w:lineRule="exact"/>
        <w:rPr>
          <w:rFonts w:ascii="Arial" w:cs="Arial" w:eastAsia="Arial" w:hAnsi="Arial"/>
          <w:sz w:val="18"/>
          <w:szCs w:val="18"/>
          <w:color w:val="auto"/>
        </w:rPr>
      </w:pPr>
    </w:p>
    <w:p>
      <w:pPr>
        <w:jc w:val="both"/>
        <w:ind w:left="340" w:right="20" w:hanging="332"/>
        <w:spacing w:after="0" w:line="24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According to a Schedule 13G filed with the SEC on September 11, 2020, each of BlueCrest Management Limited and Michael Platt share voting and dispositive power with regard to 2,500,000 shares of Class A Common Stock of the Company. The business address for each is Ground Floor, Harbour Reach, La Rue de Carteret, St. Helier, Jersey, Channel Islands, JE2 4HR.</w:t>
      </w:r>
    </w:p>
    <w:p>
      <w:pPr>
        <w:spacing w:after="0" w:line="2" w:lineRule="exact"/>
        <w:rPr>
          <w:rFonts w:ascii="Arial" w:cs="Arial" w:eastAsia="Arial" w:hAnsi="Arial"/>
          <w:sz w:val="18"/>
          <w:szCs w:val="18"/>
          <w:color w:val="auto"/>
        </w:rPr>
      </w:pPr>
    </w:p>
    <w:p>
      <w:pPr>
        <w:jc w:val="both"/>
        <w:ind w:left="340" w:right="20" w:hanging="332"/>
        <w:spacing w:after="0" w:line="255"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According to Amendment No. 1 to Schedule 13G filed with the SEC on January 19, 2021, each of Millennium Management LLC, Millennium Group Management LLC and Israel A. Englander share voting and dispositive power with regard to 2,632,318 shares of Class A Common Stock of the Company. The business address for each is 666 Fifth Avenue, New York, New York 10103.</w:t>
      </w:r>
    </w:p>
    <w:p>
      <w:pPr>
        <w:spacing w:after="0" w:line="1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initial stockholders beneficially own approximately 20% of the issued and outstanding common stock. Because of this ownership block, our initial stockholders may be able to effectively influence the outcome of all other matters requiring approval by our stockholders, including amendments to our second amended and restated certificate of incorporation and approval of significant corporate transactions including our initial Business Combination.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have no compensation plans under which equity securities are authorized for issuance.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16, 2020, our Sponsor paid $25,000, or approximately $0.002 per share, to cover certain expenses on our behalf in consideration of 10,062,500 Founder Shares. In August 2020, our Sponsor transferred 25,000 Founder Shares to each of Mr. Islam, Dr. Leproust and Mr. Turner. On September 1, 2020, we effected a 1:1.1 stock split of our Class B Common Stock, resulting in our Sponsor holding an aggregate of 10,993,750 Founder Shares and there being an aggregate of 11,068,750 Founder Shares outstanding. The Sponsor agreed to forfeit up to an aggregate of 1,443,750 Founder Shares to the extent that the option to purchase additional units was not exercised in full by the underwriters, so that the Founder Shares would represent 20% of the Company’s issued and outstanding shares after the Initial Public Offering. The underwriters fully exercised their over-allotment option on September 2, 2020; thus, those Founder Shares were no longer subject to forfeiture.</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initial stockholders have agreed not to transfer, assign or sell any of their Founder Shares until the earlier to occur of: (A) one year after the completion of our initial Business Combination and (B) subsequent to our initial Business Combination, (x)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or (y) the date on which we complete a liquidation, merger, capital stock exchange, or other similar transaction that results in all of our Public Stockholders having the right to exchange their common stock for cash, securities or other property (except to certain permitted transferees). Any permitted transferees will be subject to the same restrictions and other agreements of our Sponsor, directors and our management team with respect to any Founder Shares, Private Placement Warrants and shares of Class A Common Stock issued upon conversion or exercise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Warrants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Substantially concurrently with the closing of the Initial Public Offering, the Company consummated the Private Placement of 7,236,667 Private Placement Warrants, at a price of $1.50 per Private Placement Warrant with the Sponsor, generating gross proceeds of $10,855,000. Our Sponsor purchased 6,903,335 Private Placement Warrants and each of Mr. Islam and Dr. Leproust purchased 166,666 Private Placement Warrants.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Private Placement Warrant is exercisable for one share of Class A Common Stock at a price of $11.50 per share. 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except under limited circumstances, so long as they are held by the Sponsor or its permitted transferees.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Sponsor and the Company’s officers and directors agreed, subject to limited exceptions, not to transfer, assign or sell any of their Private Placement Warrants (including the Class A Common Stock issuance upon the exercise of the warrants) until 30 days after the completion of the initial Business Combination. The Private Placement Warrants will be non-redeemable (except as described in Exhibit 4.5 to this Annual Report under the heading “Redemption of warrants when the price per share of Class A Common Stock equals or exceeds $10.00”) and exercisable on a cashless basis so long as they are held by their initial purchasers or their permitted transferees. If the Private Placement Warrants are held by holders other than their initial purchasers or their permitted transferees, the Private Placement Warrants will be redeemable by us and exercisable by the holders on the same basis as the warrants included in the units being sold in the Initial Public Offering.</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do not complete an Initial Business Combination within 24 months from the closing of the Initial Public Offering or during any Extension Period, the proceeds of the sale of the Private Placement Warrants will be used to fund the redemption of our Public Shares, subject to the requirements of applicable law, and the Private Placement Warrants will expire worthless.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holders of the Founder Shares, Private Placement Warrants, any warrants that may be issued upon conversion of Working Capital Loans (and any Class A Common Stock issuable upon the exercise of the Private Placement Warrants or warrants issued upon conversion of the Working Capital Loans and upon conversion of the Founder Shares) and any Forward Purchase Shares that may be issued in a private placement concurrently with the initial Business Combination are entitled to registration rights pursuant to a registration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Related Party Notes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16, 2020, the Sponsor agreed to loan the Company up to $300,000 to be used for the payment of costs related to the Initial Public Offering pursuant to a promissory note (the “Pre-IPO Note”). The Pre-IPO Note was non-interest bearing, unsecured and due upon the closing of the Initial Public Offering. The Company borrowed approximately $165,081 under the Pre-IPO Note. The Company repaid the Note in full as of September 4, 2020.</w:t>
      </w:r>
    </w:p>
    <w:p>
      <w:pPr>
        <w:spacing w:after="0" w:line="1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in order to finance transaction costs in connection with an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of the post Business Combination entity at a price of $1.50 per warrant at the option of the lender. The warrants would be identical to the Private Placement Warrants. Except as set forth above, the terms of such loans, if any, have not been determined and no written agreements exist with respect to such loans. To date, the Company had no borrowings under the Working Capital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Purchase Agreements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including whether the investment complies with any guidelines, restrictions or conflicts of interest provisions applicable to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Forward Purchase Shares will be identical to the shares of Class A Common Stock included in the units being sold in the Initial Public Offering, except that they will not be transferable, assignable or salable until 30 days after the completion of our initial Business Combination, except under limited circumstances to certain permitted transferees, and will be subject to registration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 Support Agreement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10,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Forfeiture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10, 2021, we entered into a Forfeiture Agreement with Sema4 and the Sponsor, whereby the Sponsor has agreed, subject to certain limitations and in accordance with the terms of the Forfeiture Agreement, to forfeit up to 33% of its (i) warrants for Class A Common Stock and (ii) shares of our Class B Common Stock, such actual amount tied to the actual exercise of redemption rights of our stockholders in connection with the Business Combination, as more fully described in the Forfeiture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Nasdaq listing standards require that a majority of our board of directors be independent within one year of the Initial Public Offering. Our board of directors has determined that Dr. George, Mr. Islam, Dr. Leproust, and Mr. Turner are “independent directors” as defined in Nasdaq listing standards and applicable SEC rules and Mr. Meister is an “independent director” as defined in Nasdaq listing standards. Our independent directors will have regularly scheduled meetings at which only independent directors are present.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firm of WithumSmith+Brown, PC, or Withum, acts as our independent registered public accounting firm. The following is a summary of fees paid to Withum for services rendered.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For the period from July 10, 2020 (inception) through December 31, 2020, fees for our independent registered public accounting firm were</w:t>
      </w:r>
      <w:r>
        <w:rPr>
          <w:rFonts w:ascii="Arial" w:cs="Arial" w:eastAsia="Arial" w:hAnsi="Arial"/>
          <w:sz w:val="18"/>
          <w:szCs w:val="18"/>
          <w:i w:val="1"/>
          <w:iCs w:val="1"/>
          <w:color w:val="auto"/>
        </w:rPr>
        <w:t xml:space="preserve"> </w:t>
      </w:r>
      <w:r>
        <w:rPr>
          <w:rFonts w:ascii="Arial" w:cs="Arial" w:eastAsia="Arial" w:hAnsi="Arial"/>
          <w:sz w:val="18"/>
          <w:szCs w:val="18"/>
          <w:color w:val="auto"/>
        </w:rPr>
        <w:t>$80,855 for the services Withum performed in connection with our Initial Public Offering, review of interim financial statements and the audit of our December 31, 2020 financial statements included in this Annual Report on Form 10-K.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For the period from July 10, 2020 (inception) through December 31, 2020, our independent registered public accounting firm did not</w:t>
      </w:r>
      <w:r>
        <w:rPr>
          <w:rFonts w:ascii="Arial" w:cs="Arial" w:eastAsia="Arial" w:hAnsi="Arial"/>
          <w:sz w:val="18"/>
          <w:szCs w:val="18"/>
          <w:i w:val="1"/>
          <w:iCs w:val="1"/>
          <w:color w:val="auto"/>
        </w:rPr>
        <w:t xml:space="preserve"> </w:t>
      </w:r>
      <w:r>
        <w:rPr>
          <w:rFonts w:ascii="Arial" w:cs="Arial" w:eastAsia="Arial" w:hAnsi="Arial"/>
          <w:sz w:val="18"/>
          <w:szCs w:val="18"/>
          <w:color w:val="auto"/>
        </w:rPr>
        <w:t>render any audit related services.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For the period from July 10, 2020 (inception) through December 31, 2020, our independent registered public accounting firm did not render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us for tax compliance, tax advice and tax planning.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For the period from July 10, 2020 (inception) through December 31, 2020, there were no fees billed for products and services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independent registered public accounting firm other than those set forth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2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60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196"/>
        </w:trPr>
        <w:tc>
          <w:tcPr>
            <w:tcW w:w="10240" w:type="dxa"/>
            <w:vAlign w:val="bottom"/>
            <w:gridSpan w:val="7"/>
            <w:shd w:val="clear" w:color="auto" w:fill="CCEEFF"/>
          </w:tcPr>
          <w:p>
            <w:pPr>
              <w:spacing w:after="0" w:line="142" w:lineRule="exact"/>
              <w:rPr>
                <w:rFonts w:ascii="Arial" w:cs="Arial" w:eastAsia="Arial" w:hAnsi="Arial"/>
                <w:sz w:val="16"/>
                <w:szCs w:val="16"/>
                <w:color w:val="0000EE"/>
              </w:rPr>
            </w:pPr>
            <w:hyperlink w:anchor="page62">
              <w:r>
                <w:rPr>
                  <w:rFonts w:ascii="Arial" w:cs="Arial" w:eastAsia="Arial" w:hAnsi="Arial"/>
                  <w:sz w:val="16"/>
                  <w:szCs w:val="16"/>
                  <w:color w:val="0000EE"/>
                </w:rPr>
                <w:t>Report of Independent Registered Public Accounting Firm</w:t>
              </w:r>
            </w:hyperlink>
          </w:p>
        </w:tc>
        <w:tc>
          <w:tcPr>
            <w:tcW w:w="10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F-2</w:t>
            </w:r>
          </w:p>
        </w:tc>
      </w:tr>
      <w:tr>
        <w:trPr>
          <w:trHeight w:val="176"/>
        </w:trPr>
        <w:tc>
          <w:tcPr>
            <w:tcW w:w="422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Balance Sheet</w:t>
              </w:r>
            </w:hyperlink>
          </w:p>
        </w:tc>
        <w:tc>
          <w:tcPr>
            <w:tcW w:w="60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6"/>
              </w:rPr>
              <w:t>F-3</w:t>
            </w:r>
          </w:p>
        </w:tc>
      </w:tr>
      <w:tr>
        <w:trPr>
          <w:trHeight w:val="20"/>
        </w:trPr>
        <w:tc>
          <w:tcPr>
            <w:tcW w:w="10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Statement of Operations</w:t>
              </w:r>
            </w:hyperlink>
          </w:p>
        </w:tc>
        <w:tc>
          <w:tcPr>
            <w:tcW w:w="848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F-4</w:t>
            </w:r>
          </w:p>
        </w:tc>
      </w:tr>
      <w:tr>
        <w:trPr>
          <w:trHeight w:val="176"/>
        </w:trPr>
        <w:tc>
          <w:tcPr>
            <w:tcW w:w="10240" w:type="dxa"/>
            <w:vAlign w:val="bottom"/>
            <w:gridSpan w:val="7"/>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Statement of Changes in Stockholders’ Equity</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6"/>
              </w:rPr>
              <w:t>F-5</w:t>
            </w:r>
          </w:p>
        </w:tc>
      </w:tr>
      <w:tr>
        <w:trPr>
          <w:trHeight w:val="21"/>
        </w:trPr>
        <w:tc>
          <w:tcPr>
            <w:tcW w:w="1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Statement of Cash Flows</w:t>
              </w:r>
            </w:hyperlink>
          </w:p>
        </w:tc>
        <w:tc>
          <w:tcPr>
            <w:tcW w:w="842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F-6</w:t>
            </w:r>
          </w:p>
        </w:tc>
      </w:tr>
      <w:tr>
        <w:trPr>
          <w:trHeight w:val="175"/>
        </w:trPr>
        <w:tc>
          <w:tcPr>
            <w:tcW w:w="10240" w:type="dxa"/>
            <w:vAlign w:val="bottom"/>
            <w:gridSpan w:val="7"/>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Notes to Financial Statements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2"/>
              </w:rPr>
              <w:t>F-7 to F-21</w:t>
            </w:r>
          </w:p>
        </w:tc>
      </w:tr>
      <w:tr>
        <w:trPr>
          <w:trHeight w:val="20"/>
        </w:trPr>
        <w:tc>
          <w:tcPr>
            <w:tcW w:w="1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right="7980" w:hanging="324"/>
        <w:spacing w:after="0" w:line="500" w:lineRule="auto"/>
        <w:tabs>
          <w:tab w:leader="none" w:pos="9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 w:lineRule="exact"/>
        <w:rPr>
          <w:rFonts w:ascii="Arial" w:cs="Arial" w:eastAsia="Arial" w:hAnsi="Arial"/>
          <w:sz w:val="18"/>
          <w:szCs w:val="18"/>
          <w:color w:val="auto"/>
        </w:rPr>
      </w:pPr>
    </w:p>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The exhibits listed in the accompanying index to exhibits are filed or incorporated by reference as part of this Annual Report on Form 10-K.</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140" w:type="dxa"/>
            <w:vAlign w:val="bottom"/>
            <w:gridSpan w:val="2"/>
          </w:tcPr>
          <w:p>
            <w:pPr>
              <w:ind w:left="380"/>
              <w:spacing w:after="0"/>
              <w:rPr>
                <w:sz w:val="20"/>
                <w:szCs w:val="20"/>
                <w:color w:val="auto"/>
              </w:rPr>
            </w:pPr>
            <w:r>
              <w:rPr>
                <w:rFonts w:ascii="Arial" w:cs="Arial" w:eastAsia="Arial" w:hAnsi="Arial"/>
                <w:sz w:val="18"/>
                <w:szCs w:val="18"/>
                <w:b w:val="1"/>
                <w:bCs w:val="1"/>
                <w:color w:val="auto"/>
              </w:rPr>
              <w:t>No.</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20" w:type="dxa"/>
            <w:vAlign w:val="bottom"/>
            <w:gridSpan w:val="10"/>
          </w:tcPr>
          <w:p>
            <w:pPr>
              <w:ind w:left="320"/>
              <w:spacing w:after="0"/>
              <w:rPr>
                <w:sz w:val="20"/>
                <w:szCs w:val="20"/>
                <w:color w:val="auto"/>
              </w:rPr>
            </w:pPr>
            <w:r>
              <w:rPr>
                <w:rFonts w:ascii="Arial" w:cs="Arial" w:eastAsia="Arial" w:hAnsi="Arial"/>
                <w:sz w:val="18"/>
                <w:szCs w:val="18"/>
                <w:b w:val="1"/>
                <w:bCs w:val="1"/>
                <w:color w:val="auto"/>
              </w:rPr>
              <w:t>Description of Exhibit</w:t>
            </w:r>
          </w:p>
        </w:tc>
      </w:tr>
      <w:tr>
        <w:trPr>
          <w:trHeight w:val="175"/>
        </w:trPr>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7"/>
            <w:shd w:val="clear" w:color="auto" w:fill="CCEEFF"/>
          </w:tcPr>
          <w:p>
            <w:pPr>
              <w:spacing w:after="0" w:line="176" w:lineRule="exact"/>
              <w:rPr>
                <w:rFonts w:ascii="Arial" w:cs="Arial" w:eastAsia="Arial" w:hAnsi="Arial"/>
                <w:sz w:val="18"/>
                <w:szCs w:val="18"/>
                <w:color w:val="0000EE"/>
                <w:w w:val="94"/>
              </w:rPr>
            </w:pPr>
            <w:hyperlink r:id="rId76">
              <w:r>
                <w:rPr>
                  <w:rFonts w:ascii="Arial" w:cs="Arial" w:eastAsia="Arial" w:hAnsi="Arial"/>
                  <w:sz w:val="18"/>
                  <w:szCs w:val="18"/>
                  <w:color w:val="0000EE"/>
                  <w:w w:val="94"/>
                </w:rPr>
                <w:t>Agreement and Plan of Merger, dated as of February 9, 2021, by and among, CM Life Sciences, Inc., S-IV Sub, Inc., and Mount Sinai</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3"/>
              </w:rPr>
            </w:pPr>
            <w:hyperlink r:id="rId76">
              <w:r>
                <w:rPr>
                  <w:rFonts w:ascii="Arial" w:cs="Arial" w:eastAsia="Arial" w:hAnsi="Arial"/>
                  <w:sz w:val="18"/>
                  <w:szCs w:val="18"/>
                  <w:color w:val="0000EE"/>
                  <w:w w:val="93"/>
                </w:rPr>
                <w:t>Genomics, Inc. d/b/a Sema4 (incorporated by reference to Exhibit 2.1 to the Registrant’s Current Report on Form 8-K filed with the SEC</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on February 11,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Second Amended and Restated Certificate of Incorporation (incorporated by reference to Exhibit 3.1 to the Registrant’s Current Report 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Form 8-K filed with the SEC on September 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3"/>
              </w:rPr>
            </w:pPr>
            <w:hyperlink r:id="rId78">
              <w:r>
                <w:rPr>
                  <w:rFonts w:ascii="Arial" w:cs="Arial" w:eastAsia="Arial" w:hAnsi="Arial"/>
                  <w:sz w:val="18"/>
                  <w:szCs w:val="18"/>
                  <w:color w:val="0000EE"/>
                  <w:w w:val="93"/>
                </w:rPr>
                <w:t>Bylaws (incorporated by reference to Exhibit 3.3 to the Registrant’s Registration Statement on Form S-1 (File No. 333-246251) filed with</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the SEC on August 24,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Warrant Agreement, dated September 1, 2020, by and between the Company and Continental Stock Transfer &amp; Trust Company, as warrant</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agent (incorporated by reference to Exhibit 10.1 to the Registrant’s Current Report on Form 8-K filed with the SEC on September 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Specimen Unit Certificate (incorporated by reference to Exhibit 4.1 to the Registrant’s Registration Statement on Form S-1 (File No. 333-</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246251) filed with the SEC on August 24,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Specimen Class A Common Stock Certificate (incorporated by reference to Exhibit 4.2 to the Registrant’s Registration Statement on Form</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S-1 (File No. 333-246251) filed with the SEC on August 24,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Specimen Warrant Certificate (incorporated by reference to Exhibit 4.3 to the Registrant’s Registration Statement on Form S-1 (File No.</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333-246251) filed with the SEC on August 24,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4.5*</w:t>
            </w: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76" w:lineRule="exact"/>
              <w:rPr>
                <w:rFonts w:ascii="Arial" w:cs="Arial" w:eastAsia="Arial" w:hAnsi="Arial"/>
                <w:sz w:val="18"/>
                <w:szCs w:val="18"/>
                <w:color w:val="0000EE"/>
              </w:rPr>
            </w:pPr>
            <w:hyperlink r:id="rId83">
              <w:r>
                <w:rPr>
                  <w:rFonts w:ascii="Arial" w:cs="Arial" w:eastAsia="Arial" w:hAnsi="Arial"/>
                  <w:sz w:val="18"/>
                  <w:szCs w:val="18"/>
                  <w:color w:val="0000EE"/>
                </w:rPr>
                <w:t>Description of the Company’s securities.</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3"/>
              </w:rPr>
            </w:pPr>
            <w:hyperlink r:id="rId84">
              <w:r>
                <w:rPr>
                  <w:rFonts w:ascii="Arial" w:cs="Arial" w:eastAsia="Arial" w:hAnsi="Arial"/>
                  <w:sz w:val="18"/>
                  <w:szCs w:val="18"/>
                  <w:color w:val="0000EE"/>
                  <w:w w:val="93"/>
                </w:rPr>
                <w:t>Promissory Note issued to CMLS Holdings LLC (incorporated by reference to Exhibit 10.6 to the Registrant’s Registration Statement 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Form S-1 (File No. 333-246251) filed with the SEC on August 24,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Securities Subscription Agreement by and between the Registrant and CMLS Holdings LLC (incorporated by reference to Exhibit 10.7 to</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the Registrant’s Registration Statement on Form S-1 (File No. 333-246251) filed with the SEC on August 24,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Letter Agreement, dated September 1, 2020, by and among the Company, its officers and directors and CMLS Holdings, LLC (incorporated</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by reference to Exhibit 10.5 to the Registrant’s Current Report on Form 8-K filed with the SEC on September 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Investment Management Trust Agreement, dated September 1, 2020, by and between the Company and Continental Stock Transfer &amp; Trust</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5"/>
              </w:rPr>
            </w:pPr>
            <w:hyperlink r:id="rId87">
              <w:r>
                <w:rPr>
                  <w:rFonts w:ascii="Arial" w:cs="Arial" w:eastAsia="Arial" w:hAnsi="Arial"/>
                  <w:sz w:val="18"/>
                  <w:szCs w:val="18"/>
                  <w:color w:val="0000EE"/>
                  <w:w w:val="95"/>
                </w:rPr>
                <w:t>Company, as trustee (incorporated by reference to Exhibit 10.2 to the Registrant’s Current Report on Form 8-K filed with the SEC on</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September 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Registration Rights Agreement, dated September 1, 2020, by and among the Company, CMLS Holdings, LLC and the other parties thereto</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w w:val="95"/>
              </w:rPr>
            </w:pPr>
            <w:hyperlink r:id="rId88">
              <w:r>
                <w:rPr>
                  <w:rFonts w:ascii="Arial" w:cs="Arial" w:eastAsia="Arial" w:hAnsi="Arial"/>
                  <w:sz w:val="18"/>
                  <w:szCs w:val="18"/>
                  <w:color w:val="0000EE"/>
                  <w:w w:val="95"/>
                </w:rPr>
                <w:t>(incorporated by reference to Exhibit 10.4 to the Registrant’s Current Report on Form 8-K filed with the SEC on September 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Forward Purchase Agreement, dated September 1, 2020, by and between the Company and Casdin Capital, LLC (incorporated by reference</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to Exhibit 10.6 to the Registrant’s Current Report on Form 8-K filed with the SEC on September 4,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3"/>
              </w:rPr>
            </w:pPr>
            <w:hyperlink r:id="rId89">
              <w:r>
                <w:rPr>
                  <w:rFonts w:ascii="Arial" w:cs="Arial" w:eastAsia="Arial" w:hAnsi="Arial"/>
                  <w:sz w:val="18"/>
                  <w:szCs w:val="18"/>
                  <w:color w:val="0000EE"/>
                  <w:w w:val="93"/>
                </w:rPr>
                <w:t>Forward Purchase Agreement, dated September 1, 2020, by and between the Company and Corvex Management LP (incorporated by</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reference to Exhibit 10.6 to the Registrant’s Current Report on Form 8-K filed with the SEC on September 4, 2020).</w:t>
              </w:r>
            </w:hyperlink>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860" w:type="dxa"/>
            <w:vAlign w:val="bottom"/>
            <w:tcBorders>
              <w:top w:val="single" w:sz="8" w:color="0000EE"/>
              <w:bottom w:val="single" w:sz="8" w:color="auto"/>
            </w:tcBorders>
            <w:gridSpan w:val="8"/>
          </w:tcPr>
          <w:p>
            <w:pPr>
              <w:ind w:left="4400"/>
              <w:spacing w:after="0"/>
              <w:rPr>
                <w:sz w:val="20"/>
                <w:szCs w:val="20"/>
                <w:color w:val="auto"/>
              </w:rPr>
            </w:pPr>
            <w:r>
              <w:rPr>
                <w:rFonts w:ascii="Arial" w:cs="Arial" w:eastAsia="Arial" w:hAnsi="Arial"/>
                <w:sz w:val="18"/>
                <w:szCs w:val="18"/>
                <w:color w:val="auto"/>
              </w:rPr>
              <w:t>52</w:t>
            </w:r>
          </w:p>
        </w:tc>
        <w:tc>
          <w:tcPr>
            <w:tcW w:w="440" w:type="dxa"/>
            <w:vAlign w:val="bottom"/>
            <w:tcBorders>
              <w:top w:val="single" w:sz="8" w:color="0000EE"/>
              <w:bottom w:val="single" w:sz="8" w:color="auto"/>
            </w:tcBorders>
          </w:tcPr>
          <w:p>
            <w:pPr>
              <w:spacing w:after="0"/>
              <w:rPr>
                <w:sz w:val="24"/>
                <w:szCs w:val="24"/>
                <w:color w:val="auto"/>
              </w:rPr>
            </w:pPr>
          </w:p>
        </w:tc>
        <w:tc>
          <w:tcPr>
            <w:tcW w:w="236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8" w:name="page59"/>
    <w:bookmarkEnd w:id="58"/>
    <w:p>
      <w:pPr>
        <w:ind w:left="3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r:id="rId90">
        <w:r>
          <w:rPr>
            <w:rFonts w:ascii="Arial" w:cs="Arial" w:eastAsia="Arial" w:hAnsi="Arial"/>
            <w:sz w:val="16"/>
            <w:szCs w:val="16"/>
            <w:u w:val="single" w:color="auto"/>
            <w:color w:val="0000EE"/>
          </w:rPr>
          <w:t>Indemnity Agreement, dated September 1, 2020, by and between the Company and Eli Casdin.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hyperlink r:id="rId92">
        <w:r>
          <w:rPr>
            <w:rFonts w:ascii="Arial" w:cs="Arial" w:eastAsia="Arial" w:hAnsi="Arial"/>
            <w:sz w:val="16"/>
            <w:szCs w:val="16"/>
            <w:u w:val="single" w:color="auto"/>
            <w:color w:val="0000EE"/>
          </w:rPr>
          <w:t>Indemnity Agreement, dated September 1, 2020, by and between the Company and Keith Meister.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26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94">
        <w:r>
          <w:rPr>
            <w:rFonts w:ascii="Arial" w:cs="Arial" w:eastAsia="Arial" w:hAnsi="Arial"/>
            <w:sz w:val="16"/>
            <w:szCs w:val="16"/>
            <w:u w:val="single" w:color="auto"/>
            <w:color w:val="0000EE"/>
          </w:rPr>
          <w:t>Indemnity Agreement, dated September 1, 2020, by and between the Company and Brian Emes.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26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96">
        <w:r>
          <w:rPr>
            <w:rFonts w:ascii="Arial" w:cs="Arial" w:eastAsia="Arial" w:hAnsi="Arial"/>
            <w:sz w:val="16"/>
            <w:szCs w:val="16"/>
            <w:u w:val="single" w:color="auto"/>
            <w:color w:val="0000EE"/>
          </w:rPr>
          <w:t>Indemnity Agreement, dated September 1, 2020, by and between the Company and Shaun Rodriguez.</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26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98">
        <w:r>
          <w:rPr>
            <w:rFonts w:ascii="Arial" w:cs="Arial" w:eastAsia="Arial" w:hAnsi="Arial"/>
            <w:sz w:val="16"/>
            <w:szCs w:val="16"/>
            <w:u w:val="single" w:color="auto"/>
            <w:color w:val="0000EE"/>
          </w:rPr>
          <w:t>Indemnity Agreement, dated September 1, 2020, by and between the Company and Sean George.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26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100">
        <w:r>
          <w:rPr>
            <w:rFonts w:ascii="Arial" w:cs="Arial" w:eastAsia="Arial" w:hAnsi="Arial"/>
            <w:sz w:val="16"/>
            <w:szCs w:val="16"/>
            <w:u w:val="single" w:color="auto"/>
            <w:color w:val="0000EE"/>
          </w:rPr>
          <w:t>Indemnity Agreement, dated September 1, 2020, by and between the Company and Munib Islam.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26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10.14*</w:t>
      </w:r>
      <w:r>
        <w:rPr>
          <w:sz w:val="20"/>
          <w:szCs w:val="20"/>
          <w:color w:val="auto"/>
        </w:rPr>
        <w:tab/>
      </w:r>
      <w:hyperlink r:id="rId102">
        <w:r>
          <w:rPr>
            <w:rFonts w:ascii="Arial" w:cs="Arial" w:eastAsia="Arial" w:hAnsi="Arial"/>
            <w:sz w:val="16"/>
            <w:szCs w:val="16"/>
            <w:u w:val="single" w:color="auto"/>
            <w:color w:val="0000EE"/>
          </w:rPr>
          <w:t>Indemnity Agreement, dated September 1, 2020, by and between the Company and Emily Leproust.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26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04">
        <w:r>
          <w:rPr>
            <w:rFonts w:ascii="Arial" w:cs="Arial" w:eastAsia="Arial" w:hAnsi="Arial"/>
            <w:sz w:val="16"/>
            <w:szCs w:val="16"/>
            <w:u w:val="single" w:color="auto"/>
            <w:color w:val="0000EE"/>
          </w:rPr>
          <w:t>Indemnity Agreement, dated September 1, 2020, by and between the Company and Nat Turner.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both"/>
        <w:ind w:left="1140" w:hanging="836"/>
        <w:spacing w:after="0" w:line="277"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06">
        <w:r>
          <w:rPr>
            <w:rFonts w:ascii="Arial" w:cs="Arial" w:eastAsia="Arial" w:hAnsi="Arial"/>
            <w:sz w:val="18"/>
            <w:szCs w:val="18"/>
            <w:u w:val="single" w:color="auto"/>
            <w:color w:val="0000EE"/>
          </w:rPr>
          <w:t>Form of Subscription Agreement (incorporated by reference to Exhibit 10.1 to the Registrant’s Current Report on Form 8-K filed with the</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SEC on February 11,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jc w:val="both"/>
        <w:ind w:left="1140" w:hanging="836"/>
        <w:spacing w:after="0" w:line="263"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08">
        <w:r>
          <w:rPr>
            <w:rFonts w:ascii="Arial" w:cs="Arial" w:eastAsia="Arial" w:hAnsi="Arial"/>
            <w:sz w:val="18"/>
            <w:szCs w:val="18"/>
            <w:u w:val="single" w:color="auto"/>
            <w:color w:val="0000EE"/>
          </w:rPr>
          <w:t>Sponsor Support Agreement, dated as of February 9, 2021, by and between CMLS Holdings, LLC, and Mount Sinai Genomics, Inc. d/b/a</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Sema4 (incorporated by reference to Exhibit 10.4 to the Registrant’s Current Report on Form 8-K filed with the SEC on February 11,</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2021).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11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64" w:lineRule="exact"/>
        <w:rPr>
          <w:rFonts w:ascii="Arial" w:cs="Arial" w:eastAsia="Arial" w:hAnsi="Arial"/>
          <w:sz w:val="18"/>
          <w:szCs w:val="18"/>
          <w:u w:val="single" w:color="auto"/>
          <w:color w:val="0000EE"/>
        </w:rPr>
      </w:pPr>
    </w:p>
    <w:p>
      <w:pPr>
        <w:jc w:val="both"/>
        <w:ind w:left="1140" w:hanging="836"/>
        <w:spacing w:after="0" w:line="263"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10">
        <w:r>
          <w:rPr>
            <w:rFonts w:ascii="Arial" w:cs="Arial" w:eastAsia="Arial" w:hAnsi="Arial"/>
            <w:sz w:val="18"/>
            <w:szCs w:val="18"/>
            <w:u w:val="single" w:color="auto"/>
            <w:color w:val="0000EE"/>
          </w:rPr>
          <w:t>Forfeiture Agreement, dated as of February 9, 2021, by and among, CM Life Sciences, Inc., CMLS Holdings, LLC, and Mount Sinai</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Genomics, Inc. d/b/a Sema4 (incorporated by reference to Exhibit 10.3 to the Registrant’s Current Report on Form 8-K filed with the SEC</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on February 11, 2021).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11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p>
      <w:pPr>
        <w:spacing w:after="0" w:line="184" w:lineRule="exact"/>
        <w:rPr>
          <w:rFonts w:ascii="Arial" w:cs="Arial" w:eastAsia="Arial" w:hAnsi="Arial"/>
          <w:sz w:val="18"/>
          <w:szCs w:val="18"/>
          <w:u w:val="single" w:color="auto"/>
          <w:color w:val="0000EE"/>
        </w:rPr>
      </w:pPr>
    </w:p>
    <w:p>
      <w:pPr>
        <w:ind w:left="420"/>
        <w:spacing w:after="0"/>
        <w:rPr>
          <w:sz w:val="20"/>
          <w:szCs w:val="20"/>
          <w:color w:val="auto"/>
        </w:rPr>
      </w:pPr>
      <w:r>
        <w:rPr>
          <w:rFonts w:ascii="Arial" w:cs="Arial" w:eastAsia="Arial" w:hAnsi="Arial"/>
          <w:sz w:val="18"/>
          <w:szCs w:val="18"/>
          <w:color w:val="auto"/>
        </w:rPr>
        <w:t>14</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31.1**</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31.2**</w:t>
      </w:r>
    </w:p>
    <w:p>
      <w:pPr>
        <w:spacing w:after="0" w:line="200" w:lineRule="exact"/>
        <w:rPr>
          <w:rFonts w:ascii="Arial" w:cs="Arial" w:eastAsia="Arial" w:hAnsi="Arial"/>
          <w:sz w:val="18"/>
          <w:szCs w:val="18"/>
          <w:u w:val="single" w:color="auto"/>
          <w:color w:val="0000EE"/>
        </w:rPr>
      </w:pPr>
    </w:p>
    <w:p>
      <w:pPr>
        <w:spacing w:after="0" w:line="245"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7"/>
          <w:szCs w:val="17"/>
          <w:color w:val="auto"/>
        </w:rPr>
        <w:t>32.1</w:t>
      </w:r>
      <w:r>
        <w:rPr>
          <w:rFonts w:ascii="Arial" w:cs="Arial" w:eastAsia="Arial" w:hAnsi="Arial"/>
          <w:sz w:val="28"/>
          <w:szCs w:val="28"/>
          <w:color w:val="auto"/>
          <w:vertAlign w:val="superscript"/>
        </w:rPr>
        <w:t>+</w:t>
      </w:r>
    </w:p>
    <w:p>
      <w:pPr>
        <w:spacing w:after="0" w:line="32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7"/>
          <w:szCs w:val="17"/>
          <w:color w:val="auto"/>
        </w:rPr>
        <w:t>32.2</w:t>
      </w:r>
      <w:r>
        <w:rPr>
          <w:rFonts w:ascii="Arial" w:cs="Arial" w:eastAsia="Arial" w:hAnsi="Arial"/>
          <w:sz w:val="28"/>
          <w:szCs w:val="28"/>
          <w:color w:val="auto"/>
          <w:vertAlign w:val="superscript"/>
        </w:rPr>
        <w: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64" w:lineRule="exact"/>
        <w:rPr>
          <w:rFonts w:ascii="Arial" w:cs="Arial" w:eastAsia="Arial" w:hAnsi="Arial"/>
          <w:sz w:val="18"/>
          <w:szCs w:val="18"/>
          <w:u w:val="single" w:color="auto"/>
          <w:color w:val="0000EE"/>
        </w:rPr>
      </w:pPr>
    </w:p>
    <w:p>
      <w:pPr>
        <w:spacing w:after="0" w:line="277" w:lineRule="auto"/>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Code of Ethics (incorporated by reference to Exhibit 14 to the Registrant’s Registration Statement on Form S-1 (File No. 333-246251) filed</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with the SEC on August 24,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-293370</wp:posOffset>
            </wp:positionV>
            <wp:extent cx="713232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Certification of Principal Executive Officer Pursuant to Securities Exchange Act Rules 13a-14(a) and 15(d)-14(a), as adopted Pursuant to</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-293370</wp:posOffset>
            </wp:positionV>
            <wp:extent cx="713232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Certification of Principal Financial Officer Pursuant to Securities Exchange Act Rules 13a-14(a) and 15(d)-14(a), as adopted Pursuant to</w:t>
        </w:r>
      </w:hyperlink>
      <w:r>
        <w:rPr>
          <w:rFonts w:ascii="Arial" w:cs="Arial" w:eastAsia="Arial" w:hAnsi="Arial"/>
          <w:sz w:val="18"/>
          <w:szCs w:val="18"/>
          <w:u w:val="single" w:color="auto"/>
          <w:color w:val="0000EE"/>
        </w:rPr>
        <w:t xml:space="preserve"> </w:t>
      </w:r>
      <w:hyperlink w:anchor="page83">
        <w:r>
          <w:rPr>
            <w:rFonts w:ascii="Arial" w:cs="Arial" w:eastAsia="Arial" w:hAnsi="Arial"/>
            <w:sz w:val="18"/>
            <w:szCs w:val="18"/>
            <w:u w:val="single" w:color="auto"/>
            <w:color w:val="0000EE"/>
          </w:rPr>
          <w:t>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-293370</wp:posOffset>
            </wp:positionV>
            <wp:extent cx="71323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Certification of Principal Executive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84">
        <w:r>
          <w:rPr>
            <w:rFonts w:ascii="Arial" w:cs="Arial" w:eastAsia="Arial" w:hAnsi="Arial"/>
            <w:sz w:val="18"/>
            <w:szCs w:val="18"/>
            <w:u w:val="single" w:color="auto"/>
            <w:color w:val="0000EE"/>
          </w:rPr>
          <w:t>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-293370</wp:posOffset>
            </wp:positionV>
            <wp:extent cx="71323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Certification of Principal Financial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85">
        <w:r>
          <w:rPr>
            <w:rFonts w:ascii="Arial" w:cs="Arial" w:eastAsia="Arial" w:hAnsi="Arial"/>
            <w:sz w:val="18"/>
            <w:szCs w:val="18"/>
            <w:u w:val="single" w:color="auto"/>
            <w:color w:val="0000EE"/>
          </w:rPr>
          <w:t>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-293370</wp:posOffset>
            </wp:positionV>
            <wp:extent cx="713232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117475</wp:posOffset>
            </wp:positionV>
            <wp:extent cx="17830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 w:space="380"/>
            <w:col w:w="10080"/>
          </w:cols>
          <w:pgMar w:left="320" w:top="665" w:right="359" w:bottom="1440" w:gutter="0" w:footer="0" w:header="0"/>
          <w:type w:val="continuous"/>
        </w:sectPr>
      </w:pPr>
    </w:p>
    <w:p>
      <w:pPr>
        <w:spacing w:after="0" w:line="78" w:lineRule="exact"/>
        <w:rPr>
          <w:sz w:val="20"/>
          <w:szCs w:val="20"/>
          <w:color w:val="auto"/>
        </w:rPr>
      </w:pPr>
    </w:p>
    <w:p>
      <w:pPr>
        <w:ind w:right="9680" w:firstLine="8"/>
        <w:spacing w:after="0" w:line="267" w:lineRule="auto"/>
        <w:tabs>
          <w:tab w:leader="none" w:pos="337"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Previously filed. ** Filed herewith</w:t>
      </w:r>
      <w:r>
        <w:rPr>
          <w:rFonts w:ascii="Arial" w:cs="Arial" w:eastAsia="Arial" w:hAnsi="Arial"/>
          <w:sz w:val="20"/>
          <w:szCs w:val="20"/>
          <w:color w:val="auto"/>
        </w:rPr>
        <w:t>.</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Furnished herewith.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6"/>
          <w:szCs w:val="16"/>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Brian Emes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Secretary</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ectPr>
          <w:pgSz w:w="11900" w:h="16838" w:orient="portrait"/>
          <w:cols w:equalWidth="0" w:num="1">
            <w:col w:w="11240"/>
          </w:cols>
          <w:pgMar w:left="320" w:top="661"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0037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0037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Eli Casdin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0037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Emes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0037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Keith Meister</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0037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George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0037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Munib Islam</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0037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Emily Leproust</w:t>
      </w:r>
    </w:p>
    <w:p>
      <w:pPr>
        <w:spacing w:after="0" w:line="200" w:lineRule="exact"/>
        <w:rPr>
          <w:sz w:val="20"/>
          <w:szCs w:val="20"/>
          <w:color w:val="auto"/>
        </w:rPr>
      </w:pPr>
    </w:p>
    <w:p>
      <w:pPr>
        <w:spacing w:after="0" w:line="241" w:lineRule="exact"/>
        <w:rPr>
          <w:sz w:val="20"/>
          <w:szCs w:val="20"/>
          <w:color w:val="auto"/>
        </w:rPr>
      </w:pPr>
    </w:p>
    <w:p>
      <w:pPr>
        <w:ind w:left="580" w:right="2400" w:hanging="572"/>
        <w:spacing w:after="0" w:line="341" w:lineRule="auto"/>
        <w:tabs>
          <w:tab w:leader="none" w:pos="148" w:val="left"/>
        </w:tabs>
        <w:numPr>
          <w:ilvl w:val="0"/>
          <w:numId w:val="27"/>
        </w:numPr>
        <w:rPr>
          <w:rFonts w:ascii="Arial" w:cs="Arial" w:eastAsia="Arial" w:hAnsi="Arial"/>
          <w:sz w:val="17"/>
          <w:szCs w:val="17"/>
          <w:color w:val="auto"/>
        </w:rPr>
      </w:pPr>
      <w:r>
        <w:rPr>
          <w:rFonts w:ascii="Arial" w:cs="Arial" w:eastAsia="Arial" w:hAnsi="Arial"/>
          <w:sz w:val="17"/>
          <w:szCs w:val="17"/>
          <w:color w:val="auto"/>
        </w:rPr>
        <w:t>By: /s/ Brian Emes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-205740</wp:posOffset>
            </wp:positionV>
            <wp:extent cx="142303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Borders>
              <w:bottom w:val="single" w:sz="8" w:color="auto"/>
            </w:tcBorders>
          </w:tcPr>
          <w:p>
            <w:pPr>
              <w:ind w:left="200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1"/>
        </w:trPr>
        <w:tc>
          <w:tcPr>
            <w:tcW w:w="448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May 4, 2021</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900" w:type="dxa"/>
            <w:vAlign w:val="bottom"/>
          </w:tcPr>
          <w:p>
            <w:pPr>
              <w:spacing w:after="0"/>
              <w:rPr>
                <w:sz w:val="20"/>
                <w:szCs w:val="20"/>
                <w:color w:val="auto"/>
              </w:rPr>
            </w:pPr>
          </w:p>
        </w:tc>
      </w:tr>
      <w:tr>
        <w:trPr>
          <w:trHeight w:val="445"/>
        </w:trPr>
        <w:tc>
          <w:tcPr>
            <w:tcW w:w="4480" w:type="dxa"/>
            <w:vAlign w:val="bottom"/>
            <w:gridSpan w:val="2"/>
          </w:tcPr>
          <w:p>
            <w:pPr>
              <w:spacing w:after="0"/>
              <w:rPr>
                <w:sz w:val="20"/>
                <w:szCs w:val="20"/>
                <w:color w:val="auto"/>
              </w:rPr>
            </w:pPr>
            <w:r>
              <w:rPr>
                <w:rFonts w:ascii="Arial" w:cs="Arial" w:eastAsia="Arial" w:hAnsi="Arial"/>
                <w:sz w:val="18"/>
                <w:szCs w:val="18"/>
                <w:color w:val="auto"/>
              </w:rPr>
              <w:t>Chief Financial Officer and Secretary</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May 4, 2021</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1900" w:type="dxa"/>
            <w:vAlign w:val="bottom"/>
          </w:tcPr>
          <w:p>
            <w:pPr>
              <w:spacing w:after="0"/>
              <w:rPr>
                <w:sz w:val="20"/>
                <w:szCs w:val="20"/>
                <w:color w:val="auto"/>
              </w:rPr>
            </w:pPr>
          </w:p>
        </w:tc>
      </w:tr>
      <w:tr>
        <w:trPr>
          <w:trHeight w:val="459"/>
        </w:trPr>
        <w:tc>
          <w:tcPr>
            <w:tcW w:w="44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May 4, 2021</w:t>
            </w:r>
          </w:p>
        </w:tc>
      </w:tr>
      <w:tr>
        <w:trPr>
          <w:trHeight w:val="675"/>
        </w:trPr>
        <w:tc>
          <w:tcPr>
            <w:tcW w:w="44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May 4, 2021</w:t>
            </w:r>
          </w:p>
        </w:tc>
      </w:tr>
      <w:tr>
        <w:trPr>
          <w:trHeight w:val="675"/>
        </w:trPr>
        <w:tc>
          <w:tcPr>
            <w:tcW w:w="44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May 4, 2021</w:t>
            </w:r>
          </w:p>
        </w:tc>
      </w:tr>
      <w:tr>
        <w:trPr>
          <w:trHeight w:val="675"/>
        </w:trPr>
        <w:tc>
          <w:tcPr>
            <w:tcW w:w="44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May 4, 2021</w:t>
            </w:r>
          </w:p>
        </w:tc>
      </w:tr>
    </w:tbl>
    <w:p>
      <w:pPr>
        <w:spacing w:after="0" w:line="1402" w:lineRule="exact"/>
        <w:rPr>
          <w:sz w:val="20"/>
          <w:szCs w:val="20"/>
          <w:color w:val="auto"/>
        </w:rPr>
      </w:pPr>
    </w:p>
    <w:p>
      <w:pPr>
        <w:sectPr>
          <w:pgSz w:w="11900" w:h="16838" w:orient="portrait"/>
          <w:cols w:equalWidth="0" w:num="2">
            <w:col w:w="4140" w:space="720"/>
            <w:col w:w="6380"/>
          </w:cols>
          <w:pgMar w:left="320" w:top="661" w:right="339" w:bottom="1440" w:gutter="0" w:footer="0" w:header="0"/>
          <w:type w:val="continuous"/>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60" w:type="dxa"/>
            <w:vAlign w:val="bottom"/>
          </w:tcPr>
          <w:p>
            <w:pPr>
              <w:jc w:val="center"/>
              <w:ind w:right="1650"/>
              <w:spacing w:after="0"/>
              <w:rPr>
                <w:sz w:val="20"/>
                <w:szCs w:val="20"/>
                <w:color w:val="auto"/>
              </w:rPr>
            </w:pPr>
            <w:r>
              <w:rPr>
                <w:rFonts w:ascii="Arial" w:cs="Arial" w:eastAsia="Arial" w:hAnsi="Arial"/>
                <w:sz w:val="18"/>
                <w:szCs w:val="18"/>
                <w:b w:val="1"/>
                <w:bCs w:val="1"/>
                <w:color w:val="auto"/>
              </w:rPr>
              <w:t>CM LIFE SCIENCES, INC.</w:t>
            </w:r>
          </w:p>
        </w:tc>
        <w:tc>
          <w:tcPr>
            <w:tcW w:w="246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8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rPr>
              <w:t>INDEX TO FINANCIAL STATEMENTS</w:t>
            </w:r>
          </w:p>
        </w:tc>
        <w:tc>
          <w:tcPr>
            <w:tcW w:w="246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196"/>
        </w:trPr>
        <w:tc>
          <w:tcPr>
            <w:tcW w:w="8780" w:type="dxa"/>
            <w:vAlign w:val="bottom"/>
            <w:gridSpan w:val="8"/>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w:t>
              </w:r>
            </w:hyperlink>
          </w:p>
        </w:tc>
        <w:tc>
          <w:tcPr>
            <w:tcW w:w="2460" w:type="dxa"/>
            <w:vAlign w:val="bottom"/>
            <w:shd w:val="clear" w:color="auto" w:fill="CCEEFF"/>
          </w:tcPr>
          <w:p>
            <w:pPr>
              <w:jc w:val="center"/>
              <w:ind w:left="1370"/>
              <w:spacing w:after="0" w:line="176" w:lineRule="exact"/>
              <w:rPr>
                <w:sz w:val="20"/>
                <w:szCs w:val="20"/>
                <w:color w:val="auto"/>
              </w:rPr>
            </w:pPr>
            <w:r>
              <w:rPr>
                <w:rFonts w:ascii="Arial" w:cs="Arial" w:eastAsia="Arial" w:hAnsi="Arial"/>
                <w:sz w:val="18"/>
                <w:szCs w:val="18"/>
                <w:color w:val="auto"/>
                <w:w w:val="88"/>
              </w:rPr>
              <w:t>F-2</w:t>
            </w:r>
          </w:p>
        </w:tc>
      </w:tr>
      <w:tr>
        <w:trPr>
          <w:trHeight w:val="216"/>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456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0000EE"/>
            </w:tcBorders>
            <w:shd w:val="clear" w:color="auto" w:fill="CCEEFF"/>
          </w:tcPr>
          <w:p>
            <w:pPr>
              <w:ind w:left="20"/>
              <w:spacing w:after="0" w:line="176" w:lineRule="exact"/>
              <w:rPr>
                <w:rFonts w:ascii="Arial" w:cs="Arial" w:eastAsia="Arial" w:hAnsi="Arial"/>
                <w:sz w:val="18"/>
                <w:szCs w:val="18"/>
                <w:color w:val="0000EE"/>
                <w:w w:val="85"/>
              </w:rPr>
            </w:pPr>
            <w:hyperlink w:anchor="page63">
              <w:r>
                <w:rPr>
                  <w:rFonts w:ascii="Arial" w:cs="Arial" w:eastAsia="Arial" w:hAnsi="Arial"/>
                  <w:sz w:val="18"/>
                  <w:szCs w:val="18"/>
                  <w:color w:val="0000EE"/>
                  <w:w w:val="85"/>
                </w:rPr>
                <w:t>Balance Sheet</w:t>
              </w:r>
            </w:hyperlink>
          </w:p>
        </w:tc>
        <w:tc>
          <w:tcPr>
            <w:tcW w:w="7580" w:type="dxa"/>
            <w:vAlign w:val="bottom"/>
            <w:tcBorders>
              <w:bottom w:val="single" w:sz="8" w:color="CCEEFF"/>
            </w:tcBorders>
            <w:gridSpan w:val="6"/>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370"/>
              <w:spacing w:after="0" w:line="176" w:lineRule="exact"/>
              <w:rPr>
                <w:sz w:val="20"/>
                <w:szCs w:val="20"/>
                <w:color w:val="auto"/>
              </w:rPr>
            </w:pPr>
            <w:r>
              <w:rPr>
                <w:rFonts w:ascii="Arial" w:cs="Arial" w:eastAsia="Arial" w:hAnsi="Arial"/>
                <w:sz w:val="18"/>
                <w:szCs w:val="18"/>
                <w:color w:val="auto"/>
                <w:w w:val="88"/>
              </w:rPr>
              <w:t>F-3</w:t>
            </w:r>
          </w:p>
        </w:tc>
      </w:tr>
      <w:tr>
        <w:trPr>
          <w:trHeight w:val="176"/>
        </w:trPr>
        <w:tc>
          <w:tcPr>
            <w:tcW w:w="160" w:type="dxa"/>
            <w:vAlign w:val="bottom"/>
          </w:tcPr>
          <w:p>
            <w:pPr>
              <w:spacing w:after="0"/>
              <w:rPr>
                <w:sz w:val="15"/>
                <w:szCs w:val="15"/>
                <w:color w:val="auto"/>
              </w:rPr>
            </w:pPr>
          </w:p>
        </w:tc>
        <w:tc>
          <w:tcPr>
            <w:tcW w:w="8620" w:type="dxa"/>
            <w:vAlign w:val="bottom"/>
            <w:gridSpan w:val="7"/>
          </w:tcPr>
          <w:p>
            <w:pPr>
              <w:ind w:left="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Statement of Operations</w:t>
              </w:r>
            </w:hyperlink>
          </w:p>
        </w:tc>
        <w:tc>
          <w:tcPr>
            <w:tcW w:w="2460" w:type="dxa"/>
            <w:vAlign w:val="bottom"/>
          </w:tcPr>
          <w:p>
            <w:pPr>
              <w:jc w:val="center"/>
              <w:ind w:left="1370"/>
              <w:spacing w:after="0" w:line="176" w:lineRule="exact"/>
              <w:rPr>
                <w:sz w:val="20"/>
                <w:szCs w:val="20"/>
                <w:color w:val="auto"/>
              </w:rPr>
            </w:pPr>
            <w:r>
              <w:rPr>
                <w:rFonts w:ascii="Arial" w:cs="Arial" w:eastAsia="Arial" w:hAnsi="Arial"/>
                <w:sz w:val="18"/>
                <w:szCs w:val="18"/>
                <w:color w:val="auto"/>
                <w:w w:val="88"/>
              </w:rPr>
              <w:t>F-4</w:t>
            </w:r>
          </w:p>
        </w:tc>
      </w:tr>
      <w:tr>
        <w:trPr>
          <w:trHeight w:val="20"/>
        </w:trPr>
        <w:tc>
          <w:tcPr>
            <w:tcW w:w="16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Statement of Changes in Stockholders’ Equity</w:t>
              </w:r>
            </w:hyperlink>
          </w:p>
        </w:tc>
        <w:tc>
          <w:tcPr>
            <w:tcW w:w="2460" w:type="dxa"/>
            <w:vAlign w:val="bottom"/>
            <w:shd w:val="clear" w:color="auto" w:fill="CCEEFF"/>
          </w:tcPr>
          <w:p>
            <w:pPr>
              <w:jc w:val="center"/>
              <w:ind w:left="1370"/>
              <w:spacing w:after="0" w:line="176" w:lineRule="exact"/>
              <w:rPr>
                <w:sz w:val="20"/>
                <w:szCs w:val="20"/>
                <w:color w:val="auto"/>
              </w:rPr>
            </w:pPr>
            <w:r>
              <w:rPr>
                <w:rFonts w:ascii="Arial" w:cs="Arial" w:eastAsia="Arial" w:hAnsi="Arial"/>
                <w:sz w:val="18"/>
                <w:szCs w:val="18"/>
                <w:color w:val="auto"/>
                <w:w w:val="88"/>
              </w:rPr>
              <w:t>F-5</w:t>
            </w:r>
          </w:p>
        </w:tc>
      </w:tr>
      <w:tr>
        <w:trPr>
          <w:trHeight w:val="176"/>
        </w:trPr>
        <w:tc>
          <w:tcPr>
            <w:tcW w:w="160" w:type="dxa"/>
            <w:vAlign w:val="bottom"/>
            <w:tcBorders>
              <w:top w:val="single" w:sz="8" w:color="CCEEFF"/>
            </w:tcBorders>
          </w:tcPr>
          <w:p>
            <w:pPr>
              <w:spacing w:after="0"/>
              <w:rPr>
                <w:sz w:val="15"/>
                <w:szCs w:val="15"/>
                <w:color w:val="auto"/>
              </w:rPr>
            </w:pPr>
          </w:p>
        </w:tc>
        <w:tc>
          <w:tcPr>
            <w:tcW w:w="3340" w:type="dxa"/>
            <w:vAlign w:val="bottom"/>
            <w:tcBorders>
              <w:top w:val="single" w:sz="8" w:color="0000EE"/>
            </w:tcBorders>
            <w:gridSpan w:val="5"/>
          </w:tcPr>
          <w:p>
            <w:pPr>
              <w:ind w:left="2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Statement of Cash Flows</w:t>
              </w:r>
            </w:hyperlink>
          </w:p>
        </w:tc>
        <w:tc>
          <w:tcPr>
            <w:tcW w:w="5280" w:type="dxa"/>
            <w:vAlign w:val="bottom"/>
            <w:tcBorders>
              <w:top w:val="single" w:sz="8" w:color="CCEEFF"/>
            </w:tcBorders>
            <w:gridSpan w:val="2"/>
          </w:tcPr>
          <w:p>
            <w:pPr>
              <w:spacing w:after="0"/>
              <w:rPr>
                <w:sz w:val="15"/>
                <w:szCs w:val="15"/>
                <w:color w:val="auto"/>
              </w:rPr>
            </w:pPr>
          </w:p>
        </w:tc>
        <w:tc>
          <w:tcPr>
            <w:tcW w:w="2460" w:type="dxa"/>
            <w:vAlign w:val="bottom"/>
            <w:tcBorders>
              <w:top w:val="single" w:sz="8" w:color="CCEEFF"/>
            </w:tcBorders>
          </w:tcPr>
          <w:p>
            <w:pPr>
              <w:jc w:val="center"/>
              <w:ind w:left="1370"/>
              <w:spacing w:after="0" w:line="176" w:lineRule="exact"/>
              <w:rPr>
                <w:sz w:val="20"/>
                <w:szCs w:val="20"/>
                <w:color w:val="auto"/>
              </w:rPr>
            </w:pPr>
            <w:r>
              <w:rPr>
                <w:rFonts w:ascii="Arial" w:cs="Arial" w:eastAsia="Arial" w:hAnsi="Arial"/>
                <w:sz w:val="18"/>
                <w:szCs w:val="18"/>
                <w:color w:val="auto"/>
                <w:w w:val="88"/>
              </w:rPr>
              <w:t>F-6</w:t>
            </w:r>
          </w:p>
        </w:tc>
      </w:tr>
      <w:tr>
        <w:trPr>
          <w:trHeight w:val="21"/>
        </w:trPr>
        <w:tc>
          <w:tcPr>
            <w:tcW w:w="16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Notes to Financial Statements</w:t>
              </w:r>
            </w:hyperlink>
          </w:p>
        </w:tc>
        <w:tc>
          <w:tcPr>
            <w:tcW w:w="2460" w:type="dxa"/>
            <w:vAlign w:val="bottom"/>
            <w:shd w:val="clear" w:color="auto" w:fill="CCEEFF"/>
          </w:tcPr>
          <w:p>
            <w:pPr>
              <w:jc w:val="center"/>
              <w:ind w:left="1390"/>
              <w:spacing w:after="0" w:line="176" w:lineRule="exact"/>
              <w:rPr>
                <w:sz w:val="20"/>
                <w:szCs w:val="20"/>
                <w:color w:val="auto"/>
              </w:rPr>
            </w:pPr>
            <w:r>
              <w:rPr>
                <w:rFonts w:ascii="Arial" w:cs="Arial" w:eastAsia="Arial" w:hAnsi="Arial"/>
                <w:sz w:val="18"/>
                <w:szCs w:val="18"/>
                <w:color w:val="auto"/>
                <w:w w:val="92"/>
              </w:rPr>
              <w:t>F-7 to F-21</w:t>
            </w:r>
          </w:p>
        </w:tc>
      </w:tr>
      <w:tr>
        <w:trPr>
          <w:trHeight w:val="614"/>
        </w:trPr>
        <w:tc>
          <w:tcPr>
            <w:tcW w:w="16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4560" w:type="dxa"/>
            <w:vAlign w:val="bottom"/>
            <w:tcBorders>
              <w:top w:val="single" w:sz="8" w:color="CCEEFF"/>
              <w:bottom w:val="single" w:sz="8" w:color="auto"/>
            </w:tcBorders>
          </w:tcPr>
          <w:p>
            <w:pPr>
              <w:jc w:val="center"/>
              <w:ind w:right="1670"/>
              <w:spacing w:after="0"/>
              <w:rPr>
                <w:sz w:val="20"/>
                <w:szCs w:val="20"/>
                <w:color w:val="auto"/>
              </w:rPr>
            </w:pPr>
            <w:r>
              <w:rPr>
                <w:rFonts w:ascii="Arial" w:cs="Arial" w:eastAsia="Arial" w:hAnsi="Arial"/>
                <w:sz w:val="18"/>
                <w:szCs w:val="18"/>
                <w:color w:val="auto"/>
                <w:w w:val="88"/>
              </w:rPr>
              <w:t>F-1</w:t>
            </w:r>
          </w:p>
        </w:tc>
        <w:tc>
          <w:tcPr>
            <w:tcW w:w="24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1" w:name="page62"/>
    <w:bookmarkEnd w:id="61"/>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have audited the accompanying balance sheet of CM Life Sciences, Inc. (the “Company”), as of December 31, 2020, the related statements of operations, changes in stockholders’ equity and cash flows for the period from July 10,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July 10, 2020 (inception) through December 31, 2020,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Restatement of Financial Statements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discussed in Note 2 to the financial statements, the Securities and Exchange Commission issued a public statement entitled Staff Statement on Accounting and Reporting Considerations for Warrants Issued by Special Purpose Acquisition Companies (“SPACs”) (the “Public Statement”) on April 12, 2021, which discusses the accounting for certain warrants as liabilities. The Company previously accounted for its warrants as equity instruments. Management evaluated its warrants against the Public Statement, and determined that the warrants should be accounted for as liabilities. Accordingly, the 2020 financial statements have been restated to correct the accounting and related disclosure for the warrants.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Prepaid expenses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Current Assets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8"/>
          <w:szCs w:val="18"/>
          <w:color w:val="auto"/>
        </w:rPr>
        <w:t xml:space="preserve">Cash and marketable securities held in trust account </w:t>
      </w:r>
      <w:r>
        <w:rPr>
          <w:rFonts w:ascii="Arial" w:cs="Arial" w:eastAsia="Arial" w:hAnsi="Arial"/>
          <w:sz w:val="18"/>
          <w:szCs w:val="18"/>
          <w:b w:val="1"/>
          <w:bCs w:val="1"/>
          <w:color w:val="auto"/>
        </w:rPr>
        <w:t>Total Assets</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LIABILITIES AND STOCKHOLDERS’ EQUITY </w:t>
      </w:r>
      <w:r>
        <w:rPr>
          <w:rFonts w:ascii="Arial" w:cs="Arial" w:eastAsia="Arial" w:hAnsi="Arial"/>
          <w:sz w:val="18"/>
          <w:szCs w:val="18"/>
          <w:color w:val="auto"/>
        </w:rPr>
        <w:t>Current liabilities</w:t>
      </w:r>
    </w:p>
    <w:p>
      <w:pPr>
        <w:ind w:left="160" w:right="880"/>
        <w:spacing w:after="0" w:line="307" w:lineRule="auto"/>
        <w:rPr>
          <w:sz w:val="20"/>
          <w:szCs w:val="20"/>
          <w:color w:val="auto"/>
        </w:rPr>
      </w:pPr>
      <w:r>
        <w:rPr>
          <w:rFonts w:ascii="Arial" w:cs="Arial" w:eastAsia="Arial" w:hAnsi="Arial"/>
          <w:sz w:val="18"/>
          <w:szCs w:val="18"/>
          <w:color w:val="auto"/>
        </w:rPr>
        <w:t>Accounts payable and accrued expenses Total Current Liabilities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Warrant liability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Deferred underwriting fee payable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br w:type="column"/>
      </w:r>
    </w:p>
    <w:p>
      <w:pPr>
        <w:jc w:val="center"/>
        <w:ind w:right="418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right="4180"/>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ind w:right="4180"/>
        <w:spacing w:after="0"/>
        <w:rPr>
          <w:sz w:val="20"/>
          <w:szCs w:val="20"/>
          <w:color w:val="auto"/>
        </w:rPr>
      </w:pPr>
      <w:r>
        <w:rPr>
          <w:rFonts w:ascii="Arial" w:cs="Arial" w:eastAsia="Arial" w:hAnsi="Arial"/>
          <w:sz w:val="16"/>
          <w:szCs w:val="16"/>
          <w:b w:val="1"/>
          <w:bCs w:val="1"/>
          <w:color w:val="auto"/>
        </w:rPr>
        <w:t>DECEMBER 31, 2020 (As Restated)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5800"/>
        <w:spacing w:after="0"/>
        <w:tabs>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1,094,681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-121920</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277,031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14605</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1,371,712</w:t>
      </w:r>
    </w:p>
    <w:p>
      <w:pPr>
        <w:spacing w:after="0" w:line="23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442,763,951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-115570</wp:posOffset>
            </wp:positionV>
            <wp:extent cx="7132320" cy="16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2" w:lineRule="exact"/>
        <w:rPr>
          <w:sz w:val="20"/>
          <w:szCs w:val="20"/>
          <w:color w:val="auto"/>
        </w:rPr>
      </w:pPr>
    </w:p>
    <w:p>
      <w:pPr>
        <w:ind w:left="5800"/>
        <w:spacing w:after="0"/>
        <w:rPr>
          <w:sz w:val="20"/>
          <w:szCs w:val="20"/>
          <w:color w:val="auto"/>
        </w:rPr>
      </w:pPr>
      <w:r>
        <w:rPr>
          <w:rFonts w:ascii="Arial" w:cs="Arial" w:eastAsia="Arial" w:hAnsi="Arial"/>
          <w:sz w:val="17"/>
          <w:szCs w:val="17"/>
          <w:b w:val="1"/>
          <w:bCs w:val="1"/>
          <w:u w:val="single" w:color="auto"/>
          <w:color w:val="auto"/>
        </w:rPr>
        <w:t>$ 444,135,663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341630</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41910</wp:posOffset>
            </wp:positionV>
            <wp:extent cx="713232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97,120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29210</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97,120</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70,322,418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-121920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15,496,250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14605</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85,915,788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171450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58" w:lineRule="exact"/>
        <w:rPr>
          <w:sz w:val="20"/>
          <w:szCs w:val="20"/>
          <w:color w:val="auto"/>
        </w:rPr>
      </w:pPr>
    </w:p>
    <w:p>
      <w:pPr>
        <w:sectPr>
          <w:pgSz w:w="11900" w:h="16838" w:orient="portrait"/>
          <w:cols w:equalWidth="0" w:num="2">
            <w:col w:w="3920" w:space="300"/>
            <w:col w:w="6980"/>
          </w:cols>
          <w:pgMar w:left="320" w:top="621" w:right="37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subject to possible redemption, 35,321,987 shares at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60" w:right="140" w:hanging="145"/>
        <w:spacing w:after="0" w:line="250" w:lineRule="auto"/>
        <w:rPr>
          <w:sz w:val="20"/>
          <w:szCs w:val="20"/>
          <w:color w:val="auto"/>
        </w:rPr>
      </w:pPr>
      <w:r>
        <w:rPr>
          <w:rFonts w:ascii="Arial" w:cs="Arial" w:eastAsia="Arial" w:hAnsi="Arial"/>
          <w:sz w:val="18"/>
          <w:szCs w:val="18"/>
          <w:color w:val="auto"/>
        </w:rPr>
        <w:t>Class A common stock, $0.0001 par value; 380,000,000 shares authorized; 8,953,013 shares issued and outstanding (excluding 35,321,987 shares subject to possible redemption)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Class B common stock, $0.0001 par value; 20,000,000 shares authorized; 11,068,750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353,219,870</w:t>
      </w:r>
    </w:p>
    <w:p>
      <w:pPr>
        <w:spacing w:after="0" w:line="200" w:lineRule="exact"/>
        <w:rPr>
          <w:sz w:val="20"/>
          <w:szCs w:val="20"/>
          <w:color w:val="auto"/>
        </w:rPr>
      </w:pPr>
    </w:p>
    <w:p>
      <w:pPr>
        <w:spacing w:after="0" w:line="25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895</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1,107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44,905,602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(39,907,599)</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5,000,005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$ 444,135,663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180"/>
          </w:cols>
          <w:pgMar w:left="320" w:top="621" w:right="379" w:bottom="1440" w:gutter="0" w:footer="0" w:header="0"/>
          <w:type w:val="continuous"/>
        </w:sectPr>
      </w:pP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The accompanying notes are an integral part of the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21" w:right="37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DECEMBER 31, 2020 (As Restated)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206,195</w:t>
            </w:r>
          </w:p>
        </w:tc>
      </w:tr>
      <w:tr>
        <w:trPr>
          <w:trHeight w:val="203"/>
        </w:trPr>
        <w:tc>
          <w:tcPr>
            <w:tcW w:w="10020" w:type="dxa"/>
            <w:vAlign w:val="bottom"/>
            <w:tcBorders>
              <w:top w:val="single" w:sz="8" w:color="CCEEFF"/>
            </w:tcBorders>
          </w:tcPr>
          <w:p>
            <w:pPr>
              <w:ind w:left="160"/>
              <w:spacing w:after="0" w:line="203" w:lineRule="exact"/>
              <w:rPr>
                <w:sz w:val="20"/>
                <w:szCs w:val="20"/>
                <w:color w:val="auto"/>
              </w:rPr>
            </w:pPr>
            <w:r>
              <w:rPr>
                <w:rFonts w:ascii="Arial" w:cs="Arial" w:eastAsia="Arial" w:hAnsi="Arial"/>
                <w:sz w:val="18"/>
                <w:szCs w:val="18"/>
                <w:b w:val="1"/>
                <w:bCs w:val="1"/>
                <w:color w:val="auto"/>
              </w:rPr>
              <w:t>Loss from operations</w:t>
            </w: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(206,195)</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21" w:right="339" w:bottom="1440" w:gutter="0" w:footer="0" w:header="0"/>
        </w:sectPr>
      </w:pPr>
    </w:p>
    <w:p>
      <w:pPr>
        <w:spacing w:after="0"/>
        <w:rPr>
          <w:sz w:val="20"/>
          <w:szCs w:val="20"/>
          <w:color w:val="auto"/>
        </w:rPr>
      </w:pPr>
      <w:r>
        <w:rPr>
          <w:rFonts w:ascii="Arial" w:cs="Arial" w:eastAsia="Arial" w:hAnsi="Arial"/>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Interest earned on investments held in Trust Account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Transaction Costs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Loss before provision for income taxes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13,951</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(38,510,584)</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(1,204,771)</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(39,907,599)</w:t>
      </w:r>
    </w:p>
    <w:p>
      <w:pPr>
        <w:spacing w:after="0" w:line="90" w:lineRule="exact"/>
        <w:rPr>
          <w:sz w:val="20"/>
          <w:szCs w:val="20"/>
          <w:color w:val="auto"/>
        </w:rPr>
      </w:pPr>
    </w:p>
    <w:p>
      <w:pPr>
        <w:sectPr>
          <w:pgSz w:w="11900" w:h="16838" w:orient="portrait"/>
          <w:cols w:equalWidth="0" w:num="2">
            <w:col w:w="9540" w:space="720"/>
            <w:col w:w="980"/>
          </w:cols>
          <w:pgMar w:left="320" w:top="621"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10020" w:type="dxa"/>
            <w:vAlign w:val="bottom"/>
            <w:tcBorders>
              <w:top w:val="single" w:sz="8" w:color="CCEEFF"/>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(39,907,599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10,633,062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(3.75</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DECEMBER 31, 2020 (As Restated)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Class A</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B</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p>
        </w:tc>
        <w:tc>
          <w:tcPr>
            <w:tcW w:w="27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Common Stock</w:t>
            </w:r>
          </w:p>
        </w:tc>
        <w:tc>
          <w:tcPr>
            <w:tcW w:w="26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12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3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84"/>
        </w:trPr>
        <w:tc>
          <w:tcPr>
            <w:tcW w:w="19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5"/>
              </w:rPr>
              <w:t>Balance – July 10, 2020</w:t>
            </w: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(Inception)</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Class B</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to</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initial stockholders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11,068,750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23,893</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44,275,000</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net of</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underwriting discounts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44,275,000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4,427</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398,098,047</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398,102,474</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subject</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to possible redemption</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(35,321,987)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(353,216,338)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(353,219,870)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(39,907,599)</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16"/>
        </w:trPr>
        <w:tc>
          <w:tcPr>
            <w:tcW w:w="19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December</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8,953,013</w:t>
            </w: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895</w:t>
            </w: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11,068,750</w:t>
            </w: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44,905,602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(39,907,599)</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31, 2020</w:t>
            </w:r>
          </w:p>
        </w:tc>
        <w:tc>
          <w:tcPr>
            <w:tcW w:w="1280" w:type="dxa"/>
            <w:vAlign w:val="bottom"/>
            <w:gridSpan w:val="2"/>
            <w:vMerge w:val="continue"/>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65" w:name="page66"/>
    <w:bookmarkEnd w:id="65"/>
    <w:p>
      <w:pPr>
        <w:jc w:val="center"/>
        <w:ind w:left="176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left="176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left="1760"/>
        <w:spacing w:after="0"/>
        <w:rPr>
          <w:sz w:val="20"/>
          <w:szCs w:val="20"/>
          <w:color w:val="auto"/>
        </w:rPr>
      </w:pPr>
      <w:r>
        <w:rPr>
          <w:rFonts w:ascii="Arial" w:cs="Arial" w:eastAsia="Arial" w:hAnsi="Arial"/>
          <w:sz w:val="17"/>
          <w:szCs w:val="17"/>
          <w:b w:val="1"/>
          <w:bCs w:val="1"/>
          <w:color w:val="auto"/>
        </w:rPr>
        <w:t>FOR THE PERIOD JULY 10, 2020 (INCEPTION) THROUGH DECEMBER 31, 2020 (As Restated)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Interest earned on investments held in Trust Account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Change in fair value of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Transaction costs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Accrued expenses</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Investment of cash into Trust Account</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 of Units, net of underwriting discounts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sale of Private Placement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promissory note –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of offering costs</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Initial classification of common stock subject to possible 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40"/>
        <w:spacing w:after="0"/>
        <w:tabs>
          <w:tab w:leader="none" w:pos="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(39,907,599)</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(13,951)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38,510,584</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1,204,771</w:t>
      </w:r>
    </w:p>
    <w:p>
      <w:pPr>
        <w:spacing w:after="0" w:line="21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(277,031)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97,120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(386,106)</w:t>
      </w:r>
    </w:p>
    <w:p>
      <w:pPr>
        <w:spacing w:after="0" w:line="200" w:lineRule="exact"/>
        <w:rPr>
          <w:sz w:val="20"/>
          <w:szCs w:val="20"/>
          <w:color w:val="auto"/>
        </w:rPr>
      </w:pPr>
    </w:p>
    <w:p>
      <w:pPr>
        <w:spacing w:after="0" w:line="28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(442,750,000)</w:t>
      </w:r>
    </w:p>
    <w:p>
      <w:pPr>
        <w:spacing w:after="0" w:line="37"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(442,750,000)</w:t>
      </w:r>
    </w:p>
    <w:p>
      <w:pPr>
        <w:spacing w:after="0" w:line="200" w:lineRule="exact"/>
        <w:rPr>
          <w:sz w:val="20"/>
          <w:szCs w:val="20"/>
          <w:color w:val="auto"/>
        </w:rPr>
      </w:pPr>
    </w:p>
    <w:p>
      <w:pPr>
        <w:spacing w:after="0" w:line="28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433,895,000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10,855,000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112,837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(165,081)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(466,969)</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444,230,787</w:t>
      </w:r>
    </w:p>
    <w:p>
      <w:pPr>
        <w:spacing w:after="0" w:line="264"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1,094,681</w:t>
      </w:r>
    </w:p>
    <w:p>
      <w:pPr>
        <w:spacing w:after="0" w:line="2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58" w:lineRule="exact"/>
        <w:rPr>
          <w:sz w:val="20"/>
          <w:szCs w:val="20"/>
          <w:color w:val="auto"/>
        </w:rPr>
      </w:pPr>
    </w:p>
    <w:p>
      <w:pPr>
        <w:ind w:left="400" w:hanging="395"/>
        <w:spacing w:after="0"/>
        <w:tabs>
          <w:tab w:leader="none" w:pos="400" w:val="left"/>
        </w:tabs>
        <w:numPr>
          <w:ilvl w:val="0"/>
          <w:numId w:val="28"/>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1,094,681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70294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  380,268,982</w:t>
      </w:r>
    </w:p>
    <w:p>
      <w:pPr>
        <w:spacing w:after="0" w:line="55" w:lineRule="exact"/>
        <w:rPr>
          <w:sz w:val="20"/>
          <w:szCs w:val="20"/>
          <w:color w:val="auto"/>
        </w:rPr>
      </w:pPr>
    </w:p>
    <w:p>
      <w:pPr>
        <w:sectPr>
          <w:pgSz w:w="11900" w:h="16838" w:orient="portrait"/>
          <w:cols w:equalWidth="0" w:num="2">
            <w:col w:w="9480" w:space="540"/>
            <w:col w:w="1220"/>
          </w:cols>
          <w:pgMar w:left="320" w:top="621" w:right="339" w:bottom="1440" w:gutter="0" w:footer="0" w:header="0"/>
        </w:sectPr>
      </w:pPr>
    </w:p>
    <w:tbl>
      <w:tblPr>
        <w:tblLayout w:type="fixed"/>
        <w:tblInd w:w="0" w:type="dxa"/>
        <w:tblCellMar>
          <w:top w:w="0" w:type="dxa"/>
          <w:left w:w="0" w:type="dxa"/>
          <w:bottom w:w="0" w:type="dxa"/>
          <w:right w:w="0" w:type="dxa"/>
        </w:tblCellMar>
      </w:tblPr>
      <w:tr>
        <w:trPr>
          <w:trHeight w:val="28"/>
        </w:trPr>
        <w:tc>
          <w:tcPr>
            <w:tcW w:w="100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80" w:type="dxa"/>
            <w:vAlign w:val="bottom"/>
            <w:tcBorders>
              <w:bottom w:val="single" w:sz="8" w:color="auto"/>
            </w:tcBorders>
            <w:shd w:val="clear" w:color="auto" w:fill="000000"/>
          </w:tcPr>
          <w:p>
            <w:pPr>
              <w:spacing w:after="0"/>
              <w:rPr>
                <w:sz w:val="2"/>
                <w:szCs w:val="2"/>
                <w:color w:val="auto"/>
              </w:rPr>
            </w:pPr>
          </w:p>
        </w:tc>
        <w:tc>
          <w:tcPr>
            <w:tcW w:w="940" w:type="dxa"/>
            <w:vAlign w:val="bottom"/>
            <w:tcBorders>
              <w:bottom w:val="single" w:sz="8" w:color="auto"/>
            </w:tcBorders>
            <w:shd w:val="clear" w:color="auto" w:fill="000000"/>
          </w:tcPr>
          <w:p>
            <w:pPr>
              <w:spacing w:after="0"/>
              <w:rPr>
                <w:sz w:val="2"/>
                <w:szCs w:val="2"/>
                <w:color w:val="auto"/>
              </w:rPr>
            </w:pPr>
          </w:p>
        </w:tc>
        <w:tc>
          <w:tcPr>
            <w:tcW w:w="10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(27,049,112</w:t>
            </w: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Initial classification of warrant liabilities</w:t>
            </w: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31,811,834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Deferred underwriting fee payable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15,496,250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Offering costs paid directly by Sponsor in consideration for the issuance of Class B common stock</w:t>
            </w: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Payment of offering costs through promissory note — related party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July 10, 2020 (inception) through December 31, 2020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4.</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5.</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Transaction costs charged to equity amounted to $24,895,463, consisting of $8,855,000 in cash underwriting fees, $15,496,250 of deferred underwriting fees and $544,213 of other offering costs. Of the total transaction costs of the Initial Public Offering, $1,204,771 is included in transactions costs in the statement of operations and $23,690,693 is included in shareholders’ equity. In addition, as of December 31, 2020, cash of $1,094,681 was held outside of the Trust Account (as defined below) and is available for the payment of offering costs and for working capital purposes.</w:t>
      </w:r>
    </w:p>
    <w:p>
      <w:pPr>
        <w:spacing w:after="0" w:line="15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6)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previously accounted for its outstanding Public Warrants (as defined in Note 4)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connection with the audit of the Company’s financial statements for the period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Private Placement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 concluded the tender offer provision included in the warrant agreement fails the “classified in shareholders’ equity” criteria as contemplated by ASC Section 815-40-25.</w:t>
      </w:r>
    </w:p>
    <w:p>
      <w:pPr>
        <w:spacing w:after="0" w:line="1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 In addition, at the IPO, the Company re-allocated a portion of the IPO transaction costs related to the warrant liabilities, which resulted in additional operating costs that were expensed through the statement of operations.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operating expenses, cash flows or cash.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As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Previously</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w:t>
            </w: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Reported</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Adjustments</w:t>
            </w:r>
          </w:p>
        </w:tc>
        <w:tc>
          <w:tcPr>
            <w:tcW w:w="16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Restated</w:t>
            </w: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sheet as of September 4, 2020 (audited)</w:t>
            </w: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43,462,868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43,462,868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Class A Common Stock Subject to Possible Redemption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423,731,850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(43,462,868)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380,268,982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5,001,390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12,855,371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17,856,761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(12,855,805)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(12,858,486)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5,000,006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5,000,006</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48,148,484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48,148.484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Class A Common Stock Subject to Possible Redemption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423,677,610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(48,148,484)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375,529,126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5,055,629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17,540,941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22,596,570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(17,541,422)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(17,598,345)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5,000,004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5,000,004</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sheet as of December 31, 2020 (audited)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70,322,418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70,322,418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Class A Common Stock Subject to Possible Redemption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423,542,290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(70,322,420)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353,219,870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5,190,948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39,714,654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44,905,602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(192,244)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(39,715,355)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(39,907,599)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5,000,003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5,000,005</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Period from July 10, 2020 (inception) to September 30, 2020 (unaudited)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warrant liability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16,336,651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16,336,651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Transaction costs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1,204,771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1,204,771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(17,541,422)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(17,598,345)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44,275,000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44,275,000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 Class A redeemable common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11,068,750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11,068,750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Period from July 10, 2020 (inception) to December 31, 2020 (audited)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 in value of warrant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38,510,584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38,510,584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1,204,771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1,204,771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(192,244)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(39,715,354)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(39,907,599)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44,275,000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44,275,000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earnings per share, Class A redeemable common stock</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10,633,062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10,633,062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32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Cash Flow Statement for the Period from July 10, 2020 (inception) to September 30, 2020</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(17,541,422)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(17,598,345)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Allocation of initial public offering costs to warrant liability</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1,204,771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1,204,771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16,336,651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16,336,651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Initial classification of warrant liability</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31,811,834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31,811,834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423,731,850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(43,462,868)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380,268,982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(54,240)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(4,685,617)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(4,739,857)</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32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6"/>
              </w:rPr>
              <w:t>Cash Flow Statement for the Period from July 10, 2020 (inception) to December 31, 2020</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(audited)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(192,244)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(39,715,355)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(39,907,599)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38,510,584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38,510,584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initial public offering costs to warrant liability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1,204,771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1,204,771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Initial classification of warrant liability</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31,811,834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31,811,834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423,731,850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(43,462,868)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380,268,982</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(1,539,252)</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(25,509,860)</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(27,049,112)</w:t>
            </w:r>
          </w:p>
        </w:tc>
      </w:tr>
    </w:tbl>
    <w:p>
      <w:pPr>
        <w:spacing w:after="0" w:line="200" w:lineRule="exact"/>
        <w:rPr>
          <w:sz w:val="20"/>
          <w:szCs w:val="20"/>
          <w:color w:val="auto"/>
        </w:rPr>
      </w:pPr>
    </w:p>
    <w:p>
      <w:pPr>
        <w:sectPr>
          <w:pgSz w:w="11900" w:h="16838" w:orient="portrait"/>
          <w:cols w:equalWidth="0" w:num="1">
            <w:col w:w="11240"/>
          </w:cols>
          <w:pgMar w:left="320" w:top="405" w:right="339" w:bottom="115"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15"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2020, Class A common stock subject to possible redemption is presented as temporary equity, outside of the stockholders’ equity section of the Company’s balance sheet.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Offering costs consist of underwriting, legal, accounting and other expenses incurred through the Initial Public Offering that are directly related to the Initial Public Offering. Offering costs amounting to $23,690,693 were charged to stockholders’ equity upon the completion of the Initial Public Offering. At the IPO date, $1,204,771 of offering costs were expensed through the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21,995,000 shares of Class A common stock in the calculation of diluted income per share, since the exercise of the warrants are contingent upon the occurrence of future events and the inclusion of such warrants would be anti-dilutive.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Company’s statement of operations includes a presentation of income (loss) per share for common shares subject to possible redemption in a manner similar to the two-class method of income (loss) per share. Net income per common share, basic and diluted, for Class A redeemable common stock is calculated by dividing the interest income earned on the Trust Account less income and franchise taxes, by the weighted average number of Class A redeemable common stock outstanding since original issuance. Net loss per share, basic and diluted, for Class B non-redeemable common stock is calculated by dividing the net loss, adjusted for income attributable to Class A redeemable common stock, net of applicable franchise and income taxes,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8"/>
              </w:rPr>
              <w:t>For the Period</w:t>
            </w: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From</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July 10, 2020</w:t>
            </w: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Through</w:t>
            </w:r>
          </w:p>
        </w:tc>
      </w:tr>
      <w:tr>
        <w:trPr>
          <w:trHeight w:val="229"/>
        </w:trPr>
        <w:tc>
          <w:tcPr>
            <w:tcW w:w="1002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0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02"/>
        </w:trPr>
        <w:tc>
          <w:tcPr>
            <w:tcW w:w="10020" w:type="dxa"/>
            <w:vAlign w:val="bottom"/>
          </w:tcPr>
          <w:p>
            <w:pPr>
              <w:spacing w:after="0" w:line="201" w:lineRule="exact"/>
              <w:rPr>
                <w:sz w:val="20"/>
                <w:szCs w:val="20"/>
                <w:color w:val="auto"/>
              </w:rPr>
            </w:pPr>
            <w:r>
              <w:rPr>
                <w:rFonts w:ascii="Arial" w:cs="Arial" w:eastAsia="Arial" w:hAnsi="Arial"/>
                <w:sz w:val="18"/>
                <w:szCs w:val="18"/>
                <w:color w:val="auto"/>
              </w:rPr>
              <w:t>Redeemable Class A Common Stock</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0020" w:type="dxa"/>
            <w:vAlign w:val="bottom"/>
          </w:tcPr>
          <w:p>
            <w:pPr>
              <w:ind w:left="160"/>
              <w:spacing w:after="0"/>
              <w:rPr>
                <w:sz w:val="20"/>
                <w:szCs w:val="20"/>
                <w:color w:val="auto"/>
              </w:rPr>
            </w:pPr>
            <w:r>
              <w:rPr>
                <w:rFonts w:ascii="Arial" w:cs="Arial" w:eastAsia="Arial" w:hAnsi="Arial"/>
                <w:sz w:val="18"/>
                <w:szCs w:val="18"/>
                <w:color w:val="auto"/>
              </w:rPr>
              <w:t>Numerator: Earnings allocable to Redeemable Class A Common Stock</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13,951</w:t>
            </w:r>
          </w:p>
        </w:tc>
      </w:tr>
      <w:tr>
        <w:trPr>
          <w:trHeight w:val="236"/>
        </w:trPr>
        <w:tc>
          <w:tcPr>
            <w:tcW w:w="10020" w:type="dxa"/>
            <w:vAlign w:val="bottom"/>
          </w:tcPr>
          <w:p>
            <w:pPr>
              <w:ind w:left="300"/>
              <w:spacing w:after="0"/>
              <w:rPr>
                <w:sz w:val="20"/>
                <w:szCs w:val="20"/>
                <w:color w:val="auto"/>
              </w:rPr>
            </w:pPr>
            <w:r>
              <w:rPr>
                <w:rFonts w:ascii="Arial" w:cs="Arial" w:eastAsia="Arial" w:hAnsi="Arial"/>
                <w:sz w:val="18"/>
                <w:szCs w:val="18"/>
                <w:color w:val="auto"/>
              </w:rPr>
              <w:t>Income and Franchise Tax</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(13,951)</w:t>
            </w:r>
          </w:p>
        </w:tc>
      </w:tr>
      <w:tr>
        <w:trPr>
          <w:trHeight w:val="216"/>
        </w:trPr>
        <w:tc>
          <w:tcPr>
            <w:tcW w:w="100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ind w:left="160"/>
              <w:spacing w:after="0"/>
              <w:rPr>
                <w:sz w:val="20"/>
                <w:szCs w:val="20"/>
                <w:color w:val="auto"/>
              </w:rPr>
            </w:pPr>
            <w:r>
              <w:rPr>
                <w:rFonts w:ascii="Arial" w:cs="Arial" w:eastAsia="Arial" w:hAnsi="Arial"/>
                <w:sz w:val="18"/>
                <w:szCs w:val="18"/>
                <w:color w:val="auto"/>
              </w:rPr>
              <w:t>Denominator: Weighted Average Redeemable Class A Common Stock</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Redeemable Class A Common Stock, Basic and Diluted</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44,275,000</w:t>
            </w:r>
          </w:p>
        </w:tc>
      </w:tr>
      <w:tr>
        <w:trPr>
          <w:trHeight w:val="216"/>
        </w:trPr>
        <w:tc>
          <w:tcPr>
            <w:tcW w:w="10020" w:type="dxa"/>
            <w:vAlign w:val="bottom"/>
          </w:tcPr>
          <w:p>
            <w:pPr>
              <w:ind w:left="160"/>
              <w:spacing w:after="0"/>
              <w:rPr>
                <w:sz w:val="20"/>
                <w:szCs w:val="20"/>
                <w:color w:val="auto"/>
              </w:rPr>
            </w:pPr>
            <w:r>
              <w:rPr>
                <w:rFonts w:ascii="Arial" w:cs="Arial" w:eastAsia="Arial" w:hAnsi="Arial"/>
                <w:sz w:val="18"/>
                <w:szCs w:val="18"/>
                <w:color w:val="auto"/>
              </w:rPr>
              <w:t>Earnings/Basic and Diluted Redeemable Class A Common Stock</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10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Non-Redeemable Class A and B Common Stock</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Numerator: Net Income (Loss) minus Redeemable Net Earnings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(39,907,599)</w:t>
            </w:r>
          </w:p>
        </w:tc>
      </w:tr>
      <w:tr>
        <w:trPr>
          <w:trHeight w:val="250"/>
        </w:trPr>
        <w:tc>
          <w:tcPr>
            <w:tcW w:w="10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Redeemable Net Earnings</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10020" w:type="dxa"/>
            <w:vAlign w:val="bottom"/>
            <w:tcBorders>
              <w:top w:val="single" w:sz="8" w:color="CCEEFF"/>
            </w:tcBorders>
          </w:tcPr>
          <w:p>
            <w:pPr>
              <w:ind w:left="440"/>
              <w:spacing w:after="0" w:line="203" w:lineRule="exact"/>
              <w:rPr>
                <w:sz w:val="20"/>
                <w:szCs w:val="20"/>
                <w:color w:val="auto"/>
              </w:rPr>
            </w:pPr>
            <w:r>
              <w:rPr>
                <w:rFonts w:ascii="Arial" w:cs="Arial" w:eastAsia="Arial" w:hAnsi="Arial"/>
                <w:sz w:val="18"/>
                <w:szCs w:val="18"/>
                <w:color w:val="auto"/>
              </w:rPr>
              <w:t>Non-Redeemable Net Loss</w:t>
            </w:r>
          </w:p>
        </w:tc>
        <w:tc>
          <w:tcPr>
            <w:tcW w:w="10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(39,907,599)</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300"/>
              <w:spacing w:after="0"/>
              <w:rPr>
                <w:sz w:val="20"/>
                <w:szCs w:val="20"/>
                <w:color w:val="auto"/>
              </w:rPr>
            </w:pPr>
            <w:r>
              <w:rPr>
                <w:rFonts w:ascii="Arial" w:cs="Arial" w:eastAsia="Arial" w:hAnsi="Arial"/>
                <w:sz w:val="18"/>
                <w:szCs w:val="18"/>
                <w:color w:val="auto"/>
              </w:rPr>
              <w:t>Non-Redeemable Class A and B Common Stock, Basic and Diluted</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10,633,062</w:t>
            </w:r>
          </w:p>
        </w:tc>
      </w:tr>
      <w:tr>
        <w:trPr>
          <w:trHeight w:val="216"/>
        </w:trPr>
        <w:tc>
          <w:tcPr>
            <w:tcW w:w="10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Loss/Basic and Diluted Non-Redeemable Class A and B Common Stock</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Note: As of December 31, 2020, basic and diluted shares are the same as there are no non-redeemable securities that are dilutive to the Company’s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46" w:lineRule="exact"/>
        <w:rPr>
          <w:rFonts w:ascii="Arial" w:cs="Arial" w:eastAsia="Arial" w:hAnsi="Arial"/>
          <w:sz w:val="17"/>
          <w:szCs w:val="17"/>
          <w:color w:val="auto"/>
        </w:rPr>
      </w:pPr>
    </w:p>
    <w:p>
      <w:pPr>
        <w:ind w:left="980" w:right="20" w:hanging="324"/>
        <w:spacing w:after="0" w:line="34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INITIAL PUBLIC OFFERING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8).</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PRIVATE PLACEMENT</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8).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July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 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 and per-share amounts have been retroactively restated to reflect the stock split,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there were no amounts outstanding under the Working Capital Loans.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December 31, 2020, there were no shares of preferred stock issued or outstanding.</w:t>
      </w:r>
    </w:p>
    <w:p>
      <w:pPr>
        <w:spacing w:after="0" w:line="18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Class A Common Stock </w:t>
      </w:r>
      <w:r>
        <w:rPr>
          <w:rFonts w:ascii="Arial" w:cs="Arial" w:eastAsia="Arial" w:hAnsi="Arial"/>
          <w:sz w:val="17"/>
          <w:szCs w:val="17"/>
          <w:color w:val="auto"/>
        </w:rPr>
        <w:t>— The Company is authorized to issue 380,000,000 shares of Class A common stock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common stock are entitled to one vote for each share. At December 31, 2020, there were 8,953,013 shares of Class A common stock issued and outstanding, excluding 35,321,987 shares of Class A common stock subject to possible redemption.</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December 31, 2020, there were 11,068,750 shares of Class B common stock issued and outstanding.</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 LIABILITY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$18.00 —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211" w:lineRule="exact"/>
        <w:rPr>
          <w:sz w:val="20"/>
          <w:szCs w:val="20"/>
          <w:color w:val="auto"/>
        </w:rPr>
      </w:pPr>
    </w:p>
    <w:p>
      <w:pPr>
        <w:ind w:left="1000" w:hanging="331"/>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1000" w:hanging="331"/>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1000" w:hanging="331"/>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or the 30-day redemption period, to each warrant holder; and</w:t>
      </w:r>
    </w:p>
    <w:p>
      <w:pPr>
        <w:spacing w:after="0" w:line="225" w:lineRule="exact"/>
        <w:rPr>
          <w:rFonts w:ascii="Arial" w:cs="Arial" w:eastAsia="Arial" w:hAnsi="Arial"/>
          <w:sz w:val="18"/>
          <w:szCs w:val="18"/>
          <w:color w:val="auto"/>
        </w:rPr>
      </w:pPr>
    </w:p>
    <w:p>
      <w:pPr>
        <w:jc w:val="both"/>
        <w:ind w:left="1000" w:right="20" w:hanging="331"/>
        <w:spacing w:after="0" w:line="286"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p>
      <w:pPr>
        <w:spacing w:after="0" w:line="16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$10.00 —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211" w:lineRule="exact"/>
        <w:rPr>
          <w:sz w:val="20"/>
          <w:szCs w:val="20"/>
          <w:color w:val="auto"/>
        </w:rPr>
      </w:pPr>
    </w:p>
    <w:p>
      <w:pPr>
        <w:ind w:left="1000" w:hanging="331"/>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jc w:val="both"/>
        <w:ind w:left="1000" w:right="20" w:hanging="331"/>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a price of $0.10 per warrant provided that holders will be able to exercise their warrants prior to redemption and receive that number of shares of Class A common stock determined based on the redemption date and the “fair market value” of the Company’s Class A common stock;</w:t>
      </w:r>
    </w:p>
    <w:p>
      <w:pPr>
        <w:spacing w:after="0" w:line="183" w:lineRule="exact"/>
        <w:rPr>
          <w:rFonts w:ascii="Arial" w:cs="Arial" w:eastAsia="Arial" w:hAnsi="Arial"/>
          <w:sz w:val="18"/>
          <w:szCs w:val="18"/>
          <w:color w:val="auto"/>
        </w:rPr>
      </w:pPr>
    </w:p>
    <w:p>
      <w:pPr>
        <w:ind w:left="1000" w:hanging="331"/>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225" w:lineRule="exact"/>
        <w:rPr>
          <w:rFonts w:ascii="Arial" w:cs="Arial" w:eastAsia="Arial" w:hAnsi="Arial"/>
          <w:sz w:val="18"/>
          <w:szCs w:val="18"/>
          <w:color w:val="auto"/>
        </w:rPr>
      </w:pPr>
    </w:p>
    <w:p>
      <w:pPr>
        <w:jc w:val="both"/>
        <w:ind w:left="1000" w:right="20" w:hanging="331"/>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spacing w:after="0" w:line="183" w:lineRule="exact"/>
        <w:rPr>
          <w:rFonts w:ascii="Arial" w:cs="Arial" w:eastAsia="Arial" w:hAnsi="Arial"/>
          <w:sz w:val="18"/>
          <w:szCs w:val="18"/>
          <w:color w:val="auto"/>
        </w:rPr>
      </w:pPr>
    </w:p>
    <w:p>
      <w:pPr>
        <w:jc w:val="both"/>
        <w:ind w:left="1000" w:right="20" w:hanging="331"/>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7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NOTE 10. INCOME TAX</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ind w:left="340"/>
              <w:spacing w:after="0"/>
              <w:rPr>
                <w:sz w:val="20"/>
                <w:szCs w:val="20"/>
                <w:color w:val="auto"/>
              </w:rPr>
            </w:pPr>
            <w:r>
              <w:rPr>
                <w:rFonts w:ascii="Arial" w:cs="Arial" w:eastAsia="Arial" w:hAnsi="Arial"/>
                <w:sz w:val="18"/>
                <w:szCs w:val="18"/>
                <w:color w:val="auto"/>
              </w:rPr>
              <w:t>The Company’s net deferred tax assets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020" w:type="dxa"/>
            <w:vAlign w:val="bottom"/>
          </w:tcPr>
          <w:p>
            <w:pPr>
              <w:spacing w:after="0"/>
              <w:rPr>
                <w:sz w:val="24"/>
                <w:szCs w:val="24"/>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10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36"/>
        </w:trPr>
        <w:tc>
          <w:tcPr>
            <w:tcW w:w="10020" w:type="dxa"/>
            <w:vAlign w:val="bottom"/>
          </w:tcPr>
          <w:p>
            <w:pPr>
              <w:ind w:left="160"/>
              <w:spacing w:after="0"/>
              <w:rPr>
                <w:sz w:val="20"/>
                <w:szCs w:val="20"/>
                <w:color w:val="auto"/>
              </w:rPr>
            </w:pPr>
            <w:r>
              <w:rPr>
                <w:rFonts w:ascii="Arial" w:cs="Arial" w:eastAsia="Arial" w:hAnsi="Arial"/>
                <w:sz w:val="18"/>
                <w:szCs w:val="18"/>
                <w:color w:val="auto"/>
              </w:rPr>
              <w:t>Organizational costs/Startup expenses</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23,469</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 net of allowance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ind w:left="340"/>
              <w:spacing w:after="0"/>
              <w:rPr>
                <w:sz w:val="20"/>
                <w:szCs w:val="20"/>
                <w:color w:val="auto"/>
              </w:rPr>
            </w:pPr>
            <w:r>
              <w:rPr>
                <w:rFonts w:ascii="Arial" w:cs="Arial" w:eastAsia="Arial" w:hAnsi="Arial"/>
                <w:sz w:val="18"/>
                <w:szCs w:val="18"/>
                <w:color w:val="auto"/>
              </w:rPr>
              <w:t>The income tax provision consists of the following:</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020" w:type="dxa"/>
            <w:vAlign w:val="bottom"/>
          </w:tcPr>
          <w:p>
            <w:pPr>
              <w:spacing w:after="0"/>
              <w:rPr>
                <w:sz w:val="24"/>
                <w:szCs w:val="24"/>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10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20" w:type="dxa"/>
            <w:vAlign w:val="bottom"/>
          </w:tcPr>
          <w:p>
            <w:pPr>
              <w:ind w:left="16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20" w:type="dxa"/>
            <w:vAlign w:val="bottom"/>
          </w:tcPr>
          <w:p>
            <w:pPr>
              <w:ind w:left="16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tax provision</w:t>
            </w:r>
          </w:p>
        </w:tc>
        <w:tc>
          <w:tcPr>
            <w:tcW w:w="2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Company had a U.S. federal net operating loss carryover of approximately $80,000 available to offset future taxable income.</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July 10, 2020 (inception) through December 31, 2020, the change in the valuation allowance was $40,371.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ind w:left="340"/>
              <w:spacing w:after="0"/>
              <w:rPr>
                <w:sz w:val="20"/>
                <w:szCs w:val="20"/>
                <w:color w:val="auto"/>
              </w:rPr>
            </w:pPr>
            <w:r>
              <w:rPr>
                <w:rFonts w:ascii="Arial" w:cs="Arial" w:eastAsia="Arial" w:hAnsi="Arial"/>
                <w:sz w:val="18"/>
                <w:szCs w:val="18"/>
                <w:color w:val="auto"/>
              </w:rPr>
              <w:t>A reconciliation of the federal income tax rate to the Company’s effective tax rate at December 31, 2020 is as follows: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998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99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Transaction costs</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9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Income tax provision</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80" w:type="dxa"/>
            <w:vAlign w:val="bottom"/>
            <w:vMerge w:val="continue"/>
          </w:tcPr>
          <w:p>
            <w:pPr>
              <w:spacing w:after="0"/>
              <w:rPr>
                <w:sz w:val="18"/>
                <w:szCs w:val="18"/>
                <w:color w:val="auto"/>
              </w:rPr>
            </w:pPr>
          </w:p>
        </w:tc>
        <w:tc>
          <w:tcPr>
            <w:tcW w:w="12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
        </w:trPr>
        <w:tc>
          <w:tcPr>
            <w:tcW w:w="99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580" w:right="20" w:hanging="917"/>
        <w:spacing w:after="0" w:line="342" w:lineRule="auto"/>
        <w:tabs>
          <w:tab w:leader="none" w:pos="15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24" w:lineRule="exact"/>
        <w:rPr>
          <w:sz w:val="20"/>
          <w:szCs w:val="20"/>
          <w:color w:val="auto"/>
        </w:rPr>
      </w:pPr>
    </w:p>
    <w:p>
      <w:pPr>
        <w:ind w:left="1580" w:right="20" w:hanging="917"/>
        <w:spacing w:after="0" w:line="277" w:lineRule="auto"/>
        <w:tabs>
          <w:tab w:leader="none" w:pos="15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2020, assets held in the Trust Account were comprised of $442,763,951 in money market funds which are invested primarily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Securities. During the year ended December 31, 2020, the Company did not withdraw any interest income from the Trust Account.</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December 31, 2020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Level</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442,763,951</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Warrant Liability – Public Warrants</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40,290,250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30,032,168</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our balance sheet. The warrant liabilities are measured at fair value at inception and on a recurring basis, with changes in fair value presented within change in fair value of warrant liabilities in the statement of operations.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Private Warrants were initially valued using a Modified Black Scholes Option Pricing Model, which is considered to be a Level 3 fair value measurement. The Modified Black Scholes model’s primary unobservable input utilized in determining the fair value of the Private Warrants is the expected volatility of the common stock. The expected volatility as of the IPO date was derived from observable public warrant pricing on comparable ‘blank-check’ companies without an identified target. The expected volatility as of subsequent valuation dates will be implied from the Company’s own public warrant pricing. A Monte Carlo simulation methodology was used in estimating the fair value of the public warrants for periods where no observable traded price was available, using the same expected volatility as was used in measuring the fair value of the Private Warrants. For periods subsequent to the detachment of the warrants from the Units, the close price of the public warrant price will be used as the fair value as of each relevant date.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ind w:left="340"/>
              <w:spacing w:after="0"/>
              <w:rPr>
                <w:sz w:val="20"/>
                <w:szCs w:val="20"/>
                <w:color w:val="auto"/>
              </w:rPr>
            </w:pPr>
            <w:r>
              <w:rPr>
                <w:rFonts w:ascii="Arial" w:cs="Arial" w:eastAsia="Arial" w:hAnsi="Arial"/>
                <w:sz w:val="18"/>
                <w:szCs w:val="18"/>
                <w:color w:val="auto"/>
              </w:rPr>
              <w:t>The following table presents the changes in the fair value of warrant liabilities: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Private</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7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Placement</w:t>
            </w: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Public</w:t>
            </w:r>
          </w:p>
        </w:tc>
        <w:tc>
          <w:tcPr>
            <w:tcW w:w="1600" w:type="dxa"/>
            <w:vAlign w:val="bottom"/>
            <w:gridSpan w:val="4"/>
          </w:tcPr>
          <w:p>
            <w:pPr>
              <w:spacing w:after="0"/>
              <w:rPr>
                <w:sz w:val="20"/>
                <w:szCs w:val="20"/>
                <w:color w:val="auto"/>
              </w:rPr>
            </w:pPr>
            <w:r>
              <w:rPr>
                <w:rFonts w:ascii="Arial" w:cs="Arial" w:eastAsia="Arial" w:hAnsi="Arial"/>
                <w:sz w:val="18"/>
                <w:szCs w:val="18"/>
                <w:b w:val="1"/>
                <w:bCs w:val="1"/>
                <w:color w:val="auto"/>
              </w:rPr>
              <w:t>Warrant Liabilities</w:t>
            </w:r>
          </w:p>
        </w:tc>
        <w:tc>
          <w:tcPr>
            <w:tcW w:w="0" w:type="dxa"/>
            <w:vAlign w:val="bottom"/>
          </w:tcPr>
          <w:p>
            <w:pPr>
              <w:spacing w:after="0"/>
              <w:rPr>
                <w:sz w:val="1"/>
                <w:szCs w:val="1"/>
                <w:color w:val="auto"/>
              </w:rPr>
            </w:pPr>
          </w:p>
        </w:tc>
      </w:tr>
      <w:tr>
        <w:trPr>
          <w:trHeight w:val="216"/>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July 10, 2020 (inception)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Initial measurement on September 4, 2020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10,855,001</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20,956,833</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31,811,834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19,177,167</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19,333,417</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38,510,584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Fair value as of December 31, 2020</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30,032,168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40,290,250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70,322,418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and in Note 2, the Company did not identify any subsequent events that would have required adjustment or disclosure in the financial statements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Specifically, the Company entered into the Merger Agreement with Sema4 and S-IV Sub, Inc., a Delaware corporation incorporated on February 1, 2021 and a direct, wholly-owned subsidiary of the Company (“Merger Sub”). Pursuant to the terms of the Merger Agreement, the Company will acquire Sema4 through the merger of Merger Sub with and into Sema4, with Sema4 surviving as a wholly-owned subsidiary of the Company (the “Merger”)</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Business Combination is expected to close in the second quarter of 2021, following the receipt of the required approval by the Company’s stockholders and the satisfaction of certain other customary closing conditions.</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73" w:lineRule="exact"/>
        <w:rPr>
          <w:sz w:val="20"/>
          <w:szCs w:val="20"/>
          <w:color w:val="auto"/>
        </w:rPr>
      </w:pPr>
    </w:p>
    <w:p>
      <w:pPr>
        <w:jc w:val="both"/>
        <w:ind w:left="660" w:right="2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70" w:lineRule="exact"/>
        <w:rPr>
          <w:rFonts w:ascii="Arial" w:cs="Arial" w:eastAsia="Arial" w:hAnsi="Arial"/>
          <w:sz w:val="18"/>
          <w:szCs w:val="18"/>
          <w:color w:val="auto"/>
        </w:rPr>
      </w:pPr>
    </w:p>
    <w:p>
      <w:pPr>
        <w:jc w:val="both"/>
        <w:ind w:left="660" w:right="20" w:hanging="328"/>
        <w:spacing w:after="0" w:line="31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 number of shares of common stock, par value $0.0001 per share, of the Company (the “Common Stock”) equal to the quotient of: (i) (A) the product of (x) such stockholder’s total shares of Sema4 Capital Stock multiplied by (y) the per share amount calculated in accordance with the Merger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amount of cash payable to such stockholder pursuant to its cash election, if any, divided by (ii) $10.</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7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February 10,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 On February 10, 2021, concurrently with the execution of the Merger Agreement, the Company entered into subscription agreements (collectively, the “Subscription Agreements”) with certain investors (collectively, the “PIPE Investors” which include certain existing equityholders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 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145"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Eli Casdin, certify that:</w:t>
      </w:r>
    </w:p>
    <w:p>
      <w:pPr>
        <w:spacing w:after="0" w:line="225"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CM Life Sciences, Inc.;</w:t>
      </w:r>
    </w:p>
    <w:p>
      <w:pPr>
        <w:spacing w:after="0" w:line="225"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000" w:right="20" w:hanging="344"/>
        <w:spacing w:after="0" w:line="263"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hanging="344"/>
        <w:spacing w:after="0"/>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left="1000" w:right="20" w:hanging="344"/>
        <w:spacing w:after="0" w:line="342" w:lineRule="auto"/>
        <w:tabs>
          <w:tab w:leader="none" w:pos="10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00" w:right="20" w:hanging="344"/>
        <w:spacing w:after="0" w:line="263"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20" w:hanging="344"/>
        <w:spacing w:after="0" w:line="308" w:lineRule="auto"/>
        <w:tabs>
          <w:tab w:leader="none" w:pos="10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00" w:right="20" w:hanging="344"/>
        <w:spacing w:after="0" w:line="277"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Eli Casdin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Emes, certify that:</w:t>
      </w:r>
    </w:p>
    <w:p>
      <w:pPr>
        <w:spacing w:after="0" w:line="225"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CM Life Sciences, Inc.;</w:t>
      </w:r>
    </w:p>
    <w:p>
      <w:pPr>
        <w:spacing w:after="0" w:line="225"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000" w:right="20" w:hanging="344"/>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hanging="344"/>
        <w:spacing w:after="0"/>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left="1000" w:right="20" w:hanging="344"/>
        <w:spacing w:after="0" w:line="342"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00" w:right="20" w:hanging="344"/>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20" w:hanging="344"/>
        <w:spacing w:after="0" w:line="308" w:lineRule="auto"/>
        <w:tabs>
          <w:tab w:leader="none" w:pos="10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00" w:right="20" w:hanging="344"/>
        <w:spacing w:after="0" w:line="277"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Emes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337"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CM Life Sciences, Inc. (the “Company”) on Form 10-K/A for the period ending December 31, 2020 as filed with the Securities and Exchange Commission on the date hereof (the “Report”), I, Eli Casdin, Chief Executive Officer and Director of the Company, certify, pursuant to 18 U.S.C. § 1350, as adopted pursuant to § 906 of the Sarbanes-Oxley Act of 2002, that, to the best of my knowledge:</w:t>
      </w:r>
    </w:p>
    <w:p>
      <w:pPr>
        <w:spacing w:after="0" w:line="16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right="120" w:firstLine="332"/>
        <w:spacing w:after="0" w:line="508" w:lineRule="auto"/>
        <w:tabs>
          <w:tab w:leader="none" w:pos="6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4, 2021</w:t>
      </w:r>
    </w:p>
    <w:p>
      <w:pPr>
        <w:spacing w:after="0" w:line="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Eli Casdin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CM Life Sciences, Inc. (the “Company”) on Form 10-K/A for the period ending December 31, 2020 as filed with the Securities and Exchange Commission on the date hereof (the “Report”), I, Brian Emes, Chief Financial Officer and Secretary of the Company, certify, pursuant to 18 U.S.C. § 1350, as adopted pursuant to § 906 of the Sarbanes-Oxley Act of 2002, that, to the best of my knowledge:</w:t>
      </w:r>
    </w:p>
    <w:p>
      <w:pPr>
        <w:spacing w:after="0" w:line="16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right="120" w:firstLine="332"/>
        <w:spacing w:after="0" w:line="508" w:lineRule="auto"/>
        <w:tabs>
          <w:tab w:leader="none" w:pos="66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4, 2021</w:t>
      </w:r>
    </w:p>
    <w:p>
      <w:pPr>
        <w:spacing w:after="0" w:line="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Emes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lvl w:ilvl="1">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upperLetter"/>
      <w:start w:val="2"/>
    </w:lvl>
  </w:abstractNum>
  <w:abstractNum w:abstractNumId="12">
    <w:nsid w:val="4353D0CD"/>
    <w:multiLevelType w:val="hybridMultilevel"/>
    <w:lvl w:ilvl="0">
      <w:lvlJc w:val="left"/>
      <w:lvlText w:val="(%1)"/>
      <w:numFmt w:val="lowerRoman"/>
      <w:start w:val="2"/>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lowerLetter"/>
      <w:start w:val="1"/>
    </w:lvl>
    <w:lvl w:ilvl="1">
      <w:lvlJc w:val="left"/>
      <w:lvlText w:val="(%2)"/>
      <w:numFmt w:val="decimal"/>
      <w:start w:val="1"/>
    </w:lvl>
  </w:abstractNum>
  <w:abstractNum w:abstractNumId="24">
    <w:nsid w:val="737B8DDC"/>
    <w:multiLevelType w:val="hybridMultilevel"/>
    <w:lvl w:ilvl="0">
      <w:lvlJc w:val="left"/>
      <w:lvlText w:val="(%1)"/>
      <w:numFmt w:val="decimal"/>
      <w:start w:val="2"/>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lowerLetter"/>
      <w:start w:val="3"/>
    </w:lvl>
  </w:abstractNum>
  <w:abstractNum w:abstractNumId="32">
    <w:nsid w:val="440BADFC"/>
    <w:multiLevelType w:val="hybridMultilevel"/>
    <w:lvl w:ilvl="0">
      <w:lvlJc w:val="left"/>
      <w:lvlText w:val="(%1)"/>
      <w:numFmt w:val="decimal"/>
      <w:start w:val="1"/>
    </w:lvl>
    <w:lvl w:ilvl="1">
      <w:lvlJc w:val="left"/>
      <w:lvlText w:val="(%2)"/>
      <w:numFmt w:val="lowerLetter"/>
      <w:start w:val="1"/>
    </w:lvl>
  </w:abstractNum>
  <w:abstractNum w:abstractNumId="33">
    <w:nsid w:val="5072367"/>
    <w:multiLevelType w:val="hybridMultilevel"/>
    <w:lvl w:ilvl="0">
      <w:lvlJc w:val="left"/>
      <w:lvlText w:val="%1"/>
      <w:numFmt w:val="decimal"/>
      <w:start w:val="1"/>
    </w:lvl>
    <w:lvl w:ilvl="1">
      <w:lvlJc w:val="left"/>
      <w:lvlText w:val="(%2)"/>
      <w:numFmt w:val="lowerLetter"/>
      <w:start w:val="5"/>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5"/>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91" Type="http://schemas.openxmlformats.org/officeDocument/2006/relationships/image" Target="media/image69.png"/><Relationship Id="rId93" Type="http://schemas.openxmlformats.org/officeDocument/2006/relationships/image" Target="media/image70.png"/><Relationship Id="rId95" Type="http://schemas.openxmlformats.org/officeDocument/2006/relationships/image" Target="media/image71.png"/><Relationship Id="rId97" Type="http://schemas.openxmlformats.org/officeDocument/2006/relationships/image" Target="media/image72.png"/><Relationship Id="rId99" Type="http://schemas.openxmlformats.org/officeDocument/2006/relationships/image" Target="media/image73.png"/><Relationship Id="rId101" Type="http://schemas.openxmlformats.org/officeDocument/2006/relationships/image" Target="media/image74.png"/><Relationship Id="rId103" Type="http://schemas.openxmlformats.org/officeDocument/2006/relationships/image" Target="media/image75.png"/><Relationship Id="rId105" Type="http://schemas.openxmlformats.org/officeDocument/2006/relationships/image" Target="media/image76.png"/><Relationship Id="rId107" Type="http://schemas.openxmlformats.org/officeDocument/2006/relationships/image" Target="media/image77.png"/><Relationship Id="rId109" Type="http://schemas.openxmlformats.org/officeDocument/2006/relationships/image" Target="media/image78.png"/><Relationship Id="rId111"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76" Type="http://schemas.openxmlformats.org/officeDocument/2006/relationships/hyperlink" Target="http://www.sec.gov/Archives/edgar/data/1818331/000121390021008253/ea135116ex2-1_cmlife.htm" TargetMode="External"/><Relationship Id="rId77" Type="http://schemas.openxmlformats.org/officeDocument/2006/relationships/hyperlink" Target="http://www.sec.gov/Archives/edgar/data/1818331/000121390020025454/ea126481ex3-1_cmlife.htm" TargetMode="External"/><Relationship Id="rId78" Type="http://schemas.openxmlformats.org/officeDocument/2006/relationships/hyperlink" Target="http://www.sec.gov/Archives/edgar/data/1818331/000121390020023383/fs12020a1ex3-3_cmlifesci.htm" TargetMode="External"/><Relationship Id="rId79" Type="http://schemas.openxmlformats.org/officeDocument/2006/relationships/hyperlink" Target="http://www.sec.gov/Archives/edgar/data/1818331/000121390020025454/ea126481ex10-1_cmlife.htm" TargetMode="External"/><Relationship Id="rId80" Type="http://schemas.openxmlformats.org/officeDocument/2006/relationships/hyperlink" Target="http://www.sec.gov/Archives/edgar/data/1818331/000121390020023383/fs12020a1ex4-1_cmlifesci.htm" TargetMode="External"/><Relationship Id="rId81" Type="http://schemas.openxmlformats.org/officeDocument/2006/relationships/hyperlink" Target="http://www.sec.gov/Archives/edgar/data/1818331/000121390020023383/fs12020a1ex4-2_cmlifesci.htm" TargetMode="External"/><Relationship Id="rId82" Type="http://schemas.openxmlformats.org/officeDocument/2006/relationships/hyperlink" Target="http://www.sec.gov/Archives/edgar/data/1818331/000121390020023383/fs12020a1ex4-3_cmlifesci.htm" TargetMode="External"/><Relationship Id="rId83" Type="http://schemas.openxmlformats.org/officeDocument/2006/relationships/hyperlink" Target="http://www.sec.gov/Archives/edgar/data/1818331/000121390021018697/f10k2020ex4-5_cmlife.htm" TargetMode="External"/><Relationship Id="rId84" Type="http://schemas.openxmlformats.org/officeDocument/2006/relationships/hyperlink" Target="http://www.sec.gov/Archives/edgar/data/1818331/000121390020023383/fs12020a1ex10-6_cmlifesci.htm" TargetMode="External"/><Relationship Id="rId85" Type="http://schemas.openxmlformats.org/officeDocument/2006/relationships/hyperlink" Target="http://www.sec.gov/Archives/edgar/data/1818331/000121390020023383/fs12020a1ex10-7_cmlifesci.htm" TargetMode="External"/><Relationship Id="rId86" Type="http://schemas.openxmlformats.org/officeDocument/2006/relationships/hyperlink" Target="http://www.sec.gov/Archives/edgar/data/1818331/000121390020025454/ea126481ex10-5_cmlife.htm" TargetMode="External"/><Relationship Id="rId87" Type="http://schemas.openxmlformats.org/officeDocument/2006/relationships/hyperlink" Target="http://www.sec.gov/Archives/edgar/data/1818331/000121390020025454/ea126481ex10-2_cmlife.htm" TargetMode="External"/><Relationship Id="rId88" Type="http://schemas.openxmlformats.org/officeDocument/2006/relationships/hyperlink" Target="http://www.sec.gov/Archives/edgar/data/1818331/000121390020025454/ea126481ex10-3_cmlife.htm" TargetMode="External"/><Relationship Id="rId89" Type="http://schemas.openxmlformats.org/officeDocument/2006/relationships/hyperlink" Target="http://www.sec.gov/Archives/edgar/data/1818331/000121390020025454/ea126481ex10-6_cmlife.htm" TargetMode="External"/><Relationship Id="rId90" Type="http://schemas.openxmlformats.org/officeDocument/2006/relationships/hyperlink" Target="http://www.sec.gov/Archives/edgar/data/1818331/000121390021018697/f10k2020ex10-8_cmlife.htm" TargetMode="External"/><Relationship Id="rId92" Type="http://schemas.openxmlformats.org/officeDocument/2006/relationships/hyperlink" Target="http://www.sec.gov/Archives/edgar/data/1818331/000121390021018697/f10k2020ex10-9_cmlife.htm" TargetMode="External"/><Relationship Id="rId94" Type="http://schemas.openxmlformats.org/officeDocument/2006/relationships/hyperlink" Target="http://www.sec.gov/Archives/edgar/data/1818331/000121390021018697/f10k2020ex10-10_cmlife.htm" TargetMode="External"/><Relationship Id="rId96" Type="http://schemas.openxmlformats.org/officeDocument/2006/relationships/hyperlink" Target="http://www.sec.gov/Archives/edgar/data/1818331/000121390021018697/f10k2020ex10-11_cmlife.htm" TargetMode="External"/><Relationship Id="rId98" Type="http://schemas.openxmlformats.org/officeDocument/2006/relationships/hyperlink" Target="http://www.sec.gov/Archives/edgar/data/1818331/000121390021018697/f10k2020ex10-12_cmlife.htm" TargetMode="External"/><Relationship Id="rId100" Type="http://schemas.openxmlformats.org/officeDocument/2006/relationships/hyperlink" Target="http://www.sec.gov/Archives/edgar/data/1818331/000121390021018697/f10k2020ex10-13_cmlife.htm" TargetMode="External"/><Relationship Id="rId102" Type="http://schemas.openxmlformats.org/officeDocument/2006/relationships/hyperlink" Target="http://www.sec.gov/Archives/edgar/data/1818331/000121390021018697/f10k2020ex10-14_cmlife.htm" TargetMode="External"/><Relationship Id="rId104" Type="http://schemas.openxmlformats.org/officeDocument/2006/relationships/hyperlink" Target="http://www.sec.gov/Archives/edgar/data/1818331/000121390021018697/f10k2020ex10-15_cmlife.htm" TargetMode="External"/><Relationship Id="rId106" Type="http://schemas.openxmlformats.org/officeDocument/2006/relationships/hyperlink" Target="http://www.sec.gov/Archives/edgar/data/1818331/000121390021008253/ea135116ex10-1_cmlife.htm" TargetMode="External"/><Relationship Id="rId108" Type="http://schemas.openxmlformats.org/officeDocument/2006/relationships/hyperlink" Target="http://www.sec.gov/Archives/edgar/data/1818331/000121390021008253/ea135116ex10-3_cmlife.htm" TargetMode="External"/><Relationship Id="rId110" Type="http://schemas.openxmlformats.org/officeDocument/2006/relationships/hyperlink" Target="http://www.sec.gov/Archives/edgar/data/1818331/000121390021008253/ea135116ex10-4_cmlife.htm" TargetMode="External"/><Relationship Id="rId112" Type="http://schemas.openxmlformats.org/officeDocument/2006/relationships/hyperlink" Target="http://www.sec.gov/Archives/edgar/data/1818331/000121390020023383/fs12020a1ex14_cmlifesc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2021-05-05T05:28:56Z</dcterms:created>
  <dcterms:modified xsi:type="dcterms:W3CDTF">2021-05-05T05:28:56Z</dcterms:modified>
</cp:coreProperties>
</file>