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5184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Clark Daniel Emmett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Sema4 Holdings Corp.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SMFR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SEMA4 HOLDINGS CORP.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Secretary and General Counsel</w:t>
      </w: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42,033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7.62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42,033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09/30/2031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42,033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63,049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63,049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63,049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-2542540</wp:posOffset>
            </wp:positionV>
            <wp:extent cx="29210" cy="254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4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6.25% vest in quarterly installments over the four-year period commencing on July 25, 2021 until fully vested, subject to the Reporting Person's continued service to the Issuer on each vesting date.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Daniel Clark,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4449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2021-10-05T20:45:57Z</dcterms:created>
  <dcterms:modified xsi:type="dcterms:W3CDTF">2021-10-05T20:45:57Z</dcterms:modified>
</cp:coreProperties>
</file>