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895</w:t>
      </w:r>
      <w:r>
        <w:rPr>
          <w:sz w:val="20"/>
          <w:szCs w:val="20"/>
          <w:color w:val="auto"/>
        </w:rPr>
        <w:tab/>
      </w:r>
      <w:r>
        <w:rPr>
          <w:rFonts w:ascii="Times New Roman" w:cs="Times New Roman" w:eastAsia="Times New Roman" w:hAnsi="Times New Roman"/>
          <w:sz w:val="21"/>
          <w:szCs w:val="21"/>
          <w:color w:val="auto"/>
        </w:rPr>
        <w:t>29830.35</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27205666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09/09/2024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895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09/09/2024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09/03/2024 262</w:t>
            </w:r>
          </w:p>
        </w:tc>
        <w:tc>
          <w:tcPr>
            <w:tcW w:w="158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rPr>
              <w:t>8307.92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07/29/2024 274</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9189.96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06/17/2024 2646</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74907.46</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Represents shares to be sold on behalf of the Reporting Person to cover tax withholding obligations in connection</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with the vesting of restricted stock units.</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09/09/2024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9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Feeley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2024-09-09T20:18:23Z</dcterms:created>
  <dcterms:modified xsi:type="dcterms:W3CDTF">2024-09-09T20:18:23Z</dcterms:modified>
</cp:coreProperties>
</file>