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October 28, 2025</w:t>
      </w:r>
    </w:p>
    <w:p>
      <w:pPr>
        <w:spacing w:after="0" w:line="17"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716280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71628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S-3</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628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GeneDx Holdings Corp.</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71628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77" w:lineRule="exact"/>
        <w:rPr>
          <w:sz w:val="24"/>
          <w:szCs w:val="24"/>
          <w:color w:val="auto"/>
        </w:rPr>
      </w:pPr>
    </w:p>
    <w:tbl>
      <w:tblPr>
        <w:tblLayout w:type="fixed"/>
        <w:tblInd w:w="2100" w:type="dxa"/>
        <w:tblCellMar>
          <w:top w:w="0" w:type="dxa"/>
          <w:left w:w="0" w:type="dxa"/>
          <w:bottom w:w="0" w:type="dxa"/>
          <w:right w:w="0" w:type="dxa"/>
        </w:tblCellMar>
      </w:tblPr>
      <w:tr>
        <w:trPr>
          <w:trHeight w:val="176"/>
        </w:trPr>
        <w:tc>
          <w:tcPr>
            <w:tcW w:w="3700" w:type="dxa"/>
            <w:vAlign w:val="bottom"/>
          </w:tcPr>
          <w:p>
            <w:pPr>
              <w:jc w:val="center"/>
              <w:ind w:right="219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100" w:type="dxa"/>
            <w:vAlign w:val="bottom"/>
          </w:tcPr>
          <w:p>
            <w:pPr>
              <w:jc w:val="center"/>
              <w:ind w:left="2159"/>
              <w:spacing w:after="0"/>
              <w:rPr>
                <w:sz w:val="20"/>
                <w:szCs w:val="20"/>
                <w:color w:val="auto"/>
              </w:rPr>
            </w:pPr>
            <w:r>
              <w:rPr>
                <w:rFonts w:ascii="Times New Roman" w:cs="Times New Roman" w:eastAsia="Times New Roman" w:hAnsi="Times New Roman"/>
                <w:sz w:val="14"/>
                <w:szCs w:val="14"/>
                <w:b w:val="1"/>
                <w:bCs w:val="1"/>
                <w:color w:val="auto"/>
              </w:rPr>
              <w:t>85-1966622</w:t>
            </w:r>
          </w:p>
        </w:tc>
      </w:tr>
      <w:tr>
        <w:trPr>
          <w:trHeight w:val="115"/>
        </w:trPr>
        <w:tc>
          <w:tcPr>
            <w:tcW w:w="3700" w:type="dxa"/>
            <w:vAlign w:val="bottom"/>
          </w:tcPr>
          <w:p>
            <w:pPr>
              <w:jc w:val="center"/>
              <w:ind w:right="2199"/>
              <w:spacing w:after="0" w:line="116"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3100" w:type="dxa"/>
            <w:vAlign w:val="bottom"/>
          </w:tcPr>
          <w:p>
            <w:pPr>
              <w:jc w:val="center"/>
              <w:ind w:left="2179"/>
              <w:spacing w:after="0" w:line="116"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3700" w:type="dxa"/>
            <w:vAlign w:val="bottom"/>
          </w:tcPr>
          <w:p>
            <w:pPr>
              <w:jc w:val="center"/>
              <w:ind w:right="2179"/>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3100" w:type="dxa"/>
            <w:vAlign w:val="bottom"/>
          </w:tcPr>
          <w:p>
            <w:pPr>
              <w:jc w:val="center"/>
              <w:ind w:left="215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333 Ludlow Street, North Tower, 6th Floor</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Stamford, Connecticut 06902</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(888) 729-1206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42545</wp:posOffset>
            </wp:positionV>
            <wp:extent cx="71628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Katherine Stueland</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333 Ludlow Street, North Tower, 6th Floor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Stamford, Connecticut 06902</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(800) 298-6470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42545</wp:posOffset>
            </wp:positionV>
            <wp:extent cx="71628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460" w:type="dxa"/>
            <w:vAlign w:val="bottom"/>
          </w:tcPr>
          <w:p>
            <w:pPr>
              <w:spacing w:after="0"/>
              <w:rPr>
                <w:sz w:val="14"/>
                <w:szCs w:val="14"/>
                <w:color w:val="auto"/>
              </w:rPr>
            </w:pPr>
          </w:p>
        </w:tc>
        <w:tc>
          <w:tcPr>
            <w:tcW w:w="6740" w:type="dxa"/>
            <w:vAlign w:val="bottom"/>
          </w:tcPr>
          <w:p>
            <w:pPr>
              <w:ind w:left="92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c>
          <w:tcPr>
            <w:tcW w:w="0" w:type="dxa"/>
            <w:vAlign w:val="bottom"/>
          </w:tcPr>
          <w:p>
            <w:pPr>
              <w:spacing w:after="0"/>
              <w:rPr>
                <w:sz w:val="1"/>
                <w:szCs w:val="1"/>
                <w:color w:val="auto"/>
              </w:rPr>
            </w:pPr>
          </w:p>
        </w:tc>
      </w:tr>
      <w:tr>
        <w:trPr>
          <w:trHeight w:val="180"/>
        </w:trPr>
        <w:tc>
          <w:tcPr>
            <w:tcW w:w="4460" w:type="dxa"/>
            <w:vAlign w:val="bottom"/>
          </w:tcPr>
          <w:p>
            <w:pPr>
              <w:jc w:val="center"/>
              <w:ind w:left="1100"/>
              <w:spacing w:after="0"/>
              <w:rPr>
                <w:sz w:val="20"/>
                <w:szCs w:val="20"/>
                <w:color w:val="auto"/>
              </w:rPr>
            </w:pPr>
            <w:r>
              <w:rPr>
                <w:rFonts w:ascii="Times New Roman" w:cs="Times New Roman" w:eastAsia="Times New Roman" w:hAnsi="Times New Roman"/>
                <w:sz w:val="13"/>
                <w:szCs w:val="13"/>
                <w:b w:val="1"/>
                <w:bCs w:val="1"/>
                <w:color w:val="auto"/>
                <w:w w:val="97"/>
              </w:rPr>
              <w:t>Ethan Skerry</w:t>
            </w:r>
          </w:p>
        </w:tc>
        <w:tc>
          <w:tcPr>
            <w:tcW w:w="6740" w:type="dxa"/>
            <w:vAlign w:val="bottom"/>
            <w:vMerge w:val="restart"/>
          </w:tcPr>
          <w:p>
            <w:pPr>
              <w:jc w:val="center"/>
              <w:ind w:left="1177"/>
              <w:spacing w:after="0"/>
              <w:rPr>
                <w:sz w:val="20"/>
                <w:szCs w:val="20"/>
                <w:color w:val="auto"/>
              </w:rPr>
            </w:pPr>
            <w:r>
              <w:rPr>
                <w:rFonts w:ascii="Times New Roman" w:cs="Times New Roman" w:eastAsia="Times New Roman" w:hAnsi="Times New Roman"/>
                <w:sz w:val="13"/>
                <w:szCs w:val="13"/>
                <w:b w:val="1"/>
                <w:bCs w:val="1"/>
                <w:color w:val="auto"/>
                <w:w w:val="97"/>
              </w:rPr>
              <w:t>Katherine Stueland</w:t>
            </w:r>
          </w:p>
        </w:tc>
        <w:tc>
          <w:tcPr>
            <w:tcW w:w="0" w:type="dxa"/>
            <w:vAlign w:val="bottom"/>
          </w:tcPr>
          <w:p>
            <w:pPr>
              <w:spacing w:after="0"/>
              <w:rPr>
                <w:sz w:val="1"/>
                <w:szCs w:val="1"/>
                <w:color w:val="auto"/>
              </w:rPr>
            </w:pPr>
          </w:p>
        </w:tc>
      </w:tr>
      <w:tr>
        <w:trPr>
          <w:trHeight w:val="73"/>
        </w:trPr>
        <w:tc>
          <w:tcPr>
            <w:tcW w:w="4460" w:type="dxa"/>
            <w:vAlign w:val="bottom"/>
            <w:vMerge w:val="restart"/>
          </w:tcPr>
          <w:p>
            <w:pPr>
              <w:jc w:val="center"/>
              <w:ind w:left="1100"/>
              <w:spacing w:after="0"/>
              <w:rPr>
                <w:sz w:val="20"/>
                <w:szCs w:val="20"/>
                <w:color w:val="auto"/>
              </w:rPr>
            </w:pPr>
            <w:r>
              <w:rPr>
                <w:rFonts w:ascii="Times New Roman" w:cs="Times New Roman" w:eastAsia="Times New Roman" w:hAnsi="Times New Roman"/>
                <w:sz w:val="13"/>
                <w:szCs w:val="13"/>
                <w:b w:val="1"/>
                <w:bCs w:val="1"/>
                <w:color w:val="auto"/>
                <w:w w:val="95"/>
              </w:rPr>
              <w:t>Per B. Chilstrom</w:t>
            </w:r>
          </w:p>
        </w:tc>
        <w:tc>
          <w:tcPr>
            <w:tcW w:w="6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460" w:type="dxa"/>
            <w:vAlign w:val="bottom"/>
            <w:vMerge w:val="continue"/>
          </w:tcPr>
          <w:p>
            <w:pPr>
              <w:spacing w:after="0"/>
              <w:rPr>
                <w:sz w:val="7"/>
                <w:szCs w:val="7"/>
                <w:color w:val="auto"/>
              </w:rPr>
            </w:pPr>
          </w:p>
        </w:tc>
        <w:tc>
          <w:tcPr>
            <w:tcW w:w="6740" w:type="dxa"/>
            <w:vAlign w:val="bottom"/>
            <w:vMerge w:val="restart"/>
          </w:tcPr>
          <w:p>
            <w:pPr>
              <w:jc w:val="center"/>
              <w:ind w:left="1177"/>
              <w:spacing w:after="0"/>
              <w:rPr>
                <w:sz w:val="20"/>
                <w:szCs w:val="20"/>
                <w:color w:val="auto"/>
              </w:rPr>
            </w:pPr>
            <w:r>
              <w:rPr>
                <w:rFonts w:ascii="Times New Roman" w:cs="Times New Roman" w:eastAsia="Times New Roman" w:hAnsi="Times New Roman"/>
                <w:sz w:val="13"/>
                <w:szCs w:val="13"/>
                <w:b w:val="1"/>
                <w:bCs w:val="1"/>
                <w:color w:val="auto"/>
                <w:w w:val="96"/>
              </w:rPr>
              <w:t>Chief Executive Officer</w:t>
            </w:r>
          </w:p>
        </w:tc>
        <w:tc>
          <w:tcPr>
            <w:tcW w:w="0" w:type="dxa"/>
            <w:vAlign w:val="bottom"/>
          </w:tcPr>
          <w:p>
            <w:pPr>
              <w:spacing w:after="0"/>
              <w:rPr>
                <w:sz w:val="1"/>
                <w:szCs w:val="1"/>
                <w:color w:val="auto"/>
              </w:rPr>
            </w:pPr>
          </w:p>
        </w:tc>
      </w:tr>
      <w:tr>
        <w:trPr>
          <w:trHeight w:val="73"/>
        </w:trPr>
        <w:tc>
          <w:tcPr>
            <w:tcW w:w="4460" w:type="dxa"/>
            <w:vAlign w:val="bottom"/>
            <w:vMerge w:val="restart"/>
          </w:tcPr>
          <w:p>
            <w:pPr>
              <w:jc w:val="center"/>
              <w:ind w:left="1080"/>
              <w:spacing w:after="0" w:line="147" w:lineRule="exact"/>
              <w:rPr>
                <w:sz w:val="20"/>
                <w:szCs w:val="20"/>
                <w:color w:val="auto"/>
              </w:rPr>
            </w:pPr>
            <w:r>
              <w:rPr>
                <w:rFonts w:ascii="Times New Roman" w:cs="Times New Roman" w:eastAsia="Times New Roman" w:hAnsi="Times New Roman"/>
                <w:sz w:val="13"/>
                <w:szCs w:val="13"/>
                <w:b w:val="1"/>
                <w:bCs w:val="1"/>
                <w:color w:val="auto"/>
                <w:w w:val="95"/>
              </w:rPr>
              <w:t>Fenwick &amp; West LLP</w:t>
            </w:r>
          </w:p>
        </w:tc>
        <w:tc>
          <w:tcPr>
            <w:tcW w:w="6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4460" w:type="dxa"/>
            <w:vAlign w:val="bottom"/>
            <w:vMerge w:val="continue"/>
          </w:tcPr>
          <w:p>
            <w:pPr>
              <w:spacing w:after="0"/>
              <w:rPr>
                <w:sz w:val="6"/>
                <w:szCs w:val="6"/>
                <w:color w:val="auto"/>
              </w:rPr>
            </w:pPr>
          </w:p>
        </w:tc>
        <w:tc>
          <w:tcPr>
            <w:tcW w:w="6740" w:type="dxa"/>
            <w:vAlign w:val="bottom"/>
            <w:vMerge w:val="restart"/>
          </w:tcPr>
          <w:p>
            <w:pPr>
              <w:jc w:val="center"/>
              <w:ind w:left="1177"/>
              <w:spacing w:after="0" w:line="147" w:lineRule="exact"/>
              <w:rPr>
                <w:sz w:val="20"/>
                <w:szCs w:val="20"/>
                <w:color w:val="auto"/>
              </w:rPr>
            </w:pPr>
            <w:r>
              <w:rPr>
                <w:rFonts w:ascii="Times New Roman" w:cs="Times New Roman" w:eastAsia="Times New Roman" w:hAnsi="Times New Roman"/>
                <w:sz w:val="13"/>
                <w:szCs w:val="13"/>
                <w:b w:val="1"/>
                <w:bCs w:val="1"/>
                <w:color w:val="auto"/>
                <w:w w:val="97"/>
              </w:rPr>
              <w:t>GeneDx Holdings Corp.</w:t>
            </w:r>
          </w:p>
        </w:tc>
        <w:tc>
          <w:tcPr>
            <w:tcW w:w="0" w:type="dxa"/>
            <w:vAlign w:val="bottom"/>
          </w:tcPr>
          <w:p>
            <w:pPr>
              <w:spacing w:after="0"/>
              <w:rPr>
                <w:sz w:val="1"/>
                <w:szCs w:val="1"/>
                <w:color w:val="auto"/>
              </w:rPr>
            </w:pPr>
          </w:p>
        </w:tc>
      </w:tr>
      <w:tr>
        <w:trPr>
          <w:trHeight w:val="73"/>
        </w:trPr>
        <w:tc>
          <w:tcPr>
            <w:tcW w:w="4460" w:type="dxa"/>
            <w:vAlign w:val="bottom"/>
            <w:vMerge w:val="restart"/>
          </w:tcPr>
          <w:p>
            <w:pPr>
              <w:jc w:val="center"/>
              <w:ind w:left="1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902 Broadway</w:t>
            </w:r>
          </w:p>
        </w:tc>
        <w:tc>
          <w:tcPr>
            <w:tcW w:w="6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4460" w:type="dxa"/>
            <w:vAlign w:val="bottom"/>
            <w:vMerge w:val="continue"/>
          </w:tcPr>
          <w:p>
            <w:pPr>
              <w:spacing w:after="0"/>
              <w:rPr>
                <w:sz w:val="6"/>
                <w:szCs w:val="6"/>
                <w:color w:val="auto"/>
              </w:rPr>
            </w:pPr>
          </w:p>
        </w:tc>
        <w:tc>
          <w:tcPr>
            <w:tcW w:w="6740" w:type="dxa"/>
            <w:vAlign w:val="bottom"/>
            <w:vMerge w:val="restart"/>
          </w:tcPr>
          <w:p>
            <w:pPr>
              <w:jc w:val="center"/>
              <w:ind w:left="1177"/>
              <w:spacing w:after="0"/>
              <w:rPr>
                <w:sz w:val="20"/>
                <w:szCs w:val="20"/>
                <w:color w:val="auto"/>
              </w:rPr>
            </w:pPr>
            <w:r>
              <w:rPr>
                <w:rFonts w:ascii="Times New Roman" w:cs="Times New Roman" w:eastAsia="Times New Roman" w:hAnsi="Times New Roman"/>
                <w:sz w:val="13"/>
                <w:szCs w:val="13"/>
                <w:b w:val="1"/>
                <w:bCs w:val="1"/>
                <w:color w:val="auto"/>
                <w:w w:val="96"/>
              </w:rPr>
              <w:t>333 Ludlow Street, North Tower, 6th Floor</w:t>
            </w:r>
          </w:p>
        </w:tc>
        <w:tc>
          <w:tcPr>
            <w:tcW w:w="0" w:type="dxa"/>
            <w:vAlign w:val="bottom"/>
          </w:tcPr>
          <w:p>
            <w:pPr>
              <w:spacing w:after="0"/>
              <w:rPr>
                <w:sz w:val="1"/>
                <w:szCs w:val="1"/>
                <w:color w:val="auto"/>
              </w:rPr>
            </w:pPr>
          </w:p>
        </w:tc>
      </w:tr>
      <w:tr>
        <w:trPr>
          <w:trHeight w:val="89"/>
        </w:trPr>
        <w:tc>
          <w:tcPr>
            <w:tcW w:w="4460" w:type="dxa"/>
            <w:vAlign w:val="bottom"/>
          </w:tcPr>
          <w:p>
            <w:pPr>
              <w:jc w:val="center"/>
              <w:ind w:left="1080"/>
              <w:spacing w:after="0" w:line="90" w:lineRule="exact"/>
              <w:rPr>
                <w:sz w:val="20"/>
                <w:szCs w:val="20"/>
                <w:color w:val="auto"/>
              </w:rPr>
            </w:pPr>
            <w:r>
              <w:rPr>
                <w:rFonts w:ascii="Times New Roman" w:cs="Times New Roman" w:eastAsia="Times New Roman" w:hAnsi="Times New Roman"/>
                <w:sz w:val="8"/>
                <w:szCs w:val="8"/>
                <w:b w:val="1"/>
                <w:bCs w:val="1"/>
                <w:color w:val="auto"/>
              </w:rPr>
              <w:t>18</w:t>
            </w:r>
            <w:r>
              <w:rPr>
                <w:rFonts w:ascii="Times New Roman" w:cs="Times New Roman" w:eastAsia="Times New Roman" w:hAnsi="Times New Roman"/>
                <w:sz w:val="10"/>
                <w:szCs w:val="10"/>
                <w:b w:val="1"/>
                <w:bCs w:val="1"/>
                <w:color w:val="auto"/>
                <w:vertAlign w:val="superscript"/>
              </w:rPr>
              <w:t>th</w:t>
            </w:r>
            <w:r>
              <w:rPr>
                <w:rFonts w:ascii="Times New Roman" w:cs="Times New Roman" w:eastAsia="Times New Roman" w:hAnsi="Times New Roman"/>
                <w:sz w:val="8"/>
                <w:szCs w:val="8"/>
                <w:b w:val="1"/>
                <w:bCs w:val="1"/>
                <w:color w:val="auto"/>
              </w:rPr>
              <w:t xml:space="preserve"> Floor</w:t>
            </w: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4460" w:type="dxa"/>
            <w:vAlign w:val="bottom"/>
            <w:vMerge w:val="restart"/>
          </w:tcPr>
          <w:p>
            <w:pPr>
              <w:jc w:val="center"/>
              <w:ind w:left="1080"/>
              <w:spacing w:after="0"/>
              <w:rPr>
                <w:sz w:val="20"/>
                <w:szCs w:val="20"/>
                <w:color w:val="auto"/>
              </w:rPr>
            </w:pPr>
            <w:r>
              <w:rPr>
                <w:rFonts w:ascii="Times New Roman" w:cs="Times New Roman" w:eastAsia="Times New Roman" w:hAnsi="Times New Roman"/>
                <w:sz w:val="13"/>
                <w:szCs w:val="13"/>
                <w:b w:val="1"/>
                <w:bCs w:val="1"/>
                <w:color w:val="auto"/>
                <w:w w:val="95"/>
              </w:rPr>
              <w:t>New York, New York 10010</w:t>
            </w:r>
          </w:p>
        </w:tc>
        <w:tc>
          <w:tcPr>
            <w:tcW w:w="6740" w:type="dxa"/>
            <w:vAlign w:val="bottom"/>
          </w:tcPr>
          <w:p>
            <w:pPr>
              <w:jc w:val="center"/>
              <w:ind w:left="1177"/>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Stamford, Connecticut 06902</w:t>
            </w:r>
          </w:p>
        </w:tc>
        <w:tc>
          <w:tcPr>
            <w:tcW w:w="0" w:type="dxa"/>
            <w:vAlign w:val="bottom"/>
          </w:tcPr>
          <w:p>
            <w:pPr>
              <w:spacing w:after="0"/>
              <w:rPr>
                <w:sz w:val="1"/>
                <w:szCs w:val="1"/>
                <w:color w:val="auto"/>
              </w:rPr>
            </w:pPr>
          </w:p>
        </w:tc>
      </w:tr>
      <w:tr>
        <w:trPr>
          <w:trHeight w:val="73"/>
        </w:trPr>
        <w:tc>
          <w:tcPr>
            <w:tcW w:w="4460" w:type="dxa"/>
            <w:vAlign w:val="bottom"/>
            <w:vMerge w:val="continue"/>
          </w:tcPr>
          <w:p>
            <w:pPr>
              <w:spacing w:after="0"/>
              <w:rPr>
                <w:sz w:val="6"/>
                <w:szCs w:val="6"/>
                <w:color w:val="auto"/>
              </w:rPr>
            </w:pPr>
          </w:p>
        </w:tc>
        <w:tc>
          <w:tcPr>
            <w:tcW w:w="6740" w:type="dxa"/>
            <w:vAlign w:val="bottom"/>
            <w:vMerge w:val="restart"/>
          </w:tcPr>
          <w:p>
            <w:pPr>
              <w:jc w:val="center"/>
              <w:ind w:left="1177"/>
              <w:spacing w:after="0"/>
              <w:rPr>
                <w:sz w:val="20"/>
                <w:szCs w:val="20"/>
                <w:color w:val="auto"/>
              </w:rPr>
            </w:pPr>
            <w:r>
              <w:rPr>
                <w:rFonts w:ascii="Times New Roman" w:cs="Times New Roman" w:eastAsia="Times New Roman" w:hAnsi="Times New Roman"/>
                <w:sz w:val="13"/>
                <w:szCs w:val="13"/>
                <w:b w:val="1"/>
                <w:bCs w:val="1"/>
                <w:color w:val="auto"/>
                <w:w w:val="95"/>
              </w:rPr>
              <w:t>(800) 298-6470</w:t>
            </w:r>
          </w:p>
        </w:tc>
        <w:tc>
          <w:tcPr>
            <w:tcW w:w="0" w:type="dxa"/>
            <w:vAlign w:val="bottom"/>
          </w:tcPr>
          <w:p>
            <w:pPr>
              <w:spacing w:after="0"/>
              <w:rPr>
                <w:sz w:val="1"/>
                <w:szCs w:val="1"/>
                <w:color w:val="auto"/>
              </w:rPr>
            </w:pPr>
          </w:p>
        </w:tc>
      </w:tr>
      <w:tr>
        <w:trPr>
          <w:trHeight w:val="93"/>
        </w:trPr>
        <w:tc>
          <w:tcPr>
            <w:tcW w:w="4460" w:type="dxa"/>
            <w:vAlign w:val="bottom"/>
            <w:vMerge w:val="restart"/>
          </w:tcPr>
          <w:p>
            <w:pPr>
              <w:jc w:val="center"/>
              <w:ind w:left="1100"/>
              <w:spacing w:after="0"/>
              <w:rPr>
                <w:sz w:val="20"/>
                <w:szCs w:val="20"/>
                <w:color w:val="auto"/>
              </w:rPr>
            </w:pPr>
            <w:r>
              <w:rPr>
                <w:rFonts w:ascii="Times New Roman" w:cs="Times New Roman" w:eastAsia="Times New Roman" w:hAnsi="Times New Roman"/>
                <w:sz w:val="13"/>
                <w:szCs w:val="13"/>
                <w:b w:val="1"/>
                <w:bCs w:val="1"/>
                <w:color w:val="auto"/>
                <w:w w:val="95"/>
              </w:rPr>
              <w:t>(212) 430-2600</w:t>
            </w:r>
          </w:p>
        </w:tc>
        <w:tc>
          <w:tcPr>
            <w:tcW w:w="6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460" w:type="dxa"/>
            <w:vAlign w:val="bottom"/>
            <w:vMerge w:val="continue"/>
          </w:tcPr>
          <w:p>
            <w:pPr>
              <w:spacing w:after="0"/>
              <w:rPr>
                <w:sz w:val="6"/>
                <w:szCs w:val="6"/>
                <w:color w:val="auto"/>
              </w:rPr>
            </w:pPr>
          </w:p>
        </w:tc>
        <w:tc>
          <w:tcPr>
            <w:tcW w:w="6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460" w:type="dxa"/>
            <w:vAlign w:val="bottom"/>
            <w:tcBorders>
              <w:bottom w:val="single" w:sz="8" w:color="auto"/>
            </w:tcBorders>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From time to time after the effective date of this Registration Statement.</w:t>
      </w:r>
    </w:p>
    <w:p>
      <w:pPr>
        <w:spacing w:after="0" w:line="17" w:lineRule="exact"/>
        <w:rPr>
          <w:sz w:val="24"/>
          <w:szCs w:val="24"/>
          <w:color w:val="auto"/>
        </w:rPr>
      </w:pPr>
    </w:p>
    <w:p>
      <w:pPr>
        <w:ind w:left="26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5" w:lineRule="exact"/>
        <w:rPr>
          <w:sz w:val="24"/>
          <w:szCs w:val="24"/>
          <w:color w:val="auto"/>
        </w:rPr>
      </w:pPr>
    </w:p>
    <w:p>
      <w:pPr>
        <w:ind w:firstLine="252"/>
        <w:spacing w:after="0" w:line="152"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3"/>
          <w:szCs w:val="13"/>
          <w:color w:val="auto"/>
        </w:rPr>
        <w:t>☒</w:t>
      </w:r>
    </w:p>
    <w:p>
      <w:pPr>
        <w:ind w:right="40" w:firstLine="252"/>
        <w:spacing w:after="0" w:line="152"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right="240" w:firstLine="252"/>
        <w:spacing w:after="0" w:line="15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right="500" w:firstLine="252"/>
        <w:spacing w:after="0" w:line="147"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right="160" w:firstLine="252"/>
        <w:spacing w:after="0" w:line="15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ind w:right="520" w:firstLine="252"/>
        <w:spacing w:after="0" w:line="24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53"/>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060" w:type="dxa"/>
            <w:vAlign w:val="bottom"/>
          </w:tcPr>
          <w:p>
            <w:pPr>
              <w:ind w:left="1740"/>
              <w:spacing w:after="0" w:line="131" w:lineRule="exact"/>
              <w:rPr>
                <w:sz w:val="20"/>
                <w:szCs w:val="20"/>
                <w:color w:val="auto"/>
              </w:rPr>
            </w:pPr>
            <w:r>
              <w:rPr>
                <w:rFonts w:ascii="MS PGothic" w:cs="MS PGothic" w:eastAsia="MS PGothic" w:hAnsi="MS PGothic"/>
                <w:sz w:val="13"/>
                <w:szCs w:val="13"/>
                <w:color w:val="auto"/>
              </w:rPr>
              <w:t>☐</w:t>
            </w:r>
          </w:p>
        </w:tc>
        <w:tc>
          <w:tcPr>
            <w:tcW w:w="3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Accelerated filer</w:t>
            </w:r>
          </w:p>
        </w:tc>
        <w:tc>
          <w:tcPr>
            <w:tcW w:w="2220" w:type="dxa"/>
            <w:vAlign w:val="bottom"/>
          </w:tcPr>
          <w:p>
            <w:pPr>
              <w:ind w:left="21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68"/>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060" w:type="dxa"/>
            <w:vAlign w:val="bottom"/>
          </w:tcPr>
          <w:p>
            <w:pPr>
              <w:ind w:left="1740"/>
              <w:spacing w:after="0" w:line="131" w:lineRule="exact"/>
              <w:rPr>
                <w:sz w:val="20"/>
                <w:szCs w:val="20"/>
                <w:color w:val="auto"/>
              </w:rPr>
            </w:pPr>
            <w:r>
              <w:rPr>
                <w:rFonts w:ascii="MS PGothic" w:cs="MS PGothic" w:eastAsia="MS PGothic" w:hAnsi="MS PGothic"/>
                <w:sz w:val="13"/>
                <w:szCs w:val="13"/>
                <w:color w:val="auto"/>
              </w:rPr>
              <w:t>☐</w:t>
            </w:r>
          </w:p>
        </w:tc>
        <w:tc>
          <w:tcPr>
            <w:tcW w:w="3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20" w:type="dxa"/>
            <w:vAlign w:val="bottom"/>
          </w:tcPr>
          <w:p>
            <w:pPr>
              <w:ind w:left="21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2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20" w:type="dxa"/>
            <w:vAlign w:val="bottom"/>
          </w:tcPr>
          <w:p>
            <w:pPr>
              <w:ind w:left="212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47" w:lineRule="exact"/>
        <w:rPr>
          <w:sz w:val="24"/>
          <w:szCs w:val="24"/>
          <w:color w:val="auto"/>
        </w:rPr>
      </w:pPr>
    </w:p>
    <w:p>
      <w:pPr>
        <w:ind w:right="80" w:firstLine="252"/>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71628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400" w:right="339" w:bottom="1440" w:gutter="0" w:footer="0" w:header="0"/>
        </w:sectPr>
      </w:pPr>
    </w:p>
    <w:bookmarkStart w:id="1" w:name="page2"/>
    <w:bookmarkEnd w:id="1"/>
    <w:p>
      <w:pPr>
        <w:ind w:left="490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registration statement contains a prospectus and a prospectus supplement:</w:t>
      </w:r>
    </w:p>
    <w:p>
      <w:pPr>
        <w:spacing w:after="0" w:line="22" w:lineRule="exact"/>
        <w:rPr>
          <w:sz w:val="20"/>
          <w:szCs w:val="20"/>
          <w:color w:val="auto"/>
        </w:rPr>
      </w:pPr>
    </w:p>
    <w:p>
      <w:pPr>
        <w:ind w:left="1320" w:hanging="372"/>
        <w:spacing w:after="0" w:line="260" w:lineRule="auto"/>
        <w:tabs>
          <w:tab w:leader="none" w:pos="13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covering the offering, issuance and sale of Class A common stock, preferred stock, debt securities, warrants, subscription rights and/or units by us, as well as the offer and sale of shares of our Class A common stock by selling stockholders; and</w:t>
      </w:r>
    </w:p>
    <w:p>
      <w:pPr>
        <w:spacing w:after="0" w:line="161" w:lineRule="exact"/>
        <w:rPr>
          <w:rFonts w:ascii="Times New Roman" w:cs="Times New Roman" w:eastAsia="Times New Roman" w:hAnsi="Times New Roman"/>
          <w:sz w:val="14"/>
          <w:szCs w:val="14"/>
          <w:color w:val="auto"/>
        </w:rPr>
      </w:pPr>
    </w:p>
    <w:p>
      <w:pPr>
        <w:ind w:left="1320" w:right="60" w:hanging="372"/>
        <w:spacing w:after="0" w:line="282" w:lineRule="auto"/>
        <w:tabs>
          <w:tab w:leader="none" w:pos="13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sales agreement prospectus supplement covering the offering, issuance and sale of up to a maximum aggregate offering price of $100,000,000 of our Class A common stock that may be issued and sold from time to time under a sales agreement with TD Securities (USA) LLC (“TD Cowen”).</w:t>
      </w:r>
    </w:p>
    <w:p>
      <w:pPr>
        <w:spacing w:after="0" w:line="146" w:lineRule="exact"/>
        <w:rPr>
          <w:sz w:val="20"/>
          <w:szCs w:val="20"/>
          <w:color w:val="auto"/>
        </w:rPr>
      </w:pPr>
    </w:p>
    <w:p>
      <w:pPr>
        <w:jc w:val="both"/>
        <w:ind w:right="60" w:firstLine="504"/>
        <w:spacing w:after="0" w:line="266"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securities to be offered pursuant to the base prospectus, other than the shares to be issued and sold under the sales agreement, will be specified in a prospectus supplement to the base prospectus. The specific terms of the securities to be issued and sold under the sales agreement are specified in the sales agreement prospectus immediately following the base prospectus.</w:t>
      </w:r>
    </w:p>
    <w:p>
      <w:pPr>
        <w:sectPr>
          <w:pgSz w:w="11900" w:h="16838" w:orient="portrait"/>
          <w:cols w:equalWidth="0" w:num="1">
            <w:col w:w="11120"/>
          </w:cols>
          <w:pgMar w:left="300" w:top="878"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121920</wp:posOffset>
            </wp:positionV>
            <wp:extent cx="1186180" cy="373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6180"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4"/>
          <w:szCs w:val="34"/>
          <w:b w:val="1"/>
          <w:bCs w:val="1"/>
          <w:color w:val="auto"/>
        </w:rPr>
        <w:t>GeneDx Holdings Corp.</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Class A Common Stock, Preferred Stock,</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Debt Securities, Warrants, Subscription Rights and Units</w:t>
      </w:r>
    </w:p>
    <w:p>
      <w:pPr>
        <w:spacing w:after="0" w:line="32" w:lineRule="exact"/>
        <w:rPr>
          <w:sz w:val="20"/>
          <w:szCs w:val="20"/>
          <w:color w:val="auto"/>
        </w:rPr>
      </w:pPr>
    </w:p>
    <w:p>
      <w:pPr>
        <w:ind w:right="120" w:firstLine="252"/>
        <w:spacing w:after="0" w:line="262" w:lineRule="auto"/>
        <w:rPr>
          <w:sz w:val="20"/>
          <w:szCs w:val="20"/>
          <w:color w:val="auto"/>
        </w:rPr>
      </w:pPr>
      <w:r>
        <w:rPr>
          <w:rFonts w:ascii="Times New Roman" w:cs="Times New Roman" w:eastAsia="Times New Roman" w:hAnsi="Times New Roman"/>
          <w:sz w:val="14"/>
          <w:szCs w:val="14"/>
          <w:color w:val="auto"/>
        </w:rPr>
        <w:t>From time to time, we may offer shares of our Class A common stock (the “</w:t>
      </w:r>
      <w:r>
        <w:rPr>
          <w:rFonts w:ascii="Times New Roman" w:cs="Times New Roman" w:eastAsia="Times New Roman" w:hAnsi="Times New Roman"/>
          <w:sz w:val="14"/>
          <w:szCs w:val="14"/>
          <w:i w:val="1"/>
          <w:iCs w:val="1"/>
          <w:color w:val="auto"/>
        </w:rPr>
        <w:t>Class A common stock</w:t>
      </w:r>
      <w:r>
        <w:rPr>
          <w:rFonts w:ascii="Times New Roman" w:cs="Times New Roman" w:eastAsia="Times New Roman" w:hAnsi="Times New Roman"/>
          <w:sz w:val="14"/>
          <w:szCs w:val="14"/>
          <w:color w:val="auto"/>
        </w:rPr>
        <w:t>”)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 The prospectus supplement and any related free writing prospectus may also add, update or change information contained in this prospectus.</w:t>
      </w:r>
    </w:p>
    <w:p>
      <w:pPr>
        <w:spacing w:after="0" w:line="138" w:lineRule="exact"/>
        <w:rPr>
          <w:sz w:val="20"/>
          <w:szCs w:val="20"/>
          <w:color w:val="auto"/>
        </w:rPr>
      </w:pPr>
    </w:p>
    <w:p>
      <w:pPr>
        <w:ind w:right="180" w:firstLine="252"/>
        <w:spacing w:after="0" w:line="282" w:lineRule="auto"/>
        <w:rPr>
          <w:sz w:val="20"/>
          <w:szCs w:val="20"/>
          <w:color w:val="auto"/>
        </w:rPr>
      </w:pPr>
      <w:r>
        <w:rPr>
          <w:rFonts w:ascii="Times New Roman" w:cs="Times New Roman" w:eastAsia="Times New Roman" w:hAnsi="Times New Roman"/>
          <w:sz w:val="14"/>
          <w:szCs w:val="14"/>
          <w:color w:val="auto"/>
        </w:rPr>
        <w:t>In addition, certain selling stockholders to be identified in a prospectus supplement may use this prospectus from time to time to offer shares of our Class A common stock. Unless the applicable prospectus supplement provides otherwise, we will not receive any proceeds from the sale of Class A common stock by the selling stockholders.</w:t>
      </w:r>
    </w:p>
    <w:p>
      <w:pPr>
        <w:spacing w:after="0" w:line="125" w:lineRule="exact"/>
        <w:rPr>
          <w:sz w:val="20"/>
          <w:szCs w:val="20"/>
          <w:color w:val="auto"/>
        </w:rPr>
      </w:pPr>
    </w:p>
    <w:p>
      <w:pPr>
        <w:ind w:right="280" w:firstLine="252"/>
        <w:spacing w:after="0" w:line="282" w:lineRule="auto"/>
        <w:rPr>
          <w:sz w:val="20"/>
          <w:szCs w:val="20"/>
          <w:color w:val="auto"/>
        </w:rPr>
      </w:pPr>
      <w:r>
        <w:rPr>
          <w:rFonts w:ascii="Times New Roman" w:cs="Times New Roman" w:eastAsia="Times New Roman" w:hAnsi="Times New Roman"/>
          <w:sz w:val="14"/>
          <w:szCs w:val="14"/>
          <w:color w:val="auto"/>
        </w:rPr>
        <w:t>You should read this prospectus, the information incorporated, or deemed to be incorporated, by reference in this prospectus, and any applicable prospectus supplement and related free writing prospectus carefully before you invest.</w:t>
      </w:r>
    </w:p>
    <w:p>
      <w:pPr>
        <w:spacing w:after="0" w:line="123" w:lineRule="exact"/>
        <w:rPr>
          <w:sz w:val="20"/>
          <w:szCs w:val="20"/>
          <w:color w:val="auto"/>
        </w:rPr>
      </w:pPr>
    </w:p>
    <w:p>
      <w:pPr>
        <w:ind w:right="20" w:firstLine="252"/>
        <w:spacing w:after="0" w:line="262" w:lineRule="auto"/>
        <w:rPr>
          <w:sz w:val="20"/>
          <w:szCs w:val="20"/>
          <w:color w:val="auto"/>
        </w:rPr>
      </w:pPr>
      <w:r>
        <w:rPr>
          <w:rFonts w:ascii="Times New Roman" w:cs="Times New Roman" w:eastAsia="Times New Roman" w:hAnsi="Times New Roman"/>
          <w:sz w:val="14"/>
          <w:szCs w:val="14"/>
          <w:color w:val="auto"/>
        </w:rPr>
        <w:t>Our Class A common stock and public warrants are traded on The Nasdaq Global Select Market (the “</w:t>
      </w:r>
      <w:r>
        <w:rPr>
          <w:rFonts w:ascii="Times New Roman" w:cs="Times New Roman" w:eastAsia="Times New Roman" w:hAnsi="Times New Roman"/>
          <w:sz w:val="14"/>
          <w:szCs w:val="14"/>
          <w:i w:val="1"/>
          <w:iCs w:val="1"/>
          <w:color w:val="auto"/>
        </w:rPr>
        <w:t>Nasdaq</w:t>
      </w:r>
      <w:r>
        <w:rPr>
          <w:rFonts w:ascii="Times New Roman" w:cs="Times New Roman" w:eastAsia="Times New Roman" w:hAnsi="Times New Roman"/>
          <w:sz w:val="14"/>
          <w:szCs w:val="14"/>
          <w:color w:val="auto"/>
        </w:rPr>
        <w:t>”) under the symbols “WGS” and “WGSWW,” respectively. On October 27, 2025, the last reported sales price of our Class A common stock was $130.66 per share and the last reported sales price of our public warrants was $0.799 per warrant. The applicable prospectus supplement and, if permitted, any related free writing prospectus will contain information, where applicable, as to any other listing on the Nasdaq or any securities market or exchange of the securities covered by the prospectus supplement and any related free writing prospectus.</w:t>
      </w:r>
    </w:p>
    <w:p>
      <w:pPr>
        <w:spacing w:after="0" w:line="136" w:lineRule="exact"/>
        <w:rPr>
          <w:sz w:val="20"/>
          <w:szCs w:val="20"/>
          <w:color w:val="auto"/>
        </w:rPr>
      </w:pPr>
    </w:p>
    <w:p>
      <w:pPr>
        <w:ind w:right="40" w:firstLine="252"/>
        <w:spacing w:after="0" w:line="257" w:lineRule="auto"/>
        <w:rPr>
          <w:sz w:val="20"/>
          <w:szCs w:val="20"/>
          <w:color w:val="auto"/>
        </w:rPr>
      </w:pPr>
      <w:r>
        <w:rPr>
          <w:rFonts w:ascii="Times New Roman" w:cs="Times New Roman" w:eastAsia="Times New Roman" w:hAnsi="Times New Roman"/>
          <w:sz w:val="14"/>
          <w:szCs w:val="14"/>
          <w:b w:val="1"/>
          <w:bCs w:val="1"/>
          <w:color w:val="auto"/>
        </w:rPr>
        <w:t>We are an “emerging growth company” as defined in Section 2(a) of the Securities Act of 1933, as amended, and, as such, have elected to comply with certain reduced disclosure and regulatory requirements. An investment in our securities involves a high degree of risk. You should carefully consider the information under the heading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beginning on page </w:t>
      </w:r>
      <w:r>
        <w:rPr>
          <w:rFonts w:ascii="Times New Roman" w:cs="Times New Roman" w:eastAsia="Times New Roman" w:hAnsi="Times New Roman"/>
          <w:sz w:val="14"/>
          <w:szCs w:val="14"/>
          <w:b w:val="1"/>
          <w:bCs w:val="1"/>
          <w:u w:val="single" w:color="auto"/>
          <w:color w:val="0000FF"/>
        </w:rPr>
        <w:t>5</w:t>
      </w:r>
      <w:r>
        <w:rPr>
          <w:rFonts w:ascii="Times New Roman" w:cs="Times New Roman" w:eastAsia="Times New Roman" w:hAnsi="Times New Roman"/>
          <w:sz w:val="14"/>
          <w:szCs w:val="14"/>
          <w:b w:val="1"/>
          <w:bCs w:val="1"/>
          <w:color w:val="auto"/>
        </w:rPr>
        <w:t xml:space="preserve"> of this prospectus, as well as the sections entitled “Risk Factors” contained in the applicable prospectus supplement and any related free writing prospectus, and the sections entitled “Risk Factors” beginning on page 18 of our Annual Report on Form 10-K for the year ended December 31, 2024, beginning on page 31 of our Quarterly Report on Form 10-Q for the quarter ended March 31, 2025, beginning on page 35 of our Quarterly Report on Form 10-Q for the quarter ended June 30, 2025 and beginning on page 36 of our Quarterly Report on Form 10-Q for the quarter ended September 30, 2025, which reports are incorporated by reference in this prospectus, before investing in our securities.</w:t>
      </w:r>
    </w:p>
    <w:p>
      <w:pPr>
        <w:spacing w:after="0" w:line="143" w:lineRule="exact"/>
        <w:rPr>
          <w:sz w:val="20"/>
          <w:szCs w:val="20"/>
          <w:color w:val="auto"/>
        </w:rPr>
      </w:pPr>
    </w:p>
    <w:p>
      <w:pPr>
        <w:ind w:firstLine="252"/>
        <w:spacing w:after="0" w:line="256" w:lineRule="auto"/>
        <w:rPr>
          <w:sz w:val="20"/>
          <w:szCs w:val="20"/>
          <w:color w:val="auto"/>
        </w:rPr>
      </w:pPr>
      <w:r>
        <w:rPr>
          <w:rFonts w:ascii="Times New Roman" w:cs="Times New Roman" w:eastAsia="Times New Roman" w:hAnsi="Times New Roman"/>
          <w:sz w:val="14"/>
          <w:szCs w:val="14"/>
          <w:color w:val="auto"/>
        </w:rPr>
        <w:t>Class A common stock, preferred stock, debt securities, warrants, subscription rights and/or units may be sold by us, and Class A common stock may be sold by selling stockholders, to or through underwriters or dealers, directly to purchasers or through agents designated from time to time. For additional information on the methods of sale, you should refer to the section entitled “</w:t>
      </w:r>
      <w:r>
        <w:rPr>
          <w:rFonts w:ascii="Times New Roman" w:cs="Times New Roman" w:eastAsia="Times New Roman" w:hAnsi="Times New Roman"/>
          <w:sz w:val="14"/>
          <w:szCs w:val="14"/>
          <w:i w:val="1"/>
          <w:iCs w:val="1"/>
          <w:color w:val="auto"/>
        </w:rPr>
        <w:t>Plan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Distribution</w:t>
      </w:r>
      <w:r>
        <w:rPr>
          <w:rFonts w:ascii="Times New Roman" w:cs="Times New Roman" w:eastAsia="Times New Roman" w:hAnsi="Times New Roman"/>
          <w:sz w:val="14"/>
          <w:szCs w:val="14"/>
          <w:color w:val="auto"/>
        </w:rPr>
        <w:t>” in this prospectus and the applicable prospectus supplement. If any underwriters, dealers or agents are involved in the sale of any securities with respect to which this prospectus is being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delivered, the names of such underwriters or agents and any applicable fees, discounts or commissions, details regarding over-allotment options, if any, and the net proceeds to us or selling stockholders will be set forth in a prospectus supplement. The price to the public of such securities and the net proceeds we or selling stockholders expect to receive from such sale will also be set forth in a prospectus supplement.</w:t>
      </w:r>
    </w:p>
    <w:p>
      <w:pPr>
        <w:spacing w:after="0" w:line="132" w:lineRule="exact"/>
        <w:rPr>
          <w:sz w:val="20"/>
          <w:szCs w:val="20"/>
          <w:color w:val="auto"/>
        </w:rPr>
      </w:pPr>
    </w:p>
    <w:p>
      <w:pPr>
        <w:ind w:right="580"/>
        <w:spacing w:after="0" w:line="23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date of this prospectus is October 28, 2025</w:t>
      </w:r>
    </w:p>
    <w:p>
      <w:pPr>
        <w:sectPr>
          <w:pgSz w:w="11900" w:h="16838" w:orient="portrait"/>
          <w:cols w:equalWidth="0" w:num="1">
            <w:col w:w="11260"/>
          </w:cols>
          <w:pgMar w:left="300" w:top="31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6580" w:type="dxa"/>
            <w:vAlign w:val="bottom"/>
            <w:gridSpan w:val="2"/>
          </w:tcPr>
          <w:p>
            <w:pPr>
              <w:jc w:val="right"/>
              <w:ind w:right="4824"/>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37"/>
        </w:trPr>
        <w:tc>
          <w:tcPr>
            <w:tcW w:w="4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7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99"/>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ABOUT THIS PROSPECTUS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1</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SELECTED DEFINITIONS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2</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PROSPECTUS SUMMARY</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3</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5</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6</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WHERE YOU CAN FIND MORE INFORMATION</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8</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INCORPORATION OF INFORMATION BY REFERENCE</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9</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USE OF PROCEEDS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10</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SELLING STOCKHOLDERS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11</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PLAN OF DISTRIBUTION</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12</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DESCRIPTION OF CAPITAL STOCK</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15</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DESCRIPTION OF DEBT SECURITIES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18</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DESCRIPTION OF WARRANTS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25</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DESCRIPTION OF SUBSCRIPTION RIGHTS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31</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DESCRIPTION OF UNITS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32</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LEGAL MATTERS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33</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0000FF"/>
              </w:rPr>
              <w:t>EXPERTS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33</w:t>
            </w:r>
          </w:p>
        </w:tc>
      </w:tr>
    </w:tbl>
    <w:p>
      <w:pPr>
        <w:sectPr>
          <w:pgSz w:w="11900" w:h="16838" w:orient="portrait"/>
          <w:cols w:equalWidth="0" w:num="1">
            <w:col w:w="11260"/>
          </w:cols>
          <w:pgMar w:left="320" w:top="1298" w:right="319" w:bottom="1440" w:gutter="0" w:footer="0" w:header="0"/>
        </w:sectPr>
      </w:pPr>
    </w:p>
    <w:bookmarkStart w:id="4" w:name="page5"/>
    <w:bookmarkEnd w:id="4"/>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 ABOUT THIS PROSPECTUS</w:t>
      </w:r>
    </w:p>
    <w:p>
      <w:pPr>
        <w:spacing w:after="0" w:line="133" w:lineRule="exact"/>
        <w:rPr>
          <w:sz w:val="20"/>
          <w:szCs w:val="20"/>
          <w:color w:val="auto"/>
        </w:rPr>
      </w:pPr>
    </w:p>
    <w:p>
      <w:pPr>
        <w:ind w:firstLine="252"/>
        <w:spacing w:after="0" w:line="254"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on Form S-3 that we filed with the Securities and Exchange Commission (the “</w:t>
      </w:r>
      <w:r>
        <w:rPr>
          <w:rFonts w:ascii="Times New Roman" w:cs="Times New Roman" w:eastAsia="Times New Roman" w:hAnsi="Times New Roman"/>
          <w:sz w:val="14"/>
          <w:szCs w:val="14"/>
          <w:i w:val="1"/>
          <w:iCs w:val="1"/>
          <w:color w:val="auto"/>
        </w:rPr>
        <w:t>SEC</w:t>
      </w:r>
      <w:r>
        <w:rPr>
          <w:rFonts w:ascii="Times New Roman" w:cs="Times New Roman" w:eastAsia="Times New Roman" w:hAnsi="Times New Roman"/>
          <w:sz w:val="14"/>
          <w:szCs w:val="14"/>
          <w:color w:val="auto"/>
        </w:rPr>
        <w:t>”) as a “well-known seasoned issuer” as defined in Rule 405 under the Securities Act of 1933, as amended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xml:space="preserve">”), using a “shelf” registration process. Under this shelf registration process, from time to time, we may sell any combination of the securities described in this prospectus in one or more offerings, and any selling stockholders may sell our Class A common stock from time to time in one or more offerings. We have provided to you in this prospectus a general description of the securities we or any selling stockholders may offer. Each time we or any selling stockholders sell securities under this shelf registration process, we will provide a prospectus supplement that will contain specific information about the terms of the offering. We may also add, update or change in the prospectus supplement any of the information contained in this prospectus. To the extent there is a conflict between the information contained in this prospectus and the prospectus supplement, you should rely on the information in the prospectus supplement;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You should read both this prospectus and any prospectus supplement together with additional information described under the heading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of Information by Reference</w:t>
      </w:r>
      <w:r>
        <w:rPr>
          <w:rFonts w:ascii="Times New Roman" w:cs="Times New Roman" w:eastAsia="Times New Roman" w:hAnsi="Times New Roman"/>
          <w:sz w:val="14"/>
          <w:szCs w:val="14"/>
          <w:color w:val="auto"/>
        </w:rPr>
        <w:t>.”</w:t>
      </w:r>
    </w:p>
    <w:p>
      <w:pPr>
        <w:spacing w:after="0" w:line="106" w:lineRule="exact"/>
        <w:rPr>
          <w:sz w:val="20"/>
          <w:szCs w:val="20"/>
          <w:color w:val="auto"/>
        </w:rPr>
      </w:pPr>
    </w:p>
    <w:p>
      <w:pPr>
        <w:ind w:firstLine="252"/>
        <w:spacing w:after="0" w:line="255" w:lineRule="auto"/>
        <w:rPr>
          <w:sz w:val="20"/>
          <w:szCs w:val="20"/>
          <w:color w:val="auto"/>
        </w:rPr>
      </w:pPr>
      <w:r>
        <w:rPr>
          <w:rFonts w:ascii="Times New Roman" w:cs="Times New Roman" w:eastAsia="Times New Roman" w:hAnsi="Times New Roman"/>
          <w:sz w:val="14"/>
          <w:szCs w:val="14"/>
          <w:color w:val="auto"/>
        </w:rPr>
        <w:t>Neither we or any selling stockholder, nor any agent, underwriter or dealer have authorized anyone to give you any information or to make any representation other than the information and representations contained in or incorporated by reference into this prospectus or any applicable prospectus supplement. We, any selling stockholder and any agent, underwriter or dealer take no responsibility for, and can provide no assurance as to the reliability of, any other information others may give you.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102" w:lineRule="exact"/>
        <w:rPr>
          <w:sz w:val="20"/>
          <w:szCs w:val="20"/>
          <w:color w:val="auto"/>
        </w:rPr>
      </w:pPr>
    </w:p>
    <w:p>
      <w:pPr>
        <w:ind w:right="640" w:firstLine="252"/>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THIS PROSPECTUS MAY NOT BE USED TO OFFER AND SELL SECURITIES UNLESS IT IS ACCOMPANIED BY AN ADDITIONAL PROSPECTUS OR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w:t>
      </w:r>
    </w:p>
    <w:p>
      <w:pPr>
        <w:sectPr>
          <w:pgSz w:w="11900" w:h="16838" w:orient="portrait"/>
          <w:cols w:equalWidth="0" w:num="1">
            <w:col w:w="11260"/>
          </w:cols>
          <w:pgMar w:left="300" w:top="1130" w:right="339" w:bottom="1440" w:gutter="0" w:footer="0" w:header="0"/>
        </w:sectPr>
      </w:pPr>
    </w:p>
    <w:bookmarkStart w:id="5" w:name="page6"/>
    <w:bookmarkEnd w:id="5"/>
    <w:p>
      <w:pPr>
        <w:ind w:left="4284"/>
        <w:spacing w:after="0"/>
        <w:rPr>
          <w:sz w:val="20"/>
          <w:szCs w:val="20"/>
          <w:color w:val="auto"/>
        </w:rPr>
      </w:pPr>
      <w:r>
        <w:rPr>
          <w:rFonts w:ascii="Times New Roman" w:cs="Times New Roman" w:eastAsia="Times New Roman" w:hAnsi="Times New Roman"/>
          <w:sz w:val="14"/>
          <w:szCs w:val="14"/>
          <w:b w:val="1"/>
          <w:bCs w:val="1"/>
          <w:color w:val="auto"/>
        </w:rPr>
        <w:t>(b) SELECTED DEFINITIONS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Unless otherwise stated in this prospectus or the context otherwise requires, references to:</w:t>
      </w:r>
    </w:p>
    <w:p>
      <w:pPr>
        <w:spacing w:after="0" w:line="131" w:lineRule="exact"/>
        <w:rPr>
          <w:sz w:val="20"/>
          <w:szCs w:val="20"/>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GeneDx Holdings</w:t>
      </w:r>
      <w:r>
        <w:rPr>
          <w:rFonts w:ascii="Times New Roman" w:cs="Times New Roman" w:eastAsia="Times New Roman" w:hAnsi="Times New Roman"/>
          <w:sz w:val="14"/>
          <w:szCs w:val="14"/>
          <w:color w:val="auto"/>
        </w:rPr>
        <w:t>” refers to GeneDx Holdings Corp., a Delaware corporation;</w:t>
      </w:r>
    </w:p>
    <w:p>
      <w:pPr>
        <w:spacing w:after="0" w:line="132"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Legacy GeneDx</w:t>
      </w:r>
      <w:r>
        <w:rPr>
          <w:rFonts w:ascii="Times New Roman" w:cs="Times New Roman" w:eastAsia="Times New Roman" w:hAnsi="Times New Roman"/>
          <w:sz w:val="14"/>
          <w:szCs w:val="14"/>
          <w:color w:val="auto"/>
        </w:rPr>
        <w:t>” refers to GeneDx, LLC, a Delaware limited liability company, which we acquired on April 29, 2022 (the “</w:t>
      </w:r>
      <w:r>
        <w:rPr>
          <w:rFonts w:ascii="Times New Roman" w:cs="Times New Roman" w:eastAsia="Times New Roman" w:hAnsi="Times New Roman"/>
          <w:sz w:val="14"/>
          <w:szCs w:val="14"/>
          <w:i w:val="1"/>
          <w:iCs w:val="1"/>
          <w:color w:val="auto"/>
        </w:rPr>
        <w:t>Acquisition</w:t>
      </w:r>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color w:val="auto"/>
        </w:rPr>
      </w:pPr>
    </w:p>
    <w:p>
      <w:pPr>
        <w:ind w:left="244" w:hanging="244"/>
        <w:spacing w:after="0" w:line="285" w:lineRule="auto"/>
        <w:tabs>
          <w:tab w:leader="none" w:pos="24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Legacy Sema4</w:t>
      </w:r>
      <w:r>
        <w:rPr>
          <w:rFonts w:ascii="Times New Roman" w:cs="Times New Roman" w:eastAsia="Times New Roman" w:hAnsi="Times New Roman"/>
          <w:sz w:val="14"/>
          <w:szCs w:val="14"/>
          <w:color w:val="auto"/>
        </w:rPr>
        <w:t>” refers to Sema4 OpCo Inc., a Delaware corporation, which consummated the business combination with CM Life Sciences, Inc. (“</w:t>
      </w:r>
      <w:r>
        <w:rPr>
          <w:rFonts w:ascii="Times New Roman" w:cs="Times New Roman" w:eastAsia="Times New Roman" w:hAnsi="Times New Roman"/>
          <w:sz w:val="14"/>
          <w:szCs w:val="14"/>
          <w:i w:val="1"/>
          <w:iCs w:val="1"/>
          <w:color w:val="auto"/>
        </w:rPr>
        <w:t>CMLS</w:t>
      </w:r>
      <w:r>
        <w:rPr>
          <w:rFonts w:ascii="Times New Roman" w:cs="Times New Roman" w:eastAsia="Times New Roman" w:hAnsi="Times New Roman"/>
          <w:sz w:val="14"/>
          <w:szCs w:val="14"/>
          <w:color w:val="auto"/>
        </w:rPr>
        <w:t>”) on July 22, 2021 (the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Combination</w:t>
      </w:r>
      <w:r>
        <w:rPr>
          <w:rFonts w:ascii="Times New Roman" w:cs="Times New Roman" w:eastAsia="Times New Roman" w:hAnsi="Times New Roman"/>
          <w:sz w:val="14"/>
          <w:szCs w:val="14"/>
          <w:color w:val="auto"/>
        </w:rPr>
        <w:t>”); and</w:t>
      </w:r>
    </w:p>
    <w:p>
      <w:pPr>
        <w:spacing w:after="0" w:line="79"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GeneDx</w:t>
      </w:r>
      <w:r>
        <w:rPr>
          <w:rFonts w:ascii="Times New Roman" w:cs="Times New Roman" w:eastAsia="Times New Roman" w:hAnsi="Times New Roman"/>
          <w:sz w:val="14"/>
          <w:szCs w:val="14"/>
          <w:color w:val="auto"/>
        </w:rPr>
        <w:t>” refer to GeneDx Holdings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1"/>
          <w:szCs w:val="11"/>
          <w:color w:val="auto"/>
        </w:rPr>
        <w:t>2</w:t>
      </w:r>
    </w:p>
    <w:p>
      <w:pPr>
        <w:sectPr>
          <w:pgSz w:w="11900" w:h="16838" w:orient="portrait"/>
          <w:cols w:equalWidth="0" w:num="1">
            <w:col w:w="10804"/>
          </w:cols>
          <w:pgMar w:left="556" w:top="1130" w:right="539" w:bottom="1440" w:gutter="0" w:footer="0" w:header="0"/>
        </w:sectPr>
      </w:pPr>
    </w:p>
    <w:bookmarkStart w:id="6" w:name="page7"/>
    <w:bookmarkEnd w:id="6"/>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 PROSPECTUS SUMMARY</w:t>
      </w:r>
    </w:p>
    <w:p>
      <w:pPr>
        <w:spacing w:after="0" w:line="133" w:lineRule="exact"/>
        <w:rPr>
          <w:sz w:val="20"/>
          <w:szCs w:val="20"/>
          <w:color w:val="auto"/>
        </w:rPr>
      </w:pPr>
    </w:p>
    <w:p>
      <w:pPr>
        <w:ind w:right="140" w:firstLine="252"/>
        <w:spacing w:after="0" w:line="285" w:lineRule="auto"/>
        <w:rPr>
          <w:sz w:val="20"/>
          <w:szCs w:val="20"/>
          <w:color w:val="auto"/>
        </w:rPr>
      </w:pPr>
      <w:r>
        <w:rPr>
          <w:rFonts w:ascii="Times New Roman" w:cs="Times New Roman" w:eastAsia="Times New Roman" w:hAnsi="Times New Roman"/>
          <w:sz w:val="14"/>
          <w:szCs w:val="14"/>
          <w:i w:val="1"/>
          <w:iCs w:val="1"/>
          <w:color w:val="auto"/>
        </w:rPr>
        <w:t>This summary may not contain all the information that you should consider before investing in our securities. You should read the entire prospectus and the information incorporated by reference in this prospectus carefully, including “Risk Factors” and the financial statements and related notes incorporated by reference herein, before making an investment decision.</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(1) Company Overview</w:t>
      </w:r>
    </w:p>
    <w:p>
      <w:pPr>
        <w:spacing w:after="0" w:line="135" w:lineRule="exact"/>
        <w:rPr>
          <w:sz w:val="20"/>
          <w:szCs w:val="20"/>
          <w:color w:val="auto"/>
        </w:rPr>
      </w:pPr>
    </w:p>
    <w:p>
      <w:pPr>
        <w:ind w:right="80" w:firstLine="252"/>
        <w:spacing w:after="0" w:line="266" w:lineRule="auto"/>
        <w:rPr>
          <w:sz w:val="20"/>
          <w:szCs w:val="20"/>
          <w:color w:val="auto"/>
        </w:rPr>
      </w:pPr>
      <w:r>
        <w:rPr>
          <w:rFonts w:ascii="Times New Roman" w:cs="Times New Roman" w:eastAsia="Times New Roman" w:hAnsi="Times New Roman"/>
          <w:sz w:val="14"/>
          <w:szCs w:val="14"/>
          <w:color w:val="auto"/>
        </w:rPr>
        <w:t>At GeneDx,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We operate with conviction that what is best for patients must be embedded in every aspect of our work. In support of these beliefs, we value equitability, simplicity and transparency.</w:t>
      </w:r>
    </w:p>
    <w:p>
      <w:pPr>
        <w:spacing w:after="0" w:line="94" w:lineRule="exact"/>
        <w:rPr>
          <w:sz w:val="20"/>
          <w:szCs w:val="20"/>
          <w:color w:val="auto"/>
        </w:rPr>
      </w:pPr>
    </w:p>
    <w:p>
      <w:pPr>
        <w:jc w:val="both"/>
        <w:ind w:right="20" w:firstLine="252"/>
        <w:spacing w:after="0" w:line="266" w:lineRule="auto"/>
        <w:rPr>
          <w:sz w:val="20"/>
          <w:szCs w:val="20"/>
          <w:color w:val="auto"/>
        </w:rPr>
      </w:pPr>
      <w:r>
        <w:rPr>
          <w:rFonts w:ascii="Times New Roman" w:cs="Times New Roman" w:eastAsia="Times New Roman" w:hAnsi="Times New Roman"/>
          <w:sz w:val="14"/>
          <w:szCs w:val="14"/>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25 years later, we have amassed one of the world’s largest rare disease datasets and remain a leader in genomics.</w:t>
      </w:r>
    </w:p>
    <w:p>
      <w:pPr>
        <w:spacing w:after="0" w:line="94" w:lineRule="exact"/>
        <w:rPr>
          <w:sz w:val="20"/>
          <w:szCs w:val="20"/>
          <w:color w:val="auto"/>
        </w:rPr>
      </w:pPr>
    </w:p>
    <w:p>
      <w:pPr>
        <w:ind w:right="380" w:firstLine="252"/>
        <w:spacing w:after="0" w:line="282" w:lineRule="auto"/>
        <w:rPr>
          <w:sz w:val="20"/>
          <w:szCs w:val="20"/>
          <w:color w:val="auto"/>
        </w:rPr>
      </w:pPr>
      <w:r>
        <w:rPr>
          <w:rFonts w:ascii="Times New Roman" w:cs="Times New Roman" w:eastAsia="Times New Roman" w:hAnsi="Times New Roman"/>
          <w:sz w:val="14"/>
          <w:szCs w:val="14"/>
          <w:color w:val="auto"/>
        </w:rPr>
        <w:t>Today, we are powered by our industry-leading genomic interpretation platform, and we believe exome and genome testing will become the standard for diagnosis of genetic disease, with the potential to transform healthcare and improve patients’ quality of life.</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(2) The Securities We May Offer</w:t>
      </w:r>
    </w:p>
    <w:p>
      <w:pPr>
        <w:spacing w:after="0" w:line="135" w:lineRule="exact"/>
        <w:rPr>
          <w:sz w:val="20"/>
          <w:szCs w:val="20"/>
          <w:color w:val="auto"/>
        </w:rPr>
      </w:pPr>
    </w:p>
    <w:p>
      <w:pPr>
        <w:ind w:right="80" w:firstLine="252"/>
        <w:spacing w:after="0" w:line="258" w:lineRule="auto"/>
        <w:rPr>
          <w:sz w:val="20"/>
          <w:szCs w:val="20"/>
          <w:color w:val="auto"/>
        </w:rPr>
      </w:pPr>
      <w:r>
        <w:rPr>
          <w:rFonts w:ascii="Times New Roman" w:cs="Times New Roman" w:eastAsia="Times New Roman" w:hAnsi="Times New Roman"/>
          <w:sz w:val="14"/>
          <w:szCs w:val="14"/>
          <w:color w:val="auto"/>
        </w:rPr>
        <w:t>With this prospectus, we may offer shares of our Class A common stock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Selling stockholders may also offer shares of our Class A common stock in one or more offerings. There is no limit on the aggregate amount of securities that we or any selling stockholders may offer pursuant to the registration statement of which this prospectus is a part. Each time we or any selling stockholders offer securities with this prospectus, we will provide offerees with a prospectus supplement that will contain the specific terms of the securities being offered. The following is a summary of the securities we or any selling stockholders may offer with this prospectus.</w:t>
      </w:r>
    </w:p>
    <w:p>
      <w:pPr>
        <w:spacing w:after="0" w:line="98" w:lineRule="exact"/>
        <w:rPr>
          <w:sz w:val="20"/>
          <w:szCs w:val="20"/>
          <w:color w:val="auto"/>
        </w:rPr>
      </w:pPr>
    </w:p>
    <w:p>
      <w:pPr>
        <w:ind w:left="1320" w:hanging="309"/>
        <w:spacing w:after="0"/>
        <w:tabs>
          <w:tab w:leader="none" w:pos="1320" w:val="left"/>
        </w:tabs>
        <w:numPr>
          <w:ilvl w:val="0"/>
          <w:numId w:val="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Class A Common Stock</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may offer shares of our Class A common stock, par value $0.0001 per share. Selling stockholders may also offer shares of our Class A common stock.</w:t>
      </w:r>
    </w:p>
    <w:p>
      <w:pPr>
        <w:spacing w:after="0" w:line="131" w:lineRule="exact"/>
        <w:rPr>
          <w:sz w:val="20"/>
          <w:szCs w:val="20"/>
          <w:color w:val="auto"/>
        </w:rPr>
      </w:pPr>
    </w:p>
    <w:p>
      <w:pPr>
        <w:ind w:left="1020"/>
        <w:spacing w:after="0"/>
        <w:tabs>
          <w:tab w:leader="none" w:pos="1280" w:val="left"/>
        </w:tabs>
        <w:rPr>
          <w:sz w:val="20"/>
          <w:szCs w:val="20"/>
          <w:color w:val="auto"/>
        </w:rPr>
      </w:pPr>
      <w:r>
        <w:rPr>
          <w:rFonts w:ascii="Times New Roman" w:cs="Times New Roman" w:eastAsia="Times New Roman" w:hAnsi="Times New Roman"/>
          <w:sz w:val="14"/>
          <w:szCs w:val="14"/>
          <w:b w:val="1"/>
          <w:bCs w:val="1"/>
          <w:i w:val="1"/>
          <w:iCs w:val="1"/>
          <w:color w:val="auto"/>
        </w:rPr>
        <w:t>(ii)</w:t>
        <w:tab/>
        <w:t>Preferred Stock</w:t>
      </w:r>
    </w:p>
    <w:p>
      <w:pPr>
        <w:spacing w:after="0" w:line="133" w:lineRule="exact"/>
        <w:rPr>
          <w:sz w:val="20"/>
          <w:szCs w:val="20"/>
          <w:color w:val="auto"/>
        </w:rPr>
      </w:pPr>
    </w:p>
    <w:p>
      <w:pPr>
        <w:ind w:firstLine="252"/>
        <w:spacing w:after="0" w:line="297" w:lineRule="auto"/>
        <w:rPr>
          <w:sz w:val="20"/>
          <w:szCs w:val="20"/>
          <w:color w:val="auto"/>
        </w:rPr>
      </w:pPr>
      <w:r>
        <w:rPr>
          <w:rFonts w:ascii="Times New Roman" w:cs="Times New Roman" w:eastAsia="Times New Roman" w:hAnsi="Times New Roman"/>
          <w:sz w:val="13"/>
          <w:szCs w:val="13"/>
          <w:color w:val="auto"/>
        </w:rPr>
        <w:t>We may offer shares of our preferred stock, par value $0.0001 per share, in one or more series. Our board of directors (the “</w:t>
      </w:r>
      <w:r>
        <w:rPr>
          <w:rFonts w:ascii="Times New Roman" w:cs="Times New Roman" w:eastAsia="Times New Roman" w:hAnsi="Times New Roman"/>
          <w:sz w:val="13"/>
          <w:szCs w:val="13"/>
          <w:i w:val="1"/>
          <w:iCs w:val="1"/>
          <w:color w:val="auto"/>
        </w:rPr>
        <w:t>Board</w:t>
      </w:r>
      <w:r>
        <w:rPr>
          <w:rFonts w:ascii="Times New Roman" w:cs="Times New Roman" w:eastAsia="Times New Roman" w:hAnsi="Times New Roman"/>
          <w:sz w:val="13"/>
          <w:szCs w:val="13"/>
          <w:color w:val="auto"/>
        </w:rPr>
        <w:t>”)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Class A common stock.</w:t>
      </w:r>
    </w:p>
    <w:p>
      <w:pPr>
        <w:spacing w:after="0" w:line="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(iii) Debt Securities</w:t>
      </w:r>
    </w:p>
    <w:p>
      <w:pPr>
        <w:spacing w:after="0" w:line="135" w:lineRule="exact"/>
        <w:rPr>
          <w:sz w:val="20"/>
          <w:szCs w:val="20"/>
          <w:color w:val="auto"/>
        </w:rPr>
      </w:pPr>
    </w:p>
    <w:p>
      <w:pPr>
        <w:ind w:right="220" w:firstLine="252"/>
        <w:spacing w:after="0" w:line="282" w:lineRule="auto"/>
        <w:rPr>
          <w:sz w:val="20"/>
          <w:szCs w:val="20"/>
          <w:color w:val="auto"/>
        </w:rPr>
      </w:pPr>
      <w:r>
        <w:rPr>
          <w:rFonts w:ascii="Times New Roman" w:cs="Times New Roman" w:eastAsia="Times New Roman" w:hAnsi="Times New Roman"/>
          <w:sz w:val="14"/>
          <w:szCs w:val="14"/>
          <w:color w:val="auto"/>
        </w:rPr>
        <w:t>We may offer general obligations, which may be secured or unsecured, senior or subordinated and convertible into shares of our Class A common stock or preferred stock. In this prospectus, we refer to the senior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w:t>
      </w:r>
    </w:p>
    <w:p>
      <w:pPr>
        <w:sectPr>
          <w:pgSz w:w="11900" w:h="16838" w:orient="portrait"/>
          <w:cols w:equalWidth="0" w:num="1">
            <w:col w:w="11280"/>
          </w:cols>
          <w:pgMar w:left="300" w:top="113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auto"/>
        </w:rPr>
        <w:t>and the subordinated debt securities together as the “</w:t>
      </w:r>
      <w:r>
        <w:rPr>
          <w:rFonts w:ascii="Times New Roman" w:cs="Times New Roman" w:eastAsia="Times New Roman" w:hAnsi="Times New Roman"/>
          <w:sz w:val="14"/>
          <w:szCs w:val="14"/>
          <w:i w:val="1"/>
          <w:iCs w:val="1"/>
          <w:color w:val="auto"/>
        </w:rPr>
        <w:t>debt securities</w:t>
      </w:r>
      <w:r>
        <w:rPr>
          <w:rFonts w:ascii="Times New Roman" w:cs="Times New Roman" w:eastAsia="Times New Roman" w:hAnsi="Times New Roman"/>
          <w:sz w:val="14"/>
          <w:szCs w:val="14"/>
          <w:color w:val="auto"/>
        </w:rPr>
        <w:t>.” Our Board will determine the terms of each series of debt securities being offered.</w:t>
      </w:r>
    </w:p>
    <w:p>
      <w:pPr>
        <w:spacing w:after="0" w:line="135" w:lineRule="exact"/>
        <w:rPr>
          <w:sz w:val="20"/>
          <w:szCs w:val="20"/>
          <w:color w:val="auto"/>
        </w:rPr>
      </w:pPr>
    </w:p>
    <w:p>
      <w:pPr>
        <w:jc w:val="both"/>
        <w:ind w:right="140" w:firstLine="252"/>
        <w:spacing w:after="0" w:line="266" w:lineRule="auto"/>
        <w:rPr>
          <w:sz w:val="20"/>
          <w:szCs w:val="20"/>
          <w:color w:val="auto"/>
        </w:rPr>
      </w:pPr>
      <w:r>
        <w:rPr>
          <w:rFonts w:ascii="Times New Roman" w:cs="Times New Roman" w:eastAsia="Times New Roman" w:hAnsi="Times New Roman"/>
          <w:sz w:val="14"/>
          <w:szCs w:val="14"/>
          <w:color w:val="auto"/>
        </w:rPr>
        <w:t>We will issue the debt securities under an indenture between us and a trustee. In this prospectus, we have summarized general features of the debt securities from the indenture. We encourage you to read the indenture, which is an exhibit to the registration statement of which this prospectus is a part. The actual indenture we enter into in connection with an offering of debt securities may differ significantly from the form of indenture we have filed.</w:t>
      </w:r>
    </w:p>
    <w:p>
      <w:pPr>
        <w:spacing w:after="0" w:line="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(iv)  Warrants</w:t>
      </w:r>
    </w:p>
    <w:p>
      <w:pPr>
        <w:spacing w:after="0" w:line="135" w:lineRule="exact"/>
        <w:rPr>
          <w:sz w:val="20"/>
          <w:szCs w:val="20"/>
          <w:color w:val="auto"/>
        </w:rPr>
      </w:pPr>
    </w:p>
    <w:p>
      <w:pPr>
        <w:ind w:right="80" w:firstLine="252"/>
        <w:spacing w:after="0" w:line="282" w:lineRule="auto"/>
        <w:rPr>
          <w:sz w:val="20"/>
          <w:szCs w:val="20"/>
          <w:color w:val="auto"/>
        </w:rPr>
      </w:pPr>
      <w:r>
        <w:rPr>
          <w:rFonts w:ascii="Times New Roman" w:cs="Times New Roman" w:eastAsia="Times New Roman" w:hAnsi="Times New Roman"/>
          <w:sz w:val="14"/>
          <w:szCs w:val="14"/>
          <w:color w:val="auto"/>
        </w:rPr>
        <w:t>We may offer warrants for the purchase of shares of Class A common stock, shares of preferred stock or debt securities. We may issue warrants independently or together with other securities. Our Board will determine the terms of the warrants.</w:t>
      </w:r>
    </w:p>
    <w:p>
      <w:pPr>
        <w:spacing w:after="0" w:line="81" w:lineRule="exact"/>
        <w:rPr>
          <w:sz w:val="20"/>
          <w:szCs w:val="20"/>
          <w:color w:val="auto"/>
        </w:rPr>
      </w:pPr>
    </w:p>
    <w:p>
      <w:pPr>
        <w:ind w:left="1320" w:hanging="309"/>
        <w:spacing w:after="0"/>
        <w:tabs>
          <w:tab w:leader="none" w:pos="1320" w:val="left"/>
        </w:tabs>
        <w:numPr>
          <w:ilvl w:val="0"/>
          <w:numId w:val="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Subscription Rights</w:t>
      </w:r>
    </w:p>
    <w:p>
      <w:pPr>
        <w:spacing w:after="0" w:line="135" w:lineRule="exact"/>
        <w:rPr>
          <w:sz w:val="20"/>
          <w:szCs w:val="20"/>
          <w:color w:val="auto"/>
        </w:rPr>
      </w:pPr>
    </w:p>
    <w:p>
      <w:pPr>
        <w:ind w:right="40" w:firstLine="252"/>
        <w:spacing w:after="0" w:line="282" w:lineRule="auto"/>
        <w:rPr>
          <w:sz w:val="20"/>
          <w:szCs w:val="20"/>
          <w:color w:val="auto"/>
        </w:rPr>
      </w:pPr>
      <w:r>
        <w:rPr>
          <w:rFonts w:ascii="Times New Roman" w:cs="Times New Roman" w:eastAsia="Times New Roman" w:hAnsi="Times New Roman"/>
          <w:sz w:val="14"/>
          <w:szCs w:val="14"/>
          <w:color w:val="auto"/>
        </w:rPr>
        <w:t>We may offer subscription rights for the purchase of Class A common stock, preferred stock or debt securities. We may issue subscription rights independently or together with other securities. Our Board will determine the terms of the subscription rights.</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(vi)  Units</w:t>
      </w:r>
    </w:p>
    <w:p>
      <w:pPr>
        <w:spacing w:after="0" w:line="135"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We may offer units consisting of some or all of the securities described above, in any combination, including Class A common stock, preferred stock, warrants and/or debt securities. Our Board will determine the terms of the units.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(3) Corporate Information</w:t>
      </w:r>
    </w:p>
    <w:p>
      <w:pPr>
        <w:spacing w:after="0" w:line="135" w:lineRule="exact"/>
        <w:rPr>
          <w:sz w:val="20"/>
          <w:szCs w:val="20"/>
          <w:color w:val="auto"/>
        </w:rPr>
      </w:pPr>
    </w:p>
    <w:p>
      <w:pPr>
        <w:ind w:firstLine="252"/>
        <w:spacing w:after="0" w:line="261" w:lineRule="auto"/>
        <w:rPr>
          <w:sz w:val="20"/>
          <w:szCs w:val="20"/>
          <w:color w:val="auto"/>
        </w:rPr>
      </w:pPr>
      <w:r>
        <w:rPr>
          <w:rFonts w:ascii="Times New Roman" w:cs="Times New Roman" w:eastAsia="Times New Roman" w:hAnsi="Times New Roman"/>
          <w:sz w:val="14"/>
          <w:szCs w:val="14"/>
          <w:color w:val="auto"/>
        </w:rPr>
        <w:t>We were incorporated on July 10, 2020 as a special purpose acquisition company and a Delaware corporation under the name CM Life Sciences, Inc. On September 4, 2020, CMLS completed its initial public offering (the “</w:t>
      </w:r>
      <w:r>
        <w:rPr>
          <w:rFonts w:ascii="Times New Roman" w:cs="Times New Roman" w:eastAsia="Times New Roman" w:hAnsi="Times New Roman"/>
          <w:sz w:val="14"/>
          <w:szCs w:val="14"/>
          <w:i w:val="1"/>
          <w:iCs w:val="1"/>
          <w:color w:val="auto"/>
        </w:rPr>
        <w:t>IPO</w:t>
      </w:r>
      <w:r>
        <w:rPr>
          <w:rFonts w:ascii="Times New Roman" w:cs="Times New Roman" w:eastAsia="Times New Roman" w:hAnsi="Times New Roman"/>
          <w:sz w:val="14"/>
          <w:szCs w:val="14"/>
          <w:color w:val="auto"/>
        </w:rPr>
        <w:t>”). On July 22, 2021, CMLS consummated the Business Combination with Legacy Sema4. In connection with the Business Combination, CMLS changed its name to Sema4 Holdings Corp. (“</w:t>
      </w:r>
      <w:r>
        <w:rPr>
          <w:rFonts w:ascii="Times New Roman" w:cs="Times New Roman" w:eastAsia="Times New Roman" w:hAnsi="Times New Roman"/>
          <w:sz w:val="14"/>
          <w:szCs w:val="14"/>
          <w:i w:val="1"/>
          <w:iCs w:val="1"/>
          <w:color w:val="auto"/>
        </w:rPr>
        <w:t>Sema4 Holdings</w:t>
      </w:r>
      <w:r>
        <w:rPr>
          <w:rFonts w:ascii="Times New Roman" w:cs="Times New Roman" w:eastAsia="Times New Roman" w:hAnsi="Times New Roman"/>
          <w:sz w:val="14"/>
          <w:szCs w:val="14"/>
          <w:color w:val="auto"/>
        </w:rPr>
        <w:t>”). On April 29, 2022, Sema4 Holdings acquired Legacy GeneDx. Effective January 9, 2023, Sema4 Holdings changed its corporate name to GeneDx Holdings Corp.</w:t>
      </w:r>
    </w:p>
    <w:p>
      <w:pPr>
        <w:spacing w:after="0" w:line="97" w:lineRule="exact"/>
        <w:rPr>
          <w:sz w:val="20"/>
          <w:szCs w:val="20"/>
          <w:color w:val="auto"/>
        </w:rPr>
      </w:pPr>
    </w:p>
    <w:p>
      <w:pPr>
        <w:ind w:right="100" w:firstLine="252"/>
        <w:spacing w:after="0" w:line="282" w:lineRule="auto"/>
        <w:rPr>
          <w:sz w:val="20"/>
          <w:szCs w:val="20"/>
          <w:color w:val="auto"/>
        </w:rPr>
      </w:pPr>
      <w:r>
        <w:rPr>
          <w:rFonts w:ascii="Times New Roman" w:cs="Times New Roman" w:eastAsia="Times New Roman" w:hAnsi="Times New Roman"/>
          <w:sz w:val="14"/>
          <w:szCs w:val="14"/>
          <w:color w:val="auto"/>
        </w:rPr>
        <w:t>Our address is 333 Ludlow Street, North Tower, 6th Floor, Stamford, Connecticut 06902. Our telephone number is 1 (888) 729-1206. Our website address is https://www.genedx.com. Information contained on our website or connected thereto does not constitute part of, and is not incorporated by reference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w:t>
      </w:r>
    </w:p>
    <w:p>
      <w:pPr>
        <w:sectPr>
          <w:pgSz w:w="11900" w:h="16838" w:orient="portrait"/>
          <w:cols w:equalWidth="0" w:num="1">
            <w:col w:w="11280"/>
          </w:cols>
          <w:pgMar w:left="300" w:top="1130" w:right="319" w:bottom="1440" w:gutter="0" w:footer="0" w:header="0"/>
        </w:sectPr>
      </w:pPr>
    </w:p>
    <w:bookmarkStart w:id="8" w:name="page9"/>
    <w:bookmarkEnd w:id="8"/>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 RISK FACTORS</w:t>
      </w:r>
    </w:p>
    <w:p>
      <w:pPr>
        <w:spacing w:after="0" w:line="135" w:lineRule="exact"/>
        <w:rPr>
          <w:sz w:val="20"/>
          <w:szCs w:val="20"/>
          <w:color w:val="auto"/>
        </w:rPr>
      </w:pPr>
    </w:p>
    <w:p>
      <w:pPr>
        <w:ind w:firstLine="252"/>
        <w:spacing w:after="0" w:line="256" w:lineRule="auto"/>
        <w:rPr>
          <w:sz w:val="20"/>
          <w:szCs w:val="20"/>
          <w:color w:val="auto"/>
        </w:rPr>
      </w:pPr>
      <w:r>
        <w:rPr>
          <w:rFonts w:ascii="Times New Roman" w:cs="Times New Roman" w:eastAsia="Times New Roman" w:hAnsi="Times New Roman"/>
          <w:sz w:val="14"/>
          <w:szCs w:val="14"/>
          <w:color w:val="auto"/>
        </w:rPr>
        <w:t>An investment in our securities involves a high degree of risk. You should consider the risk factors described in the “Risk Factors” sections of our Annual Report on Form 10-K for the fiscal year ended December 31, 2024, our Quarterly Report on Form 10-Q for the quarter ended March 31, 2025, our Quarterly Report on Form 10-Q for the quarter ended June 30, 2025 and our Quarterly Report on Form 10-Q for the quarter ended September 30, 2025, which reports are incorporated herein by reference, in addition to the factors set forth below and other information contained in or incorporated by reference in this prospectus or in any prospectus supplement or post-effective amendment, if required, before purchasing any of our securities. We may face additional risks and uncertainties that are not presently known to us, or that we currently deem immaterial, which may also impair our business or financial condition.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Incorporation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 by Reference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5</w:t>
      </w:r>
    </w:p>
    <w:p>
      <w:pPr>
        <w:sectPr>
          <w:pgSz w:w="11900" w:h="16838" w:orient="portrait"/>
          <w:cols w:equalWidth="0" w:num="1">
            <w:col w:w="11240"/>
          </w:cols>
          <w:pgMar w:left="300" w:top="1130" w:right="359" w:bottom="1440" w:gutter="0" w:footer="0" w:header="0"/>
        </w:sectPr>
      </w:pPr>
    </w:p>
    <w:bookmarkStart w:id="9" w:name="page10"/>
    <w:bookmarkEnd w:id="9"/>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 CAUTIONARY NOTE REGARDING FORWARD-LOOKING STATEMENTS</w:t>
      </w:r>
    </w:p>
    <w:p>
      <w:pPr>
        <w:spacing w:after="0" w:line="135" w:lineRule="exact"/>
        <w:rPr>
          <w:sz w:val="20"/>
          <w:szCs w:val="20"/>
          <w:color w:val="auto"/>
        </w:rPr>
      </w:pPr>
    </w:p>
    <w:p>
      <w:pPr>
        <w:ind w:firstLine="252"/>
        <w:spacing w:after="0" w:line="255" w:lineRule="auto"/>
        <w:rPr>
          <w:sz w:val="20"/>
          <w:szCs w:val="20"/>
          <w:color w:val="auto"/>
        </w:rPr>
      </w:pPr>
      <w:r>
        <w:rPr>
          <w:rFonts w:ascii="Times New Roman" w:cs="Times New Roman" w:eastAsia="Times New Roman" w:hAnsi="Times New Roman"/>
          <w:sz w:val="14"/>
          <w:szCs w:val="14"/>
          <w:color w:val="auto"/>
        </w:rPr>
        <w:t>Certain matters discussed in this prospectus and the documents incorporated by reference in this prospectus may constitute forward-looking statements for purposes of the Securities Act of 1933, as amended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and the Securities Exchange Act of 1934, as amended (the “</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 this prospectus and the documents incorporated by reference herein,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04" w:lineRule="exact"/>
        <w:rPr>
          <w:sz w:val="20"/>
          <w:szCs w:val="20"/>
          <w:color w:val="auto"/>
        </w:rPr>
      </w:pPr>
    </w:p>
    <w:p>
      <w:pPr>
        <w:ind w:left="260" w:right="320" w:hanging="256"/>
        <w:spacing w:after="0" w:line="282"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the sufficiency of our existing capital resources combined with future anticipated cash flows and future capital requirements to finance our operating requirements, and capital expenditures;</w:t>
      </w:r>
    </w:p>
    <w:p>
      <w:pPr>
        <w:spacing w:after="0" w:line="8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for generating revenue, incurring losses, and becoming profitable on a sustained basis;</w:t>
      </w:r>
    </w:p>
    <w:p>
      <w:pPr>
        <w:spacing w:after="0" w:line="132" w:lineRule="exact"/>
        <w:rPr>
          <w:rFonts w:ascii="Times New Roman" w:cs="Times New Roman" w:eastAsia="Times New Roman" w:hAnsi="Times New Roman"/>
          <w:sz w:val="14"/>
          <w:szCs w:val="14"/>
          <w:color w:val="auto"/>
        </w:rPr>
      </w:pPr>
    </w:p>
    <w:p>
      <w:pPr>
        <w:ind w:left="260" w:right="80" w:hanging="256"/>
        <w:spacing w:after="0" w:line="266"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circumstances or other disruptions to normal business operations arising from general economic and political conditions such as recessions, fluctuating inflation, interest rates and tariff rates, government budget cuts and government shut downs, supply chain interruptions and manufacturing constraints, public health emergencies, natural disasters, acts of terrorism or other uncontrollable events;</w:t>
      </w:r>
    </w:p>
    <w:p>
      <w:pPr>
        <w:spacing w:after="0" w:line="94" w:lineRule="exact"/>
        <w:rPr>
          <w:rFonts w:ascii="Times New Roman" w:cs="Times New Roman" w:eastAsia="Times New Roman" w:hAnsi="Times New Roman"/>
          <w:sz w:val="14"/>
          <w:szCs w:val="14"/>
          <w:color w:val="auto"/>
        </w:rPr>
      </w:pPr>
    </w:p>
    <w:p>
      <w:pPr>
        <w:ind w:left="260" w:right="80" w:hanging="256"/>
        <w:spacing w:after="0" w:line="282"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scale to profitability, our plans to pursue a new strategic direction, and the cost savings and impact on our gross margins from exiting our reproductive and women’s business and our somatic tumor testing business;</w:t>
      </w:r>
    </w:p>
    <w:p>
      <w:pPr>
        <w:spacing w:after="0" w:line="8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our business strategy;</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or ability to enter into service, collaboration and other partnership agreements;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or ability to build our own commercial infrastructure to scale, market and sell our products;</w:t>
      </w:r>
    </w:p>
    <w:p>
      <w:pPr>
        <w:spacing w:after="0" w:line="130"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or authorizations by the U.S. Food and Drug Administration (“</w:t>
      </w:r>
      <w:r>
        <w:rPr>
          <w:rFonts w:ascii="Times New Roman" w:cs="Times New Roman" w:eastAsia="Times New Roman" w:hAnsi="Times New Roman"/>
          <w:sz w:val="14"/>
          <w:szCs w:val="14"/>
          <w:i w:val="1"/>
          <w:iCs w:val="1"/>
          <w:color w:val="auto"/>
        </w:rPr>
        <w:t>FDA</w:t>
      </w:r>
      <w:r>
        <w:rPr>
          <w:rFonts w:ascii="Times New Roman" w:cs="Times New Roman" w:eastAsia="Times New Roman" w:hAnsi="Times New Roman"/>
          <w:sz w:val="14"/>
          <w:szCs w:val="14"/>
          <w:color w:val="auto"/>
        </w:rPr>
        <w:t>”), or other regulatory authorities;</w:t>
      </w:r>
    </w:p>
    <w:p>
      <w:pPr>
        <w:spacing w:after="0" w:line="134"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governmental regulation and other legal obligations, including privacy, data protection, information security, consumer protection, and anti-corruption and anti-bribery;</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intellectual property protection for our product candidates;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against existing and emerging technologies;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payor reimbursement and coverage decisions, negotiations and settlements;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third-party service providers for our data programs;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accounting estimates and judgments, including our expectations regarding the adequacy of our reserves for third party payor claims;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and its volatility;</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personnel; and</w:t>
      </w:r>
    </w:p>
    <w:p>
      <w:pPr>
        <w:spacing w:after="0" w:line="130"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6</w:t>
      </w:r>
    </w:p>
    <w:p>
      <w:pPr>
        <w:sectPr>
          <w:pgSz w:w="11900" w:h="16838" w:orient="portrait"/>
          <w:cols w:equalWidth="0" w:num="1">
            <w:col w:w="11260"/>
          </w:cols>
          <w:pgMar w:left="300" w:top="1130" w:right="339" w:bottom="1440" w:gutter="0" w:footer="0" w:header="0"/>
        </w:sectPr>
      </w:pPr>
    </w:p>
    <w:bookmarkStart w:id="10" w:name="page11"/>
    <w:bookmarkEnd w:id="10"/>
    <w:p>
      <w:pPr>
        <w:ind w:firstLine="252"/>
        <w:spacing w:after="0" w:line="282"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and the documents incorporated by reference herein reflect our views and assumptions only as of the date of this prospectus or such document, as applicable. Except as required by law, we assume no responsibility for updating any forward-looking statements.</w:t>
      </w:r>
    </w:p>
    <w:p>
      <w:pPr>
        <w:spacing w:after="0" w:line="83"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1"/>
          <w:szCs w:val="11"/>
          <w:color w:val="auto"/>
        </w:rPr>
        <w:t>7</w:t>
      </w:r>
    </w:p>
    <w:p>
      <w:pPr>
        <w:sectPr>
          <w:pgSz w:w="11900" w:h="16838" w:orient="portrait"/>
          <w:cols w:equalWidth="0" w:num="1">
            <w:col w:w="11040"/>
          </w:cols>
          <w:pgMar w:left="300" w:top="1132" w:right="559" w:bottom="1440" w:gutter="0" w:footer="0" w:header="0"/>
        </w:sectPr>
      </w:pPr>
    </w:p>
    <w:bookmarkStart w:id="11" w:name="page12"/>
    <w:bookmarkEnd w:id="11"/>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  WHERE YOU CAN FIND MORE INFORMATION</w:t>
      </w:r>
    </w:p>
    <w:p>
      <w:pPr>
        <w:spacing w:after="0" w:line="135" w:lineRule="exact"/>
        <w:rPr>
          <w:sz w:val="20"/>
          <w:szCs w:val="20"/>
          <w:color w:val="auto"/>
        </w:rPr>
      </w:pPr>
    </w:p>
    <w:p>
      <w:pPr>
        <w:ind w:right="200" w:firstLine="252"/>
        <w:spacing w:after="0" w:line="282" w:lineRule="auto"/>
        <w:rPr>
          <w:sz w:val="20"/>
          <w:szCs w:val="20"/>
          <w:color w:val="auto"/>
        </w:rPr>
      </w:pPr>
      <w:r>
        <w:rPr>
          <w:rFonts w:ascii="Times New Roman" w:cs="Times New Roman" w:eastAsia="Times New Roman" w:hAnsi="Times New Roman"/>
          <w:sz w:val="14"/>
          <w:szCs w:val="14"/>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website address is https://www.genedx.com. The information on our website, however, is not, and should not be deemed to be, a part of this prospectus.</w:t>
      </w:r>
    </w:p>
    <w:p>
      <w:pPr>
        <w:spacing w:after="0" w:line="133" w:lineRule="exact"/>
        <w:rPr>
          <w:sz w:val="20"/>
          <w:szCs w:val="20"/>
          <w:color w:val="auto"/>
        </w:rPr>
      </w:pPr>
    </w:p>
    <w:p>
      <w:pPr>
        <w:ind w:firstLine="252"/>
        <w:spacing w:after="0" w:line="261" w:lineRule="auto"/>
        <w:rPr>
          <w:sz w:val="20"/>
          <w:szCs w:val="20"/>
          <w:color w:val="auto"/>
        </w:rPr>
      </w:pPr>
      <w:r>
        <w:rPr>
          <w:rFonts w:ascii="Times New Roman" w:cs="Times New Roman" w:eastAsia="Times New Roman" w:hAnsi="Times New Roman"/>
          <w:sz w:val="14"/>
          <w:szCs w:val="14"/>
          <w:color w:val="auto"/>
        </w:rPr>
        <w:t>This prospectus and any applicable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8</w:t>
      </w:r>
    </w:p>
    <w:p>
      <w:pPr>
        <w:sectPr>
          <w:pgSz w:w="11900" w:h="16838" w:orient="portrait"/>
          <w:cols w:equalWidth="0" w:num="1">
            <w:col w:w="11240"/>
          </w:cols>
          <w:pgMar w:left="300" w:top="1130" w:right="359" w:bottom="1440" w:gutter="0" w:footer="0" w:header="0"/>
        </w:sectPr>
      </w:pPr>
    </w:p>
    <w:bookmarkStart w:id="12" w:name="page13"/>
    <w:bookmarkEnd w:id="12"/>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 INCORPORATION OF INFORMATION BY REFERENCE</w:t>
      </w:r>
    </w:p>
    <w:p>
      <w:pPr>
        <w:spacing w:after="0" w:line="135" w:lineRule="exact"/>
        <w:rPr>
          <w:sz w:val="20"/>
          <w:szCs w:val="20"/>
          <w:color w:val="auto"/>
        </w:rPr>
      </w:pPr>
    </w:p>
    <w:p>
      <w:pPr>
        <w:ind w:right="60" w:firstLine="252"/>
        <w:spacing w:after="0" w:line="261"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prospectus incorporates by reference the documents set forth below that have previously been filed with the SEC:</w:t>
      </w:r>
    </w:p>
    <w:p>
      <w:pPr>
        <w:spacing w:after="0" w:line="133" w:lineRule="exact"/>
        <w:rPr>
          <w:sz w:val="20"/>
          <w:szCs w:val="20"/>
          <w:color w:val="auto"/>
        </w:rPr>
      </w:pPr>
    </w:p>
    <w:p>
      <w:pPr>
        <w:ind w:left="260" w:hanging="256"/>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2024, filed with the SEC on </w:t>
      </w:r>
      <w:hyperlink r:id="rId16">
        <w:r>
          <w:rPr>
            <w:rFonts w:ascii="Times New Roman" w:cs="Times New Roman" w:eastAsia="Times New Roman" w:hAnsi="Times New Roman"/>
            <w:sz w:val="14"/>
            <w:szCs w:val="14"/>
            <w:u w:val="single" w:color="auto"/>
            <w:color w:val="0000FF"/>
          </w:rPr>
          <w:t>February 20, 2025</w:t>
        </w:r>
      </w:hyperlink>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color w:val="auto"/>
        </w:rPr>
      </w:pPr>
    </w:p>
    <w:p>
      <w:pPr>
        <w:ind w:left="260" w:right="160" w:hanging="256"/>
        <w:spacing w:after="0" w:line="282"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quarterly period ended March 31, 2025, filed with the SEC on </w:t>
      </w:r>
      <w:hyperlink r:id="rId17">
        <w:r>
          <w:rPr>
            <w:rFonts w:ascii="Times New Roman" w:cs="Times New Roman" w:eastAsia="Times New Roman" w:hAnsi="Times New Roman"/>
            <w:sz w:val="14"/>
            <w:szCs w:val="14"/>
            <w:u w:val="single" w:color="auto"/>
            <w:color w:val="0000FF"/>
          </w:rPr>
          <w:t>April 30, 2025</w:t>
        </w:r>
      </w:hyperlink>
      <w:r>
        <w:rPr>
          <w:rFonts w:ascii="Times New Roman" w:cs="Times New Roman" w:eastAsia="Times New Roman" w:hAnsi="Times New Roman"/>
          <w:sz w:val="14"/>
          <w:szCs w:val="14"/>
          <w:color w:val="auto"/>
        </w:rPr>
        <w:t xml:space="preserve">, our Quarterly Report on Form 10-Q for the quarterly period ended June 30, 2025, filed with the SEC on </w:t>
      </w:r>
      <w:hyperlink r:id="rId18">
        <w:r>
          <w:rPr>
            <w:rFonts w:ascii="Times New Roman" w:cs="Times New Roman" w:eastAsia="Times New Roman" w:hAnsi="Times New Roman"/>
            <w:sz w:val="14"/>
            <w:szCs w:val="14"/>
            <w:color w:val="0000FF"/>
          </w:rPr>
          <w:t>July 29, 2025</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 xml:space="preserve">and our Quarterly Report on Form 10-Q for the quarterly period ended September 30, 2025, filed with the SEC on </w:t>
      </w:r>
      <w:hyperlink r:id="rId19">
        <w:r>
          <w:rPr>
            <w:rFonts w:ascii="Times New Roman" w:cs="Times New Roman" w:eastAsia="Times New Roman" w:hAnsi="Times New Roman"/>
            <w:sz w:val="14"/>
            <w:szCs w:val="14"/>
            <w:u w:val="single" w:color="auto"/>
            <w:color w:val="0000FF"/>
          </w:rPr>
          <w:t>October 28, 2025</w:t>
        </w:r>
      </w:hyperlink>
      <w:r>
        <w:rPr>
          <w:rFonts w:ascii="Times New Roman" w:cs="Times New Roman" w:eastAsia="Times New Roman" w:hAnsi="Times New Roman"/>
          <w:sz w:val="14"/>
          <w:szCs w:val="14"/>
          <w:color w:val="auto"/>
        </w:rPr>
        <w:t>;</w:t>
      </w:r>
    </w:p>
    <w:p>
      <w:pPr>
        <w:spacing w:after="0" w:line="83" w:lineRule="exact"/>
        <w:rPr>
          <w:rFonts w:ascii="Times New Roman" w:cs="Times New Roman" w:eastAsia="Times New Roman" w:hAnsi="Times New Roman"/>
          <w:sz w:val="14"/>
          <w:szCs w:val="14"/>
          <w:color w:val="auto"/>
        </w:rPr>
      </w:pPr>
    </w:p>
    <w:p>
      <w:pPr>
        <w:ind w:left="260" w:right="120" w:hanging="256"/>
        <w:spacing w:after="0" w:line="282"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20">
        <w:r>
          <w:rPr>
            <w:rFonts w:ascii="Times New Roman" w:cs="Times New Roman" w:eastAsia="Times New Roman" w:hAnsi="Times New Roman"/>
            <w:sz w:val="14"/>
            <w:szCs w:val="14"/>
            <w:u w:val="single" w:color="auto"/>
            <w:color w:val="0000FF"/>
          </w:rPr>
          <w:t>January 2,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(but only with respect to Item 5.02 and Exhibit 10.1 thereto), </w:t>
      </w:r>
      <w:hyperlink r:id="rId21">
        <w:r>
          <w:rPr>
            <w:rFonts w:ascii="Times New Roman" w:cs="Times New Roman" w:eastAsia="Times New Roman" w:hAnsi="Times New Roman"/>
            <w:sz w:val="14"/>
            <w:szCs w:val="14"/>
            <w:u w:val="single" w:color="auto"/>
            <w:color w:val="0000FF"/>
          </w:rPr>
          <w:t>April 16,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(but only with respect to Items 1.01 and 3.02 and exhibit 2.1 thereto), </w:t>
      </w:r>
      <w:hyperlink r:id="rId22">
        <w:r>
          <w:rPr>
            <w:rFonts w:ascii="Times New Roman" w:cs="Times New Roman" w:eastAsia="Times New Roman" w:hAnsi="Times New Roman"/>
            <w:sz w:val="14"/>
            <w:szCs w:val="14"/>
            <w:u w:val="single" w:color="auto"/>
            <w:color w:val="0000FF"/>
          </w:rPr>
          <w:t>June 18,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3">
        <w:r>
          <w:rPr>
            <w:rFonts w:ascii="Times New Roman" w:cs="Times New Roman" w:eastAsia="Times New Roman" w:hAnsi="Times New Roman"/>
            <w:sz w:val="14"/>
            <w:szCs w:val="14"/>
            <w:u w:val="single" w:color="auto"/>
            <w:color w:val="0000FF"/>
          </w:rPr>
          <w:t>September 18, 2025</w:t>
        </w:r>
      </w:hyperlink>
      <w:r>
        <w:rPr>
          <w:rFonts w:ascii="Times New Roman" w:cs="Times New Roman" w:eastAsia="Times New Roman" w:hAnsi="Times New Roman"/>
          <w:sz w:val="14"/>
          <w:szCs w:val="14"/>
          <w:color w:val="auto"/>
        </w:rPr>
        <w:t>;</w:t>
      </w:r>
    </w:p>
    <w:p>
      <w:pPr>
        <w:spacing w:after="0" w:line="83" w:lineRule="exact"/>
        <w:rPr>
          <w:rFonts w:ascii="Times New Roman" w:cs="Times New Roman" w:eastAsia="Times New Roman" w:hAnsi="Times New Roman"/>
          <w:sz w:val="14"/>
          <w:szCs w:val="14"/>
          <w:color w:val="auto"/>
        </w:rPr>
      </w:pPr>
    </w:p>
    <w:p>
      <w:pPr>
        <w:ind w:left="260" w:right="160" w:hanging="256"/>
        <w:spacing w:after="0" w:line="282"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Schedule 14A, filed with the SEC on </w:t>
      </w:r>
      <w:hyperlink r:id="rId24">
        <w:r>
          <w:rPr>
            <w:rFonts w:ascii="Times New Roman" w:cs="Times New Roman" w:eastAsia="Times New Roman" w:hAnsi="Times New Roman"/>
            <w:sz w:val="14"/>
            <w:szCs w:val="14"/>
            <w:u w:val="single" w:color="auto"/>
            <w:color w:val="0000FF"/>
          </w:rPr>
          <w:t>April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(but only with respect to information required by Part III of our Annual Report on Form 10-K for the year ended December 31, 2024); and</w:t>
      </w:r>
    </w:p>
    <w:p>
      <w:pPr>
        <w:spacing w:after="0" w:line="83" w:lineRule="exact"/>
        <w:rPr>
          <w:rFonts w:ascii="Times New Roman" w:cs="Times New Roman" w:eastAsia="Times New Roman" w:hAnsi="Times New Roman"/>
          <w:sz w:val="14"/>
          <w:szCs w:val="14"/>
          <w:color w:val="auto"/>
        </w:rPr>
      </w:pPr>
    </w:p>
    <w:p>
      <w:pPr>
        <w:ind w:left="260" w:right="140" w:hanging="256"/>
        <w:spacing w:after="0" w:line="266"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Class A common stock contained in our Registration Statement on Form 8-A filed with the SEC on August 31, 2020, as updated by the description of our Class A common stock contained in Exhibit 4.5 to our Annual Report on </w:t>
      </w:r>
      <w:hyperlink r:id="rId16">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including any subsequent amendments or reports filed for the purpose of updating such description.</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1287145</wp:posOffset>
            </wp:positionH>
            <wp:positionV relativeFrom="paragraph">
              <wp:posOffset>-1016000</wp:posOffset>
            </wp:positionV>
            <wp:extent cx="50292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502920" cy="6350"/>
                    </a:xfrm>
                    <a:prstGeom prst="rect">
                      <a:avLst/>
                    </a:prstGeom>
                    <a:noFill/>
                  </pic:spPr>
                </pic:pic>
              </a:graphicData>
            </a:graphic>
          </wp:anchor>
        </w:drawing>
      </w:r>
    </w:p>
    <w:p>
      <w:pPr>
        <w:spacing w:after="0" w:line="74" w:lineRule="exact"/>
        <w:rPr>
          <w:rFonts w:ascii="Times New Roman" w:cs="Times New Roman" w:eastAsia="Times New Roman" w:hAnsi="Times New Roman"/>
          <w:sz w:val="14"/>
          <w:szCs w:val="14"/>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94" w:lineRule="exact"/>
        <w:rPr>
          <w:rFonts w:ascii="Times New Roman" w:cs="Times New Roman" w:eastAsia="Times New Roman" w:hAnsi="Times New Roman"/>
          <w:sz w:val="14"/>
          <w:szCs w:val="14"/>
          <w:color w:val="auto"/>
        </w:rPr>
      </w:pPr>
    </w:p>
    <w:p>
      <w:pPr>
        <w:ind w:right="60" w:firstLine="252"/>
        <w:spacing w:after="0" w:line="261"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by telephone at 1 (888) 729-1206, or by sending a written request to GeneDx Holdings Corp., 333 Ludlow Street, North Tower, 6th Floor, Stamford, Connecticut 06902, Attention: Investor Relations.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75"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9</w:t>
      </w:r>
    </w:p>
    <w:p>
      <w:pPr>
        <w:sectPr>
          <w:pgSz w:w="11900" w:h="16838" w:orient="portrait"/>
          <w:cols w:equalWidth="0" w:num="1">
            <w:col w:w="11260"/>
          </w:cols>
          <w:pgMar w:left="300" w:top="1130" w:right="33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(h) USE OF PROCEEDS</w:t>
      </w:r>
    </w:p>
    <w:p>
      <w:pPr>
        <w:spacing w:after="0" w:line="135"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to us from the sale of our securities under this prospectus.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investment grade, interest-bearing securities.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Unless otherwise indicated in the applicable prospectus supplement, we will not receive any of the proceeds from any sale of our Class A common stock by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1"/>
          <w:szCs w:val="11"/>
          <w:color w:val="auto"/>
        </w:rPr>
        <w:t>10</w:t>
      </w:r>
    </w:p>
    <w:p>
      <w:pPr>
        <w:sectPr>
          <w:pgSz w:w="11900" w:h="16838" w:orient="portrait"/>
          <w:cols w:equalWidth="0" w:num="1">
            <w:col w:w="10980"/>
          </w:cols>
          <w:pgMar w:left="300" w:top="1130" w:right="619" w:bottom="1440" w:gutter="0" w:footer="0" w:header="0"/>
        </w:sectPr>
      </w:pPr>
    </w:p>
    <w:bookmarkStart w:id="14" w:name="page15"/>
    <w:bookmarkEnd w:id="14"/>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35"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Information about selling stockholders, where applicable, will be set forth in a prospectus supplement, in a post-effective amendment or in filings we make with the SEC under the Exchange Act that are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color w:val="auto"/>
        </w:rPr>
        <w:t>11</w:t>
      </w:r>
    </w:p>
    <w:p>
      <w:pPr>
        <w:sectPr>
          <w:pgSz w:w="11900" w:h="16838" w:orient="portrait"/>
          <w:cols w:equalWidth="0" w:num="1">
            <w:col w:w="11100"/>
          </w:cols>
          <w:pgMar w:left="300" w:top="1130" w:right="499" w:bottom="1440" w:gutter="0" w:footer="0" w:header="0"/>
        </w:sectPr>
      </w:pPr>
    </w:p>
    <w:bookmarkStart w:id="15" w:name="page16"/>
    <w:bookmarkEnd w:id="15"/>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 PLAN OF DISTRIBUTION</w:t>
      </w:r>
    </w:p>
    <w:p>
      <w:pPr>
        <w:spacing w:after="0" w:line="135"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We or selling stockholders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or selling stockholders may distribute the securities from time to time in one or more transactions:</w:t>
      </w:r>
    </w:p>
    <w:p>
      <w:pPr>
        <w:spacing w:after="0" w:line="94" w:lineRule="exact"/>
        <w:rPr>
          <w:sz w:val="20"/>
          <w:szCs w:val="20"/>
          <w:color w:val="auto"/>
        </w:rPr>
      </w:pPr>
    </w:p>
    <w:p>
      <w:pPr>
        <w:ind w:left="260" w:hanging="256"/>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33" w:lineRule="exact"/>
        <w:rPr>
          <w:sz w:val="20"/>
          <w:szCs w:val="20"/>
          <w:color w:val="auto"/>
        </w:rPr>
      </w:pPr>
    </w:p>
    <w:p>
      <w:pPr>
        <w:ind w:right="120" w:firstLine="252"/>
        <w:spacing w:after="0" w:line="266" w:lineRule="auto"/>
        <w:rPr>
          <w:sz w:val="20"/>
          <w:szCs w:val="20"/>
          <w:color w:val="auto"/>
        </w:rPr>
      </w:pPr>
      <w:r>
        <w:rPr>
          <w:rFonts w:ascii="Times New Roman" w:cs="Times New Roman" w:eastAsia="Times New Roman" w:hAnsi="Times New Roman"/>
          <w:sz w:val="14"/>
          <w:szCs w:val="14"/>
          <w:color w:val="auto"/>
        </w:rPr>
        <w:t>We or selling stockholders may directly solicit offers to purchase the securities being offered by this prospectus. We or selling stockholders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94" w:lineRule="exact"/>
        <w:rPr>
          <w:sz w:val="20"/>
          <w:szCs w:val="20"/>
          <w:color w:val="auto"/>
        </w:rPr>
      </w:pPr>
    </w:p>
    <w:p>
      <w:pPr>
        <w:ind w:right="40" w:firstLine="252"/>
        <w:spacing w:after="0" w:line="258" w:lineRule="auto"/>
        <w:rPr>
          <w:sz w:val="20"/>
          <w:szCs w:val="20"/>
          <w:color w:val="auto"/>
        </w:rPr>
      </w:pPr>
      <w:r>
        <w:rPr>
          <w:rFonts w:ascii="Times New Roman" w:cs="Times New Roman" w:eastAsia="Times New Roman" w:hAnsi="Times New Roman"/>
          <w:sz w:val="14"/>
          <w:szCs w:val="14"/>
          <w:color w:val="auto"/>
        </w:rPr>
        <w:t>If we or selling stockholders utilize an underwriter in the sale of the securities being offered by this prospectus, we and, if applicable, selling stockholders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the selling stockholders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00" w:lineRule="exact"/>
        <w:rPr>
          <w:sz w:val="20"/>
          <w:szCs w:val="20"/>
          <w:color w:val="auto"/>
        </w:rPr>
      </w:pPr>
    </w:p>
    <w:p>
      <w:pPr>
        <w:ind w:right="20" w:firstLine="252"/>
        <w:spacing w:after="0" w:line="256" w:lineRule="auto"/>
        <w:rPr>
          <w:sz w:val="20"/>
          <w:szCs w:val="20"/>
          <w:color w:val="auto"/>
        </w:rPr>
      </w:pPr>
      <w:r>
        <w:rPr>
          <w:rFonts w:ascii="Times New Roman" w:cs="Times New Roman" w:eastAsia="Times New Roman" w:hAnsi="Times New Roman"/>
          <w:sz w:val="14"/>
          <w:szCs w:val="14"/>
          <w:color w:val="auto"/>
        </w:rPr>
        <w:t>We will provide in the applicable prospectus supplement any compensation we or selling stockholders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and, if applicable, selling stockholders may enter into agreements to indemnify underwriters, dealers and agents against civil liabilities, including liabilities under the Securities Act, and to reimburse them for certain expenses. We or selling stockholders may grant underwriters who participate in the distribution of our securities under this prospectus an option to purchase additional securities to cover any over-allotments in connection with the distribution.</w:t>
      </w:r>
    </w:p>
    <w:p>
      <w:pPr>
        <w:spacing w:after="0" w:line="103" w:lineRule="exact"/>
        <w:rPr>
          <w:sz w:val="20"/>
          <w:szCs w:val="20"/>
          <w:color w:val="auto"/>
        </w:rPr>
      </w:pPr>
    </w:p>
    <w:p>
      <w:pPr>
        <w:ind w:right="20" w:firstLine="252"/>
        <w:spacing w:after="0" w:line="255" w:lineRule="auto"/>
        <w:rPr>
          <w:sz w:val="20"/>
          <w:szCs w:val="20"/>
          <w:color w:val="auto"/>
        </w:rPr>
      </w:pPr>
      <w:r>
        <w:rPr>
          <w:rFonts w:ascii="Times New Roman" w:cs="Times New Roman" w:eastAsia="Times New Roman" w:hAnsi="Times New Roman"/>
          <w:sz w:val="14"/>
          <w:szCs w:val="14"/>
          <w:color w:val="auto"/>
        </w:rPr>
        <w:t>The securities we or selling stockholders offer under this prospectus may or may not be listed through the Nasdaq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or selling stockholders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w:t>
      </w:r>
    </w:p>
    <w:p>
      <w:pPr>
        <w:sectPr>
          <w:pgSz w:w="11900" w:h="16838" w:orient="portrait"/>
          <w:cols w:equalWidth="0" w:num="1">
            <w:col w:w="11280"/>
          </w:cols>
          <w:pgMar w:left="300" w:top="1130" w:right="319" w:bottom="1440" w:gutter="0" w:footer="0" w:header="0"/>
        </w:sectPr>
      </w:pPr>
    </w:p>
    <w:bookmarkStart w:id="16" w:name="page17"/>
    <w:bookmarkEnd w:id="16"/>
    <w:p>
      <w:pPr>
        <w:ind w:firstLine="252"/>
        <w:spacing w:after="0" w:line="261" w:lineRule="auto"/>
        <w:rPr>
          <w:sz w:val="20"/>
          <w:szCs w:val="20"/>
          <w:color w:val="auto"/>
        </w:rPr>
      </w:pPr>
      <w:r>
        <w:rPr>
          <w:rFonts w:ascii="Times New Roman" w:cs="Times New Roman" w:eastAsia="Times New Roman" w:hAnsi="Times New Roman"/>
          <w:sz w:val="14"/>
          <w:szCs w:val="14"/>
          <w:color w:val="auto"/>
        </w:rPr>
        <w:t>We may issue to our existing security holders, through a dividend or similar distribution, subscription rights to purchase our securities, which may or may not be transferable. In any distribution of subscription rights to our existing security 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The applicable prospectus supplement will describe the specific terms of any offering of our securities through the issuance of subscription rights, including, if applicable, the material terms of any standby underwriting or purchase arrangement.</w:t>
      </w:r>
    </w:p>
    <w:p>
      <w:pPr>
        <w:spacing w:after="0" w:line="97" w:lineRule="exact"/>
        <w:rPr>
          <w:sz w:val="20"/>
          <w:szCs w:val="20"/>
          <w:color w:val="auto"/>
        </w:rPr>
      </w:pPr>
    </w:p>
    <w:p>
      <w:pPr>
        <w:ind w:right="40" w:firstLine="252"/>
        <w:spacing w:after="0" w:line="254" w:lineRule="auto"/>
        <w:rPr>
          <w:sz w:val="20"/>
          <w:szCs w:val="20"/>
          <w:color w:val="auto"/>
        </w:rPr>
      </w:pPr>
      <w:r>
        <w:rPr>
          <w:rFonts w:ascii="Times New Roman" w:cs="Times New Roman" w:eastAsia="Times New Roman" w:hAnsi="Times New Roman"/>
          <w:sz w:val="14"/>
          <w:szCs w:val="14"/>
          <w:color w:val="auto"/>
        </w:rPr>
        <w:t>We may engage in at the market offerings into an existing trading market in accordance with Rule 415(a)(4) under the Securities Act. In addition, we or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selling stockholders or borrowed from us, selling stockholders or others to settle those sales or to close out any related open borrowings of securities, and they may use securities received from us or selling stockholders in settlement of those derivatives to close out any related open borrowings of securities. The third party in these sale transactions will be an underwriter and will be identified in the applicable prospectus supplement. In addition, we or selling stockholders may otherwise loan or pledge securities to a financial institution or other third party that in turn may sell the securities short using this prospectus. The financial institution or other third party may transfer its economic short position to investors in our securities or in connection with a concurrent offering of other securities.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will file a prospectus supplement to describe the terms of any offering of our securities covered by this prospectus. The prospectus supplement will disclose:</w:t>
      </w:r>
    </w:p>
    <w:p>
      <w:pPr>
        <w:spacing w:after="0" w:line="133" w:lineRule="exact"/>
        <w:rPr>
          <w:sz w:val="20"/>
          <w:szCs w:val="20"/>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names of any selling stockholders;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including any managing underwriters, as well as any dealers or agents;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from us or the selling stockholders;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 or the selling stockholders from the sale of the securities;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or other options under which underwriters, if any, may purchase additional securities from us or the selling stockholders;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or other items constituting underwriters’ compensation, and any commissions paid to agents;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subscription rights offering, whether we have engaged dealer-managers to facilitate the offering or subscription, including their name or names and compensation;</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 and</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facts material to the transaction.</w:t>
      </w:r>
    </w:p>
    <w:p>
      <w:pPr>
        <w:spacing w:after="0" w:line="133" w:lineRule="exact"/>
        <w:rPr>
          <w:sz w:val="20"/>
          <w:szCs w:val="20"/>
          <w:color w:val="auto"/>
        </w:rPr>
      </w:pPr>
    </w:p>
    <w:p>
      <w:pPr>
        <w:ind w:right="140" w:firstLine="252"/>
        <w:spacing w:after="0" w:line="282" w:lineRule="auto"/>
        <w:rPr>
          <w:sz w:val="20"/>
          <w:szCs w:val="20"/>
          <w:color w:val="auto"/>
        </w:rPr>
      </w:pPr>
      <w:r>
        <w:rPr>
          <w:rFonts w:ascii="Times New Roman" w:cs="Times New Roman" w:eastAsia="Times New Roman" w:hAnsi="Times New Roman"/>
          <w:sz w:val="14"/>
          <w:szCs w:val="14"/>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83" w:lineRule="exact"/>
        <w:rPr>
          <w:sz w:val="20"/>
          <w:szCs w:val="20"/>
          <w:color w:val="auto"/>
        </w:rPr>
      </w:pPr>
    </w:p>
    <w:p>
      <w:pPr>
        <w:ind w:right="200" w:firstLine="252"/>
        <w:spacing w:after="0" w:line="282" w:lineRule="auto"/>
        <w:rPr>
          <w:sz w:val="20"/>
          <w:szCs w:val="20"/>
          <w:color w:val="auto"/>
        </w:rPr>
      </w:pPr>
      <w:r>
        <w:rPr>
          <w:rFonts w:ascii="Times New Roman" w:cs="Times New Roman" w:eastAsia="Times New Roman" w:hAnsi="Times New Roman"/>
          <w:sz w:val="14"/>
          <w:szCs w:val="14"/>
          <w:color w:val="auto"/>
        </w:rPr>
        <w:t>Under Rule 15c6-1 of the Exchange Act, trades in the secondary market generally are required to settle in one business day unless the parties to any such trade expressly agree otherwise or the securities are sold by us or selling stockholders to an underwriter in a firm commitment underwritten offering.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13</w:t>
      </w:r>
    </w:p>
    <w:p>
      <w:pPr>
        <w:sectPr>
          <w:pgSz w:w="11900" w:h="16838" w:orient="portrait"/>
          <w:cols w:equalWidth="0" w:num="1">
            <w:col w:w="11180"/>
          </w:cols>
          <w:pgMar w:left="300" w:top="1132" w:right="419" w:bottom="1440" w:gutter="0" w:footer="0" w:header="0"/>
        </w:sectPr>
      </w:pPr>
    </w:p>
    <w:bookmarkStart w:id="17" w:name="page18"/>
    <w:bookmarkEnd w:id="17"/>
    <w:p>
      <w:pPr>
        <w:spacing w:after="0" w:line="266" w:lineRule="auto"/>
        <w:rPr>
          <w:sz w:val="20"/>
          <w:szCs w:val="20"/>
          <w:color w:val="auto"/>
        </w:rPr>
      </w:pPr>
      <w:r>
        <w:rPr>
          <w:rFonts w:ascii="Times New Roman" w:cs="Times New Roman" w:eastAsia="Times New Roman" w:hAnsi="Times New Roman"/>
          <w:sz w:val="14"/>
          <w:szCs w:val="14"/>
          <w:color w:val="auto"/>
        </w:rPr>
        <w:t>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14</w:t>
      </w:r>
    </w:p>
    <w:p>
      <w:pPr>
        <w:sectPr>
          <w:pgSz w:w="11900" w:h="16838" w:orient="portrait"/>
          <w:cols w:equalWidth="0" w:num="1">
            <w:col w:w="11200"/>
          </w:cols>
          <w:pgMar w:left="300" w:top="1132" w:right="399" w:bottom="1440" w:gutter="0" w:footer="0" w:header="0"/>
        </w:sectPr>
      </w:pPr>
    </w:p>
    <w:bookmarkStart w:id="18" w:name="page19"/>
    <w:bookmarkEnd w:id="18"/>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 DESCRIPTION OF CAPITAL STOCK</w:t>
      </w:r>
    </w:p>
    <w:p>
      <w:pPr>
        <w:spacing w:after="0" w:line="135" w:lineRule="exact"/>
        <w:rPr>
          <w:sz w:val="20"/>
          <w:szCs w:val="20"/>
          <w:color w:val="auto"/>
        </w:rPr>
      </w:pPr>
    </w:p>
    <w:p>
      <w:pPr>
        <w:ind w:right="60" w:firstLine="252"/>
        <w:spacing w:after="0" w:line="258" w:lineRule="auto"/>
        <w:rPr>
          <w:sz w:val="20"/>
          <w:szCs w:val="20"/>
          <w:color w:val="auto"/>
        </w:rPr>
      </w:pPr>
      <w:r>
        <w:rPr>
          <w:rFonts w:ascii="Times New Roman" w:cs="Times New Roman" w:eastAsia="Times New Roman" w:hAnsi="Times New Roman"/>
          <w:sz w:val="14"/>
          <w:szCs w:val="14"/>
          <w:color w:val="auto"/>
        </w:rPr>
        <w:t>The following summary sets forth certain material terms and provisions of our capital stock. This description also summarizes relevant provisions of the General Corporation Law of Delaware (the “</w:t>
      </w:r>
      <w:r>
        <w:rPr>
          <w:rFonts w:ascii="Times New Roman" w:cs="Times New Roman" w:eastAsia="Times New Roman" w:hAnsi="Times New Roman"/>
          <w:sz w:val="14"/>
          <w:szCs w:val="14"/>
          <w:i w:val="1"/>
          <w:iCs w:val="1"/>
          <w:color w:val="auto"/>
        </w:rPr>
        <w:t>DGCL</w:t>
      </w:r>
      <w:r>
        <w:rPr>
          <w:rFonts w:ascii="Times New Roman" w:cs="Times New Roman" w:eastAsia="Times New Roman" w:hAnsi="Times New Roman"/>
          <w:sz w:val="14"/>
          <w:szCs w:val="14"/>
          <w:color w:val="auto"/>
        </w:rPr>
        <w:t>”). The following description is a summary and does not purport to be a complete description of the rights and preferences of our capital stock. It is subject to, and qualified in its entirety by reference to, the applicable provisions of the DGCL and our third amended and restated certificate of incorporation, as amended (our “</w:t>
      </w:r>
      <w:r>
        <w:rPr>
          <w:rFonts w:ascii="Times New Roman" w:cs="Times New Roman" w:eastAsia="Times New Roman" w:hAnsi="Times New Roman"/>
          <w:sz w:val="14"/>
          <w:szCs w:val="14"/>
          <w:i w:val="1"/>
          <w:iCs w:val="1"/>
          <w:color w:val="auto"/>
        </w:rPr>
        <w:t>Amended and Restated Certificate of Incorporation</w:t>
      </w:r>
      <w:r>
        <w:rPr>
          <w:rFonts w:ascii="Times New Roman" w:cs="Times New Roman" w:eastAsia="Times New Roman" w:hAnsi="Times New Roman"/>
          <w:sz w:val="14"/>
          <w:szCs w:val="14"/>
          <w:color w:val="auto"/>
        </w:rPr>
        <w:t>”), and our amended and restated bylaws (our “</w:t>
      </w:r>
      <w:r>
        <w:rPr>
          <w:rFonts w:ascii="Times New Roman" w:cs="Times New Roman" w:eastAsia="Times New Roman" w:hAnsi="Times New Roman"/>
          <w:sz w:val="14"/>
          <w:szCs w:val="14"/>
          <w:i w:val="1"/>
          <w:iCs w:val="1"/>
          <w:color w:val="auto"/>
        </w:rPr>
        <w:t>Bylaws</w:t>
      </w:r>
      <w:r>
        <w:rPr>
          <w:rFonts w:ascii="Times New Roman" w:cs="Times New Roman" w:eastAsia="Times New Roman" w:hAnsi="Times New Roman"/>
          <w:sz w:val="14"/>
          <w:szCs w:val="14"/>
          <w:color w:val="auto"/>
        </w:rPr>
        <w:t>”), each of which is incorporated by reference as an exhibit to the registration statement of which this prospectus forms a part. We encourage you to read our Amended and Certificate of Incorporation, our Bylaws and the applicable provisions of the DGCL for additional information.</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(1) General</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authorized capital stock consists of 1,000,000,000 shares of Class A common stock, $0.0001 par value per share, and 1,000,000 shares of preferred stock, $0.0001 par value per share.</w:t>
      </w:r>
    </w:p>
    <w:p>
      <w:pPr>
        <w:spacing w:after="0" w:line="133" w:lineRule="exact"/>
        <w:rPr>
          <w:sz w:val="20"/>
          <w:szCs w:val="20"/>
          <w:color w:val="auto"/>
        </w:rPr>
      </w:pPr>
    </w:p>
    <w:p>
      <w:pPr>
        <w:ind w:right="260" w:firstLine="252"/>
        <w:spacing w:after="0" w:line="282" w:lineRule="auto"/>
        <w:rPr>
          <w:sz w:val="20"/>
          <w:szCs w:val="20"/>
          <w:color w:val="auto"/>
        </w:rPr>
      </w:pPr>
      <w:r>
        <w:rPr>
          <w:rFonts w:ascii="Times New Roman" w:cs="Times New Roman" w:eastAsia="Times New Roman" w:hAnsi="Times New Roman"/>
          <w:sz w:val="14"/>
          <w:szCs w:val="14"/>
          <w:color w:val="auto"/>
        </w:rPr>
        <w:t>As of September 30, 2025, there were 28,889,689 shares of our Class A common stock outstanding, no shares of preferred stock outstanding and 666,515 warrants outstanding. The outstanding shares of our Class A common stock are duly authorized, validly issued, fully paid and non-assessable.</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(2) Common Stock</w:t>
      </w:r>
    </w:p>
    <w:p>
      <w:pPr>
        <w:spacing w:after="0" w:line="135" w:lineRule="exact"/>
        <w:rPr>
          <w:sz w:val="20"/>
          <w:szCs w:val="20"/>
          <w:color w:val="auto"/>
        </w:rPr>
      </w:pPr>
    </w:p>
    <w:p>
      <w:pPr>
        <w:ind w:right="120" w:firstLine="252"/>
        <w:spacing w:after="0" w:line="266"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each share of our Class A common stock has the same relative rights and is identical in all respects to each other share of our Class A common stock. The rights, preferences and privileges of holders of our Class A common stock are subject to the rights, preferences and privileges of the holders of shares of any series of preferred stock that we have issued or may issue in the future.</w:t>
      </w:r>
    </w:p>
    <w:p>
      <w:pPr>
        <w:spacing w:after="0" w:line="92" w:lineRule="exact"/>
        <w:rPr>
          <w:sz w:val="20"/>
          <w:szCs w:val="20"/>
          <w:color w:val="auto"/>
        </w:rPr>
      </w:pPr>
    </w:p>
    <w:p>
      <w:pPr>
        <w:ind w:left="1320" w:hanging="309"/>
        <w:spacing w:after="0"/>
        <w:tabs>
          <w:tab w:leader="none" w:pos="1320"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Voting Power</w:t>
      </w:r>
    </w:p>
    <w:p>
      <w:pPr>
        <w:spacing w:after="0" w:line="135" w:lineRule="exact"/>
        <w:rPr>
          <w:sz w:val="20"/>
          <w:szCs w:val="20"/>
          <w:color w:val="auto"/>
        </w:rPr>
      </w:pPr>
    </w:p>
    <w:p>
      <w:pPr>
        <w:jc w:val="both"/>
        <w:ind w:right="40" w:firstLine="252"/>
        <w:spacing w:after="0" w:line="261" w:lineRule="auto"/>
        <w:rPr>
          <w:sz w:val="20"/>
          <w:szCs w:val="20"/>
          <w:color w:val="auto"/>
        </w:rPr>
      </w:pPr>
      <w:r>
        <w:rPr>
          <w:rFonts w:ascii="Times New Roman" w:cs="Times New Roman" w:eastAsia="Times New Roman" w:hAnsi="Times New Roman"/>
          <w:sz w:val="14"/>
          <w:szCs w:val="14"/>
          <w:color w:val="auto"/>
        </w:rPr>
        <w:t>Except as otherwise required by law or as otherwise provided in any certificate of designation for any series of preferred stock, or under our Amended and Restated Certificate of Incorporation, the holders of Class A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Class A common stock under our Amended and Restated Certificate of Incorporation.</w:t>
      </w:r>
    </w:p>
    <w:p>
      <w:pPr>
        <w:spacing w:after="0" w:line="95" w:lineRule="exact"/>
        <w:rPr>
          <w:sz w:val="20"/>
          <w:szCs w:val="20"/>
          <w:color w:val="auto"/>
        </w:rPr>
      </w:pPr>
    </w:p>
    <w:p>
      <w:pPr>
        <w:ind w:left="1020"/>
        <w:spacing w:after="0"/>
        <w:tabs>
          <w:tab w:leader="none" w:pos="1280" w:val="left"/>
        </w:tabs>
        <w:rPr>
          <w:sz w:val="20"/>
          <w:szCs w:val="20"/>
          <w:color w:val="auto"/>
        </w:rPr>
      </w:pPr>
      <w:r>
        <w:rPr>
          <w:rFonts w:ascii="Times New Roman" w:cs="Times New Roman" w:eastAsia="Times New Roman" w:hAnsi="Times New Roman"/>
          <w:sz w:val="14"/>
          <w:szCs w:val="14"/>
          <w:b w:val="1"/>
          <w:bCs w:val="1"/>
          <w:i w:val="1"/>
          <w:iCs w:val="1"/>
          <w:color w:val="auto"/>
        </w:rPr>
        <w:t>(ii)</w:t>
        <w:tab/>
        <w:t>Dividends</w:t>
      </w:r>
    </w:p>
    <w:p>
      <w:pPr>
        <w:spacing w:after="0" w:line="135" w:lineRule="exact"/>
        <w:rPr>
          <w:sz w:val="20"/>
          <w:szCs w:val="20"/>
          <w:color w:val="auto"/>
        </w:rPr>
      </w:pPr>
    </w:p>
    <w:p>
      <w:pPr>
        <w:jc w:val="both"/>
        <w:ind w:right="80" w:firstLine="252"/>
        <w:spacing w:after="0" w:line="266" w:lineRule="auto"/>
        <w:rPr>
          <w:sz w:val="20"/>
          <w:szCs w:val="20"/>
          <w:color w:val="auto"/>
        </w:rPr>
      </w:pPr>
      <w:r>
        <w:rPr>
          <w:rFonts w:ascii="Times New Roman" w:cs="Times New Roman" w:eastAsia="Times New Roman" w:hAnsi="Times New Roman"/>
          <w:sz w:val="14"/>
          <w:szCs w:val="14"/>
          <w:color w:val="auto"/>
        </w:rPr>
        <w:t>Subject to the rights, if any of the holders of any outstanding shares of preferred stock, under our Amended and Restated Certificate of Incorporation, holders of Class A common stock are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(iii) Liquidation, Dissolution and Winding Up</w:t>
      </w:r>
    </w:p>
    <w:p>
      <w:pPr>
        <w:spacing w:after="0" w:line="135" w:lineRule="exact"/>
        <w:rPr>
          <w:sz w:val="20"/>
          <w:szCs w:val="20"/>
          <w:color w:val="auto"/>
        </w:rPr>
      </w:pPr>
    </w:p>
    <w:p>
      <w:pPr>
        <w:ind w:right="60" w:firstLine="252"/>
        <w:spacing w:after="0" w:line="266" w:lineRule="auto"/>
        <w:rPr>
          <w:sz w:val="20"/>
          <w:szCs w:val="20"/>
          <w:color w:val="auto"/>
        </w:rPr>
      </w:pPr>
      <w:r>
        <w:rPr>
          <w:rFonts w:ascii="Times New Roman" w:cs="Times New Roman" w:eastAsia="Times New Roman" w:hAnsi="Times New Roman"/>
          <w:sz w:val="14"/>
          <w:szCs w:val="14"/>
          <w:color w:val="auto"/>
        </w:rPr>
        <w:t>In the event of the voluntary or involuntary liquidation, dissolution or winding-up of the Company, under our Amended and Restated Certificate of Incorporation, holders of Class A common stock will be entitled to receive all the remaining assets of the Company available for distribution to stockholders, ratably in proportion to the number of shares of Class A common stock held by them, after the rights of the holders of the preferred stock have been satisfied.</w:t>
      </w:r>
    </w:p>
    <w:p>
      <w:pPr>
        <w:spacing w:after="0" w:line="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(iv)  Preemptive or Other Rights</w:t>
      </w:r>
    </w:p>
    <w:p>
      <w:pPr>
        <w:spacing w:after="0" w:line="135"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Under our Amended and Restated Certificate of Incorporation, our stockholders have no preemptive or other subscription rights and there are no sinking fund or redemption provisions applicable to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15</w:t>
      </w:r>
    </w:p>
    <w:p>
      <w:pPr>
        <w:sectPr>
          <w:pgSz w:w="11900" w:h="16838" w:orient="portrait"/>
          <w:cols w:equalWidth="0" w:num="1">
            <w:col w:w="11280"/>
          </w:cols>
          <w:pgMar w:left="300" w:top="1130" w:right="319" w:bottom="1440" w:gutter="0" w:footer="0" w:header="0"/>
        </w:sectPr>
      </w:pPr>
    </w:p>
    <w:bookmarkStart w:id="19" w:name="page20"/>
    <w:bookmarkEnd w:id="19"/>
    <w:p>
      <w:pPr>
        <w:ind w:left="1320" w:hanging="309"/>
        <w:spacing w:after="0"/>
        <w:tabs>
          <w:tab w:leader="none" w:pos="1320"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Election of Directors</w:t>
      </w:r>
    </w:p>
    <w:p>
      <w:pPr>
        <w:spacing w:after="0" w:line="135" w:lineRule="exact"/>
        <w:rPr>
          <w:sz w:val="20"/>
          <w:szCs w:val="20"/>
          <w:color w:val="auto"/>
        </w:rPr>
      </w:pPr>
    </w:p>
    <w:p>
      <w:pPr>
        <w:ind w:right="40" w:firstLine="252"/>
        <w:spacing w:after="0" w:line="266"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for a classified board of directors with staggered three-year terms, consisting of the three classes: Class I, Class II and Class III. The term of the Class I Directors will expire at our 2028 annual meeting of the stockholders, the term of the Class II Directors will expire at our 2026 annual meeting of the stockholders and the term of the Class III Directors will expire at our 2027 annual meeting of the stockholders.</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(3) Preferred Stock</w:t>
      </w:r>
    </w:p>
    <w:p>
      <w:pPr>
        <w:spacing w:after="0" w:line="135" w:lineRule="exact"/>
        <w:rPr>
          <w:sz w:val="20"/>
          <w:szCs w:val="20"/>
          <w:color w:val="auto"/>
        </w:rPr>
      </w:pPr>
    </w:p>
    <w:p>
      <w:pPr>
        <w:ind w:right="20" w:firstLine="252"/>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Class A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(4) Certain Anti-Takeover Provisions of Delaware Law and Our Amended and Restated Certificate of Incorporation and Bylaws</w:t>
      </w:r>
    </w:p>
    <w:p>
      <w:pPr>
        <w:spacing w:after="0" w:line="135" w:lineRule="exact"/>
        <w:rPr>
          <w:sz w:val="20"/>
          <w:szCs w:val="20"/>
          <w:color w:val="auto"/>
        </w:rPr>
      </w:pPr>
    </w:p>
    <w:p>
      <w:pPr>
        <w:ind w:firstLine="252"/>
        <w:spacing w:after="0" w:line="256" w:lineRule="auto"/>
        <w:rPr>
          <w:sz w:val="20"/>
          <w:szCs w:val="20"/>
          <w:color w:val="auto"/>
        </w:rPr>
      </w:pPr>
      <w:r>
        <w:rPr>
          <w:rFonts w:ascii="Times New Roman" w:cs="Times New Roman" w:eastAsia="Times New Roman" w:hAnsi="Times New Roman"/>
          <w:sz w:val="14"/>
          <w:szCs w:val="14"/>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Class A common stock.</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our Amended and Restated Certificate of Incorporation provides for certain other provisions that may have an anti-takeover effect:</w:t>
      </w:r>
    </w:p>
    <w:p>
      <w:pPr>
        <w:spacing w:after="0" w:line="133" w:lineRule="exact"/>
        <w:rPr>
          <w:sz w:val="20"/>
          <w:szCs w:val="20"/>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cumulative voting with respect to the election of directors.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is empowered to elect a director to fill a vacancy created by the expansion of the Board or the resignation, death, or removal of a director in certain circumstances.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may only be removed from the Board for cause.</w:t>
      </w:r>
    </w:p>
    <w:p>
      <w:pPr>
        <w:spacing w:after="0" w:line="132" w:lineRule="exact"/>
        <w:rPr>
          <w:rFonts w:ascii="Times New Roman" w:cs="Times New Roman" w:eastAsia="Times New Roman" w:hAnsi="Times New Roman"/>
          <w:sz w:val="14"/>
          <w:szCs w:val="14"/>
          <w:color w:val="auto"/>
        </w:rPr>
      </w:pPr>
    </w:p>
    <w:p>
      <w:pPr>
        <w:ind w:left="260" w:right="140" w:hanging="256"/>
        <w:spacing w:after="0" w:line="282"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is classified into three classes of directors. As a result, in most circumstances, a person can gain control of our Board by successfully engaging in a proxy contest at two or more annual meetings.</w:t>
      </w:r>
    </w:p>
    <w:p>
      <w:pPr>
        <w:spacing w:after="0" w:line="8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132" w:lineRule="exact"/>
        <w:rPr>
          <w:rFonts w:ascii="Times New Roman" w:cs="Times New Roman" w:eastAsia="Times New Roman" w:hAnsi="Times New Roman"/>
          <w:sz w:val="14"/>
          <w:szCs w:val="14"/>
          <w:color w:val="auto"/>
        </w:rPr>
      </w:pPr>
    </w:p>
    <w:p>
      <w:pPr>
        <w:ind w:left="260" w:right="500" w:hanging="256"/>
        <w:spacing w:after="0" w:line="282"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83" w:lineRule="exact"/>
        <w:rPr>
          <w:rFonts w:ascii="Times New Roman" w:cs="Times New Roman" w:eastAsia="Times New Roman" w:hAnsi="Times New Roman"/>
          <w:sz w:val="14"/>
          <w:szCs w:val="14"/>
          <w:color w:val="auto"/>
        </w:rPr>
      </w:pPr>
    </w:p>
    <w:p>
      <w:pPr>
        <w:ind w:left="260" w:right="260" w:hanging="256"/>
        <w:spacing w:after="0" w:line="282"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authorized but unissued Class A common stock and preferred stock are available for future issuances without stockholder approval and could be utilized for a variety of corporate purposes, including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16</w:t>
      </w:r>
    </w:p>
    <w:p>
      <w:pPr>
        <w:sectPr>
          <w:pgSz w:w="11900" w:h="16838" w:orient="portrait"/>
          <w:cols w:equalWidth="0" w:num="1">
            <w:col w:w="11280"/>
          </w:cols>
          <w:pgMar w:left="300" w:top="1130" w:right="319" w:bottom="1440" w:gutter="0" w:footer="0" w:header="0"/>
        </w:sectPr>
      </w:pPr>
    </w:p>
    <w:bookmarkStart w:id="20" w:name="page21"/>
    <w:bookmarkEnd w:id="20"/>
    <w:p>
      <w:pPr>
        <w:ind w:left="260" w:right="100"/>
        <w:spacing w:after="0" w:line="266" w:lineRule="auto"/>
        <w:rPr>
          <w:sz w:val="20"/>
          <w:szCs w:val="20"/>
          <w:color w:val="auto"/>
        </w:rPr>
      </w:pPr>
      <w:r>
        <w:rPr>
          <w:rFonts w:ascii="Times New Roman" w:cs="Times New Roman" w:eastAsia="Times New Roman" w:hAnsi="Times New Roman"/>
          <w:sz w:val="14"/>
          <w:szCs w:val="14"/>
          <w:color w:val="auto"/>
        </w:rPr>
        <w:t>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Class A common stock and preferred stock could render more difficult or discourage an attempt to obtain control of us by means of a proxy contest, tender offer, merger or otherwise.</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(5) Forum Selection Clause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Amended and Restated Certificate of Incorporation includes a forum selection clause. Our Amended and Restated Certificate of Incorporation provides that, subject to limited exceptions,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Court of Chancery of the State of Delaware and federal court within the State of Delaware will be exclusive forums for any:</w:t>
      </w:r>
    </w:p>
    <w:p>
      <w:pPr>
        <w:spacing w:after="0" w:line="118" w:lineRule="exact"/>
        <w:rPr>
          <w:sz w:val="20"/>
          <w:szCs w:val="20"/>
          <w:color w:val="auto"/>
        </w:rPr>
      </w:pPr>
    </w:p>
    <w:p>
      <w:pPr>
        <w:ind w:left="260" w:hanging="256"/>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 action or proceeding brought on our behalf;</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 asserting a claim of breach of a fiduciary duty owed by, or other wrongdoing by, any of our directors, officers, stockholders, employees or agents to us or our stockholders;</w:t>
      </w:r>
    </w:p>
    <w:p>
      <w:pPr>
        <w:spacing w:after="0" w:line="132" w:lineRule="exact"/>
        <w:rPr>
          <w:rFonts w:ascii="Times New Roman" w:cs="Times New Roman" w:eastAsia="Times New Roman" w:hAnsi="Times New Roman"/>
          <w:sz w:val="14"/>
          <w:szCs w:val="14"/>
          <w:color w:val="auto"/>
        </w:rPr>
      </w:pPr>
    </w:p>
    <w:p>
      <w:pPr>
        <w:ind w:left="260" w:right="320" w:hanging="256"/>
        <w:spacing w:after="0" w:line="282"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8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 to interpret, apply, enforce or determine the validity of our Amended and Restated Certificate of Incorporation or the Bylaws; or</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action asserting a claim against us or any of our directors, officers, stockholders, employees or agents that is governed by the internal affairs doctrine.</w:t>
      </w:r>
    </w:p>
    <w:p>
      <w:pPr>
        <w:spacing w:after="0" w:line="133" w:lineRule="exact"/>
        <w:rPr>
          <w:sz w:val="20"/>
          <w:szCs w:val="20"/>
          <w:color w:val="auto"/>
        </w:rPr>
      </w:pPr>
    </w:p>
    <w:p>
      <w:pPr>
        <w:ind w:right="40" w:firstLine="252"/>
        <w:spacing w:after="0" w:line="258" w:lineRule="auto"/>
        <w:rPr>
          <w:sz w:val="20"/>
          <w:szCs w:val="20"/>
          <w:color w:val="auto"/>
        </w:rPr>
      </w:pPr>
      <w:r>
        <w:rPr>
          <w:rFonts w:ascii="Times New Roman" w:cs="Times New Roman" w:eastAsia="Times New Roman" w:hAnsi="Times New Roman"/>
          <w:sz w:val="14"/>
          <w:szCs w:val="14"/>
          <w:color w:val="auto"/>
        </w:rPr>
        <w:t>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(6) Transfer Agent and Registrar</w:t>
      </w:r>
    </w:p>
    <w:p>
      <w:pPr>
        <w:spacing w:after="0" w:line="135"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The transfer agent for our Class A common stock is Continental Stock Transfer &amp; Trust Company. We have agreed to indemnify Continental Stock Transfer &amp;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(7) Nasdaq Global Select Market listing</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Class A common stock is traded on the Nasdaq under the symbol “WGS.”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17</w:t>
      </w:r>
    </w:p>
    <w:p>
      <w:pPr>
        <w:sectPr>
          <w:pgSz w:w="11900" w:h="16838" w:orient="portrait"/>
          <w:cols w:equalWidth="0" w:num="1">
            <w:col w:w="11260"/>
          </w:cols>
          <w:pgMar w:left="300" w:top="1132"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(8) General</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will issue the debt securities offered by this prospectus and any accompanying prospectus supplement under an indenture to be entered into between us and the trustee identified 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 prospectus supplement. The terms of the debt securities will include those stated in the indenture and those made part of the indenture by reference to the Trust Indenture Act of 1939, as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 on the date of the indenture. We have filed a copy of the form of indenture as an exhibit to the registration statement in which this prospectus is included, which we refer to as the “</w:t>
      </w:r>
      <w:r>
        <w:rPr>
          <w:rFonts w:ascii="Times New Roman" w:cs="Times New Roman" w:eastAsia="Times New Roman" w:hAnsi="Times New Roman"/>
          <w:sz w:val="14"/>
          <w:szCs w:val="14"/>
          <w:i w:val="1"/>
          <w:iCs w:val="1"/>
          <w:color w:val="auto"/>
        </w:rPr>
        <w:t>base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indenture</w:t>
      </w:r>
      <w:r>
        <w:rPr>
          <w:rFonts w:ascii="Times New Roman" w:cs="Times New Roman" w:eastAsia="Times New Roman" w:hAnsi="Times New Roman"/>
          <w:sz w:val="13"/>
          <w:szCs w:val="13"/>
          <w:color w:val="auto"/>
        </w:rPr>
        <w:t>,” and supplemental indentures and forms of debt securities containing the terms of the debt securities being offered and sold will be filed as exhibits to the registration statement and/or will be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incorporated by reference from reports that we file with the SEC. The actual base indenture we enter into in connection with an offering of debt securities may differ significantly from the form of base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indenture we have filed. The base indenture, as amended or supplemented from time to time by one or more supplemental indentures, is referred to below collectively as the “</w:t>
      </w:r>
      <w:r>
        <w:rPr>
          <w:rFonts w:ascii="Times New Roman" w:cs="Times New Roman" w:eastAsia="Times New Roman" w:hAnsi="Times New Roman"/>
          <w:sz w:val="14"/>
          <w:szCs w:val="14"/>
          <w:i w:val="1"/>
          <w:iCs w:val="1"/>
          <w:color w:val="auto"/>
        </w:rPr>
        <w:t>indenture</w:t>
      </w:r>
      <w:r>
        <w:rPr>
          <w:rFonts w:ascii="Times New Roman" w:cs="Times New Roman" w:eastAsia="Times New Roman" w:hAnsi="Times New Roman"/>
          <w:sz w:val="14"/>
          <w:szCs w:val="14"/>
          <w:color w:val="auto"/>
        </w:rPr>
        <w:t>.” The indenture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will be subject to and governed by the terms of the Trust Indenture Act of 1939.</w:t>
      </w:r>
    </w:p>
    <w:p>
      <w:pPr>
        <w:spacing w:after="0" w:line="118" w:lineRule="exact"/>
        <w:rPr>
          <w:sz w:val="20"/>
          <w:szCs w:val="20"/>
          <w:color w:val="auto"/>
        </w:rPr>
      </w:pPr>
    </w:p>
    <w:p>
      <w:pPr>
        <w:ind w:right="40" w:firstLine="252"/>
        <w:spacing w:after="0" w:line="261"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debt securities will represent our direct, unsecured obligations and will rank equally with all of our other unsecured indebtedness. 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97" w:lineRule="exact"/>
        <w:rPr>
          <w:sz w:val="20"/>
          <w:szCs w:val="20"/>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and, if a series, the total amount authorized and the total amount outstanding;</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 price or prices, expressed as a percentage of the aggregate principal amount of the debt securities;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is payable;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or variable) or, if applicable, the method used to determine such rate or rates;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if any, will be payable and any regular record date for the interest payable;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and, if applicable, premium and interest, is payable;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upon which we may, or the holders may require us to, redeem or repurchase the debt securities;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such debt securities may be issuable, if other than denominations of $1,000 or any integral multiple of that number;</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to be issuable in the form of certificated securities (as described below) or global securities (as described below);</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that will be payable upon declaration of acceleration of the maturity date if other than the principal amount of the debt securities;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and, if applicable, premium and interest, will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18</w:t>
      </w:r>
    </w:p>
    <w:p>
      <w:pPr>
        <w:sectPr>
          <w:pgSz w:w="11900" w:h="16838" w:orient="portrait"/>
          <w:cols w:equalWidth="0" w:num="1">
            <w:col w:w="11260"/>
          </w:cols>
          <w:pgMar w:left="300" w:top="1130" w:right="339" w:bottom="1440" w:gutter="0" w:footer="0" w:header="0"/>
        </w:sectPr>
      </w:pPr>
    </w:p>
    <w:bookmarkStart w:id="22" w:name="page23"/>
    <w:bookmarkEnd w:id="22"/>
    <w:p>
      <w:pPr>
        <w:ind w:left="260" w:right="420" w:hanging="256"/>
        <w:spacing w:after="0" w:line="282" w:lineRule="auto"/>
        <w:tabs>
          <w:tab w:leader="none" w:pos="2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83" w:lineRule="exact"/>
        <w:rPr>
          <w:rFonts w:ascii="Times New Roman" w:cs="Times New Roman" w:eastAsia="Times New Roman" w:hAnsi="Times New Roman"/>
          <w:sz w:val="14"/>
          <w:szCs w:val="14"/>
          <w:color w:val="auto"/>
        </w:rPr>
      </w:pPr>
    </w:p>
    <w:p>
      <w:pPr>
        <w:ind w:left="260" w:right="200" w:hanging="256"/>
        <w:spacing w:after="0" w:line="282" w:lineRule="auto"/>
        <w:tabs>
          <w:tab w:leader="none" w:pos="2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8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any collateral provided for such debt securities;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and/or the acceleration provisions described in this prospectus or in the base indenture;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if not otherwise described below under “Events of Default”;</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for conversion into or exchange for shares of our Class A common stock or preferred stock;</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and</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the debt securities shall be subordinated in right of payment to our other indebtedness.</w:t>
      </w:r>
    </w:p>
    <w:p>
      <w:pPr>
        <w:spacing w:after="0" w:line="133"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94" w:lineRule="exact"/>
        <w:rPr>
          <w:sz w:val="20"/>
          <w:szCs w:val="20"/>
          <w:color w:val="auto"/>
        </w:rPr>
      </w:pPr>
    </w:p>
    <w:p>
      <w:pPr>
        <w:ind w:right="100" w:firstLine="252"/>
        <w:spacing w:after="0" w:line="282" w:lineRule="auto"/>
        <w:rPr>
          <w:sz w:val="20"/>
          <w:szCs w:val="20"/>
          <w:color w:val="auto"/>
        </w:rPr>
      </w:pPr>
      <w:r>
        <w:rPr>
          <w:rFonts w:ascii="Times New Roman" w:cs="Times New Roman" w:eastAsia="Times New Roman" w:hAnsi="Times New Roman"/>
          <w:sz w:val="14"/>
          <w:szCs w:val="14"/>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83"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Debt securities offered under this prospectus and any prospectus supplement may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(9) Registrar and Paying Agent</w:t>
      </w:r>
    </w:p>
    <w:p>
      <w:pPr>
        <w:spacing w:after="0" w:line="135" w:lineRule="exact"/>
        <w:rPr>
          <w:sz w:val="20"/>
          <w:szCs w:val="20"/>
          <w:color w:val="auto"/>
        </w:rPr>
      </w:pPr>
    </w:p>
    <w:p>
      <w:pPr>
        <w:jc w:val="both"/>
        <w:ind w:right="320" w:firstLine="252"/>
        <w:spacing w:after="0" w:line="266" w:lineRule="auto"/>
        <w:rPr>
          <w:sz w:val="20"/>
          <w:szCs w:val="20"/>
          <w:color w:val="auto"/>
        </w:rPr>
      </w:pPr>
      <w:r>
        <w:rPr>
          <w:rFonts w:ascii="Times New Roman" w:cs="Times New Roman" w:eastAsia="Times New Roman" w:hAnsi="Times New Roman"/>
          <w:sz w:val="14"/>
          <w:szCs w:val="14"/>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(10)Conversion or Exchange Rights</w:t>
      </w:r>
    </w:p>
    <w:p>
      <w:pPr>
        <w:spacing w:after="0" w:line="135" w:lineRule="exact"/>
        <w:rPr>
          <w:sz w:val="20"/>
          <w:szCs w:val="20"/>
          <w:color w:val="auto"/>
        </w:rPr>
      </w:pPr>
    </w:p>
    <w:p>
      <w:pPr>
        <w:ind w:right="220" w:firstLine="252"/>
        <w:spacing w:after="0" w:line="282" w:lineRule="auto"/>
        <w:rPr>
          <w:sz w:val="20"/>
          <w:szCs w:val="20"/>
          <w:color w:val="auto"/>
        </w:rPr>
      </w:pPr>
      <w:r>
        <w:rPr>
          <w:rFonts w:ascii="Times New Roman" w:cs="Times New Roman" w:eastAsia="Times New Roman" w:hAnsi="Times New Roman"/>
          <w:sz w:val="14"/>
          <w:szCs w:val="14"/>
          <w:color w:val="auto"/>
        </w:rPr>
        <w:t>Debt securities may be convertible into or exchangeable for shares of our Class A common stock. The terms and conditions of conversion or exchange will be stated in the applicable prospectus supplement. The terms will include, among others, the following:</w:t>
      </w:r>
    </w:p>
    <w:p>
      <w:pPr>
        <w:spacing w:after="0" w:line="83" w:lineRule="exact"/>
        <w:rPr>
          <w:sz w:val="20"/>
          <w:szCs w:val="20"/>
          <w:color w:val="auto"/>
        </w:rPr>
      </w:pPr>
    </w:p>
    <w:p>
      <w:pPr>
        <w:ind w:left="260" w:hanging="256"/>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or exchange price;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or exchange period;</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regarding the convertibility or exchangeability of the debt securities, including who may convert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19</w:t>
      </w:r>
    </w:p>
    <w:p>
      <w:pPr>
        <w:sectPr>
          <w:pgSz w:w="11900" w:h="16838" w:orient="portrait"/>
          <w:cols w:equalWidth="0" w:num="1">
            <w:col w:w="11260"/>
          </w:cols>
          <w:pgMar w:left="300" w:top="1132" w:right="339" w:bottom="1440" w:gutter="0" w:footer="0" w:header="0"/>
        </w:sectPr>
      </w:pPr>
    </w:p>
    <w:bookmarkStart w:id="23" w:name="page24"/>
    <w:bookmarkEnd w:id="23"/>
    <w:p>
      <w:pPr>
        <w:ind w:left="260" w:hanging="256"/>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requiring adjustment to the conversion or exchange price;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affecting conversion or exchange in the event of our redemption of the debt securities; and</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anti-dilution provisions, if applicable.</w:t>
      </w:r>
    </w:p>
    <w:p>
      <w:pPr>
        <w:spacing w:after="0" w:line="130" w:lineRule="exact"/>
        <w:rPr>
          <w:rFonts w:ascii="Times New Roman" w:cs="Times New Roman" w:eastAsia="Times New Roman" w:hAnsi="Times New Roman"/>
          <w:sz w:val="14"/>
          <w:szCs w:val="14"/>
          <w:color w:val="auto"/>
        </w:rPr>
      </w:pPr>
    </w:p>
    <w:p>
      <w:pPr>
        <w:ind w:left="740" w:hanging="232"/>
        <w:spacing w:after="0"/>
        <w:tabs>
          <w:tab w:leader="none" w:pos="740" w:val="left"/>
        </w:tabs>
        <w:numPr>
          <w:ilvl w:val="1"/>
          <w:numId w:val="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Registered Global Securities</w:t>
      </w:r>
    </w:p>
    <w:p>
      <w:pPr>
        <w:spacing w:after="0" w:line="146" w:lineRule="exact"/>
        <w:rPr>
          <w:sz w:val="20"/>
          <w:szCs w:val="20"/>
          <w:color w:val="auto"/>
        </w:rPr>
      </w:pPr>
    </w:p>
    <w:p>
      <w:pPr>
        <w:ind w:right="120" w:firstLine="252"/>
        <w:spacing w:after="0" w:line="282" w:lineRule="auto"/>
        <w:rPr>
          <w:sz w:val="20"/>
          <w:szCs w:val="20"/>
          <w:color w:val="auto"/>
        </w:rPr>
      </w:pPr>
      <w:r>
        <w:rPr>
          <w:rFonts w:ascii="Times New Roman" w:cs="Times New Roman" w:eastAsia="Times New Roman" w:hAnsi="Times New Roman"/>
          <w:sz w:val="14"/>
          <w:szCs w:val="14"/>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83" w:lineRule="exact"/>
        <w:rPr>
          <w:sz w:val="20"/>
          <w:szCs w:val="20"/>
          <w:color w:val="auto"/>
        </w:rPr>
      </w:pPr>
    </w:p>
    <w:p>
      <w:pPr>
        <w:ind w:right="60" w:firstLine="252"/>
        <w:spacing w:after="0" w:line="266" w:lineRule="auto"/>
        <w:rPr>
          <w:sz w:val="20"/>
          <w:szCs w:val="20"/>
          <w:color w:val="auto"/>
        </w:rPr>
      </w:pPr>
      <w:r>
        <w:rPr>
          <w:rFonts w:ascii="Times New Roman" w:cs="Times New Roman" w:eastAsia="Times New Roman" w:hAnsi="Times New Roman"/>
          <w:sz w:val="14"/>
          <w:szCs w:val="14"/>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(12)No Protection in the Event of Change of Control</w:t>
      </w:r>
    </w:p>
    <w:p>
      <w:pPr>
        <w:spacing w:after="0" w:line="135"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The base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(13)Covenants</w:t>
      </w:r>
    </w:p>
    <w:p>
      <w:pPr>
        <w:spacing w:after="0" w:line="135" w:lineRule="exact"/>
        <w:rPr>
          <w:sz w:val="20"/>
          <w:szCs w:val="20"/>
          <w:color w:val="auto"/>
        </w:rPr>
      </w:pPr>
    </w:p>
    <w:p>
      <w:pPr>
        <w:ind w:right="60" w:firstLine="252"/>
        <w:spacing w:after="0" w:line="282" w:lineRule="auto"/>
        <w:rPr>
          <w:sz w:val="20"/>
          <w:szCs w:val="20"/>
          <w:color w:val="auto"/>
        </w:rPr>
      </w:pPr>
      <w:r>
        <w:rPr>
          <w:rFonts w:ascii="Times New Roman" w:cs="Times New Roman" w:eastAsia="Times New Roman" w:hAnsi="Times New Roman"/>
          <w:sz w:val="14"/>
          <w:szCs w:val="14"/>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(14)Merger, Consolidation or Sale of Assets</w:t>
      </w:r>
    </w:p>
    <w:p>
      <w:pPr>
        <w:spacing w:after="0" w:line="135" w:lineRule="exact"/>
        <w:rPr>
          <w:sz w:val="20"/>
          <w:szCs w:val="20"/>
          <w:color w:val="auto"/>
        </w:rPr>
      </w:pPr>
    </w:p>
    <w:p>
      <w:pPr>
        <w:ind w:right="200" w:firstLine="252"/>
        <w:spacing w:after="0" w:line="282" w:lineRule="auto"/>
        <w:rPr>
          <w:sz w:val="20"/>
          <w:szCs w:val="20"/>
          <w:color w:val="auto"/>
        </w:rPr>
      </w:pPr>
      <w:r>
        <w:rPr>
          <w:rFonts w:ascii="Times New Roman" w:cs="Times New Roman" w:eastAsia="Times New Roman" w:hAnsi="Times New Roman"/>
          <w:sz w:val="14"/>
          <w:szCs w:val="14"/>
          <w:color w:val="auto"/>
        </w:rPr>
        <w:t>The form of base indenture provides that we will not consolidate with or merge into any other person or convey, transfer, sell or lease our properties and assets substantially as an entirety to any person, unless:</w:t>
      </w:r>
    </w:p>
    <w:p>
      <w:pPr>
        <w:spacing w:after="0" w:line="83" w:lineRule="exact"/>
        <w:rPr>
          <w:sz w:val="20"/>
          <w:szCs w:val="20"/>
          <w:color w:val="auto"/>
        </w:rPr>
      </w:pPr>
    </w:p>
    <w:p>
      <w:pPr>
        <w:ind w:left="260" w:right="20" w:hanging="256"/>
        <w:spacing w:after="0" w:line="261"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w:t>
      </w:r>
    </w:p>
    <w:p>
      <w:pPr>
        <w:spacing w:after="0" w:line="97" w:lineRule="exact"/>
        <w:rPr>
          <w:rFonts w:ascii="Times New Roman" w:cs="Times New Roman" w:eastAsia="Times New Roman" w:hAnsi="Times New Roman"/>
          <w:sz w:val="14"/>
          <w:szCs w:val="14"/>
          <w:color w:val="auto"/>
        </w:rPr>
      </w:pPr>
    </w:p>
    <w:p>
      <w:pPr>
        <w:ind w:left="260" w:hanging="256"/>
        <w:spacing w:after="0" w:line="282"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81" w:lineRule="exact"/>
        <w:rPr>
          <w:rFonts w:ascii="Times New Roman" w:cs="Times New Roman" w:eastAsia="Times New Roman" w:hAnsi="Times New Roman"/>
          <w:sz w:val="14"/>
          <w:szCs w:val="14"/>
          <w:color w:val="auto"/>
        </w:rPr>
      </w:pPr>
    </w:p>
    <w:p>
      <w:pPr>
        <w:ind w:left="760" w:hanging="252"/>
        <w:spacing w:after="0"/>
        <w:tabs>
          <w:tab w:leader="none" w:pos="760" w:val="left"/>
        </w:tabs>
        <w:numPr>
          <w:ilvl w:val="1"/>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Events of Default</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Unless otherwise specified in the applicable prospectus supplement, the following events will be events of default under the indenture with respect to debt securities of any series:</w:t>
      </w:r>
    </w:p>
    <w:p>
      <w:pPr>
        <w:spacing w:after="0" w:line="133" w:lineRule="exact"/>
        <w:rPr>
          <w:sz w:val="20"/>
          <w:szCs w:val="20"/>
          <w:color w:val="auto"/>
        </w:rPr>
      </w:pPr>
    </w:p>
    <w:p>
      <w:pPr>
        <w:ind w:left="260" w:hanging="256"/>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any principal or premium, if any, when it becomes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20</w:t>
      </w:r>
    </w:p>
    <w:p>
      <w:pPr>
        <w:sectPr>
          <w:pgSz w:w="11900" w:h="16838" w:orient="portrait"/>
          <w:cols w:equalWidth="0" w:num="1">
            <w:col w:w="11240"/>
          </w:cols>
          <w:pgMar w:left="300" w:top="1132" w:right="359" w:bottom="1440" w:gutter="0" w:footer="0" w:header="0"/>
        </w:sectPr>
      </w:pPr>
    </w:p>
    <w:bookmarkStart w:id="24" w:name="page25"/>
    <w:bookmarkEnd w:id="24"/>
    <w:p>
      <w:pPr>
        <w:ind w:left="260" w:hanging="256"/>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any interest within 30 days after it becomes due;</w:t>
      </w:r>
    </w:p>
    <w:p>
      <w:pPr>
        <w:spacing w:after="0" w:line="132" w:lineRule="exact"/>
        <w:rPr>
          <w:rFonts w:ascii="Times New Roman" w:cs="Times New Roman" w:eastAsia="Times New Roman" w:hAnsi="Times New Roman"/>
          <w:sz w:val="14"/>
          <w:szCs w:val="14"/>
          <w:color w:val="auto"/>
        </w:rPr>
      </w:pPr>
    </w:p>
    <w:p>
      <w:pPr>
        <w:ind w:left="260" w:right="140" w:hanging="256"/>
        <w:spacing w:after="0" w:line="282" w:lineRule="auto"/>
        <w:tabs>
          <w:tab w:leader="none" w:pos="2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observe or perform any other covenant in the debt securities or the indenture for 90 days after written notice specifying the failure from the trustee or the holders of not less than 25% in aggregate principal amount of the outstanding debt securities of that series; and</w:t>
      </w:r>
    </w:p>
    <w:p>
      <w:pPr>
        <w:spacing w:after="0" w:line="8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involving bankruptcy, insolvency or reorganization of us or any of our significant subsidiaries.</w:t>
      </w:r>
    </w:p>
    <w:p>
      <w:pPr>
        <w:spacing w:after="0" w:line="133" w:lineRule="exact"/>
        <w:rPr>
          <w:sz w:val="20"/>
          <w:szCs w:val="20"/>
          <w:color w:val="auto"/>
        </w:rPr>
      </w:pPr>
    </w:p>
    <w:p>
      <w:pPr>
        <w:ind w:right="40" w:firstLine="252"/>
        <w:spacing w:after="0" w:line="282" w:lineRule="auto"/>
        <w:rPr>
          <w:sz w:val="20"/>
          <w:szCs w:val="20"/>
          <w:color w:val="auto"/>
        </w:rPr>
      </w:pPr>
      <w:r>
        <w:rPr>
          <w:rFonts w:ascii="Times New Roman" w:cs="Times New Roman" w:eastAsia="Times New Roman" w:hAnsi="Times New Roman"/>
          <w:sz w:val="14"/>
          <w:szCs w:val="14"/>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83" w:lineRule="exact"/>
        <w:rPr>
          <w:sz w:val="20"/>
          <w:szCs w:val="20"/>
          <w:color w:val="auto"/>
        </w:rPr>
      </w:pPr>
    </w:p>
    <w:p>
      <w:pPr>
        <w:ind w:firstLine="252"/>
        <w:spacing w:after="0" w:line="258" w:lineRule="auto"/>
        <w:rPr>
          <w:sz w:val="20"/>
          <w:szCs w:val="20"/>
          <w:color w:val="auto"/>
        </w:rPr>
      </w:pPr>
      <w:r>
        <w:rPr>
          <w:rFonts w:ascii="Times New Roman" w:cs="Times New Roman" w:eastAsia="Times New Roman" w:hAnsi="Times New Roman"/>
          <w:sz w:val="14"/>
          <w:szCs w:val="14"/>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100" w:lineRule="exact"/>
        <w:rPr>
          <w:sz w:val="20"/>
          <w:szCs w:val="20"/>
          <w:color w:val="auto"/>
        </w:rPr>
      </w:pPr>
    </w:p>
    <w:p>
      <w:pPr>
        <w:ind w:left="260" w:hanging="256"/>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(other than nonpayment of accelerated principal, premium or interest) have been cured or waived;</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lawful interest on overdue interest and overdue principal has been paid; and</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rescission would not conflict with any judgment or decree.</w:t>
      </w:r>
    </w:p>
    <w:p>
      <w:pPr>
        <w:spacing w:after="0" w:line="133"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94" w:lineRule="exact"/>
        <w:rPr>
          <w:sz w:val="20"/>
          <w:szCs w:val="20"/>
          <w:color w:val="auto"/>
        </w:rPr>
      </w:pPr>
    </w:p>
    <w:p>
      <w:pPr>
        <w:ind w:right="220" w:firstLine="252"/>
        <w:spacing w:after="0" w:line="282" w:lineRule="auto"/>
        <w:rPr>
          <w:sz w:val="20"/>
          <w:szCs w:val="20"/>
          <w:color w:val="auto"/>
        </w:rPr>
      </w:pPr>
      <w:r>
        <w:rPr>
          <w:rFonts w:ascii="Times New Roman" w:cs="Times New Roman" w:eastAsia="Times New Roman" w:hAnsi="Times New Roman"/>
          <w:sz w:val="14"/>
          <w:szCs w:val="14"/>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83" w:lineRule="exact"/>
        <w:rPr>
          <w:sz w:val="20"/>
          <w:szCs w:val="20"/>
          <w:color w:val="auto"/>
        </w:rPr>
      </w:pPr>
    </w:p>
    <w:p>
      <w:pPr>
        <w:ind w:right="60" w:firstLine="252"/>
        <w:spacing w:after="0" w:line="282"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holder of any debt security of a series will have any right to institute any proceeding with respect to the indenture or for any remedy under the indenture, unless:</w:t>
      </w:r>
    </w:p>
    <w:p>
      <w:pPr>
        <w:spacing w:after="0" w:line="133" w:lineRule="exact"/>
        <w:rPr>
          <w:sz w:val="20"/>
          <w:szCs w:val="20"/>
          <w:color w:val="auto"/>
        </w:rPr>
      </w:pPr>
    </w:p>
    <w:p>
      <w:pPr>
        <w:ind w:left="260" w:hanging="256"/>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to the trustee written notice of a continuing event of default;</w:t>
      </w:r>
    </w:p>
    <w:p>
      <w:pPr>
        <w:spacing w:after="0" w:line="132" w:lineRule="exact"/>
        <w:rPr>
          <w:rFonts w:ascii="Times New Roman" w:cs="Times New Roman" w:eastAsia="Times New Roman" w:hAnsi="Times New Roman"/>
          <w:sz w:val="14"/>
          <w:szCs w:val="14"/>
          <w:color w:val="auto"/>
        </w:rPr>
      </w:pPr>
    </w:p>
    <w:p>
      <w:pPr>
        <w:ind w:left="260" w:right="160" w:hanging="256"/>
        <w:spacing w:after="0" w:line="282" w:lineRule="auto"/>
        <w:tabs>
          <w:tab w:leader="none" w:pos="2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8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institute a proceeding within 60 days after such request; and</w:t>
      </w:r>
    </w:p>
    <w:p>
      <w:pPr>
        <w:spacing w:after="0" w:line="132" w:lineRule="exact"/>
        <w:rPr>
          <w:rFonts w:ascii="Times New Roman" w:cs="Times New Roman" w:eastAsia="Times New Roman" w:hAnsi="Times New Roman"/>
          <w:sz w:val="14"/>
          <w:szCs w:val="14"/>
          <w:color w:val="auto"/>
        </w:rPr>
      </w:pPr>
    </w:p>
    <w:p>
      <w:pPr>
        <w:ind w:left="260" w:right="100" w:hanging="256"/>
        <w:spacing w:after="0" w:line="282" w:lineRule="auto"/>
        <w:tabs>
          <w:tab w:leader="none" w:pos="2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aggregate principal amount of the outstanding debt securities of the affected series do not give the trustee a direction inconsistent with such request during such 60-day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21</w:t>
      </w:r>
    </w:p>
    <w:p>
      <w:pPr>
        <w:sectPr>
          <w:pgSz w:w="11900" w:h="16838" w:orient="portrait"/>
          <w:cols w:equalWidth="0" w:num="1">
            <w:col w:w="11260"/>
          </w:cols>
          <w:pgMar w:left="300" w:top="1132" w:right="33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4"/>
          <w:szCs w:val="14"/>
          <w:color w:val="auto"/>
        </w:rPr>
        <w:t>These limitations do not, however, apply to a suit instituted for payment on debt securities of any series on or after the due dates expressed in the debt securities.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will periodically deliver certificates to the trustee regarding our compliance with our obligations under the indenture.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(16)Modification and Waiver</w:t>
      </w:r>
    </w:p>
    <w:p>
      <w:pPr>
        <w:spacing w:after="0" w:line="135"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83" w:lineRule="exact"/>
        <w:rPr>
          <w:sz w:val="20"/>
          <w:szCs w:val="20"/>
          <w:color w:val="auto"/>
        </w:rPr>
      </w:pPr>
    </w:p>
    <w:p>
      <w:pPr>
        <w:ind w:left="260" w:hanging="256"/>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that the surviving entity following a change of control permitted under the indenture will assume all of our obligations under the indenture and debt securities;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certificated debt securities in addition to uncertificated debt securities;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under the Trust Indenture Act of 1939;</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debt securities of any series as permitted by the indenture;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or make any other change that does not materially and adversely affect the rights of any holder; and</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appoint a successor trustee under the indenture with respect to one or more series.</w:t>
      </w:r>
    </w:p>
    <w:p>
      <w:pPr>
        <w:spacing w:after="0" w:line="133" w:lineRule="exact"/>
        <w:rPr>
          <w:sz w:val="20"/>
          <w:szCs w:val="20"/>
          <w:color w:val="auto"/>
        </w:rPr>
      </w:pPr>
    </w:p>
    <w:p>
      <w:pPr>
        <w:jc w:val="both"/>
        <w:ind w:right="40" w:firstLine="252"/>
        <w:spacing w:after="0" w:line="266" w:lineRule="auto"/>
        <w:rPr>
          <w:sz w:val="20"/>
          <w:szCs w:val="20"/>
          <w:color w:val="auto"/>
        </w:rPr>
      </w:pPr>
      <w:r>
        <w:rPr>
          <w:rFonts w:ascii="Times New Roman" w:cs="Times New Roman" w:eastAsia="Times New Roman" w:hAnsi="Times New Roman"/>
          <w:sz w:val="14"/>
          <w:szCs w:val="14"/>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94" w:lineRule="exact"/>
        <w:rPr>
          <w:sz w:val="20"/>
          <w:szCs w:val="20"/>
          <w:color w:val="auto"/>
        </w:rPr>
      </w:pPr>
    </w:p>
    <w:p>
      <w:pPr>
        <w:ind w:left="260" w:hanging="256"/>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 to the indenture or such debt security;</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or reduce the amount of or postpone the date for payment of sinking fund or analogous obligations;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stated maturity of the debt securities;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debt security payable in money other than that stated in the debt security;</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amount or time of any payment required or reduce the premium payable upon any redemption, or change the time before which no such redemption may be made;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if any, or interest on the debt securities or a redemption payment;</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securities or change any provision with respect to redemption of debt securities; or</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other action otherwise prohibited by the indenture to be taken without the consent of each holder affected by the action.</w:t>
      </w:r>
    </w:p>
    <w:p>
      <w:pPr>
        <w:spacing w:after="0" w:line="130" w:lineRule="exact"/>
        <w:rPr>
          <w:rFonts w:ascii="Times New Roman" w:cs="Times New Roman" w:eastAsia="Times New Roman" w:hAnsi="Times New Roman"/>
          <w:sz w:val="14"/>
          <w:szCs w:val="14"/>
          <w:color w:val="auto"/>
        </w:rPr>
      </w:pPr>
    </w:p>
    <w:p>
      <w:pPr>
        <w:ind w:left="760" w:hanging="252"/>
        <w:spacing w:after="0"/>
        <w:tabs>
          <w:tab w:leader="none" w:pos="760" w:val="left"/>
        </w:tabs>
        <w:numPr>
          <w:ilvl w:val="1"/>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135" w:lineRule="exact"/>
        <w:rPr>
          <w:sz w:val="20"/>
          <w:szCs w:val="20"/>
          <w:color w:val="auto"/>
        </w:rPr>
      </w:pPr>
    </w:p>
    <w:p>
      <w:pPr>
        <w:ind w:right="260" w:firstLine="252"/>
        <w:spacing w:after="0" w:line="282" w:lineRule="auto"/>
        <w:rPr>
          <w:sz w:val="20"/>
          <w:szCs w:val="20"/>
          <w:color w:val="auto"/>
        </w:rPr>
      </w:pPr>
      <w:r>
        <w:rPr>
          <w:rFonts w:ascii="Times New Roman" w:cs="Times New Roman" w:eastAsia="Times New Roman" w:hAnsi="Times New Roman"/>
          <w:sz w:val="14"/>
          <w:szCs w:val="14"/>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22</w:t>
      </w:r>
    </w:p>
    <w:p>
      <w:pPr>
        <w:sectPr>
          <w:pgSz w:w="11900" w:h="16838" w:orient="portrait"/>
          <w:cols w:equalWidth="0" w:num="1">
            <w:col w:w="11280"/>
          </w:cols>
          <w:pgMar w:left="300" w:top="1132" w:right="319" w:bottom="1440" w:gutter="0" w:footer="0" w:header="0"/>
        </w:sectPr>
      </w:pPr>
    </w:p>
    <w:bookmarkStart w:id="26" w:name="page27"/>
    <w:bookmarkEnd w:id="26"/>
    <w:p>
      <w:pPr>
        <w:ind w:left="260" w:hanging="256"/>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defease and be discharged from any and all of our obligations with respect to any debt securities except for the following obligations (which discharge is referred to as “</w:t>
      </w: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w:t>
      </w:r>
    </w:p>
    <w:p>
      <w:pPr>
        <w:spacing w:after="0" w:line="134"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register the transfer or exchange of such debt securities;</w:t>
      </w:r>
    </w:p>
    <w:p>
      <w:pPr>
        <w:spacing w:after="0" w:line="132"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replace temporary or mutilated, destroyed, lost or stolen debt securities;</w:t>
      </w:r>
    </w:p>
    <w:p>
      <w:pPr>
        <w:spacing w:after="0" w:line="132"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compensate and indemnify the trustee; or</w:t>
      </w:r>
    </w:p>
    <w:p>
      <w:pPr>
        <w:spacing w:after="0" w:line="132"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an office or agency in respect of the debt securities and to hold monies for payment in trust; or</w:t>
      </w:r>
    </w:p>
    <w:p>
      <w:pPr>
        <w:spacing w:after="0" w:line="132" w:lineRule="exact"/>
        <w:rPr>
          <w:rFonts w:ascii="Times New Roman" w:cs="Times New Roman" w:eastAsia="Times New Roman" w:hAnsi="Times New Roman"/>
          <w:sz w:val="14"/>
          <w:szCs w:val="14"/>
          <w:color w:val="auto"/>
        </w:rPr>
      </w:pPr>
    </w:p>
    <w:p>
      <w:pPr>
        <w:ind w:left="260" w:right="160" w:hanging="256"/>
        <w:spacing w:after="0" w:line="282"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released from our obligations with respect to the debt securities under certain covenants contained in the base indenture, as well as any additional covenants which may be contained in the applicable supplemental indenture (which release is referred to as “</w:t>
      </w:r>
      <w:r>
        <w:rPr>
          <w:rFonts w:ascii="Times New Roman" w:cs="Times New Roman" w:eastAsia="Times New Roman" w:hAnsi="Times New Roman"/>
          <w:sz w:val="14"/>
          <w:szCs w:val="14"/>
          <w:i w:val="1"/>
          <w:iCs w:val="1"/>
          <w:color w:val="auto"/>
        </w:rPr>
        <w:t>covenant defeasance</w:t>
      </w:r>
      <w:r>
        <w:rPr>
          <w:rFonts w:ascii="Times New Roman" w:cs="Times New Roman" w:eastAsia="Times New Roman" w:hAnsi="Times New Roman"/>
          <w:sz w:val="14"/>
          <w:szCs w:val="14"/>
          <w:color w:val="auto"/>
        </w:rPr>
        <w:t>”).</w:t>
      </w:r>
    </w:p>
    <w:p>
      <w:pPr>
        <w:spacing w:after="0" w:line="83"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exercise either defeasance option, we must irrevocably deposit with the trustee or other qualifying trustee, in trust for that purpose: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w:t>
      </w:r>
    </w:p>
    <w:p>
      <w:pPr>
        <w:spacing w:after="0" w:line="132" w:lineRule="exact"/>
        <w:rPr>
          <w:rFonts w:ascii="Times New Roman" w:cs="Times New Roman" w:eastAsia="Times New Roman" w:hAnsi="Times New Roman"/>
          <w:sz w:val="14"/>
          <w:szCs w:val="14"/>
          <w:color w:val="auto"/>
        </w:rPr>
      </w:pPr>
    </w:p>
    <w:p>
      <w:pPr>
        <w:ind w:left="260" w:right="60" w:hanging="256"/>
        <w:spacing w:after="0" w:line="282"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Obligations (as described below) or Foreign Government Obligations (as described below) that through the scheduled payment of principal and interest in accordance with their terms will provide money; or</w:t>
      </w:r>
    </w:p>
    <w:p>
      <w:pPr>
        <w:spacing w:after="0" w:line="83" w:lineRule="exact"/>
        <w:rPr>
          <w:rFonts w:ascii="Times New Roman" w:cs="Times New Roman" w:eastAsia="Times New Roman" w:hAnsi="Times New Roman"/>
          <w:sz w:val="14"/>
          <w:szCs w:val="14"/>
          <w:color w:val="auto"/>
        </w:rPr>
      </w:pPr>
    </w:p>
    <w:p>
      <w:pPr>
        <w:ind w:left="260" w:right="60" w:hanging="256"/>
        <w:spacing w:after="0" w:line="282"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money and/or U.S. Government Obligations and/or Foreign Government Obligations sufficient in the written opinion of a nationally-recognized firm of independent accountants to provide money;</w:t>
      </w:r>
    </w:p>
    <w:p>
      <w:pPr>
        <w:spacing w:after="0" w:line="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4"/>
          <w:szCs w:val="14"/>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defeasance may be effected only if, among other things:</w:t>
      </w:r>
    </w:p>
    <w:p>
      <w:pPr>
        <w:spacing w:after="0" w:line="133" w:lineRule="exact"/>
        <w:rPr>
          <w:sz w:val="20"/>
          <w:szCs w:val="20"/>
          <w:color w:val="auto"/>
        </w:rPr>
      </w:pPr>
    </w:p>
    <w:p>
      <w:pPr>
        <w:ind w:left="260" w:right="280" w:hanging="256"/>
        <w:spacing w:after="0" w:line="282"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83" w:lineRule="exact"/>
        <w:rPr>
          <w:rFonts w:ascii="Times New Roman" w:cs="Times New Roman" w:eastAsia="Times New Roman" w:hAnsi="Times New Roman"/>
          <w:sz w:val="14"/>
          <w:szCs w:val="14"/>
          <w:color w:val="auto"/>
        </w:rPr>
      </w:pPr>
    </w:p>
    <w:p>
      <w:pPr>
        <w:ind w:left="260" w:hanging="256"/>
        <w:spacing w:after="0" w:line="261"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97" w:lineRule="exact"/>
        <w:rPr>
          <w:rFonts w:ascii="Times New Roman" w:cs="Times New Roman" w:eastAsia="Times New Roman" w:hAnsi="Times New Roman"/>
          <w:sz w:val="14"/>
          <w:szCs w:val="14"/>
          <w:color w:val="auto"/>
        </w:rPr>
      </w:pPr>
    </w:p>
    <w:p>
      <w:pPr>
        <w:ind w:left="260" w:right="100" w:hanging="256"/>
        <w:spacing w:after="0" w:line="266"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94"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conditions described in the indenture are satisfied.</w:t>
      </w:r>
    </w:p>
    <w:p>
      <w:pPr>
        <w:spacing w:after="0" w:line="133" w:lineRule="exact"/>
        <w:rPr>
          <w:sz w:val="20"/>
          <w:szCs w:val="20"/>
          <w:color w:val="auto"/>
        </w:rPr>
      </w:pPr>
    </w:p>
    <w:p>
      <w:pPr>
        <w:jc w:val="both"/>
        <w:ind w:right="20" w:firstLine="252"/>
        <w:spacing w:after="0" w:line="261" w:lineRule="auto"/>
        <w:rPr>
          <w:sz w:val="20"/>
          <w:szCs w:val="20"/>
          <w:color w:val="auto"/>
        </w:rPr>
      </w:pPr>
      <w:r>
        <w:rPr>
          <w:rFonts w:ascii="Times New Roman" w:cs="Times New Roman" w:eastAsia="Times New Roman" w:hAnsi="Times New Roman"/>
          <w:sz w:val="14"/>
          <w:szCs w:val="14"/>
          <w:color w:val="auto"/>
        </w:rPr>
        <w:t>If we fail to comply with our remaining obligations under the base indenture and applicable supplemental indenture after a covenant defeasance of the base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23</w:t>
      </w:r>
    </w:p>
    <w:p>
      <w:pPr>
        <w:sectPr>
          <w:pgSz w:w="11900" w:h="16838" w:orient="portrait"/>
          <w:cols w:equalWidth="0" w:num="1">
            <w:col w:w="11200"/>
          </w:cols>
          <w:pgMar w:left="300" w:top="1130" w:right="399" w:bottom="1440" w:gutter="0" w:footer="0" w:header="0"/>
        </w:sectPr>
      </w:pPr>
    </w:p>
    <w:bookmarkStart w:id="27" w:name="page28"/>
    <w:bookmarkEnd w:id="27"/>
    <w:p>
      <w:pPr>
        <w:ind w:right="120" w:firstLine="252"/>
        <w:spacing w:after="0" w:line="285"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i w:val="1"/>
          <w:iCs w:val="1"/>
          <w:color w:val="auto"/>
        </w:rPr>
        <w:t>U.S. Government Obligations</w:t>
      </w:r>
      <w:r>
        <w:rPr>
          <w:rFonts w:ascii="Times New Roman" w:cs="Times New Roman" w:eastAsia="Times New Roman" w:hAnsi="Times New Roman"/>
          <w:sz w:val="14"/>
          <w:szCs w:val="14"/>
          <w:color w:val="auto"/>
        </w:rPr>
        <w:t>”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i w:val="1"/>
          <w:iCs w:val="1"/>
          <w:color w:val="auto"/>
        </w:rPr>
        <w:t>Foreign Government Obligations</w:t>
      </w:r>
      <w:r>
        <w:rPr>
          <w:rFonts w:ascii="Times New Roman" w:cs="Times New Roman" w:eastAsia="Times New Roman" w:hAnsi="Times New Roman"/>
          <w:sz w:val="14"/>
          <w:szCs w:val="14"/>
          <w:color w:val="auto"/>
        </w:rPr>
        <w:t>” as used in the above discussion means, with respect to debt securities of any series that are denominated in a currency other than U.S. dollars,</w:t>
      </w:r>
    </w:p>
    <w:p>
      <w:pPr>
        <w:spacing w:after="0" w:line="24" w:lineRule="exact"/>
        <w:rPr>
          <w:sz w:val="20"/>
          <w:szCs w:val="20"/>
          <w:color w:val="auto"/>
        </w:rPr>
      </w:pPr>
    </w:p>
    <w:p>
      <w:pPr>
        <w:ind w:firstLine="4"/>
        <w:spacing w:after="0" w:line="255" w:lineRule="auto"/>
        <w:tabs>
          <w:tab w:leader="none" w:pos="19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99" w:lineRule="exact"/>
        <w:rPr>
          <w:rFonts w:ascii="Times New Roman" w:cs="Times New Roman" w:eastAsia="Times New Roman" w:hAnsi="Times New Roman"/>
          <w:sz w:val="14"/>
          <w:szCs w:val="14"/>
          <w:color w:val="auto"/>
        </w:rPr>
      </w:pPr>
    </w:p>
    <w:p>
      <w:pPr>
        <w:ind w:left="760" w:hanging="252"/>
        <w:spacing w:after="0"/>
        <w:tabs>
          <w:tab w:leader="none" w:pos="760" w:val="left"/>
        </w:tabs>
        <w:numPr>
          <w:ilvl w:val="1"/>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Regarding the Trustee</w:t>
      </w:r>
    </w:p>
    <w:p>
      <w:pPr>
        <w:spacing w:after="0" w:line="135" w:lineRule="exact"/>
        <w:rPr>
          <w:sz w:val="20"/>
          <w:szCs w:val="20"/>
          <w:color w:val="auto"/>
        </w:rPr>
      </w:pPr>
    </w:p>
    <w:p>
      <w:pPr>
        <w:ind w:right="80" w:firstLine="252"/>
        <w:spacing w:after="0" w:line="261" w:lineRule="auto"/>
        <w:rPr>
          <w:sz w:val="20"/>
          <w:szCs w:val="20"/>
          <w:color w:val="auto"/>
        </w:rPr>
      </w:pPr>
      <w:r>
        <w:rPr>
          <w:rFonts w:ascii="Times New Roman" w:cs="Times New Roman" w:eastAsia="Times New Roman" w:hAnsi="Times New Roman"/>
          <w:sz w:val="14"/>
          <w:szCs w:val="14"/>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97" w:lineRule="exact"/>
        <w:rPr>
          <w:sz w:val="20"/>
          <w:szCs w:val="20"/>
          <w:color w:val="auto"/>
        </w:rPr>
      </w:pPr>
    </w:p>
    <w:p>
      <w:pPr>
        <w:ind w:right="80" w:firstLine="252"/>
        <w:spacing w:after="0" w:line="261" w:lineRule="auto"/>
        <w:rPr>
          <w:sz w:val="20"/>
          <w:szCs w:val="20"/>
          <w:color w:val="auto"/>
        </w:rPr>
      </w:pPr>
      <w:r>
        <w:rPr>
          <w:rFonts w:ascii="Times New Roman" w:cs="Times New Roman" w:eastAsia="Times New Roman" w:hAnsi="Times New Roman"/>
          <w:sz w:val="14"/>
          <w:szCs w:val="14"/>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(19)No Individual Liability of Incorporators, Stockholders, Officers or Directors</w:t>
      </w:r>
    </w:p>
    <w:p>
      <w:pPr>
        <w:spacing w:after="0" w:line="135" w:lineRule="exact"/>
        <w:rPr>
          <w:sz w:val="20"/>
          <w:szCs w:val="20"/>
          <w:color w:val="auto"/>
        </w:rPr>
      </w:pPr>
    </w:p>
    <w:p>
      <w:pPr>
        <w:ind w:right="140" w:firstLine="252"/>
        <w:spacing w:after="0" w:line="282" w:lineRule="auto"/>
        <w:rPr>
          <w:sz w:val="20"/>
          <w:szCs w:val="20"/>
          <w:color w:val="auto"/>
        </w:rPr>
      </w:pPr>
      <w:r>
        <w:rPr>
          <w:rFonts w:ascii="Times New Roman" w:cs="Times New Roman" w:eastAsia="Times New Roman" w:hAnsi="Times New Roman"/>
          <w:sz w:val="14"/>
          <w:szCs w:val="14"/>
          <w:color w:val="auto"/>
        </w:rPr>
        <w:t>The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the indenture.</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(20)Governing Law</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24</w:t>
      </w:r>
    </w:p>
    <w:p>
      <w:pPr>
        <w:sectPr>
          <w:pgSz w:w="11900" w:h="16838" w:orient="portrait"/>
          <w:cols w:equalWidth="0" w:num="1">
            <w:col w:w="11260"/>
          </w:cols>
          <w:pgMar w:left="300" w:top="1130" w:right="339" w:bottom="1440" w:gutter="0" w:footer="0" w:header="0"/>
        </w:sectPr>
      </w:pPr>
    </w:p>
    <w:bookmarkStart w:id="28" w:name="page29"/>
    <w:bookmarkEnd w:id="28"/>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 DESCRIPTION OF WARRANTS</w:t>
      </w:r>
    </w:p>
    <w:p>
      <w:pPr>
        <w:spacing w:after="0" w:line="133" w:lineRule="exact"/>
        <w:rPr>
          <w:sz w:val="20"/>
          <w:szCs w:val="20"/>
          <w:color w:val="auto"/>
        </w:rPr>
      </w:pPr>
    </w:p>
    <w:p>
      <w:pPr>
        <w:ind w:right="80" w:firstLine="252"/>
        <w:spacing w:after="0" w:line="262" w:lineRule="auto"/>
        <w:rPr>
          <w:sz w:val="20"/>
          <w:szCs w:val="20"/>
          <w:color w:val="auto"/>
        </w:rPr>
      </w:pPr>
      <w:r>
        <w:rPr>
          <w:rFonts w:ascii="Times New Roman" w:cs="Times New Roman" w:eastAsia="Times New Roman" w:hAnsi="Times New Roman"/>
          <w:sz w:val="14"/>
          <w:szCs w:val="14"/>
          <w:color w:val="auto"/>
        </w:rPr>
        <w:t>The following summary sets forth certain material terms and provisions of our outstanding warrants to purchase 457,323 shares of Class A common stock that we issued in our IPO (the “</w:t>
      </w:r>
      <w:r>
        <w:rPr>
          <w:rFonts w:ascii="Times New Roman" w:cs="Times New Roman" w:eastAsia="Times New Roman" w:hAnsi="Times New Roman"/>
          <w:sz w:val="14"/>
          <w:szCs w:val="14"/>
          <w:i w:val="1"/>
          <w:iCs w:val="1"/>
          <w:color w:val="auto"/>
        </w:rPr>
        <w:t>public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our outstanding warrants to purchase 209,192 shares of Class A common stock that we issued in a private placement in connection with our IPO (the “</w:t>
      </w:r>
      <w:r>
        <w:rPr>
          <w:rFonts w:ascii="Times New Roman" w:cs="Times New Roman" w:eastAsia="Times New Roman" w:hAnsi="Times New Roman"/>
          <w:sz w:val="14"/>
          <w:szCs w:val="14"/>
          <w:i w:val="1"/>
          <w:iCs w:val="1"/>
          <w:color w:val="auto"/>
        </w:rPr>
        <w:t>private placement warrants</w:t>
      </w:r>
      <w:r>
        <w:rPr>
          <w:rFonts w:ascii="Times New Roman" w:cs="Times New Roman" w:eastAsia="Times New Roman" w:hAnsi="Times New Roman"/>
          <w:sz w:val="14"/>
          <w:szCs w:val="14"/>
          <w:color w:val="auto"/>
        </w:rPr>
        <w:t>”)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warrant agreement governing our public warrants and our private placement warrants (the “</w:t>
      </w:r>
      <w:r>
        <w:rPr>
          <w:rFonts w:ascii="Times New Roman" w:cs="Times New Roman" w:eastAsia="Times New Roman" w:hAnsi="Times New Roman"/>
          <w:sz w:val="14"/>
          <w:szCs w:val="14"/>
          <w:i w:val="1"/>
          <w:iCs w:val="1"/>
          <w:color w:val="auto"/>
        </w:rPr>
        <w:t>warrant agreement</w:t>
      </w:r>
      <w:r>
        <w:rPr>
          <w:rFonts w:ascii="Times New Roman" w:cs="Times New Roman" w:eastAsia="Times New Roman" w:hAnsi="Times New Roman"/>
          <w:sz w:val="14"/>
          <w:szCs w:val="14"/>
          <w:color w:val="auto"/>
        </w:rPr>
        <w:t>”), which is incorporated by reference as an exhibit to the registration statement of which this prospectus forms a part. In addition, the following summary sets forth certain terms and provisions of the additional warrants we may offer pursuant to this prospectus.</w:t>
      </w:r>
    </w:p>
    <w:p>
      <w:pPr>
        <w:spacing w:after="0" w:line="95" w:lineRule="exact"/>
        <w:rPr>
          <w:sz w:val="20"/>
          <w:szCs w:val="20"/>
          <w:color w:val="auto"/>
        </w:rPr>
      </w:pPr>
    </w:p>
    <w:p>
      <w:pPr>
        <w:ind w:left="760" w:hanging="252"/>
        <w:spacing w:after="0"/>
        <w:tabs>
          <w:tab w:leader="none" w:pos="76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Existing Warrants</w:t>
      </w:r>
    </w:p>
    <w:p>
      <w:pPr>
        <w:spacing w:after="0" w:line="132" w:lineRule="exact"/>
        <w:rPr>
          <w:rFonts w:ascii="Times New Roman" w:cs="Times New Roman" w:eastAsia="Times New Roman" w:hAnsi="Times New Roman"/>
          <w:sz w:val="14"/>
          <w:szCs w:val="14"/>
          <w:b w:val="1"/>
          <w:bCs w:val="1"/>
          <w:color w:val="auto"/>
        </w:rPr>
      </w:pPr>
    </w:p>
    <w:p>
      <w:pPr>
        <w:ind w:left="1320" w:hanging="309"/>
        <w:spacing w:after="0"/>
        <w:tabs>
          <w:tab w:leader="none" w:pos="1320" w:val="left"/>
        </w:tabs>
        <w:numPr>
          <w:ilvl w:val="1"/>
          <w:numId w:val="2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Public Warrants</w:t>
      </w:r>
    </w:p>
    <w:p>
      <w:pPr>
        <w:spacing w:after="0" w:line="135" w:lineRule="exact"/>
        <w:rPr>
          <w:sz w:val="20"/>
          <w:szCs w:val="20"/>
          <w:color w:val="auto"/>
        </w:rPr>
      </w:pPr>
    </w:p>
    <w:p>
      <w:pPr>
        <w:ind w:right="60" w:firstLine="252"/>
        <w:spacing w:after="0" w:line="261" w:lineRule="auto"/>
        <w:rPr>
          <w:sz w:val="20"/>
          <w:szCs w:val="20"/>
          <w:color w:val="auto"/>
        </w:rPr>
      </w:pPr>
      <w:r>
        <w:rPr>
          <w:rFonts w:ascii="Times New Roman" w:cs="Times New Roman" w:eastAsia="Times New Roman" w:hAnsi="Times New Roman"/>
          <w:sz w:val="14"/>
          <w:szCs w:val="14"/>
          <w:color w:val="auto"/>
        </w:rPr>
        <w:t>Each whole public warrant entitles the registered holder to purchase one share of our Class A common stock at a price of $379.50 per whole share, subject to adjustment as discussed below, at any time commencing on September 4, 2021. Pursuant to the warrant agreement, a warrant holder may exercise its public warrants only for a whole number of shares of Class A common stock. This means that only a whole public warrant may be exercised at any given time by a warrant holder. Only whole public warrants trade on the Nasdaq. The public warrants will expire on September 4, 2026, at 5:00 p.m., New York City time, or earlier upon redemption or liquidation.</w:t>
      </w:r>
    </w:p>
    <w:p>
      <w:pPr>
        <w:spacing w:after="0" w:line="97" w:lineRule="exact"/>
        <w:rPr>
          <w:sz w:val="20"/>
          <w:szCs w:val="20"/>
          <w:color w:val="auto"/>
        </w:rPr>
      </w:pPr>
    </w:p>
    <w:p>
      <w:pPr>
        <w:ind w:firstLine="252"/>
        <w:spacing w:after="0" w:line="256" w:lineRule="auto"/>
        <w:rPr>
          <w:sz w:val="20"/>
          <w:szCs w:val="20"/>
          <w:color w:val="auto"/>
        </w:rPr>
      </w:pPr>
      <w:r>
        <w:rPr>
          <w:rFonts w:ascii="Times New Roman" w:cs="Times New Roman" w:eastAsia="Times New Roman" w:hAnsi="Times New Roman"/>
          <w:sz w:val="14"/>
          <w:szCs w:val="14"/>
          <w:color w:val="auto"/>
        </w:rPr>
        <w:t>We are not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Redemption of Warrants When the Price per Share of Class A Common Stock Equals or Exceeds $594.00 </w:t>
      </w:r>
      <w:r>
        <w:rPr>
          <w:rFonts w:ascii="Times New Roman" w:cs="Times New Roman" w:eastAsia="Times New Roman" w:hAnsi="Times New Roman"/>
          <w:sz w:val="14"/>
          <w:szCs w:val="14"/>
          <w:color w:val="auto"/>
        </w:rPr>
        <w:t>– We may redeem the outstanding public warrants:</w:t>
      </w:r>
    </w:p>
    <w:p>
      <w:pPr>
        <w:spacing w:after="0" w:line="135" w:lineRule="exact"/>
        <w:rPr>
          <w:sz w:val="20"/>
          <w:szCs w:val="20"/>
          <w:color w:val="auto"/>
        </w:rPr>
      </w:pPr>
    </w:p>
    <w:p>
      <w:pPr>
        <w:ind w:left="260" w:hanging="256"/>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$0.33 per public warrant;</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to each warrant holder; and</w:t>
      </w:r>
    </w:p>
    <w:p>
      <w:pPr>
        <w:spacing w:after="0" w:line="132" w:lineRule="exact"/>
        <w:rPr>
          <w:rFonts w:ascii="Times New Roman" w:cs="Times New Roman" w:eastAsia="Times New Roman" w:hAnsi="Times New Roman"/>
          <w:sz w:val="14"/>
          <w:szCs w:val="14"/>
          <w:color w:val="auto"/>
        </w:rPr>
      </w:pPr>
    </w:p>
    <w:p>
      <w:pPr>
        <w:ind w:left="260" w:right="280" w:hanging="256"/>
        <w:spacing w:after="0" w:line="282"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closing price of the Class A common stock equals or exceeds $594.00 per share (as adjusted) for any 20 trading days within a 30-trading day period ending three trading days before sending the notice of redemption to warrant holders (the “</w:t>
      </w:r>
      <w:r>
        <w:rPr>
          <w:rFonts w:ascii="Times New Roman" w:cs="Times New Roman" w:eastAsia="Times New Roman" w:hAnsi="Times New Roman"/>
          <w:sz w:val="14"/>
          <w:szCs w:val="14"/>
          <w:i w:val="1"/>
          <w:iCs w:val="1"/>
          <w:color w:val="auto"/>
        </w:rPr>
        <w:t>Reference Value</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ind w:right="300" w:firstLine="252"/>
        <w:spacing w:after="0" w:line="282" w:lineRule="auto"/>
        <w:rPr>
          <w:sz w:val="20"/>
          <w:szCs w:val="20"/>
          <w:color w:val="auto"/>
        </w:rPr>
      </w:pPr>
      <w:r>
        <w:rPr>
          <w:rFonts w:ascii="Times New Roman" w:cs="Times New Roman" w:eastAsia="Times New Roman" w:hAnsi="Times New Roman"/>
          <w:sz w:val="14"/>
          <w:szCs w:val="14"/>
          <w:color w:val="auto"/>
        </w:rPr>
        <w:t>If and when the warrants become redeemable by us, we may exercise its redemption right even if we are unable to register or qualify the underlying securities for sale under all applicable state securities laws.</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Redemption of Warrants When the Price per Share of Class A Common Stock Equals or Exceeds $330.00 – </w:t>
      </w:r>
      <w:r>
        <w:rPr>
          <w:rFonts w:ascii="Times New Roman" w:cs="Times New Roman" w:eastAsia="Times New Roman" w:hAnsi="Times New Roman"/>
          <w:sz w:val="14"/>
          <w:szCs w:val="14"/>
          <w:color w:val="auto"/>
        </w:rPr>
        <w:t>We may redeem the outstanding warrants:</w:t>
      </w:r>
    </w:p>
    <w:p>
      <w:pPr>
        <w:spacing w:after="0" w:line="135" w:lineRule="exact"/>
        <w:rPr>
          <w:sz w:val="20"/>
          <w:szCs w:val="20"/>
          <w:color w:val="auto"/>
        </w:rPr>
      </w:pPr>
    </w:p>
    <w:p>
      <w:pPr>
        <w:ind w:left="260" w:hanging="256"/>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32" w:lineRule="exact"/>
        <w:rPr>
          <w:rFonts w:ascii="Times New Roman" w:cs="Times New Roman" w:eastAsia="Times New Roman" w:hAnsi="Times New Roman"/>
          <w:sz w:val="14"/>
          <w:szCs w:val="14"/>
          <w:color w:val="auto"/>
        </w:rPr>
      </w:pPr>
    </w:p>
    <w:p>
      <w:pPr>
        <w:ind w:left="260" w:right="80" w:hanging="256"/>
        <w:spacing w:after="0" w:line="282"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25</w:t>
      </w:r>
    </w:p>
    <w:p>
      <w:pPr>
        <w:sectPr>
          <w:pgSz w:w="11900" w:h="16838" w:orient="portrait"/>
          <w:cols w:equalWidth="0" w:num="1">
            <w:col w:w="11280"/>
          </w:cols>
          <w:pgMar w:left="300" w:top="1130" w:right="319" w:bottom="1440" w:gutter="0" w:footer="0" w:header="0"/>
        </w:sectPr>
      </w:pPr>
    </w:p>
    <w:bookmarkStart w:id="29" w:name="page30"/>
    <w:bookmarkEnd w:id="29"/>
    <w:p>
      <w:pPr>
        <w:ind w:left="260" w:right="120" w:hanging="256"/>
        <w:spacing w:after="0" w:line="282"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closing price of the Class A common stock equals or exceeds $330.00 per share (as adjusted) for any 20 trading days within the 30-trading day period ending three trading days before we send the notice of redemption to the warrant holders; and</w:t>
      </w:r>
    </w:p>
    <w:p>
      <w:pPr>
        <w:spacing w:after="0" w:line="83" w:lineRule="exact"/>
        <w:rPr>
          <w:rFonts w:ascii="Times New Roman" w:cs="Times New Roman" w:eastAsia="Times New Roman" w:hAnsi="Times New Roman"/>
          <w:sz w:val="14"/>
          <w:szCs w:val="14"/>
          <w:color w:val="auto"/>
        </w:rPr>
      </w:pPr>
    </w:p>
    <w:p>
      <w:pPr>
        <w:ind w:left="260" w:right="40" w:hanging="256"/>
        <w:spacing w:after="0" w:line="282"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closing price of the Class A common stock for any 20 trading days within a 30-trading day period ending three trading days before we send notice of redemption to the warrant holders is less than $594.00 per share (as adjusted), the private placement warrants must also be concurrently called for redemption on the same terms as the outstanding public warrants, as described above.</w:t>
      </w:r>
    </w:p>
    <w:p>
      <w:pPr>
        <w:spacing w:after="0" w:line="83" w:lineRule="exact"/>
        <w:rPr>
          <w:sz w:val="20"/>
          <w:szCs w:val="20"/>
          <w:color w:val="auto"/>
        </w:rPr>
      </w:pPr>
    </w:p>
    <w:p>
      <w:pPr>
        <w:ind w:right="40" w:firstLine="252"/>
        <w:spacing w:after="0" w:line="261" w:lineRule="auto"/>
        <w:rPr>
          <w:sz w:val="20"/>
          <w:szCs w:val="20"/>
          <w:color w:val="auto"/>
        </w:rPr>
      </w:pPr>
      <w:r>
        <w:rPr>
          <w:rFonts w:ascii="Times New Roman" w:cs="Times New Roman" w:eastAsia="Times New Roman" w:hAnsi="Times New Roman"/>
          <w:sz w:val="14"/>
          <w:szCs w:val="14"/>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$594.00 redemption trigger price as well as the $379.50 warrant exercise price after the redemption notice is issued.</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Redemption procedures and cashless exercise.</w:t>
      </w:r>
    </w:p>
    <w:p>
      <w:pPr>
        <w:spacing w:after="0" w:line="135" w:lineRule="exact"/>
        <w:rPr>
          <w:sz w:val="20"/>
          <w:szCs w:val="20"/>
          <w:color w:val="auto"/>
        </w:rPr>
      </w:pPr>
    </w:p>
    <w:p>
      <w:pPr>
        <w:ind w:firstLine="252"/>
        <w:spacing w:after="0" w:line="252" w:lineRule="auto"/>
        <w:rPr>
          <w:sz w:val="20"/>
          <w:szCs w:val="20"/>
          <w:color w:val="auto"/>
        </w:rPr>
      </w:pPr>
      <w:r>
        <w:rPr>
          <w:rFonts w:ascii="Times New Roman" w:cs="Times New Roman" w:eastAsia="Times New Roman" w:hAnsi="Times New Roman"/>
          <w:sz w:val="14"/>
          <w:szCs w:val="14"/>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the exercise of our public warrants. If our management takes advantage of this option, all holders of public warrants would pay the exercise price by surrendering their public warrants for that number of shares of Class A common stock equal to the quotient obtained by dividing (i) the product of the number of shares of Class A common stock underlying the public warrants, multiplied by the difference between the exercise price of the public warrants and the “fair market value” (defined below) by (ii) the fair market value. The “fair market value” shall mean the average reported last sale price of the Class A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our public warrants for redemption and our management does not take advantage of this option, CMLS Holdings LLC (the former sponsor of CMLS)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11" w:lineRule="exact"/>
        <w:rPr>
          <w:sz w:val="20"/>
          <w:szCs w:val="20"/>
          <w:color w:val="auto"/>
        </w:rPr>
      </w:pPr>
    </w:p>
    <w:p>
      <w:pPr>
        <w:jc w:val="both"/>
        <w:ind w:right="160" w:firstLine="252"/>
        <w:spacing w:after="0" w:line="266" w:lineRule="auto"/>
        <w:rPr>
          <w:sz w:val="20"/>
          <w:szCs w:val="20"/>
          <w:color w:val="auto"/>
        </w:rPr>
      </w:pPr>
      <w:r>
        <w:rPr>
          <w:rFonts w:ascii="Times New Roman" w:cs="Times New Roman" w:eastAsia="Times New Roman" w:hAnsi="Times New Roman"/>
          <w:sz w:val="14"/>
          <w:szCs w:val="14"/>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Anti-dilution Adjustments.</w:t>
      </w:r>
    </w:p>
    <w:p>
      <w:pPr>
        <w:spacing w:after="0" w:line="135" w:lineRule="exact"/>
        <w:rPr>
          <w:sz w:val="20"/>
          <w:szCs w:val="20"/>
          <w:color w:val="auto"/>
        </w:rPr>
      </w:pPr>
    </w:p>
    <w:p>
      <w:pPr>
        <w:ind w:right="160" w:firstLine="252"/>
        <w:spacing w:after="0" w:line="258" w:lineRule="auto"/>
        <w:rPr>
          <w:sz w:val="20"/>
          <w:szCs w:val="20"/>
          <w:color w:val="auto"/>
        </w:rPr>
      </w:pPr>
      <w:r>
        <w:rPr>
          <w:rFonts w:ascii="Times New Roman" w:cs="Times New Roman" w:eastAsia="Times New Roman" w:hAnsi="Times New Roman"/>
          <w:sz w:val="14"/>
          <w:szCs w:val="14"/>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26</w:t>
      </w:r>
    </w:p>
    <w:p>
      <w:pPr>
        <w:sectPr>
          <w:pgSz w:w="11900" w:h="16838" w:orient="portrait"/>
          <w:cols w:equalWidth="0" w:num="1">
            <w:col w:w="11240"/>
          </w:cols>
          <w:pgMar w:left="300" w:top="1132" w:right="359" w:bottom="1440" w:gutter="0" w:footer="0" w:header="0"/>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14"/>
          <w:szCs w:val="14"/>
          <w:color w:val="auto"/>
        </w:rPr>
        <w:t>sold in such rights offering (or issuable under any other equity securities sold in such rights offering that are convertible into or exercisable for Class A common stock) multiplied by (ii) one minus the quotient of (a) the price per share of Class A common stock paid in such rights offering divided by (b)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03" w:lineRule="exact"/>
        <w:rPr>
          <w:sz w:val="20"/>
          <w:szCs w:val="20"/>
          <w:color w:val="auto"/>
        </w:rPr>
      </w:pPr>
    </w:p>
    <w:p>
      <w:pPr>
        <w:ind w:right="120" w:firstLine="252"/>
        <w:spacing w:after="0" w:line="261" w:lineRule="auto"/>
        <w:rPr>
          <w:sz w:val="20"/>
          <w:szCs w:val="20"/>
          <w:color w:val="auto"/>
        </w:rPr>
      </w:pPr>
      <w:r>
        <w:rPr>
          <w:rFonts w:ascii="Times New Roman" w:cs="Times New Roman" w:eastAsia="Times New Roman" w:hAnsi="Times New Roman"/>
          <w:sz w:val="14"/>
          <w:szCs w:val="14"/>
          <w:color w:val="auto"/>
        </w:rPr>
        <w:t>In addition, if we, at any time while the public warrants are outstanding and unexpired, pay a dividend or make a distribution in cash, securities or other assets to the holders of Class A common stock on account of such shares of Class A common stock (or other shares of our capital stock into which the public warrants are convertible), other than (i) as described above; or (ii)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97" w:lineRule="exact"/>
        <w:rPr>
          <w:sz w:val="20"/>
          <w:szCs w:val="20"/>
          <w:color w:val="auto"/>
        </w:rPr>
      </w:pPr>
    </w:p>
    <w:p>
      <w:pPr>
        <w:ind w:right="60" w:firstLine="252"/>
        <w:spacing w:after="0" w:line="266" w:lineRule="auto"/>
        <w:rPr>
          <w:sz w:val="20"/>
          <w:szCs w:val="20"/>
          <w:color w:val="auto"/>
        </w:rPr>
      </w:pPr>
      <w:r>
        <w:rPr>
          <w:rFonts w:ascii="Times New Roman" w:cs="Times New Roman" w:eastAsia="Times New Roman" w:hAnsi="Times New Roman"/>
          <w:sz w:val="14"/>
          <w:szCs w:val="14"/>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94" w:lineRule="exact"/>
        <w:rPr>
          <w:sz w:val="20"/>
          <w:szCs w:val="20"/>
          <w:color w:val="auto"/>
        </w:rPr>
      </w:pPr>
    </w:p>
    <w:p>
      <w:pPr>
        <w:ind w:right="160" w:firstLine="252"/>
        <w:spacing w:after="0" w:line="296" w:lineRule="auto"/>
        <w:rPr>
          <w:sz w:val="20"/>
          <w:szCs w:val="20"/>
          <w:color w:val="auto"/>
        </w:rPr>
      </w:pPr>
      <w:r>
        <w:rPr>
          <w:rFonts w:ascii="Times New Roman" w:cs="Times New Roman" w:eastAsia="Times New Roman" w:hAnsi="Times New Roman"/>
          <w:sz w:val="13"/>
          <w:szCs w:val="13"/>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76" w:lineRule="exact"/>
        <w:rPr>
          <w:sz w:val="20"/>
          <w:szCs w:val="20"/>
          <w:color w:val="auto"/>
        </w:rPr>
      </w:pPr>
    </w:p>
    <w:p>
      <w:pPr>
        <w:ind w:right="60" w:firstLine="252"/>
        <w:spacing w:after="0" w:line="253"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06" w:lineRule="exact"/>
        <w:rPr>
          <w:sz w:val="20"/>
          <w:szCs w:val="20"/>
          <w:color w:val="auto"/>
        </w:rPr>
      </w:pPr>
    </w:p>
    <w:p>
      <w:pPr>
        <w:ind w:right="140" w:firstLine="252"/>
        <w:spacing w:after="0" w:line="266" w:lineRule="auto"/>
        <w:rPr>
          <w:sz w:val="20"/>
          <w:szCs w:val="20"/>
          <w:color w:val="auto"/>
        </w:rPr>
      </w:pPr>
      <w:r>
        <w:rPr>
          <w:rFonts w:ascii="Times New Roman" w:cs="Times New Roman" w:eastAsia="Times New Roman" w:hAnsi="Times New Roman"/>
          <w:sz w:val="14"/>
          <w:szCs w:val="14"/>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of which this prospectus forms a part, for a complete description of the terms and conditions applicable to the public warrants. The warrant agreement provides that the terms of the public warrants may be amended without the consent of any holder to cure any ambiguity or correct any defective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27</w:t>
      </w:r>
    </w:p>
    <w:p>
      <w:pPr>
        <w:sectPr>
          <w:pgSz w:w="11900" w:h="16838" w:orient="portrait"/>
          <w:cols w:equalWidth="0" w:num="1">
            <w:col w:w="11240"/>
          </w:cols>
          <w:pgMar w:left="300" w:top="1132" w:right="359" w:bottom="1440" w:gutter="0" w:footer="0" w:header="0"/>
        </w:sectPr>
      </w:pPr>
    </w:p>
    <w:bookmarkStart w:id="31" w:name="page32"/>
    <w:bookmarkEnd w:id="31"/>
    <w:p>
      <w:pPr>
        <w:ind w:right="360"/>
        <w:spacing w:after="0" w:line="282" w:lineRule="auto"/>
        <w:rPr>
          <w:sz w:val="20"/>
          <w:szCs w:val="20"/>
          <w:color w:val="auto"/>
        </w:rPr>
      </w:pPr>
      <w:r>
        <w:rPr>
          <w:rFonts w:ascii="Times New Roman" w:cs="Times New Roman" w:eastAsia="Times New Roman" w:hAnsi="Times New Roman"/>
          <w:sz w:val="14"/>
          <w:szCs w:val="14"/>
          <w:color w:val="auto"/>
        </w:rPr>
        <w:t>provision, but requires the approval by the holders of at least 50% of the then outstanding public warrants to make any change that adversely affects the interests of the registered holders of public warrants.</w:t>
      </w:r>
    </w:p>
    <w:p>
      <w:pPr>
        <w:spacing w:after="0" w:line="83" w:lineRule="exact"/>
        <w:rPr>
          <w:sz w:val="20"/>
          <w:szCs w:val="20"/>
          <w:color w:val="auto"/>
        </w:rPr>
      </w:pPr>
    </w:p>
    <w:p>
      <w:pPr>
        <w:ind w:firstLine="252"/>
        <w:spacing w:after="0" w:line="258" w:lineRule="auto"/>
        <w:rPr>
          <w:sz w:val="20"/>
          <w:szCs w:val="20"/>
          <w:color w:val="auto"/>
        </w:rPr>
      </w:pPr>
      <w:r>
        <w:rPr>
          <w:rFonts w:ascii="Times New Roman" w:cs="Times New Roman" w:eastAsia="Times New Roman" w:hAnsi="Times New Roman"/>
          <w:sz w:val="14"/>
          <w:szCs w:val="14"/>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00" w:lineRule="exact"/>
        <w:rPr>
          <w:sz w:val="20"/>
          <w:szCs w:val="20"/>
          <w:color w:val="auto"/>
        </w:rPr>
      </w:pPr>
    </w:p>
    <w:p>
      <w:pPr>
        <w:jc w:val="both"/>
        <w:ind w:right="280" w:firstLine="252"/>
        <w:spacing w:after="0" w:line="266" w:lineRule="auto"/>
        <w:rPr>
          <w:sz w:val="20"/>
          <w:szCs w:val="20"/>
          <w:color w:val="auto"/>
        </w:rPr>
      </w:pPr>
      <w:r>
        <w:rPr>
          <w:rFonts w:ascii="Times New Roman" w:cs="Times New Roman" w:eastAsia="Times New Roman" w:hAnsi="Times New Roman"/>
          <w:sz w:val="14"/>
          <w:szCs w:val="14"/>
          <w:color w:val="auto"/>
        </w:rPr>
        <w:t>Warrants may be exercised only for a whole number of shares of Class A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warrant holder.</w:t>
      </w:r>
    </w:p>
    <w:p>
      <w:pPr>
        <w:spacing w:after="0" w:line="92" w:lineRule="exact"/>
        <w:rPr>
          <w:sz w:val="20"/>
          <w:szCs w:val="20"/>
          <w:color w:val="auto"/>
        </w:rPr>
      </w:pPr>
    </w:p>
    <w:p>
      <w:pPr>
        <w:ind w:left="1020"/>
        <w:spacing w:after="0"/>
        <w:tabs>
          <w:tab w:leader="none" w:pos="1280" w:val="left"/>
        </w:tabs>
        <w:rPr>
          <w:sz w:val="20"/>
          <w:szCs w:val="20"/>
          <w:color w:val="auto"/>
        </w:rPr>
      </w:pPr>
      <w:r>
        <w:rPr>
          <w:rFonts w:ascii="Times New Roman" w:cs="Times New Roman" w:eastAsia="Times New Roman" w:hAnsi="Times New Roman"/>
          <w:sz w:val="14"/>
          <w:szCs w:val="14"/>
          <w:b w:val="1"/>
          <w:bCs w:val="1"/>
          <w:i w:val="1"/>
          <w:iCs w:val="1"/>
          <w:color w:val="auto"/>
        </w:rPr>
        <w:t>(ii)</w:t>
      </w:r>
      <w:r>
        <w:rPr>
          <w:sz w:val="20"/>
          <w:szCs w:val="20"/>
          <w:color w:val="auto"/>
        </w:rPr>
        <w:tab/>
      </w:r>
      <w:r>
        <w:rPr>
          <w:rFonts w:ascii="Times New Roman" w:cs="Times New Roman" w:eastAsia="Times New Roman" w:hAnsi="Times New Roman"/>
          <w:sz w:val="13"/>
          <w:szCs w:val="13"/>
          <w:b w:val="1"/>
          <w:bCs w:val="1"/>
          <w:i w:val="1"/>
          <w:iCs w:val="1"/>
          <w:color w:val="auto"/>
        </w:rPr>
        <w:t>Private Placement Warrants</w:t>
      </w:r>
    </w:p>
    <w:p>
      <w:pPr>
        <w:spacing w:after="0" w:line="135" w:lineRule="exact"/>
        <w:rPr>
          <w:sz w:val="20"/>
          <w:szCs w:val="20"/>
          <w:color w:val="auto"/>
        </w:rPr>
      </w:pPr>
    </w:p>
    <w:p>
      <w:pPr>
        <w:ind w:right="120" w:firstLine="252"/>
        <w:spacing w:after="0" w:line="258" w:lineRule="auto"/>
        <w:rPr>
          <w:sz w:val="20"/>
          <w:szCs w:val="20"/>
          <w:color w:val="auto"/>
        </w:rPr>
      </w:pPr>
      <w:r>
        <w:rPr>
          <w:rFonts w:ascii="Times New Roman" w:cs="Times New Roman" w:eastAsia="Times New Roman" w:hAnsi="Times New Roman"/>
          <w:sz w:val="14"/>
          <w:szCs w:val="14"/>
          <w:color w:val="auto"/>
        </w:rPr>
        <w:t>The private placement warrants are identical to the public warrants, except that (1) the private placement warrants are exercisable on a cashless basis, (2) the private placement warrants are non-redeemable (except as described above in “—</w:t>
      </w:r>
      <w:r>
        <w:rPr>
          <w:rFonts w:ascii="Times New Roman" w:cs="Times New Roman" w:eastAsia="Times New Roman" w:hAnsi="Times New Roman"/>
          <w:sz w:val="14"/>
          <w:szCs w:val="14"/>
          <w:i w:val="1"/>
          <w:iCs w:val="1"/>
          <w:color w:val="auto"/>
        </w:rPr>
        <w:t>Redemption of Warrants When the Price per Share of Class A Common Stock Equals or Exceeds $330.00</w:t>
      </w:r>
      <w:r>
        <w:rPr>
          <w:rFonts w:ascii="Times New Roman" w:cs="Times New Roman" w:eastAsia="Times New Roman" w:hAnsi="Times New Roman"/>
          <w:sz w:val="14"/>
          <w:szCs w:val="14"/>
          <w:color w:val="auto"/>
        </w:rPr>
        <w:t>”) so long as they are held by the initial purchasers or their permitted transferees, and (3)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are redeemable by us and exercisable by such holders on the same basis as the public warrants.</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(iii) Warrant Agent</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warrant agent for our public warrants and private placement warrants is Continental Stock Transfer &amp; Trust Company.</w:t>
      </w:r>
    </w:p>
    <w:p>
      <w:pPr>
        <w:spacing w:after="0" w:line="1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(iv)  Nasdaq Global Select Market listing</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public warrants are traded on the Nasdaq under the symbol “WGSWW.”</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(2) Additional Warrants</w:t>
      </w:r>
    </w:p>
    <w:p>
      <w:pPr>
        <w:spacing w:after="0" w:line="135" w:lineRule="exact"/>
        <w:rPr>
          <w:sz w:val="20"/>
          <w:szCs w:val="20"/>
          <w:color w:val="auto"/>
        </w:rPr>
      </w:pPr>
    </w:p>
    <w:p>
      <w:pPr>
        <w:ind w:firstLine="252"/>
        <w:spacing w:after="0" w:line="258" w:lineRule="auto"/>
        <w:rPr>
          <w:sz w:val="20"/>
          <w:szCs w:val="20"/>
          <w:color w:val="auto"/>
        </w:rPr>
      </w:pPr>
      <w:r>
        <w:rPr>
          <w:rFonts w:ascii="Times New Roman" w:cs="Times New Roman" w:eastAsia="Times New Roman" w:hAnsi="Times New Roman"/>
          <w:sz w:val="14"/>
          <w:szCs w:val="14"/>
          <w:color w:val="auto"/>
        </w:rPr>
        <w:t>In addition, we may issue additional warrants for the purchase of our debt securities, preferred stock, Class A common stock, or any combination thereof. Warrants may be issued independently or together with our debt securities, preferred stock or Class A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98" w:lineRule="exact"/>
        <w:rPr>
          <w:sz w:val="20"/>
          <w:szCs w:val="20"/>
          <w:color w:val="auto"/>
        </w:rPr>
      </w:pPr>
    </w:p>
    <w:p>
      <w:pPr>
        <w:ind w:left="1320" w:hanging="309"/>
        <w:spacing w:after="0"/>
        <w:tabs>
          <w:tab w:leader="none" w:pos="1320" w:val="left"/>
        </w:tabs>
        <w:numPr>
          <w:ilvl w:val="0"/>
          <w:numId w:val="3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Debt Warrants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prospectus supplement relating to a particular issue of warrants to purchase debt securities will describe the terms of the debt warrants, including the following:</w:t>
      </w:r>
    </w:p>
    <w:p>
      <w:pPr>
        <w:spacing w:after="0" w:line="133" w:lineRule="exact"/>
        <w:rPr>
          <w:sz w:val="20"/>
          <w:szCs w:val="20"/>
          <w:color w:val="auto"/>
        </w:rPr>
      </w:pPr>
    </w:p>
    <w:p>
      <w:pPr>
        <w:ind w:left="260" w:hanging="256"/>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warrants;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for the debt warrants,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28</w:t>
      </w:r>
    </w:p>
    <w:p>
      <w:pPr>
        <w:sectPr>
          <w:pgSz w:w="11900" w:h="16838" w:orient="portrait"/>
          <w:cols w:equalWidth="0" w:num="1">
            <w:col w:w="11280"/>
          </w:cols>
          <w:pgMar w:left="300" w:top="1132" w:right="319" w:bottom="1440" w:gutter="0" w:footer="0" w:header="0"/>
        </w:sectPr>
      </w:pPr>
    </w:p>
    <w:bookmarkStart w:id="32" w:name="page33"/>
    <w:bookmarkEnd w:id="32"/>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the debt warrants;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debt securities, including any conversion rights, purchasable upon exercise of the debt warrants;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the debt warrants and any debt securities issued with them will be separately transferable;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that may be purchased upon exercise of a debt warrant and the exercise price for the warrants, which may be payable in cash, securities or other property;</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debt warrants will commence and expire;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debt warrants that may be exercised at any one time;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warrants represented by the debt warrant certificates or debt securities that may be issued upon exercise of the debt warrants will be issued in registered or bearer form;</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U.S. federal income tax considerations;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the debt warrants, if any;</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or call provisions, if any, applicable to the debt warrants;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with respect to the holder’s right to require us to repurchase the debt warrants upon a change in control or similar event; and</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debt warrants, including procedures and limitations relating to the exchange, exercise, and settlement of the debt warrants.</w:t>
      </w:r>
    </w:p>
    <w:p>
      <w:pPr>
        <w:spacing w:after="0" w:line="133"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92" w:lineRule="exact"/>
        <w:rPr>
          <w:sz w:val="20"/>
          <w:szCs w:val="20"/>
          <w:color w:val="auto"/>
        </w:rPr>
      </w:pPr>
    </w:p>
    <w:p>
      <w:pPr>
        <w:ind w:left="1020"/>
        <w:spacing w:after="0"/>
        <w:tabs>
          <w:tab w:leader="none" w:pos="1280" w:val="left"/>
        </w:tabs>
        <w:rPr>
          <w:sz w:val="20"/>
          <w:szCs w:val="20"/>
          <w:color w:val="auto"/>
        </w:rPr>
      </w:pPr>
      <w:r>
        <w:rPr>
          <w:rFonts w:ascii="Times New Roman" w:cs="Times New Roman" w:eastAsia="Times New Roman" w:hAnsi="Times New Roman"/>
          <w:sz w:val="14"/>
          <w:szCs w:val="14"/>
          <w:b w:val="1"/>
          <w:bCs w:val="1"/>
          <w:i w:val="1"/>
          <w:iCs w:val="1"/>
          <w:color w:val="auto"/>
        </w:rPr>
        <w:t>(ii)</w:t>
      </w:r>
      <w:r>
        <w:rPr>
          <w:sz w:val="20"/>
          <w:szCs w:val="20"/>
          <w:color w:val="auto"/>
        </w:rPr>
        <w:tab/>
      </w:r>
      <w:r>
        <w:rPr>
          <w:rFonts w:ascii="Times New Roman" w:cs="Times New Roman" w:eastAsia="Times New Roman" w:hAnsi="Times New Roman"/>
          <w:sz w:val="13"/>
          <w:szCs w:val="13"/>
          <w:b w:val="1"/>
          <w:bCs w:val="1"/>
          <w:i w:val="1"/>
          <w:iCs w:val="1"/>
          <w:color w:val="auto"/>
        </w:rPr>
        <w:t>Equity Warrants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prospectus supplement relating to a particular series of warrants to purchase our Class A common stock or preferred stock will describe the terms of the warrants, including the following:</w:t>
      </w:r>
    </w:p>
    <w:p>
      <w:pPr>
        <w:spacing w:after="0" w:line="133" w:lineRule="exact"/>
        <w:rPr>
          <w:sz w:val="20"/>
          <w:szCs w:val="20"/>
          <w:color w:val="auto"/>
        </w:rPr>
      </w:pPr>
    </w:p>
    <w:p>
      <w:pPr>
        <w:ind w:left="260" w:hanging="256"/>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for the warrants, if any;</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Class A common stock or preferred stock that may be purchased upon exercise of the warrants;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security;</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the warrants and any securities issued with the warrants will be separately transferable;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29</w:t>
      </w:r>
    </w:p>
    <w:p>
      <w:pPr>
        <w:sectPr>
          <w:pgSz w:w="11900" w:h="16838" w:orient="portrait"/>
          <w:cols w:equalWidth="0" w:num="1">
            <w:col w:w="11240"/>
          </w:cols>
          <w:pgMar w:left="300" w:top="1132" w:right="359" w:bottom="1440" w:gutter="0" w:footer="0" w:header="0"/>
        </w:sectPr>
      </w:pPr>
    </w:p>
    <w:bookmarkStart w:id="33" w:name="page34"/>
    <w:bookmarkEnd w:id="33"/>
    <w:p>
      <w:pPr>
        <w:ind w:left="256" w:hanging="256"/>
        <w:spacing w:after="0"/>
        <w:tabs>
          <w:tab w:leader="none" w:pos="256"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Class A common stock or preferred stock that may be purchased upon exercise of a warrant and the exercise price for the warrants;</w:t>
      </w:r>
    </w:p>
    <w:p>
      <w:pPr>
        <w:spacing w:after="0" w:line="144" w:lineRule="exact"/>
        <w:rPr>
          <w:rFonts w:ascii="Times New Roman" w:cs="Times New Roman" w:eastAsia="Times New Roman" w:hAnsi="Times New Roman"/>
          <w:sz w:val="13"/>
          <w:szCs w:val="13"/>
          <w:color w:val="auto"/>
        </w:rPr>
      </w:pPr>
    </w:p>
    <w:p>
      <w:pPr>
        <w:ind w:left="256" w:hanging="256"/>
        <w:spacing w:after="0"/>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shall commence and expire;</w:t>
      </w:r>
    </w:p>
    <w:p>
      <w:pPr>
        <w:spacing w:after="0" w:line="132" w:lineRule="exact"/>
        <w:rPr>
          <w:rFonts w:ascii="Times New Roman" w:cs="Times New Roman" w:eastAsia="Times New Roman" w:hAnsi="Times New Roman"/>
          <w:sz w:val="14"/>
          <w:szCs w:val="14"/>
          <w:color w:val="auto"/>
        </w:rPr>
      </w:pPr>
    </w:p>
    <w:p>
      <w:pPr>
        <w:ind w:left="256" w:hanging="256"/>
        <w:spacing w:after="0"/>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132" w:lineRule="exact"/>
        <w:rPr>
          <w:rFonts w:ascii="Times New Roman" w:cs="Times New Roman" w:eastAsia="Times New Roman" w:hAnsi="Times New Roman"/>
          <w:sz w:val="14"/>
          <w:szCs w:val="14"/>
          <w:color w:val="auto"/>
        </w:rPr>
      </w:pPr>
    </w:p>
    <w:p>
      <w:pPr>
        <w:ind w:left="256" w:hanging="256"/>
        <w:spacing w:after="0"/>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132" w:lineRule="exact"/>
        <w:rPr>
          <w:rFonts w:ascii="Times New Roman" w:cs="Times New Roman" w:eastAsia="Times New Roman" w:hAnsi="Times New Roman"/>
          <w:sz w:val="14"/>
          <w:szCs w:val="14"/>
          <w:color w:val="auto"/>
        </w:rPr>
      </w:pPr>
    </w:p>
    <w:p>
      <w:pPr>
        <w:ind w:left="256" w:hanging="256"/>
        <w:spacing w:after="0"/>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U.S. federal income tax considerations;</w:t>
      </w:r>
    </w:p>
    <w:p>
      <w:pPr>
        <w:spacing w:after="0" w:line="132" w:lineRule="exact"/>
        <w:rPr>
          <w:rFonts w:ascii="Times New Roman" w:cs="Times New Roman" w:eastAsia="Times New Roman" w:hAnsi="Times New Roman"/>
          <w:sz w:val="14"/>
          <w:szCs w:val="14"/>
          <w:color w:val="auto"/>
        </w:rPr>
      </w:pPr>
    </w:p>
    <w:p>
      <w:pPr>
        <w:ind w:left="256" w:hanging="256"/>
        <w:spacing w:after="0"/>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the warrants, if any;</w:t>
      </w:r>
    </w:p>
    <w:p>
      <w:pPr>
        <w:spacing w:after="0" w:line="132" w:lineRule="exact"/>
        <w:rPr>
          <w:rFonts w:ascii="Times New Roman" w:cs="Times New Roman" w:eastAsia="Times New Roman" w:hAnsi="Times New Roman"/>
          <w:sz w:val="14"/>
          <w:szCs w:val="14"/>
          <w:color w:val="auto"/>
        </w:rPr>
      </w:pPr>
    </w:p>
    <w:p>
      <w:pPr>
        <w:ind w:left="256" w:hanging="256"/>
        <w:spacing w:after="0"/>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or call provisions, if any, applicable to the warrants;</w:t>
      </w:r>
    </w:p>
    <w:p>
      <w:pPr>
        <w:spacing w:after="0" w:line="132" w:lineRule="exact"/>
        <w:rPr>
          <w:rFonts w:ascii="Times New Roman" w:cs="Times New Roman" w:eastAsia="Times New Roman" w:hAnsi="Times New Roman"/>
          <w:sz w:val="14"/>
          <w:szCs w:val="14"/>
          <w:color w:val="auto"/>
        </w:rPr>
      </w:pPr>
    </w:p>
    <w:p>
      <w:pPr>
        <w:ind w:left="256" w:hanging="256"/>
        <w:spacing w:after="0"/>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with respect to a holder’s right to require us to repurchase the warrants upon a change in control or similar event; and</w:t>
      </w:r>
    </w:p>
    <w:p>
      <w:pPr>
        <w:spacing w:after="0" w:line="132" w:lineRule="exact"/>
        <w:rPr>
          <w:rFonts w:ascii="Times New Roman" w:cs="Times New Roman" w:eastAsia="Times New Roman" w:hAnsi="Times New Roman"/>
          <w:sz w:val="14"/>
          <w:szCs w:val="14"/>
          <w:color w:val="auto"/>
        </w:rPr>
      </w:pPr>
    </w:p>
    <w:p>
      <w:pPr>
        <w:ind w:left="256" w:right="2119" w:hanging="256"/>
        <w:spacing w:after="0" w:line="438" w:lineRule="auto"/>
        <w:tabs>
          <w:tab w:leader="none" w:pos="25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procedures and limitations relating to the exchange, exercise and settlement of the warrants. Holders of equity warrants will not be entitled to:</w:t>
      </w:r>
    </w:p>
    <w:p>
      <w:pPr>
        <w:ind w:left="256" w:hanging="256"/>
        <w:spacing w:after="0"/>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consent, or receive dividends;</w:t>
      </w:r>
    </w:p>
    <w:p>
      <w:pPr>
        <w:spacing w:after="0" w:line="132" w:lineRule="exact"/>
        <w:rPr>
          <w:rFonts w:ascii="Times New Roman" w:cs="Times New Roman" w:eastAsia="Times New Roman" w:hAnsi="Times New Roman"/>
          <w:sz w:val="14"/>
          <w:szCs w:val="14"/>
          <w:color w:val="auto"/>
        </w:rPr>
      </w:pPr>
    </w:p>
    <w:p>
      <w:pPr>
        <w:ind w:left="256" w:hanging="256"/>
        <w:spacing w:after="0"/>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notice as stockholders with respect to any meeting of stockholders for the election of our directors or any other matter; or</w:t>
      </w:r>
    </w:p>
    <w:p>
      <w:pPr>
        <w:spacing w:after="0" w:line="132" w:lineRule="exact"/>
        <w:rPr>
          <w:rFonts w:ascii="Times New Roman" w:cs="Times New Roman" w:eastAsia="Times New Roman" w:hAnsi="Times New Roman"/>
          <w:sz w:val="14"/>
          <w:szCs w:val="14"/>
          <w:color w:val="auto"/>
        </w:rPr>
      </w:pPr>
    </w:p>
    <w:p>
      <w:pPr>
        <w:ind w:left="256" w:hanging="256"/>
        <w:spacing w:after="0"/>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any rights as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76"/>
        <w:spacing w:after="0"/>
        <w:rPr>
          <w:sz w:val="20"/>
          <w:szCs w:val="20"/>
          <w:color w:val="auto"/>
        </w:rPr>
      </w:pPr>
      <w:r>
        <w:rPr>
          <w:rFonts w:ascii="Times New Roman" w:cs="Times New Roman" w:eastAsia="Times New Roman" w:hAnsi="Times New Roman"/>
          <w:sz w:val="11"/>
          <w:szCs w:val="11"/>
          <w:color w:val="auto"/>
        </w:rPr>
        <w:t>30</w:t>
      </w:r>
    </w:p>
    <w:p>
      <w:pPr>
        <w:sectPr>
          <w:pgSz w:w="11900" w:h="16838" w:orient="portrait"/>
          <w:cols w:equalWidth="0" w:num="1">
            <w:col w:w="10155"/>
          </w:cols>
          <w:pgMar w:left="304" w:top="1132" w:right="1440" w:bottom="1440" w:gutter="0" w:footer="0" w:header="0"/>
        </w:sectPr>
      </w:pPr>
    </w:p>
    <w:bookmarkStart w:id="34" w:name="page35"/>
    <w:bookmarkEnd w:id="34"/>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 DESCRIPTION OF SUBSCRIPTION RIGHTS</w:t>
      </w:r>
    </w:p>
    <w:p>
      <w:pPr>
        <w:spacing w:after="0" w:line="135" w:lineRule="exact"/>
        <w:rPr>
          <w:sz w:val="20"/>
          <w:szCs w:val="20"/>
          <w:color w:val="auto"/>
        </w:rPr>
      </w:pPr>
    </w:p>
    <w:p>
      <w:pPr>
        <w:ind w:firstLine="252"/>
        <w:spacing w:after="0" w:line="261" w:lineRule="auto"/>
        <w:rPr>
          <w:sz w:val="20"/>
          <w:szCs w:val="20"/>
          <w:color w:val="auto"/>
        </w:rPr>
      </w:pPr>
      <w:r>
        <w:rPr>
          <w:rFonts w:ascii="Times New Roman" w:cs="Times New Roman" w:eastAsia="Times New Roman" w:hAnsi="Times New Roman"/>
          <w:sz w:val="14"/>
          <w:szCs w:val="14"/>
          <w:color w:val="auto"/>
        </w:rPr>
        <w:t>We may issue subscription rights to purchase our Class A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prospectus supplement relating to any subscription rights we offer, if any, will, to the extent applicable, include specific terms relating to the offering, including some or all of the following:</w:t>
      </w:r>
    </w:p>
    <w:p>
      <w:pPr>
        <w:spacing w:after="0" w:line="133" w:lineRule="exact"/>
        <w:rPr>
          <w:sz w:val="20"/>
          <w:szCs w:val="20"/>
          <w:color w:val="auto"/>
        </w:rPr>
      </w:pPr>
    </w:p>
    <w:p>
      <w:pPr>
        <w:ind w:left="260" w:hanging="256"/>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subscription rights;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our Class A common stock, preferred stock or debt securities upon the exercise of the subscription rights;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subscription rights to be issued to each stockholder;</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our Class A common stock, preferred stock or debt securities which may be purchased per each subscription right;</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are transferable;</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subscription rights, including the terms, procedures and limitations relating to the exchange and exercise of the subscription rights;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subscription rights shall commence, and the date on which the subscription rights shall expire;</w:t>
      </w:r>
    </w:p>
    <w:p>
      <w:pPr>
        <w:spacing w:after="0" w:line="132" w:lineRule="exact"/>
        <w:rPr>
          <w:rFonts w:ascii="Times New Roman" w:cs="Times New Roman" w:eastAsia="Times New Roman" w:hAnsi="Times New Roman"/>
          <w:sz w:val="14"/>
          <w:szCs w:val="14"/>
          <w:color w:val="auto"/>
        </w:rPr>
      </w:pPr>
    </w:p>
    <w:p>
      <w:pPr>
        <w:ind w:left="260" w:right="340" w:hanging="256"/>
        <w:spacing w:after="0" w:line="282" w:lineRule="auto"/>
        <w:tabs>
          <w:tab w:leader="none" w:pos="2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may include an over-subscription privilege with respect to unsubscribed securities or an over-allotment privilege to the extent the securities are fully subscribed; and</w:t>
      </w:r>
    </w:p>
    <w:p>
      <w:pPr>
        <w:spacing w:after="0" w:line="8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which may be entered into by us in connection with the offering of subscription rights.</w:t>
      </w:r>
    </w:p>
    <w:p>
      <w:pPr>
        <w:spacing w:after="0" w:line="133" w:lineRule="exact"/>
        <w:rPr>
          <w:sz w:val="20"/>
          <w:szCs w:val="20"/>
          <w:color w:val="auto"/>
        </w:rPr>
      </w:pPr>
    </w:p>
    <w:p>
      <w:pPr>
        <w:ind w:right="420" w:firstLine="252"/>
        <w:spacing w:after="0" w:line="266" w:lineRule="auto"/>
        <w:rPr>
          <w:sz w:val="20"/>
          <w:szCs w:val="20"/>
          <w:color w:val="auto"/>
        </w:rPr>
      </w:pPr>
      <w:r>
        <w:rPr>
          <w:rFonts w:ascii="Times New Roman" w:cs="Times New Roman" w:eastAsia="Times New Roman" w:hAnsi="Times New Roman"/>
          <w:sz w:val="14"/>
          <w:szCs w:val="14"/>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31</w:t>
      </w:r>
    </w:p>
    <w:p>
      <w:pPr>
        <w:sectPr>
          <w:pgSz w:w="11900" w:h="16838" w:orient="portrait"/>
          <w:cols w:equalWidth="0" w:num="1">
            <w:col w:w="11280"/>
          </w:cols>
          <w:pgMar w:left="300" w:top="1130" w:right="319" w:bottom="1440" w:gutter="0" w:footer="0" w:header="0"/>
        </w:sectPr>
      </w:pPr>
    </w:p>
    <w:bookmarkStart w:id="35" w:name="page36"/>
    <w:bookmarkEnd w:id="35"/>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 DESCRIPTION OF UNITS</w:t>
      </w:r>
    </w:p>
    <w:p>
      <w:pPr>
        <w:spacing w:after="0" w:line="135"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We may issue units consisting of some or all of the securities described above, in any combination, including Class A common stock, preferred stock, warrants and/or debt securities. The terms of these units will be set forth in a prospectus supplement. The description of the terms of these units in the applicable prospectus supplement will not be complete. You should refer to the applicable form of unit and unit agreement for complete information with respect to these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32</w:t>
      </w:r>
    </w:p>
    <w:p>
      <w:pPr>
        <w:sectPr>
          <w:pgSz w:w="11900" w:h="16838" w:orient="portrait"/>
          <w:cols w:equalWidth="0" w:num="1">
            <w:col w:w="11220"/>
          </w:cols>
          <w:pgMar w:left="300" w:top="1130" w:right="379" w:bottom="1440" w:gutter="0" w:footer="0" w:header="0"/>
        </w:sectPr>
      </w:pPr>
    </w:p>
    <w:bookmarkStart w:id="36" w:name="page37"/>
    <w:bookmarkEnd w:id="36"/>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  LEGAL MATTERS</w:t>
      </w:r>
    </w:p>
    <w:p>
      <w:pPr>
        <w:spacing w:after="0" w:line="135" w:lineRule="exact"/>
        <w:rPr>
          <w:sz w:val="20"/>
          <w:szCs w:val="20"/>
          <w:color w:val="auto"/>
        </w:rPr>
      </w:pPr>
    </w:p>
    <w:p>
      <w:pPr>
        <w:ind w:right="260" w:firstLine="252"/>
        <w:spacing w:after="0" w:line="282" w:lineRule="auto"/>
        <w:rPr>
          <w:sz w:val="20"/>
          <w:szCs w:val="20"/>
          <w:color w:val="auto"/>
        </w:rPr>
      </w:pPr>
      <w:r>
        <w:rPr>
          <w:rFonts w:ascii="Times New Roman" w:cs="Times New Roman" w:eastAsia="Times New Roman" w:hAnsi="Times New Roman"/>
          <w:sz w:val="14"/>
          <w:szCs w:val="14"/>
          <w:color w:val="auto"/>
        </w:rPr>
        <w:t>Fenwick &amp; West LLP, New York, New York, will issue an opinion about certain legal matters with respect to the securities. Counsel representing any selling stockholders will be named in the applicable prospectus supplement. Any underwriters or agents will be advised about legal matters relating to any offering by their own counsel.</w:t>
      </w:r>
    </w:p>
    <w:p>
      <w:pPr>
        <w:spacing w:after="0" w:line="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 EXPERTS</w:t>
      </w:r>
    </w:p>
    <w:p>
      <w:pPr>
        <w:spacing w:after="0" w:line="135" w:lineRule="exact"/>
        <w:rPr>
          <w:sz w:val="20"/>
          <w:szCs w:val="20"/>
          <w:color w:val="auto"/>
        </w:rPr>
      </w:pPr>
    </w:p>
    <w:p>
      <w:pPr>
        <w:jc w:val="both"/>
        <w:ind w:firstLine="252"/>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GeneDx Holdings Corp. appearing in GeneDx Holdings Corp.’s Annual Report (Form 10-K) for the year ended December 31, 2024,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33</w:t>
      </w:r>
    </w:p>
    <w:p>
      <w:pPr>
        <w:sectPr>
          <w:pgSz w:w="11900" w:h="16838" w:orient="portrait"/>
          <w:cols w:equalWidth="0" w:num="1">
            <w:col w:w="11200"/>
          </w:cols>
          <w:pgMar w:left="300" w:top="1130" w:right="39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768350</wp:posOffset>
            </wp:positionV>
            <wp:extent cx="71628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page">
              <wp:posOffset>3184525</wp:posOffset>
            </wp:positionH>
            <wp:positionV relativeFrom="page">
              <wp:posOffset>1374775</wp:posOffset>
            </wp:positionV>
            <wp:extent cx="1186180" cy="373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86180"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Subscription Rights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1057275</wp:posOffset>
            </wp:positionV>
            <wp:extent cx="71628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53975</wp:posOffset>
            </wp:positionV>
            <wp:extent cx="71628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53975</wp:posOffset>
            </wp:positionV>
            <wp:extent cx="71628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34</w:t>
      </w:r>
    </w:p>
    <w:p>
      <w:pPr>
        <w:sectPr>
          <w:pgSz w:w="11900" w:h="16838" w:orient="portrait"/>
          <w:cols w:equalWidth="0" w:num="1">
            <w:col w:w="9019"/>
          </w:cols>
          <w:pgMar w:left="1440" w:top="144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prospectus dated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3027680</wp:posOffset>
            </wp:positionH>
            <wp:positionV relativeFrom="paragraph">
              <wp:posOffset>4445</wp:posOffset>
            </wp:positionV>
            <wp:extent cx="1119505" cy="386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1950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$100,000,000</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192" w:lineRule="exact"/>
        <w:rPr>
          <w:sz w:val="20"/>
          <w:szCs w:val="20"/>
          <w:color w:val="auto"/>
        </w:rPr>
      </w:pPr>
    </w:p>
    <w:p>
      <w:pPr>
        <w:ind w:right="40" w:firstLine="504"/>
        <w:spacing w:after="0" w:line="267" w:lineRule="auto"/>
        <w:rPr>
          <w:sz w:val="20"/>
          <w:szCs w:val="20"/>
          <w:color w:val="auto"/>
        </w:rPr>
      </w:pPr>
      <w:r>
        <w:rPr>
          <w:rFonts w:ascii="Times New Roman" w:cs="Times New Roman" w:eastAsia="Times New Roman" w:hAnsi="Times New Roman"/>
          <w:sz w:val="14"/>
          <w:szCs w:val="14"/>
          <w:color w:val="auto"/>
        </w:rPr>
        <w:t>We have entered into a sales agreement (the “</w:t>
      </w:r>
      <w:r>
        <w:rPr>
          <w:rFonts w:ascii="Times New Roman" w:cs="Times New Roman" w:eastAsia="Times New Roman" w:hAnsi="Times New Roman"/>
          <w:sz w:val="14"/>
          <w:szCs w:val="14"/>
          <w:i w:val="1"/>
          <w:iCs w:val="1"/>
          <w:color w:val="auto"/>
        </w:rPr>
        <w:t>Sales Agreement</w:t>
      </w:r>
      <w:r>
        <w:rPr>
          <w:rFonts w:ascii="Times New Roman" w:cs="Times New Roman" w:eastAsia="Times New Roman" w:hAnsi="Times New Roman"/>
          <w:sz w:val="14"/>
          <w:szCs w:val="14"/>
          <w:color w:val="auto"/>
        </w:rPr>
        <w:t>”), with TD Securities (USA) LLC (“</w:t>
      </w:r>
      <w:r>
        <w:rPr>
          <w:rFonts w:ascii="Times New Roman" w:cs="Times New Roman" w:eastAsia="Times New Roman" w:hAnsi="Times New Roman"/>
          <w:sz w:val="14"/>
          <w:szCs w:val="14"/>
          <w:i w:val="1"/>
          <w:iCs w:val="1"/>
          <w:color w:val="auto"/>
        </w:rPr>
        <w:t>TD Cowen</w:t>
      </w:r>
      <w:r>
        <w:rPr>
          <w:rFonts w:ascii="Times New Roman" w:cs="Times New Roman" w:eastAsia="Times New Roman" w:hAnsi="Times New Roman"/>
          <w:sz w:val="14"/>
          <w:szCs w:val="14"/>
          <w:color w:val="auto"/>
        </w:rPr>
        <w:t>”), relating to shares of our Class A common stock (the “</w:t>
      </w:r>
      <w:r>
        <w:rPr>
          <w:rFonts w:ascii="Times New Roman" w:cs="Times New Roman" w:eastAsia="Times New Roman" w:hAnsi="Times New Roman"/>
          <w:sz w:val="14"/>
          <w:szCs w:val="14"/>
          <w:i w:val="1"/>
          <w:iCs w:val="1"/>
          <w:color w:val="auto"/>
        </w:rPr>
        <w:t>Class A common stock</w:t>
      </w:r>
      <w:r>
        <w:rPr>
          <w:rFonts w:ascii="Times New Roman" w:cs="Times New Roman" w:eastAsia="Times New Roman" w:hAnsi="Times New Roman"/>
          <w:sz w:val="14"/>
          <w:szCs w:val="14"/>
          <w:color w:val="auto"/>
        </w:rPr>
        <w:t>”) offered by this prospectus supplement and the accompanying prospectus. In accordance with the terms of the Sales Agreement, we may offer and sell shares of our Class A common stock having an aggregate offering price of up to $100,000,000 from time to time through TD Cowen acting as our agent.</w:t>
      </w:r>
    </w:p>
    <w:p>
      <w:pPr>
        <w:spacing w:after="0" w:line="92" w:lineRule="exact"/>
        <w:rPr>
          <w:sz w:val="20"/>
          <w:szCs w:val="20"/>
          <w:color w:val="auto"/>
        </w:rPr>
      </w:pPr>
    </w:p>
    <w:p>
      <w:pPr>
        <w:ind w:right="20" w:firstLine="504"/>
        <w:spacing w:after="0" w:line="285" w:lineRule="auto"/>
        <w:rPr>
          <w:sz w:val="20"/>
          <w:szCs w:val="20"/>
          <w:color w:val="auto"/>
        </w:rPr>
      </w:pPr>
      <w:r>
        <w:rPr>
          <w:rFonts w:ascii="Times New Roman" w:cs="Times New Roman" w:eastAsia="Times New Roman" w:hAnsi="Times New Roman"/>
          <w:sz w:val="14"/>
          <w:szCs w:val="14"/>
          <w:color w:val="auto"/>
        </w:rPr>
        <w:t>Our Class A common stock is traded on The Nasdaq Global Select Market (the “</w:t>
      </w:r>
      <w:r>
        <w:rPr>
          <w:rFonts w:ascii="Times New Roman" w:cs="Times New Roman" w:eastAsia="Times New Roman" w:hAnsi="Times New Roman"/>
          <w:sz w:val="14"/>
          <w:szCs w:val="14"/>
          <w:i w:val="1"/>
          <w:iCs w:val="1"/>
          <w:color w:val="auto"/>
        </w:rPr>
        <w:t>Nasdaq</w:t>
      </w:r>
      <w:r>
        <w:rPr>
          <w:rFonts w:ascii="Times New Roman" w:cs="Times New Roman" w:eastAsia="Times New Roman" w:hAnsi="Times New Roman"/>
          <w:sz w:val="14"/>
          <w:szCs w:val="14"/>
          <w:color w:val="auto"/>
        </w:rPr>
        <w:t>”) under the symbol “WGS.” On October 27, 2025, the last reported sales price of our Class A common stock was $130.66 per share.</w:t>
      </w:r>
    </w:p>
    <w:p>
      <w:pPr>
        <w:spacing w:after="0" w:line="81" w:lineRule="exact"/>
        <w:rPr>
          <w:sz w:val="20"/>
          <w:szCs w:val="20"/>
          <w:color w:val="auto"/>
        </w:rPr>
      </w:pPr>
    </w:p>
    <w:p>
      <w:pPr>
        <w:ind w:right="40" w:firstLine="504"/>
        <w:spacing w:after="0" w:line="258" w:lineRule="auto"/>
        <w:rPr>
          <w:sz w:val="20"/>
          <w:szCs w:val="20"/>
          <w:color w:val="auto"/>
        </w:rPr>
      </w:pPr>
      <w:r>
        <w:rPr>
          <w:rFonts w:ascii="Times New Roman" w:cs="Times New Roman" w:eastAsia="Times New Roman" w:hAnsi="Times New Roman"/>
          <w:sz w:val="14"/>
          <w:szCs w:val="14"/>
          <w:color w:val="auto"/>
        </w:rPr>
        <w:t>Sales of our Class A common stock, if any, will be made in negotiated transactions, including block trades or block sales, or by any method permitted by law deemed to be an “at the market offering” as defined in Rule 415 under the Securities Act of 1933, as amended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including without limitation sales made through Nasdaq or on any other existing trading market for our Class A common stock, or by any other method permitted by law. TD Cowen is not required to sell any specific number or dollar amount of securities, but will act as a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00" w:lineRule="exact"/>
        <w:rPr>
          <w:sz w:val="20"/>
          <w:szCs w:val="20"/>
          <w:color w:val="auto"/>
        </w:rPr>
      </w:pPr>
    </w:p>
    <w:p>
      <w:pPr>
        <w:ind w:right="20" w:firstLine="504"/>
        <w:spacing w:after="0" w:line="261" w:lineRule="auto"/>
        <w:rPr>
          <w:sz w:val="20"/>
          <w:szCs w:val="20"/>
          <w:color w:val="auto"/>
        </w:rPr>
      </w:pPr>
      <w:r>
        <w:rPr>
          <w:rFonts w:ascii="Times New Roman" w:cs="Times New Roman" w:eastAsia="Times New Roman" w:hAnsi="Times New Roman"/>
          <w:sz w:val="14"/>
          <w:szCs w:val="14"/>
          <w:color w:val="auto"/>
        </w:rPr>
        <w:t>The compensation to TD Cowen for sales of Class A common stock sold pursuant to the Sales Agreement will be an amount up to 3.0% of the gross proceeds of any shares of Class A common stock sold under the Sales Agreement. In connection with the sale of the Class A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 or the Securities Exchange Act of 1934, as amended (the “</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both"/>
        <w:ind w:firstLine="504"/>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We are an “emerging growth company” as defined in Section 2(a) of the Securities Act and, as such, have elected to comply with certain reduced disclosure and regulatory requirements. Investing in our securities involves a high degree of risk. You should review carefully the risks and uncertainties referenced under the heading “Risk Factors” on page </w:t>
      </w:r>
      <w:r>
        <w:rPr>
          <w:rFonts w:ascii="Times New Roman" w:cs="Times New Roman" w:eastAsia="Times New Roman" w:hAnsi="Times New Roman"/>
          <w:sz w:val="14"/>
          <w:szCs w:val="14"/>
          <w:b w:val="1"/>
          <w:bCs w:val="1"/>
          <w:u w:val="single" w:color="auto"/>
          <w:color w:val="0000FF"/>
        </w:rPr>
        <w:t>S-7</w:t>
      </w:r>
      <w:r>
        <w:rPr>
          <w:rFonts w:ascii="Times New Roman" w:cs="Times New Roman" w:eastAsia="Times New Roman" w:hAnsi="Times New Roman"/>
          <w:sz w:val="14"/>
          <w:szCs w:val="14"/>
          <w:b w:val="1"/>
          <w:bCs w:val="1"/>
          <w:color w:val="auto"/>
        </w:rPr>
        <w:t xml:space="preserve"> of this prospectus supplement, as well as the sections entitled “Risk Factors” beginning on page 18 of our Annual Report on Form 10-K for the year ended December 31, 2024, beginning on page 31 of our Quarterly Report on Form 10-Q for the quarter ended March 31, 2025, beginning on page 35 of our Quarterly Report on Form 10-Q for the quarter ended June 30, 2025 and beginning on page 36 of our Quarterly Report on Form 10-Q for the quarter ended September 30, 2025, which reports are incorporated by reference in this prospectus supplement and the accompanying base prospectus, before investing in our securities.</w:t>
      </w:r>
    </w:p>
    <w:p>
      <w:pPr>
        <w:spacing w:after="0" w:line="101"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4"/>
          <w:szCs w:val="14"/>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ectPr>
          <w:pgSz w:w="11900" w:h="16838" w:orient="portrait"/>
          <w:cols w:equalWidth="0" w:num="1">
            <w:col w:w="11280"/>
          </w:cols>
          <w:pgMar w:left="300" w:top="1004" w:right="319" w:bottom="1440" w:gutter="0" w:footer="0" w:header="0"/>
        </w:sectPr>
      </w:pPr>
    </w:p>
    <w:bookmarkStart w:id="39" w:name="page40"/>
    <w:bookmarkEnd w:id="39"/>
    <w:p>
      <w:pPr>
        <w:ind w:left="5140"/>
        <w:spacing w:after="0"/>
        <w:rPr>
          <w:sz w:val="20"/>
          <w:szCs w:val="20"/>
          <w:color w:val="auto"/>
        </w:rPr>
      </w:pPr>
      <w:r>
        <w:rPr>
          <w:rFonts w:ascii="Times New Roman" w:cs="Times New Roman" w:eastAsia="Times New Roman" w:hAnsi="Times New Roman"/>
          <w:sz w:val="22"/>
          <w:szCs w:val="22"/>
          <w:b w:val="1"/>
          <w:bCs w:val="1"/>
          <w:color w:val="auto"/>
        </w:rPr>
        <w:t>TD Cowen</w:t>
      </w:r>
    </w:p>
    <w:p>
      <w:pPr>
        <w:spacing w:after="0" w:line="224"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4"/>
          <w:szCs w:val="14"/>
          <w:color w:val="auto"/>
        </w:rPr>
        <w:t>The date of this prospectus supplement is October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0159"/>
          </w:cols>
          <w:pgMar w:left="300" w:top="865" w:right="1440" w:bottom="1440" w:gutter="0" w:footer="0" w:header="0"/>
        </w:sectPr>
      </w:pPr>
    </w:p>
    <w:bookmarkStart w:id="40" w:name="page41"/>
    <w:bookmarkEnd w:id="40"/>
    <w:tbl>
      <w:tblPr>
        <w:tblLayout w:type="fixed"/>
        <w:tblInd w:w="2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8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598"/>
        </w:trPr>
        <w:tc>
          <w:tcPr>
            <w:tcW w:w="1036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37"/>
        </w:trPr>
        <w:tc>
          <w:tcPr>
            <w:tcW w:w="10360" w:type="dxa"/>
            <w:vAlign w:val="bottom"/>
            <w:gridSpan w:val="10"/>
          </w:tcPr>
          <w:p>
            <w:pPr>
              <w:spacing w:after="0" w:line="137" w:lineRule="exact"/>
              <w:rPr>
                <w:sz w:val="20"/>
                <w:szCs w:val="20"/>
                <w:color w:val="auto"/>
              </w:rPr>
            </w:pPr>
            <w:r>
              <w:rPr>
                <w:rFonts w:ascii="Times New Roman" w:cs="Times New Roman" w:eastAsia="Times New Roman" w:hAnsi="Times New Roman"/>
                <w:sz w:val="14"/>
                <w:szCs w:val="14"/>
                <w:color w:val="0E32E1"/>
              </w:rPr>
              <w:t>ABOUT THIS PROSPECTUS SUPPLEMENT</w:t>
            </w:r>
          </w:p>
        </w:tc>
        <w:tc>
          <w:tcPr>
            <w:tcW w:w="360" w:type="dxa"/>
            <w:vAlign w:val="bottom"/>
          </w:tcPr>
          <w:p>
            <w:pPr>
              <w:spacing w:after="0"/>
              <w:rPr>
                <w:sz w:val="11"/>
                <w:szCs w:val="11"/>
                <w:color w:val="auto"/>
              </w:rPr>
            </w:pPr>
          </w:p>
        </w:tc>
        <w:tc>
          <w:tcPr>
            <w:tcW w:w="540" w:type="dxa"/>
            <w:vAlign w:val="bottom"/>
            <w:gridSpan w:val="3"/>
          </w:tcPr>
          <w:p>
            <w:pPr>
              <w:jc w:val="center"/>
              <w:ind w:right="360"/>
              <w:spacing w:after="0" w:line="137" w:lineRule="exact"/>
              <w:rPr>
                <w:sz w:val="20"/>
                <w:szCs w:val="20"/>
                <w:color w:val="auto"/>
              </w:rPr>
            </w:pPr>
            <w:r>
              <w:rPr>
                <w:rFonts w:ascii="Times New Roman" w:cs="Times New Roman" w:eastAsia="Times New Roman" w:hAnsi="Times New Roman"/>
                <w:sz w:val="14"/>
                <w:szCs w:val="14"/>
                <w:color w:val="auto"/>
                <w:w w:val="92"/>
              </w:rPr>
              <w:t>S-1</w:t>
            </w:r>
          </w:p>
        </w:tc>
      </w:tr>
      <w:tr>
        <w:trPr>
          <w:trHeight w:val="20"/>
        </w:trPr>
        <w:tc>
          <w:tcPr>
            <w:tcW w:w="60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160" w:type="dxa"/>
            <w:vAlign w:val="bottom"/>
            <w:tcBorders>
              <w:left w:val="single" w:sz="8" w:color="0E32E1"/>
            </w:tcBorders>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8"/>
        </w:trPr>
        <w:tc>
          <w:tcPr>
            <w:tcW w:w="10360" w:type="dxa"/>
            <w:vAlign w:val="bottom"/>
            <w:gridSpan w:val="10"/>
          </w:tcPr>
          <w:p>
            <w:pPr>
              <w:spacing w:after="0" w:line="159" w:lineRule="exact"/>
              <w:rPr>
                <w:sz w:val="20"/>
                <w:szCs w:val="20"/>
                <w:color w:val="auto"/>
              </w:rPr>
            </w:pPr>
            <w:r>
              <w:rPr>
                <w:rFonts w:ascii="Times New Roman" w:cs="Times New Roman" w:eastAsia="Times New Roman" w:hAnsi="Times New Roman"/>
                <w:sz w:val="14"/>
                <w:szCs w:val="14"/>
                <w:color w:val="0E32E1"/>
              </w:rPr>
              <w:t>WHERE YOU CAN FIND MORE INFORMATION; INCORPORATION BY REFERENCE</w:t>
            </w:r>
          </w:p>
        </w:tc>
        <w:tc>
          <w:tcPr>
            <w:tcW w:w="360" w:type="dxa"/>
            <w:vAlign w:val="bottom"/>
          </w:tcPr>
          <w:p>
            <w:pPr>
              <w:spacing w:after="0"/>
              <w:rPr>
                <w:sz w:val="13"/>
                <w:szCs w:val="13"/>
                <w:color w:val="auto"/>
              </w:rPr>
            </w:pPr>
          </w:p>
        </w:tc>
        <w:tc>
          <w:tcPr>
            <w:tcW w:w="540" w:type="dxa"/>
            <w:vAlign w:val="bottom"/>
            <w:gridSpan w:val="3"/>
          </w:tcPr>
          <w:p>
            <w:pPr>
              <w:jc w:val="center"/>
              <w:ind w:right="360"/>
              <w:spacing w:after="0" w:line="159" w:lineRule="exact"/>
              <w:rPr>
                <w:sz w:val="20"/>
                <w:szCs w:val="20"/>
                <w:color w:val="auto"/>
              </w:rPr>
            </w:pPr>
            <w:r>
              <w:rPr>
                <w:rFonts w:ascii="Times New Roman" w:cs="Times New Roman" w:eastAsia="Times New Roman" w:hAnsi="Times New Roman"/>
                <w:sz w:val="14"/>
                <w:szCs w:val="14"/>
                <w:color w:val="auto"/>
                <w:w w:val="92"/>
              </w:rPr>
              <w:t>S-2</w:t>
            </w:r>
          </w:p>
        </w:tc>
      </w:tr>
      <w:tr>
        <w:trPr>
          <w:trHeight w:val="20"/>
        </w:trPr>
        <w:tc>
          <w:tcPr>
            <w:tcW w:w="60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160" w:type="dxa"/>
            <w:vAlign w:val="bottom"/>
            <w:tcBorders>
              <w:left w:val="single" w:sz="8" w:color="0E32E1"/>
            </w:tcBorders>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1940" w:type="dxa"/>
            <w:vAlign w:val="bottom"/>
            <w:gridSpan w:val="2"/>
            <w:shd w:val="clear" w:color="auto" w:fill="0E32E1"/>
          </w:tcPr>
          <w:p>
            <w:pPr>
              <w:spacing w:after="0" w:line="20" w:lineRule="exact"/>
              <w:rPr>
                <w:sz w:val="1"/>
                <w:szCs w:val="1"/>
                <w:color w:val="auto"/>
              </w:rPr>
            </w:pPr>
          </w:p>
        </w:tc>
        <w:tc>
          <w:tcPr>
            <w:tcW w:w="720" w:type="dxa"/>
            <w:vAlign w:val="bottom"/>
            <w:shd w:val="clear" w:color="auto" w:fill="0E32E1"/>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8"/>
        </w:trPr>
        <w:tc>
          <w:tcPr>
            <w:tcW w:w="2560" w:type="dxa"/>
            <w:vAlign w:val="bottom"/>
            <w:gridSpan w:val="6"/>
          </w:tcPr>
          <w:p>
            <w:pPr>
              <w:spacing w:after="0" w:line="159" w:lineRule="exact"/>
              <w:rPr>
                <w:sz w:val="20"/>
                <w:szCs w:val="20"/>
                <w:color w:val="auto"/>
              </w:rPr>
            </w:pPr>
            <w:r>
              <w:rPr>
                <w:rFonts w:ascii="Times New Roman" w:cs="Times New Roman" w:eastAsia="Times New Roman" w:hAnsi="Times New Roman"/>
                <w:sz w:val="14"/>
                <w:szCs w:val="14"/>
                <w:color w:val="0E32E1"/>
                <w:w w:val="98"/>
              </w:rPr>
              <w:t>PROSPECTUS SUPPLEMENT SUMMARY</w:t>
            </w:r>
          </w:p>
        </w:tc>
        <w:tc>
          <w:tcPr>
            <w:tcW w:w="2660" w:type="dxa"/>
            <w:vAlign w:val="bottom"/>
            <w:gridSpan w:val="3"/>
          </w:tcPr>
          <w:p>
            <w:pPr>
              <w:spacing w:after="0"/>
              <w:rPr>
                <w:sz w:val="13"/>
                <w:szCs w:val="13"/>
                <w:color w:val="auto"/>
              </w:rPr>
            </w:pPr>
          </w:p>
        </w:tc>
        <w:tc>
          <w:tcPr>
            <w:tcW w:w="5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gridSpan w:val="3"/>
          </w:tcPr>
          <w:p>
            <w:pPr>
              <w:jc w:val="center"/>
              <w:ind w:right="360"/>
              <w:spacing w:after="0" w:line="159" w:lineRule="exact"/>
              <w:rPr>
                <w:sz w:val="20"/>
                <w:szCs w:val="20"/>
                <w:color w:val="auto"/>
              </w:rPr>
            </w:pPr>
            <w:r>
              <w:rPr>
                <w:rFonts w:ascii="Times New Roman" w:cs="Times New Roman" w:eastAsia="Times New Roman" w:hAnsi="Times New Roman"/>
                <w:sz w:val="14"/>
                <w:szCs w:val="14"/>
                <w:color w:val="auto"/>
                <w:w w:val="92"/>
              </w:rPr>
              <w:t>S-4</w:t>
            </w:r>
          </w:p>
        </w:tc>
      </w:tr>
      <w:tr>
        <w:trPr>
          <w:trHeight w:val="20"/>
        </w:trPr>
        <w:tc>
          <w:tcPr>
            <w:tcW w:w="60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160" w:type="dxa"/>
            <w:vAlign w:val="bottom"/>
            <w:tcBorders>
              <w:left w:val="single" w:sz="8" w:color="0E32E1"/>
            </w:tcBorders>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8"/>
        </w:trPr>
        <w:tc>
          <w:tcPr>
            <w:tcW w:w="2560" w:type="dxa"/>
            <w:vAlign w:val="bottom"/>
            <w:gridSpan w:val="6"/>
          </w:tcPr>
          <w:p>
            <w:pPr>
              <w:spacing w:after="0" w:line="159" w:lineRule="exact"/>
              <w:rPr>
                <w:sz w:val="20"/>
                <w:szCs w:val="20"/>
                <w:color w:val="auto"/>
              </w:rPr>
            </w:pPr>
            <w:r>
              <w:rPr>
                <w:rFonts w:ascii="Times New Roman" w:cs="Times New Roman" w:eastAsia="Times New Roman" w:hAnsi="Times New Roman"/>
                <w:sz w:val="14"/>
                <w:szCs w:val="14"/>
                <w:color w:val="0E32E1"/>
              </w:rPr>
              <w:t>THE OFFERING</w:t>
            </w:r>
          </w:p>
        </w:tc>
        <w:tc>
          <w:tcPr>
            <w:tcW w:w="7800" w:type="dxa"/>
            <w:vAlign w:val="bottom"/>
            <w:gridSpan w:val="4"/>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gridSpan w:val="3"/>
          </w:tcPr>
          <w:p>
            <w:pPr>
              <w:jc w:val="center"/>
              <w:ind w:right="360"/>
              <w:spacing w:after="0" w:line="159" w:lineRule="exact"/>
              <w:rPr>
                <w:sz w:val="20"/>
                <w:szCs w:val="20"/>
                <w:color w:val="auto"/>
              </w:rPr>
            </w:pPr>
            <w:r>
              <w:rPr>
                <w:rFonts w:ascii="Times New Roman" w:cs="Times New Roman" w:eastAsia="Times New Roman" w:hAnsi="Times New Roman"/>
                <w:sz w:val="14"/>
                <w:szCs w:val="14"/>
                <w:color w:val="auto"/>
                <w:w w:val="92"/>
              </w:rPr>
              <w:t>S-6</w:t>
            </w:r>
          </w:p>
        </w:tc>
      </w:tr>
      <w:tr>
        <w:trPr>
          <w:trHeight w:val="20"/>
        </w:trPr>
        <w:tc>
          <w:tcPr>
            <w:tcW w:w="60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160" w:type="dxa"/>
            <w:vAlign w:val="bottom"/>
            <w:tcBorders>
              <w:left w:val="single" w:sz="8" w:color="0E32E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8"/>
        </w:trPr>
        <w:tc>
          <w:tcPr>
            <w:tcW w:w="96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0E32E1"/>
                <w:w w:val="93"/>
              </w:rPr>
              <w:t>RISK FACTORS</w:t>
            </w:r>
          </w:p>
        </w:tc>
        <w:tc>
          <w:tcPr>
            <w:tcW w:w="9400" w:type="dxa"/>
            <w:vAlign w:val="bottom"/>
            <w:gridSpan w:val="8"/>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gridSpan w:val="3"/>
          </w:tcPr>
          <w:p>
            <w:pPr>
              <w:jc w:val="center"/>
              <w:ind w:right="360"/>
              <w:spacing w:after="0" w:line="159" w:lineRule="exact"/>
              <w:rPr>
                <w:sz w:val="20"/>
                <w:szCs w:val="20"/>
                <w:color w:val="auto"/>
              </w:rPr>
            </w:pPr>
            <w:r>
              <w:rPr>
                <w:rFonts w:ascii="Times New Roman" w:cs="Times New Roman" w:eastAsia="Times New Roman" w:hAnsi="Times New Roman"/>
                <w:sz w:val="14"/>
                <w:szCs w:val="14"/>
                <w:color w:val="auto"/>
                <w:w w:val="92"/>
              </w:rPr>
              <w:t>S-7</w:t>
            </w:r>
          </w:p>
        </w:tc>
      </w:tr>
      <w:tr>
        <w:trPr>
          <w:trHeight w:val="20"/>
        </w:trPr>
        <w:tc>
          <w:tcPr>
            <w:tcW w:w="60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8"/>
        </w:trPr>
        <w:tc>
          <w:tcPr>
            <w:tcW w:w="450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E32E1"/>
                <w:w w:val="98"/>
              </w:rPr>
              <w:t>CAUTIONARY NOTE REGARDING FORWARD-LOOKING STATEMENTS</w:t>
            </w:r>
          </w:p>
        </w:tc>
        <w:tc>
          <w:tcPr>
            <w:tcW w:w="586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gridSpan w:val="3"/>
          </w:tcPr>
          <w:p>
            <w:pPr>
              <w:jc w:val="center"/>
              <w:ind w:right="360"/>
              <w:spacing w:after="0" w:line="159" w:lineRule="exact"/>
              <w:rPr>
                <w:sz w:val="20"/>
                <w:szCs w:val="20"/>
                <w:color w:val="auto"/>
              </w:rPr>
            </w:pPr>
            <w:r>
              <w:rPr>
                <w:rFonts w:ascii="Times New Roman" w:cs="Times New Roman" w:eastAsia="Times New Roman" w:hAnsi="Times New Roman"/>
                <w:sz w:val="14"/>
                <w:szCs w:val="14"/>
                <w:color w:val="auto"/>
                <w:w w:val="92"/>
              </w:rPr>
              <w:t>S-9</w:t>
            </w:r>
          </w:p>
        </w:tc>
      </w:tr>
      <w:tr>
        <w:trPr>
          <w:trHeight w:val="20"/>
        </w:trPr>
        <w:tc>
          <w:tcPr>
            <w:tcW w:w="600" w:type="dxa"/>
            <w:vAlign w:val="bottom"/>
            <w:shd w:val="clear" w:color="auto" w:fill="0E32E1"/>
          </w:tcPr>
          <w:p>
            <w:pPr>
              <w:spacing w:after="0" w:line="20" w:lineRule="exact"/>
              <w:rPr>
                <w:sz w:val="1"/>
                <w:szCs w:val="1"/>
                <w:color w:val="auto"/>
              </w:rPr>
            </w:pPr>
          </w:p>
        </w:tc>
        <w:tc>
          <w:tcPr>
            <w:tcW w:w="520" w:type="dxa"/>
            <w:vAlign w:val="bottom"/>
            <w:tcBorders>
              <w:left w:val="single" w:sz="8" w:color="0E32E1"/>
            </w:tcBorders>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2900" w:type="dxa"/>
            <w:vAlign w:val="bottom"/>
            <w:gridSpan w:val="3"/>
            <w:shd w:val="clear" w:color="auto" w:fill="0E32E1"/>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8"/>
        </w:trPr>
        <w:tc>
          <w:tcPr>
            <w:tcW w:w="450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E32E1"/>
              </w:rPr>
              <w:t>USE OF PROCEEDS</w:t>
            </w:r>
          </w:p>
        </w:tc>
        <w:tc>
          <w:tcPr>
            <w:tcW w:w="5860" w:type="dxa"/>
            <w:vAlign w:val="bottom"/>
            <w:gridSpan w:val="2"/>
          </w:tcPr>
          <w:p>
            <w:pPr>
              <w:spacing w:after="0"/>
              <w:rPr>
                <w:sz w:val="13"/>
                <w:szCs w:val="13"/>
                <w:color w:val="auto"/>
              </w:rPr>
            </w:pPr>
          </w:p>
        </w:tc>
        <w:tc>
          <w:tcPr>
            <w:tcW w:w="900" w:type="dxa"/>
            <w:vAlign w:val="bottom"/>
            <w:gridSpan w:val="4"/>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S-10</w:t>
            </w:r>
          </w:p>
        </w:tc>
      </w:tr>
      <w:tr>
        <w:trPr>
          <w:trHeight w:val="158"/>
        </w:trPr>
        <w:tc>
          <w:tcPr>
            <w:tcW w:w="1220" w:type="dxa"/>
            <w:vAlign w:val="bottom"/>
            <w:tcBorders>
              <w:top w:val="single" w:sz="8" w:color="0E32E1"/>
            </w:tcBorders>
            <w:gridSpan w:val="4"/>
          </w:tcPr>
          <w:p>
            <w:pPr>
              <w:spacing w:after="0" w:line="159" w:lineRule="exact"/>
              <w:rPr>
                <w:sz w:val="20"/>
                <w:szCs w:val="20"/>
                <w:color w:val="auto"/>
              </w:rPr>
            </w:pPr>
            <w:r>
              <w:rPr>
                <w:rFonts w:ascii="Times New Roman" w:cs="Times New Roman" w:eastAsia="Times New Roman" w:hAnsi="Times New Roman"/>
                <w:sz w:val="14"/>
                <w:szCs w:val="14"/>
                <w:color w:val="0E32E1"/>
              </w:rPr>
              <w:t>DILUTION</w:t>
            </w:r>
          </w:p>
        </w:tc>
        <w:tc>
          <w:tcPr>
            <w:tcW w:w="9140" w:type="dxa"/>
            <w:vAlign w:val="bottom"/>
            <w:gridSpan w:val="6"/>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top w:val="single" w:sz="8" w:color="auto"/>
            </w:tcBorders>
            <w:gridSpan w:val="2"/>
          </w:tcPr>
          <w:p>
            <w:pPr>
              <w:jc w:val="center"/>
              <w:spacing w:after="0" w:line="159" w:lineRule="exact"/>
              <w:rPr>
                <w:sz w:val="20"/>
                <w:szCs w:val="20"/>
                <w:color w:val="auto"/>
              </w:rPr>
            </w:pPr>
            <w:r>
              <w:rPr>
                <w:rFonts w:ascii="Times New Roman" w:cs="Times New Roman" w:eastAsia="Times New Roman" w:hAnsi="Times New Roman"/>
                <w:sz w:val="14"/>
                <w:szCs w:val="14"/>
                <w:color w:val="auto"/>
                <w:w w:val="83"/>
              </w:rPr>
              <w:t>S-11</w:t>
            </w:r>
          </w:p>
        </w:tc>
        <w:tc>
          <w:tcPr>
            <w:tcW w:w="320" w:type="dxa"/>
            <w:vAlign w:val="bottom"/>
          </w:tcPr>
          <w:p>
            <w:pPr>
              <w:spacing w:after="0"/>
              <w:rPr>
                <w:sz w:val="13"/>
                <w:szCs w:val="13"/>
                <w:color w:val="auto"/>
              </w:rPr>
            </w:pPr>
          </w:p>
        </w:tc>
      </w:tr>
      <w:tr>
        <w:trPr>
          <w:trHeight w:val="20"/>
        </w:trPr>
        <w:tc>
          <w:tcPr>
            <w:tcW w:w="600" w:type="dxa"/>
            <w:vAlign w:val="bottom"/>
            <w:shd w:val="clear" w:color="auto" w:fill="0E32E1"/>
          </w:tcPr>
          <w:p>
            <w:pPr>
              <w:spacing w:after="0" w:line="20" w:lineRule="exact"/>
              <w:rPr>
                <w:sz w:val="1"/>
                <w:szCs w:val="1"/>
                <w:color w:val="auto"/>
              </w:rPr>
            </w:pPr>
          </w:p>
        </w:tc>
        <w:tc>
          <w:tcPr>
            <w:tcW w:w="520" w:type="dxa"/>
            <w:vAlign w:val="bottom"/>
            <w:tcBorders>
              <w:left w:val="single" w:sz="8" w:color="0E32E1"/>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760" w:type="dxa"/>
            <w:vAlign w:val="bottom"/>
            <w:gridSpan w:val="5"/>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8"/>
        </w:trPr>
        <w:tc>
          <w:tcPr>
            <w:tcW w:w="1600" w:type="dxa"/>
            <w:vAlign w:val="bottom"/>
            <w:gridSpan w:val="5"/>
          </w:tcPr>
          <w:p>
            <w:pPr>
              <w:spacing w:after="0" w:line="159" w:lineRule="exact"/>
              <w:rPr>
                <w:sz w:val="20"/>
                <w:szCs w:val="20"/>
                <w:color w:val="auto"/>
              </w:rPr>
            </w:pPr>
            <w:r>
              <w:rPr>
                <w:rFonts w:ascii="Times New Roman" w:cs="Times New Roman" w:eastAsia="Times New Roman" w:hAnsi="Times New Roman"/>
                <w:sz w:val="14"/>
                <w:szCs w:val="14"/>
                <w:color w:val="0E32E1"/>
                <w:w w:val="99"/>
              </w:rPr>
              <w:t>PLAN OF DISTRIBUTION</w:t>
            </w:r>
          </w:p>
        </w:tc>
        <w:tc>
          <w:tcPr>
            <w:tcW w:w="8760" w:type="dxa"/>
            <w:vAlign w:val="bottom"/>
            <w:gridSpan w:val="5"/>
          </w:tcPr>
          <w:p>
            <w:pPr>
              <w:spacing w:after="0"/>
              <w:rPr>
                <w:sz w:val="13"/>
                <w:szCs w:val="13"/>
                <w:color w:val="auto"/>
              </w:rPr>
            </w:pPr>
          </w:p>
        </w:tc>
        <w:tc>
          <w:tcPr>
            <w:tcW w:w="900" w:type="dxa"/>
            <w:vAlign w:val="bottom"/>
            <w:gridSpan w:val="4"/>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S-12</w:t>
            </w:r>
          </w:p>
        </w:tc>
      </w:tr>
      <w:tr>
        <w:trPr>
          <w:trHeight w:val="20"/>
        </w:trPr>
        <w:tc>
          <w:tcPr>
            <w:tcW w:w="600" w:type="dxa"/>
            <w:vAlign w:val="bottom"/>
            <w:shd w:val="clear" w:color="auto" w:fill="0E32E1"/>
          </w:tcPr>
          <w:p>
            <w:pPr>
              <w:spacing w:after="0" w:line="20" w:lineRule="exact"/>
              <w:rPr>
                <w:sz w:val="1"/>
                <w:szCs w:val="1"/>
                <w:color w:val="auto"/>
              </w:rPr>
            </w:pPr>
          </w:p>
        </w:tc>
        <w:tc>
          <w:tcPr>
            <w:tcW w:w="520" w:type="dxa"/>
            <w:vAlign w:val="bottom"/>
            <w:tcBorders>
              <w:left w:val="single" w:sz="8" w:color="0E32E1"/>
            </w:tcBorders>
            <w:gridSpan w:val="2"/>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8760" w:type="dxa"/>
            <w:vAlign w:val="bottom"/>
            <w:gridSpan w:val="5"/>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r>
      <w:tr>
        <w:trPr>
          <w:trHeight w:val="158"/>
        </w:trPr>
        <w:tc>
          <w:tcPr>
            <w:tcW w:w="1600" w:type="dxa"/>
            <w:vAlign w:val="bottom"/>
            <w:gridSpan w:val="5"/>
          </w:tcPr>
          <w:p>
            <w:pPr>
              <w:spacing w:after="0" w:line="159" w:lineRule="exact"/>
              <w:rPr>
                <w:sz w:val="20"/>
                <w:szCs w:val="20"/>
                <w:color w:val="auto"/>
              </w:rPr>
            </w:pPr>
            <w:r>
              <w:rPr>
                <w:rFonts w:ascii="Times New Roman" w:cs="Times New Roman" w:eastAsia="Times New Roman" w:hAnsi="Times New Roman"/>
                <w:sz w:val="14"/>
                <w:szCs w:val="14"/>
                <w:color w:val="0E32E1"/>
              </w:rPr>
              <w:t>LEGAL MATTERS</w:t>
            </w:r>
          </w:p>
        </w:tc>
        <w:tc>
          <w:tcPr>
            <w:tcW w:w="8760" w:type="dxa"/>
            <w:vAlign w:val="bottom"/>
            <w:gridSpan w:val="5"/>
          </w:tcPr>
          <w:p>
            <w:pPr>
              <w:spacing w:after="0"/>
              <w:rPr>
                <w:sz w:val="13"/>
                <w:szCs w:val="13"/>
                <w:color w:val="auto"/>
              </w:rPr>
            </w:pPr>
          </w:p>
        </w:tc>
        <w:tc>
          <w:tcPr>
            <w:tcW w:w="900" w:type="dxa"/>
            <w:vAlign w:val="bottom"/>
            <w:gridSpan w:val="4"/>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S-13</w:t>
            </w:r>
          </w:p>
        </w:tc>
      </w:tr>
      <w:tr>
        <w:trPr>
          <w:trHeight w:val="20"/>
        </w:trPr>
        <w:tc>
          <w:tcPr>
            <w:tcW w:w="600" w:type="dxa"/>
            <w:vAlign w:val="bottom"/>
            <w:shd w:val="clear" w:color="auto" w:fill="0E32E1"/>
          </w:tcPr>
          <w:p>
            <w:pPr>
              <w:spacing w:after="0" w:line="20" w:lineRule="exact"/>
              <w:rPr>
                <w:sz w:val="1"/>
                <w:szCs w:val="1"/>
                <w:color w:val="auto"/>
              </w:rPr>
            </w:pPr>
          </w:p>
        </w:tc>
        <w:tc>
          <w:tcPr>
            <w:tcW w:w="520" w:type="dxa"/>
            <w:vAlign w:val="bottom"/>
            <w:tcBorders>
              <w:left w:val="single" w:sz="8" w:color="0E32E1"/>
            </w:tcBorders>
            <w:gridSpan w:val="2"/>
            <w:shd w:val="clear" w:color="auto" w:fill="0E32E1"/>
          </w:tcPr>
          <w:p>
            <w:pPr>
              <w:spacing w:after="0" w:line="20" w:lineRule="exact"/>
              <w:rPr>
                <w:sz w:val="1"/>
                <w:szCs w:val="1"/>
                <w:color w:val="auto"/>
              </w:rPr>
            </w:pPr>
          </w:p>
        </w:tc>
        <w:tc>
          <w:tcPr>
            <w:tcW w:w="9240" w:type="dxa"/>
            <w:vAlign w:val="bottom"/>
            <w:gridSpan w:val="7"/>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r>
      <w:tr>
        <w:trPr>
          <w:trHeight w:val="158"/>
        </w:trPr>
        <w:tc>
          <w:tcPr>
            <w:tcW w:w="6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0E32E1"/>
                <w:w w:val="92"/>
              </w:rPr>
              <w:t>EXPERTS</w:t>
            </w:r>
          </w:p>
        </w:tc>
        <w:tc>
          <w:tcPr>
            <w:tcW w:w="520" w:type="dxa"/>
            <w:vAlign w:val="bottom"/>
            <w:gridSpan w:val="2"/>
          </w:tcPr>
          <w:p>
            <w:pPr>
              <w:spacing w:after="0"/>
              <w:rPr>
                <w:sz w:val="13"/>
                <w:szCs w:val="13"/>
                <w:color w:val="auto"/>
              </w:rPr>
            </w:pPr>
          </w:p>
        </w:tc>
        <w:tc>
          <w:tcPr>
            <w:tcW w:w="9240" w:type="dxa"/>
            <w:vAlign w:val="bottom"/>
            <w:gridSpan w:val="7"/>
          </w:tcPr>
          <w:p>
            <w:pPr>
              <w:spacing w:after="0"/>
              <w:rPr>
                <w:sz w:val="13"/>
                <w:szCs w:val="13"/>
                <w:color w:val="auto"/>
              </w:rPr>
            </w:pPr>
          </w:p>
        </w:tc>
        <w:tc>
          <w:tcPr>
            <w:tcW w:w="900" w:type="dxa"/>
            <w:vAlign w:val="bottom"/>
            <w:gridSpan w:val="4"/>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S-14</w:t>
            </w:r>
          </w:p>
        </w:tc>
      </w:tr>
      <w:tr>
        <w:trPr>
          <w:trHeight w:val="20"/>
        </w:trPr>
        <w:tc>
          <w:tcPr>
            <w:tcW w:w="600" w:type="dxa"/>
            <w:vAlign w:val="bottom"/>
            <w:shd w:val="clear" w:color="auto" w:fill="0E32E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56"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shelf registration statement on Form S-3ASR that we filed with the Securities and Exchange Commission (the “</w:t>
      </w:r>
      <w:r>
        <w:rPr>
          <w:rFonts w:ascii="Times New Roman" w:cs="Times New Roman" w:eastAsia="Times New Roman" w:hAnsi="Times New Roman"/>
          <w:sz w:val="14"/>
          <w:szCs w:val="14"/>
          <w:i w:val="1"/>
          <w:iCs w:val="1"/>
          <w:color w:val="auto"/>
        </w:rPr>
        <w:t>SEC</w:t>
      </w:r>
      <w:r>
        <w:rPr>
          <w:rFonts w:ascii="Times New Roman" w:cs="Times New Roman" w:eastAsia="Times New Roman" w:hAnsi="Times New Roman"/>
          <w:sz w:val="14"/>
          <w:szCs w:val="14"/>
          <w:color w:val="auto"/>
        </w:rPr>
        <w:t>”) using a “shelf” registration process. Under this shelf registration process, we may from time to time sell any combination of the securities described in the accompanying base prospectus in one or more offerings. Under this prospectus supplement, we may from time to time sell shares of our Class A common stock having an aggregate offering price of up to $100,000,000, at prices and on terms to be determined by market conditions at the time of the offering.</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provide information to you about this offering of our Class A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To the extent there is a conflict between the information contained in this prospectus supplement, on the one hand, and the information contained in the accompanying base prospectus and any document incorporated by reference into this prospectus supplement and the accompanying base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Neither we nor TD Cowen has authorized anyone to provide you with any information other than that contained or incorporated by reference in this prospectus supplement and the accompanying base prospectus or, if permitted, any related free writing prospectus to which we have referred you. Neither we nor TD Cowen takes any responsibility for, and can provide no assurance as to the reliability of, any other information others may give you. Neither we nor TD Cowen is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and the accompanying base prospectus, the documents incorporated by reference herein and therein and, if permitted,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and the accompanying base prospectus, the documents incorporated by reference herein and therein and, if permitted, any free writing prospectus that we have authorized for use in connection with this offering, in their entirety before making an investment decision.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otherwise requires, references in this prospectus supplement to:</w:t>
      </w:r>
    </w:p>
    <w:p>
      <w:pPr>
        <w:spacing w:after="0" w:line="131" w:lineRule="exact"/>
        <w:rPr>
          <w:sz w:val="20"/>
          <w:szCs w:val="20"/>
          <w:color w:val="auto"/>
        </w:rPr>
      </w:pPr>
    </w:p>
    <w:p>
      <w:pPr>
        <w:ind w:left="500" w:hanging="244"/>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GeneDx Holdings</w:t>
      </w:r>
      <w:r>
        <w:rPr>
          <w:rFonts w:ascii="Times New Roman" w:cs="Times New Roman" w:eastAsia="Times New Roman" w:hAnsi="Times New Roman"/>
          <w:sz w:val="14"/>
          <w:szCs w:val="14"/>
          <w:color w:val="auto"/>
        </w:rPr>
        <w:t>” refers to GeneDx Holdings Corp., a Delaware corporation;</w:t>
      </w:r>
    </w:p>
    <w:p>
      <w:pPr>
        <w:spacing w:after="0" w:line="132"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Legacy GeneDx</w:t>
      </w:r>
      <w:r>
        <w:rPr>
          <w:rFonts w:ascii="Times New Roman" w:cs="Times New Roman" w:eastAsia="Times New Roman" w:hAnsi="Times New Roman"/>
          <w:sz w:val="14"/>
          <w:szCs w:val="14"/>
          <w:color w:val="auto"/>
        </w:rPr>
        <w:t>” refers to GeneDx, LLC, a Delaware limited liability company, which we acquired on April 29, 2022 (the “</w:t>
      </w:r>
      <w:r>
        <w:rPr>
          <w:rFonts w:ascii="Times New Roman" w:cs="Times New Roman" w:eastAsia="Times New Roman" w:hAnsi="Times New Roman"/>
          <w:sz w:val="14"/>
          <w:szCs w:val="14"/>
          <w:i w:val="1"/>
          <w:iCs w:val="1"/>
          <w:color w:val="auto"/>
        </w:rPr>
        <w:t>Acquisition</w:t>
      </w:r>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color w:val="auto"/>
        </w:rPr>
      </w:pPr>
    </w:p>
    <w:p>
      <w:pPr>
        <w:ind w:left="500" w:hanging="244"/>
        <w:spacing w:after="0" w:line="285" w:lineRule="auto"/>
        <w:tabs>
          <w:tab w:leader="none" w:pos="49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Legacy Sema4</w:t>
      </w:r>
      <w:r>
        <w:rPr>
          <w:rFonts w:ascii="Times New Roman" w:cs="Times New Roman" w:eastAsia="Times New Roman" w:hAnsi="Times New Roman"/>
          <w:sz w:val="14"/>
          <w:szCs w:val="14"/>
          <w:color w:val="auto"/>
        </w:rPr>
        <w:t>” refers to Sema4 OpCo Inc., a Delaware corporation, a Delaware corporation, which consummated the business combination with CM Life Sciences, Inc. (“</w:t>
      </w:r>
      <w:r>
        <w:rPr>
          <w:rFonts w:ascii="Times New Roman" w:cs="Times New Roman" w:eastAsia="Times New Roman" w:hAnsi="Times New Roman"/>
          <w:sz w:val="14"/>
          <w:szCs w:val="14"/>
          <w:i w:val="1"/>
          <w:iCs w:val="1"/>
          <w:color w:val="auto"/>
        </w:rPr>
        <w:t>CMLS</w:t>
      </w:r>
      <w:r>
        <w:rPr>
          <w:rFonts w:ascii="Times New Roman" w:cs="Times New Roman" w:eastAsia="Times New Roman" w:hAnsi="Times New Roman"/>
          <w:sz w:val="14"/>
          <w:szCs w:val="14"/>
          <w:color w:val="auto"/>
        </w:rPr>
        <w:t>”) on July 22, 2021 (the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and</w:t>
      </w:r>
    </w:p>
    <w:p>
      <w:pPr>
        <w:spacing w:after="0" w:line="79" w:lineRule="exact"/>
        <w:rPr>
          <w:sz w:val="20"/>
          <w:szCs w:val="20"/>
          <w:color w:val="auto"/>
        </w:rPr>
      </w:pPr>
    </w:p>
    <w:p>
      <w:pPr>
        <w:ind w:left="1000" w:hanging="241"/>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GeneDx</w:t>
      </w:r>
      <w:r>
        <w:rPr>
          <w:rFonts w:ascii="Times New Roman" w:cs="Times New Roman" w:eastAsia="Times New Roman" w:hAnsi="Times New Roman"/>
          <w:sz w:val="14"/>
          <w:szCs w:val="14"/>
          <w:color w:val="auto"/>
        </w:rPr>
        <w:t>” refer to GeneDx Holdings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S-1</w:t>
      </w:r>
    </w:p>
    <w:p>
      <w:pPr>
        <w:sectPr>
          <w:pgSz w:w="11900" w:h="16838" w:orient="portrait"/>
          <w:cols w:equalWidth="0" w:num="1">
            <w:col w:w="11280"/>
          </w:cols>
          <w:pgMar w:left="300" w:top="1067"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4"/>
          <w:szCs w:val="14"/>
          <w:u w:val="single" w:color="auto"/>
          <w:color w:val="0000FF"/>
        </w:rPr>
        <w:t>http://www.sec.gov</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website address is </w:t>
      </w:r>
      <w:r>
        <w:rPr>
          <w:rFonts w:ascii="Times New Roman" w:cs="Times New Roman" w:eastAsia="Times New Roman" w:hAnsi="Times New Roman"/>
          <w:sz w:val="14"/>
          <w:szCs w:val="14"/>
          <w:u w:val="single" w:color="auto"/>
          <w:color w:val="0000FF"/>
        </w:rPr>
        <w:t>http://www.genedx.com</w:t>
      </w:r>
      <w:r>
        <w:rPr>
          <w:rFonts w:ascii="Times New Roman" w:cs="Times New Roman" w:eastAsia="Times New Roman" w:hAnsi="Times New Roman"/>
          <w:sz w:val="14"/>
          <w:szCs w:val="14"/>
          <w:color w:val="auto"/>
        </w:rPr>
        <w:t>. The information on our website, however, is not, and should not be deemed to be, a part of this prospectus supplement.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prospectus supplement and the accompanying base prospectus are part of a registration statement that we filed with the SEC and therefore do not contain all of the information in the registration statement. The full registration statement may be obtained from the SEC or us, as provided below. Statements in this prospectus supplement and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supplement and the accompanying base prospectus, which means that we can disclose important information to you by referring you to another document filed separately with the SEC. The information incorporated by reference is deemed to be part of this prospectus supplement and the accompanying base prospectus, and subsequent information that we file with the SEC will automatically update and supersede that information. Any statement contained in this prospectus supplement and the accompanying base prospectus or a previously filed document incorporated by reference will be deemed to be modified or superseded for purposes of this prospectus supplement and the accompanying base prospectus to the extent that a statement contained in this prospectus supplement and the accompanying base prospectus or a subsequently filed document incorporated by reference modifies or replaces that statement.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prospectus supplement and the accompanying base prospectus incorporate by reference the documents set forth below that have previously been filed with the SEC:</w:t>
      </w:r>
    </w:p>
    <w:p>
      <w:pPr>
        <w:spacing w:after="0" w:line="133" w:lineRule="exact"/>
        <w:rPr>
          <w:sz w:val="20"/>
          <w:szCs w:val="20"/>
          <w:color w:val="auto"/>
        </w:rPr>
      </w:pPr>
    </w:p>
    <w:p>
      <w:pPr>
        <w:ind w:left="260" w:hanging="256"/>
        <w:spacing w:after="0"/>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2024, filed with the SEC on </w:t>
      </w:r>
      <w:hyperlink r:id="rId16">
        <w:r>
          <w:rPr>
            <w:rFonts w:ascii="Times New Roman" w:cs="Times New Roman" w:eastAsia="Times New Roman" w:hAnsi="Times New Roman"/>
            <w:sz w:val="14"/>
            <w:szCs w:val="14"/>
            <w:u w:val="single" w:color="auto"/>
            <w:color w:val="0000FF"/>
          </w:rPr>
          <w:t>February 20, 2025</w:t>
        </w:r>
      </w:hyperlink>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color w:val="auto"/>
        </w:rPr>
      </w:pPr>
    </w:p>
    <w:p>
      <w:pPr>
        <w:ind w:left="260" w:right="180" w:hanging="256"/>
        <w:spacing w:after="0" w:line="282" w:lineRule="auto"/>
        <w:tabs>
          <w:tab w:leader="none" w:pos="2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quarterly period ended March 31, 2025, filed with the SEC on </w:t>
      </w:r>
      <w:hyperlink r:id="rId17">
        <w:r>
          <w:rPr>
            <w:rFonts w:ascii="Times New Roman" w:cs="Times New Roman" w:eastAsia="Times New Roman" w:hAnsi="Times New Roman"/>
            <w:sz w:val="14"/>
            <w:szCs w:val="14"/>
            <w:u w:val="single" w:color="auto"/>
            <w:color w:val="0000FF"/>
          </w:rPr>
          <w:t>April 30, 2025</w:t>
        </w:r>
      </w:hyperlink>
      <w:r>
        <w:rPr>
          <w:rFonts w:ascii="Times New Roman" w:cs="Times New Roman" w:eastAsia="Times New Roman" w:hAnsi="Times New Roman"/>
          <w:sz w:val="14"/>
          <w:szCs w:val="14"/>
          <w:color w:val="auto"/>
        </w:rPr>
        <w:t xml:space="preserve">, our Quarterly Report on Form 10-Q for the quarterly period ended June 30, 2025, filed with the SEC on </w:t>
      </w:r>
      <w:hyperlink r:id="rId32">
        <w:r>
          <w:rPr>
            <w:rFonts w:ascii="Times New Roman" w:cs="Times New Roman" w:eastAsia="Times New Roman" w:hAnsi="Times New Roman"/>
            <w:sz w:val="14"/>
            <w:szCs w:val="14"/>
            <w:color w:val="0000FF"/>
          </w:rPr>
          <w:t>July 29, 2025</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 xml:space="preserve">and our Quarterly Report on Form 10-Q for the quarterly period ended September 30, 2025, filed with the SEC on </w:t>
      </w:r>
      <w:hyperlink r:id="rId19">
        <w:r>
          <w:rPr>
            <w:rFonts w:ascii="Times New Roman" w:cs="Times New Roman" w:eastAsia="Times New Roman" w:hAnsi="Times New Roman"/>
            <w:sz w:val="14"/>
            <w:szCs w:val="14"/>
            <w:u w:val="single" w:color="auto"/>
            <w:color w:val="0000FF"/>
          </w:rPr>
          <w:t>October 28, 2025</w:t>
        </w:r>
      </w:hyperlink>
      <w:r>
        <w:rPr>
          <w:rFonts w:ascii="Times New Roman" w:cs="Times New Roman" w:eastAsia="Times New Roman" w:hAnsi="Times New Roman"/>
          <w:sz w:val="14"/>
          <w:szCs w:val="14"/>
          <w:color w:val="auto"/>
        </w:rPr>
        <w:t>;</w:t>
      </w:r>
    </w:p>
    <w:p>
      <w:pPr>
        <w:spacing w:after="0" w:line="83" w:lineRule="exact"/>
        <w:rPr>
          <w:rFonts w:ascii="Times New Roman" w:cs="Times New Roman" w:eastAsia="Times New Roman" w:hAnsi="Times New Roman"/>
          <w:sz w:val="14"/>
          <w:szCs w:val="14"/>
          <w:color w:val="auto"/>
        </w:rPr>
      </w:pPr>
    </w:p>
    <w:p>
      <w:pPr>
        <w:ind w:left="260" w:right="140" w:hanging="256"/>
        <w:spacing w:after="0" w:line="282" w:lineRule="auto"/>
        <w:tabs>
          <w:tab w:leader="none" w:pos="2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20">
        <w:r>
          <w:rPr>
            <w:rFonts w:ascii="Times New Roman" w:cs="Times New Roman" w:eastAsia="Times New Roman" w:hAnsi="Times New Roman"/>
            <w:sz w:val="14"/>
            <w:szCs w:val="14"/>
            <w:u w:val="single" w:color="auto"/>
            <w:color w:val="0000FF"/>
          </w:rPr>
          <w:t>January 2,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(but only with respect to Item 5.02 and Exhibit 10.1 thereto), </w:t>
      </w:r>
      <w:hyperlink r:id="rId21">
        <w:r>
          <w:rPr>
            <w:rFonts w:ascii="Times New Roman" w:cs="Times New Roman" w:eastAsia="Times New Roman" w:hAnsi="Times New Roman"/>
            <w:sz w:val="14"/>
            <w:szCs w:val="14"/>
            <w:u w:val="single" w:color="auto"/>
            <w:color w:val="0000FF"/>
          </w:rPr>
          <w:t>April 16,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(but only with respect to Items 1.01 and 3.02 and exhibit 2.1 thereto), </w:t>
      </w:r>
      <w:hyperlink r:id="rId22">
        <w:r>
          <w:rPr>
            <w:rFonts w:ascii="Times New Roman" w:cs="Times New Roman" w:eastAsia="Times New Roman" w:hAnsi="Times New Roman"/>
            <w:sz w:val="14"/>
            <w:szCs w:val="14"/>
            <w:u w:val="single" w:color="auto"/>
            <w:color w:val="0000FF"/>
          </w:rPr>
          <w:t>June 18,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3">
        <w:r>
          <w:rPr>
            <w:rFonts w:ascii="Times New Roman" w:cs="Times New Roman" w:eastAsia="Times New Roman" w:hAnsi="Times New Roman"/>
            <w:sz w:val="14"/>
            <w:szCs w:val="14"/>
            <w:u w:val="single" w:color="auto"/>
            <w:color w:val="0000FF"/>
          </w:rPr>
          <w:t>September 18, 2025</w:t>
        </w:r>
      </w:hyperlink>
      <w:r>
        <w:rPr>
          <w:rFonts w:ascii="Times New Roman" w:cs="Times New Roman" w:eastAsia="Times New Roman" w:hAnsi="Times New Roman"/>
          <w:sz w:val="14"/>
          <w:szCs w:val="14"/>
          <w:color w:val="auto"/>
        </w:rPr>
        <w:t>;</w:t>
      </w:r>
    </w:p>
    <w:p>
      <w:pPr>
        <w:spacing w:after="0" w:line="83" w:lineRule="exact"/>
        <w:rPr>
          <w:rFonts w:ascii="Times New Roman" w:cs="Times New Roman" w:eastAsia="Times New Roman" w:hAnsi="Times New Roman"/>
          <w:sz w:val="14"/>
          <w:szCs w:val="14"/>
          <w:color w:val="auto"/>
        </w:rPr>
      </w:pPr>
    </w:p>
    <w:p>
      <w:pPr>
        <w:ind w:left="260" w:right="180" w:hanging="256"/>
        <w:spacing w:after="0" w:line="282" w:lineRule="auto"/>
        <w:tabs>
          <w:tab w:leader="none" w:pos="2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Schedule 14A, filed with the SEC on </w:t>
      </w:r>
      <w:hyperlink r:id="rId34">
        <w:r>
          <w:rPr>
            <w:rFonts w:ascii="Times New Roman" w:cs="Times New Roman" w:eastAsia="Times New Roman" w:hAnsi="Times New Roman"/>
            <w:sz w:val="14"/>
            <w:szCs w:val="14"/>
            <w:u w:val="single" w:color="auto"/>
            <w:color w:val="0000FF"/>
          </w:rPr>
          <w:t>April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(but only with respect to information required by Part III of our Annual Report on Form 10-K for the year ended December 31, 2024); and</w:t>
      </w:r>
    </w:p>
    <w:p>
      <w:pPr>
        <w:spacing w:after="0" w:line="83" w:lineRule="exact"/>
        <w:rPr>
          <w:rFonts w:ascii="Times New Roman" w:cs="Times New Roman" w:eastAsia="Times New Roman" w:hAnsi="Times New Roman"/>
          <w:sz w:val="14"/>
          <w:szCs w:val="14"/>
          <w:color w:val="auto"/>
        </w:rPr>
      </w:pPr>
    </w:p>
    <w:p>
      <w:pPr>
        <w:ind w:left="260" w:right="160" w:hanging="256"/>
        <w:spacing w:after="0" w:line="266" w:lineRule="auto"/>
        <w:tabs>
          <w:tab w:leader="none" w:pos="2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Class A common stock contained in our Registration Statement on Form 8-A filed with the SEC on August 31, 2020, as updated by the description of our Class A common stock contained in Exhibit 4.5 to our Annual Report on </w:t>
      </w:r>
      <w:hyperlink r:id="rId16">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including any subsequent amendments or reports filed for the purpose of updating such description.</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1287145</wp:posOffset>
            </wp:positionH>
            <wp:positionV relativeFrom="paragraph">
              <wp:posOffset>-1016000</wp:posOffset>
            </wp:positionV>
            <wp:extent cx="50292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502920" cy="6350"/>
                    </a:xfrm>
                    <a:prstGeom prst="rect">
                      <a:avLst/>
                    </a:prstGeom>
                    <a:noFill/>
                  </pic:spPr>
                </pic:pic>
              </a:graphicData>
            </a:graphic>
          </wp:anchor>
        </w:drawing>
      </w:r>
    </w:p>
    <w:p>
      <w:pPr>
        <w:spacing w:after="0" w:line="389" w:lineRule="exact"/>
        <w:rPr>
          <w:rFonts w:ascii="Times New Roman" w:cs="Times New Roman" w:eastAsia="Times New Roman" w:hAnsi="Times New Roman"/>
          <w:sz w:val="14"/>
          <w:szCs w:val="1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Exchange Act pursuant to this prospectus supplement and the accompanying base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supplement and the accompanying base prospectus and deemed to be part of this prospectus supplement and the accompanying base prospectus from the date of the filing of such reports and documents.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6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1"/>
          <w:szCs w:val="11"/>
          <w:color w:val="auto"/>
        </w:rPr>
        <w:t>S-2</w:t>
      </w:r>
    </w:p>
    <w:p>
      <w:pPr>
        <w:sectPr>
          <w:pgSz w:w="11900" w:h="16838" w:orient="portrait"/>
          <w:cols w:equalWidth="0" w:num="1">
            <w:col w:w="11280"/>
          </w:cols>
          <w:pgMar w:left="300" w:top="878" w:right="31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copy of this prospectus supplement is delivered, upon written or oral request of such person, a copy of any or all of the documents incorporated by reference in this prospectus supplement, other than exhibits to such documents unless such exhibits are specifically incorporated by reference into such documents. Requests may be made by telephone at 1 (888) 729-1206, or by sending a written request to GeneDx Holdings Corp., 333 Ludlow Street, North Tower, 6th Floor, Stamford, Connecticut 06902, Attention: Investor Relations.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S-3</w:t>
      </w:r>
    </w:p>
    <w:p>
      <w:pPr>
        <w:sectPr>
          <w:pgSz w:w="11900" w:h="16838" w:orient="portrait"/>
          <w:cols w:equalWidth="0" w:num="1">
            <w:col w:w="11280"/>
          </w:cols>
          <w:pgMar w:left="300" w:top="880"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189865</wp:posOffset>
            </wp:positionH>
            <wp:positionV relativeFrom="page">
              <wp:posOffset>565785</wp:posOffset>
            </wp:positionV>
            <wp:extent cx="7169150" cy="5429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69150" cy="5429885"/>
                    </a:xfrm>
                    <a:prstGeom prst="rect">
                      <a:avLst/>
                    </a:prstGeom>
                    <a:noFill/>
                  </pic:spPr>
                </pic:pic>
              </a:graphicData>
            </a:graphic>
          </wp:anchor>
        </w:drawing>
        <w:t>PROSPECTUS SUPPLEMENT SUMMARY</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in other parts of this prospectus supplement and the accompanying base prospectus, or incorporated by reference herein and therein from our filings with the SEC listed under the heading “Where You Can Find More Information; Incorporation by Reference.” This summary may not contain all the information that you should consider before investing in our Class A common stock. You should read the entire prospectus supplement, the accompanying base prospectus and the information incorporated by reference herein and therein, including “Risk Factors” and the financial data and related notes and other information incorporated by reference, before making an investment decision. See “Cautionary Note Regarding Forward-Looking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GeneDx,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We operate with conviction that what is best for patients must be embedded in every aspect of our work. In support of these beliefs, we value equitability, simplicity and transparency.</w:t>
      </w:r>
    </w:p>
    <w:p>
      <w:pPr>
        <w:spacing w:after="0" w:line="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4"/>
          <w:szCs w:val="14"/>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25 years later, we have amassed one of the world’s largest rare disease datasets and remain a leader in genomics.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Today, we are powered by our industry-leading genomic interpretation platform, and we believe exome and genome testing will become the standard for diagnosis of genetic disease, with the potential to transform healthcare and improve patients’ quality of life.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were incorporated on July 10, 2020 as a special purpose acquisition company and a Delaware corporation under the name CM Life Sciences, Inc. On September 4, 2020, CMLS completed its initial public offering (the “</w:t>
      </w:r>
      <w:r>
        <w:rPr>
          <w:rFonts w:ascii="Times New Roman" w:cs="Times New Roman" w:eastAsia="Times New Roman" w:hAnsi="Times New Roman"/>
          <w:sz w:val="14"/>
          <w:szCs w:val="14"/>
          <w:i w:val="1"/>
          <w:iCs w:val="1"/>
          <w:color w:val="auto"/>
        </w:rPr>
        <w:t>IPO</w:t>
      </w:r>
      <w:r>
        <w:rPr>
          <w:rFonts w:ascii="Times New Roman" w:cs="Times New Roman" w:eastAsia="Times New Roman" w:hAnsi="Times New Roman"/>
          <w:sz w:val="14"/>
          <w:szCs w:val="14"/>
          <w:color w:val="auto"/>
        </w:rPr>
        <w:t>”). On July 22, 2021, CMLS consummated the Business Combination with Legacy Sema4. In connection with the Business Combination, CMLS changed its name to Sema4 Holdings Corp. (“</w:t>
      </w:r>
      <w:r>
        <w:rPr>
          <w:rFonts w:ascii="Times New Roman" w:cs="Times New Roman" w:eastAsia="Times New Roman" w:hAnsi="Times New Roman"/>
          <w:sz w:val="14"/>
          <w:szCs w:val="14"/>
          <w:i w:val="1"/>
          <w:iCs w:val="1"/>
          <w:color w:val="auto"/>
        </w:rPr>
        <w:t>Sema4 Holdings</w:t>
      </w:r>
      <w:r>
        <w:rPr>
          <w:rFonts w:ascii="Times New Roman" w:cs="Times New Roman" w:eastAsia="Times New Roman" w:hAnsi="Times New Roman"/>
          <w:sz w:val="14"/>
          <w:szCs w:val="14"/>
          <w:color w:val="auto"/>
        </w:rPr>
        <w:t>”). On April 29, 2022 Sema4 Holdings Corp. acquired Legacy GeneDx. Effective January 9, 2023, Sema 4 Holdings changed its corporate name to GeneDx Holdings Corp.</w:t>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Our address is 333 Ludlow Street, North Tower, 6th Floor, Stamford, Connecticut 06902. Our telephone number is 1 (888) 729-1206. Our website address is </w:t>
      </w:r>
      <w:r>
        <w:rPr>
          <w:rFonts w:ascii="Times New Roman" w:cs="Times New Roman" w:eastAsia="Times New Roman" w:hAnsi="Times New Roman"/>
          <w:sz w:val="14"/>
          <w:szCs w:val="14"/>
          <w:u w:val="single" w:color="auto"/>
          <w:color w:val="0000FF"/>
        </w:rPr>
        <w:t>http://www.genedx.com</w:t>
      </w:r>
      <w:r>
        <w:rPr>
          <w:rFonts w:ascii="Times New Roman" w:cs="Times New Roman" w:eastAsia="Times New Roman" w:hAnsi="Times New Roman"/>
          <w:sz w:val="14"/>
          <w:szCs w:val="14"/>
          <w:color w:val="auto"/>
        </w:rPr>
        <w:t>. Information contained on our website or connected thereto does not constitute part of, and is not incorporated by reference into, this prospectus supplement or the registration statement of which it forms a part.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13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Jumpstart Our Business Startups Act of 2012 (the “</w:t>
      </w:r>
      <w:r>
        <w:rPr>
          <w:rFonts w:ascii="Times New Roman" w:cs="Times New Roman" w:eastAsia="Times New Roman" w:hAnsi="Times New Roman"/>
          <w:sz w:val="14"/>
          <w:szCs w:val="14"/>
          <w:i w:val="1"/>
          <w:iCs w:val="1"/>
          <w:color w:val="auto"/>
        </w:rPr>
        <w:t>JOBS Act</w:t>
      </w:r>
      <w:r>
        <w:rPr>
          <w:rFonts w:ascii="Times New Roman" w:cs="Times New Roman" w:eastAsia="Times New Roman" w:hAnsi="Times New Roman"/>
          <w:sz w:val="14"/>
          <w:szCs w:val="14"/>
          <w:color w:val="auto"/>
        </w:rPr>
        <w:t>”). An emerging growth company may take advantage of reduced reporting requirements that are otherwise applicable to public companies. These provisions include, but are not limited to:</w:t>
      </w:r>
    </w:p>
    <w:p>
      <w:pPr>
        <w:spacing w:after="0" w:line="81" w:lineRule="exact"/>
        <w:rPr>
          <w:sz w:val="20"/>
          <w:szCs w:val="20"/>
          <w:color w:val="auto"/>
        </w:rPr>
      </w:pPr>
    </w:p>
    <w:p>
      <w:pPr>
        <w:ind w:left="500" w:right="20" w:hanging="254"/>
        <w:spacing w:after="0" w:line="282" w:lineRule="auto"/>
        <w:tabs>
          <w:tab w:leader="none" w:pos="49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of Section 404 of the Sarbanes-Oxley Act of 2002, as amended, on the effectiveness of our internal controls over financial reporting;</w:t>
      </w:r>
    </w:p>
    <w:p>
      <w:pPr>
        <w:spacing w:after="0" w:line="83"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arrangements in our periodic reports and proxy statements; and</w:t>
      </w:r>
    </w:p>
    <w:p>
      <w:pPr>
        <w:spacing w:after="0" w:line="132" w:lineRule="exact"/>
        <w:rPr>
          <w:rFonts w:ascii="Times New Roman" w:cs="Times New Roman" w:eastAsia="Times New Roman" w:hAnsi="Times New Roman"/>
          <w:sz w:val="14"/>
          <w:szCs w:val="14"/>
          <w:color w:val="auto"/>
        </w:rPr>
      </w:pPr>
    </w:p>
    <w:p>
      <w:pPr>
        <w:ind w:left="500" w:right="20" w:hanging="254"/>
        <w:spacing w:after="0" w:line="282" w:lineRule="auto"/>
        <w:tabs>
          <w:tab w:leader="none" w:pos="49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on executive compensation and stockholder approval of any golden parachute payments not previously approved.</w:t>
      </w:r>
    </w:p>
    <w:p>
      <w:pPr>
        <w:spacing w:after="0" w:line="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As of December 31, 2025, the Company will cease to qualify as an emerging growth company and will no longer be allowed to take advantage of the exemptions and reporting requirements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S-4</w:t>
      </w:r>
    </w:p>
    <w:p>
      <w:pPr>
        <w:sectPr>
          <w:pgSz w:w="11900" w:h="16838" w:orient="portrait"/>
          <w:cols w:equalWidth="0" w:num="1">
            <w:col w:w="10740"/>
          </w:cols>
          <w:pgMar w:left="580" w:top="1267" w:right="57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189865</wp:posOffset>
            </wp:positionH>
            <wp:positionV relativeFrom="page">
              <wp:posOffset>565785</wp:posOffset>
            </wp:positionV>
            <wp:extent cx="7169150" cy="899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69150" cy="899160"/>
                    </a:xfrm>
                    <a:prstGeom prst="rect">
                      <a:avLst/>
                    </a:prstGeom>
                    <a:noFill/>
                  </pic:spPr>
                </pic:pic>
              </a:graphicData>
            </a:graphic>
          </wp:anchor>
        </w:drawing>
        <w:t>We have elected to take advantage of certain of the reduced disclosure obligations in the documents incorporated by reference in this prospectus supplement.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S-5</w:t>
      </w:r>
    </w:p>
    <w:p>
      <w:pPr>
        <w:sectPr>
          <w:pgSz w:w="11900" w:h="16838" w:orient="portrait"/>
          <w:cols w:equalWidth="0" w:num="1">
            <w:col w:w="10740"/>
          </w:cols>
          <w:pgMar w:left="580" w:top="1269" w:right="579"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189865</wp:posOffset>
            </wp:positionH>
            <wp:positionV relativeFrom="page">
              <wp:posOffset>565785</wp:posOffset>
            </wp:positionV>
            <wp:extent cx="7169150" cy="5676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69150" cy="5676265"/>
                    </a:xfrm>
                    <a:prstGeom prst="rect">
                      <a:avLst/>
                    </a:prstGeom>
                    <a:noFill/>
                  </pic:spPr>
                </pic:pic>
              </a:graphicData>
            </a:graphic>
          </wp:anchor>
        </w:drawing>
        <w:t>THE OFFERING</w:t>
      </w:r>
    </w:p>
    <w:p>
      <w:pPr>
        <w:sectPr>
          <w:pgSz w:w="11900" w:h="16838" w:orient="portrait"/>
          <w:cols w:equalWidth="0" w:num="1">
            <w:col w:w="10740"/>
          </w:cols>
          <w:pgMar w:left="580" w:top="1277" w:right="579" w:bottom="144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A common stock offered by us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Shares of our Class A common stock having an aggregate offering price of up to $100,000,000.</w:t>
      </w:r>
    </w:p>
    <w:p>
      <w:pPr>
        <w:spacing w:after="0" w:line="211" w:lineRule="exact"/>
        <w:rPr>
          <w:sz w:val="20"/>
          <w:szCs w:val="20"/>
          <w:color w:val="auto"/>
        </w:rPr>
      </w:pPr>
    </w:p>
    <w:p>
      <w:pPr>
        <w:sectPr>
          <w:pgSz w:w="11900" w:h="16838" w:orient="portrait"/>
          <w:cols w:equalWidth="0" w:num="2">
            <w:col w:w="3400" w:space="720"/>
            <w:col w:w="6620"/>
          </w:cols>
          <w:pgMar w:left="580" w:top="1277" w:right="579" w:bottom="1440" w:gutter="0" w:footer="0" w:header="0"/>
          <w:type w:val="continuous"/>
        </w:sectPr>
      </w:pPr>
    </w:p>
    <w:p>
      <w:pPr>
        <w:spacing w:after="0" w:line="143" w:lineRule="exact"/>
        <w:rPr>
          <w:sz w:val="20"/>
          <w:szCs w:val="20"/>
          <w:color w:val="auto"/>
        </w:rPr>
      </w:pPr>
    </w:p>
    <w:p>
      <w:pPr>
        <w:jc w:val="right"/>
        <w:ind w:right="40"/>
        <w:spacing w:after="0" w:line="289" w:lineRule="auto"/>
        <w:rPr>
          <w:sz w:val="20"/>
          <w:szCs w:val="20"/>
          <w:color w:val="auto"/>
        </w:rPr>
      </w:pPr>
      <w:r>
        <w:rPr>
          <w:rFonts w:ascii="Times New Roman" w:cs="Times New Roman" w:eastAsia="Times New Roman" w:hAnsi="Times New Roman"/>
          <w:sz w:val="14"/>
          <w:szCs w:val="14"/>
          <w:color w:val="auto"/>
        </w:rPr>
        <w:t>Class A common stock to be outstanding immediately after this offering Up to 29,655,034 shares (as more fully described in the notes following this table), assuming sales of 765,345 shares of our Class A common stock in this offering at an offering price of $130.66 per share, which was the last reported</w:t>
      </w:r>
    </w:p>
    <w:p>
      <w:pPr>
        <w:spacing w:after="0" w:line="1" w:lineRule="exact"/>
        <w:rPr>
          <w:sz w:val="20"/>
          <w:szCs w:val="20"/>
          <w:color w:val="auto"/>
        </w:rPr>
      </w:pPr>
    </w:p>
    <w:p>
      <w:pPr>
        <w:ind w:left="4120" w:right="20"/>
        <w:spacing w:after="0" w:line="313" w:lineRule="auto"/>
        <w:rPr>
          <w:sz w:val="20"/>
          <w:szCs w:val="20"/>
          <w:color w:val="auto"/>
        </w:rPr>
      </w:pPr>
      <w:r>
        <w:rPr>
          <w:rFonts w:ascii="Times New Roman" w:cs="Times New Roman" w:eastAsia="Times New Roman" w:hAnsi="Times New Roman"/>
          <w:sz w:val="14"/>
          <w:szCs w:val="14"/>
          <w:color w:val="auto"/>
        </w:rPr>
        <w:t>sale price of our common shares on The Nasdaq Global Select Market on October 27, 2025. The actual number of shares issued will vary depending on the sales price under this offering.</w:t>
      </w:r>
    </w:p>
    <w:p>
      <w:pPr>
        <w:sectPr>
          <w:pgSz w:w="11900" w:h="16838" w:orient="portrait"/>
          <w:cols w:equalWidth="0" w:num="1">
            <w:col w:w="10740"/>
          </w:cols>
          <w:pgMar w:left="580" w:top="1277" w:right="579" w:bottom="1440" w:gutter="0" w:footer="0" w:header="0"/>
          <w:type w:val="continuous"/>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Plan of distribution</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market offering” that may be made from time to time through our sales agent, TD Cowen. See “Plan of</w:t>
      </w:r>
    </w:p>
    <w:p>
      <w:pPr>
        <w:spacing w:after="0" w:line="28" w:lineRule="exact"/>
        <w:rPr>
          <w:sz w:val="20"/>
          <w:szCs w:val="20"/>
          <w:color w:val="auto"/>
        </w:rPr>
      </w:pPr>
    </w:p>
    <w:p>
      <w:pPr>
        <w:sectPr>
          <w:pgSz w:w="11900" w:h="16838" w:orient="portrait"/>
          <w:cols w:equalWidth="0" w:num="2">
            <w:col w:w="3400" w:space="720"/>
            <w:col w:w="6620"/>
          </w:cols>
          <w:pgMar w:left="580" w:top="1277" w:right="579" w:bottom="1440" w:gutter="0" w:footer="0" w:header="0"/>
          <w:type w:val="continuous"/>
        </w:sectPr>
      </w:pPr>
    </w:p>
    <w:p>
      <w:pPr>
        <w:ind w:left="4120"/>
        <w:spacing w:after="0"/>
        <w:rPr>
          <w:sz w:val="20"/>
          <w:szCs w:val="20"/>
          <w:color w:val="auto"/>
        </w:rPr>
      </w:pPr>
      <w:r>
        <w:rPr>
          <w:rFonts w:ascii="Times New Roman" w:cs="Times New Roman" w:eastAsia="Times New Roman" w:hAnsi="Times New Roman"/>
          <w:sz w:val="14"/>
          <w:szCs w:val="14"/>
          <w:color w:val="auto"/>
        </w:rPr>
        <w:t>Distribution.”</w:t>
      </w:r>
    </w:p>
    <w:p>
      <w:pPr>
        <w:sectPr>
          <w:pgSz w:w="11900" w:h="16838" w:orient="portrait"/>
          <w:cols w:equalWidth="0" w:num="1">
            <w:col w:w="10740"/>
          </w:cols>
          <w:pgMar w:left="580" w:top="1277" w:right="579" w:bottom="1440" w:gutter="0" w:footer="0" w:header="0"/>
          <w:type w:val="continuous"/>
        </w:sect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Use of proceeds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intend to use the net proceeds of this offering primarily for general corporate purposes. General</w:t>
      </w:r>
    </w:p>
    <w:p>
      <w:pPr>
        <w:spacing w:after="0" w:line="28" w:lineRule="exact"/>
        <w:rPr>
          <w:sz w:val="20"/>
          <w:szCs w:val="20"/>
          <w:color w:val="auto"/>
        </w:rPr>
      </w:pPr>
    </w:p>
    <w:p>
      <w:pPr>
        <w:sectPr>
          <w:pgSz w:w="11900" w:h="16838" w:orient="portrait"/>
          <w:cols w:equalWidth="0" w:num="2">
            <w:col w:w="3400" w:space="720"/>
            <w:col w:w="6620"/>
          </w:cols>
          <w:pgMar w:left="580" w:top="1277" w:right="579" w:bottom="1440" w:gutter="0" w:footer="0" w:header="0"/>
          <w:type w:val="continuous"/>
        </w:sectPr>
      </w:pPr>
    </w:p>
    <w:p>
      <w:pPr>
        <w:ind w:left="4120"/>
        <w:spacing w:after="0"/>
        <w:rPr>
          <w:sz w:val="20"/>
          <w:szCs w:val="20"/>
          <w:color w:val="auto"/>
        </w:rPr>
      </w:pPr>
      <w:r>
        <w:rPr>
          <w:rFonts w:ascii="Times New Roman" w:cs="Times New Roman" w:eastAsia="Times New Roman" w:hAnsi="Times New Roman"/>
          <w:sz w:val="14"/>
          <w:szCs w:val="14"/>
          <w:color w:val="auto"/>
        </w:rPr>
        <w:t>corporate purposes may include additions to working capital, financing of capital expenditures, repayment or</w:t>
      </w:r>
    </w:p>
    <w:p>
      <w:pPr>
        <w:spacing w:after="0" w:line="3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redemption of existing indebtedness, and future acquisitions and strategic investment opportunities. See “Use of</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Proceeds.”</w:t>
      </w:r>
    </w:p>
    <w:p>
      <w:pPr>
        <w:sectPr>
          <w:pgSz w:w="11900" w:h="16838" w:orient="portrait"/>
          <w:cols w:equalWidth="0" w:num="1">
            <w:col w:w="10740"/>
          </w:cols>
          <w:pgMar w:left="580" w:top="1277" w:right="579" w:bottom="1440" w:gutter="0" w:footer="0" w:header="0"/>
          <w:type w:val="continuous"/>
        </w:sect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in our Class A common stock involves significant risks. See the disclosure under the heading “Risk</w:t>
      </w:r>
    </w:p>
    <w:p>
      <w:pPr>
        <w:spacing w:after="0" w:line="28" w:lineRule="exact"/>
        <w:rPr>
          <w:sz w:val="20"/>
          <w:szCs w:val="20"/>
          <w:color w:val="auto"/>
        </w:rPr>
      </w:pPr>
    </w:p>
    <w:p>
      <w:pPr>
        <w:sectPr>
          <w:pgSz w:w="11900" w:h="16838" w:orient="portrait"/>
          <w:cols w:equalWidth="0" w:num="2">
            <w:col w:w="3400" w:space="720"/>
            <w:col w:w="6620"/>
          </w:cols>
          <w:pgMar w:left="580" w:top="1277" w:right="579" w:bottom="1440" w:gutter="0" w:footer="0" w:header="0"/>
          <w:type w:val="continuous"/>
        </w:sectPr>
      </w:pPr>
    </w:p>
    <w:p>
      <w:pPr>
        <w:ind w:left="4120" w:right="40"/>
        <w:spacing w:after="0" w:line="329" w:lineRule="auto"/>
        <w:rPr>
          <w:sz w:val="20"/>
          <w:szCs w:val="20"/>
          <w:color w:val="auto"/>
        </w:rPr>
      </w:pPr>
      <w:r>
        <w:rPr>
          <w:rFonts w:ascii="Times New Roman" w:cs="Times New Roman" w:eastAsia="Times New Roman" w:hAnsi="Times New Roman"/>
          <w:sz w:val="14"/>
          <w:szCs w:val="14"/>
          <w:color w:val="auto"/>
        </w:rPr>
        <w:t>Factors” in this prospectus supplement and under similar headings in other documents incorporated by reference into this prospectus supplement and the accompanying base prospectus.</w:t>
      </w:r>
    </w:p>
    <w:p>
      <w:pPr>
        <w:sectPr>
          <w:pgSz w:w="11900" w:h="16838" w:orient="portrait"/>
          <w:cols w:equalWidth="0" w:num="1">
            <w:col w:w="10740"/>
          </w:cols>
          <w:pgMar w:left="580" w:top="1277" w:right="57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Nasdaq Global Select Market symbol</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“WGS”</w:t>
      </w:r>
    </w:p>
    <w:p>
      <w:pPr>
        <w:spacing w:after="0" w:line="200" w:lineRule="exact"/>
        <w:rPr>
          <w:sz w:val="20"/>
          <w:szCs w:val="20"/>
          <w:color w:val="auto"/>
        </w:rPr>
      </w:pPr>
    </w:p>
    <w:p>
      <w:pPr>
        <w:sectPr>
          <w:pgSz w:w="11900" w:h="16838" w:orient="portrait"/>
          <w:cols w:equalWidth="0" w:num="2">
            <w:col w:w="3400" w:space="720"/>
            <w:col w:w="6620"/>
          </w:cols>
          <w:pgMar w:left="580" w:top="1277" w:right="579" w:bottom="1440" w:gutter="0" w:footer="0" w:header="0"/>
          <w:type w:val="continuous"/>
        </w:sectPr>
      </w:pPr>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number of shares of our Class A common stock shown above to be outstanding after this offering is based on 28,889,689 shares of our Class A common stock outstanding as of September 30, 2025, and excludes:</w:t>
      </w:r>
    </w:p>
    <w:p>
      <w:pPr>
        <w:spacing w:after="0" w:line="83" w:lineRule="exact"/>
        <w:rPr>
          <w:sz w:val="20"/>
          <w:szCs w:val="20"/>
          <w:color w:val="auto"/>
        </w:rPr>
      </w:pPr>
    </w:p>
    <w:p>
      <w:pPr>
        <w:ind w:left="500" w:hanging="254"/>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666,515 shares of Class A common stock issuable upon exercise of warrants outstanding as of September 30, 2025, with a weighted average exercise price of $379.50 per share;</w:t>
      </w:r>
    </w:p>
    <w:p>
      <w:pPr>
        <w:spacing w:after="0" w:line="13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302,133 shares of Class A common stock issuable upon exercise of options outstanding as of September 30, 2025, with a weighted average exercise price of $47.42 per share;</w:t>
      </w:r>
    </w:p>
    <w:p>
      <w:pPr>
        <w:spacing w:after="0" w:line="132" w:lineRule="exact"/>
        <w:rPr>
          <w:rFonts w:ascii="Times New Roman" w:cs="Times New Roman" w:eastAsia="Times New Roman" w:hAnsi="Times New Roman"/>
          <w:sz w:val="14"/>
          <w:szCs w:val="14"/>
          <w:color w:val="auto"/>
        </w:rPr>
      </w:pPr>
    </w:p>
    <w:p>
      <w:pPr>
        <w:ind w:left="500" w:right="20" w:hanging="254"/>
        <w:spacing w:after="0" w:line="282" w:lineRule="auto"/>
        <w:tabs>
          <w:tab w:leader="none" w:pos="49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1,584,100 shares of Class A common stock issuable upon vesting and settlement of restricted stock units (“RSUs”) outstanding as of September 30, 2025 (including 81,702 shares of common stock issuable upon vesting and settlement of performance-based restricted stock units (“PRSUs”) outstanding as of September 30, 2025); and</w:t>
      </w:r>
    </w:p>
    <w:p>
      <w:pPr>
        <w:spacing w:after="0" w:line="83" w:lineRule="exact"/>
        <w:rPr>
          <w:rFonts w:ascii="Times New Roman" w:cs="Times New Roman" w:eastAsia="Times New Roman" w:hAnsi="Times New Roman"/>
          <w:sz w:val="14"/>
          <w:szCs w:val="14"/>
          <w:color w:val="auto"/>
        </w:rPr>
      </w:pPr>
    </w:p>
    <w:p>
      <w:pPr>
        <w:jc w:val="both"/>
        <w:ind w:left="500" w:right="20" w:hanging="254"/>
        <w:spacing w:after="0" w:line="261" w:lineRule="auto"/>
        <w:tabs>
          <w:tab w:leader="none" w:pos="49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3,810,474 shares of Class A common stock reserved and available for future issuance as of September 30, 2025, under our equity incentive plans, consisting of (1) 2,868,103 shares of Class A common stock reserved and available for issuance under our Amended and Restated 2021 Equity Incentive Plan (the “2021 Plan”), (2) 827,322 shares of Class A common stock reserved for issuance under our 2021 Employee Stock Purchase Plan (the “2021 ESPP”), and (3) 115,049 shares of Class A common stock reserved for issuance under our 2023 Equity Inducement Plan (the “2023 Plan”).</w:t>
      </w:r>
    </w:p>
    <w:p>
      <w:pPr>
        <w:spacing w:after="0" w:line="9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highlight w:val="white"/>
        </w:rPr>
        <w:t xml:space="preserve">Except as otherwise indicated, the information in this prospectus supplement assumes no equity awards were issued under our equity incentive plans after </w:t>
      </w:r>
      <w:r>
        <w:rPr>
          <w:rFonts w:ascii="Times New Roman" w:cs="Times New Roman" w:eastAsia="Times New Roman" w:hAnsi="Times New Roman"/>
          <w:sz w:val="14"/>
          <w:szCs w:val="14"/>
          <w:color w:val="auto"/>
        </w:rPr>
        <w:t>September 30, 2025,</w:t>
      </w:r>
      <w:r>
        <w:rPr>
          <w:rFonts w:ascii="Times New Roman" w:cs="Times New Roman" w:eastAsia="Times New Roman" w:hAnsi="Times New Roman"/>
          <w:sz w:val="14"/>
          <w:szCs w:val="14"/>
          <w:color w:val="auto"/>
          <w:highlight w:val="white"/>
        </w:rPr>
        <w:t xml:space="preserve"> that no outstanding warrants or options were exercised or terminated, and no outstanding RSUs vested and settled or were terminated, after </w:t>
      </w:r>
      <w:r>
        <w:rPr>
          <w:rFonts w:ascii="Times New Roman" w:cs="Times New Roman" w:eastAsia="Times New Roman" w:hAnsi="Times New Roman"/>
          <w:sz w:val="14"/>
          <w:szCs w:val="14"/>
          <w:color w:val="auto"/>
        </w:rPr>
        <w:t>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S-6</w:t>
      </w:r>
    </w:p>
    <w:p>
      <w:pPr>
        <w:sectPr>
          <w:pgSz w:w="11900" w:h="16838" w:orient="portrait"/>
          <w:cols w:equalWidth="0" w:num="1">
            <w:col w:w="10740"/>
          </w:cols>
          <w:pgMar w:left="580" w:top="1277" w:right="57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An investment in our securities involves a high degree of risk. You should consider the risk factors described in the “Risk Factors” sections of our Annual Report on Form 10-K for the fiscal year ended December 31, 2024, our Quarterly Report on Form 10-Q for the quarter ended March 31, 2025, our Quarterly Report on Form 10-Q for the quarter ended June 30, 2025 and our Quarterly Report on Form 10-Q for the quarter ended September 30, 2025, which reports are incorporated herein by reference, in addition to the factors set forth below and other information contained in or incorporated by reference in this prospectus supplement and the accompanying base prospectus before purchasing any shares of our Class A common stock. We may face additional risks and uncertainties that are not presently known to us, or that we currently deem immaterial, which may also impair our business or financial condition. See </w:t>
      </w:r>
      <w:r>
        <w:rPr>
          <w:rFonts w:ascii="Times New Roman" w:cs="Times New Roman" w:eastAsia="Times New Roman" w:hAnsi="Times New Roman"/>
          <w:sz w:val="14"/>
          <w:szCs w:val="14"/>
          <w:i w:val="1"/>
          <w:iCs w:val="1"/>
          <w:color w:val="auto"/>
        </w:rPr>
        <w:t>“Where You Can Find More Information; Incorporation by Reference”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“Cautionary Note Regarding Forward-Looking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this Offering</w:t>
      </w:r>
    </w:p>
    <w:p>
      <w:pPr>
        <w:spacing w:after="0" w:line="13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If you purchase shares of our Class A common stock sold in this offering, you may experience immediate and substantial dilution in the net tangible book value of your shares. In addition, we may issue additional equity or convertible debt securities in the future, which may result in additional dilution to you.</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price per share of our Class A common stock being offered may be higher than the net tangible book value per share of our outstanding Class A common stock prior to this offering. Assuming that an aggregate of 765,345 shares of our Class A common stock are sold at a price of $130.66 per share, the last reported sale price of our Class A common stock on The Nasdaq Global Select Market on October 27, 2025, for aggregate gross proceeds of approximately $100.0 million, and after deducting commissions and estimated offering expenses payable by us, new investors in this offering will incur immediate dilution of $123.78 per share. For a more detailed discussion of the foregoing, see the section entitled “</w:t>
      </w:r>
      <w:r>
        <w:rPr>
          <w:rFonts w:ascii="Times New Roman" w:cs="Times New Roman" w:eastAsia="Times New Roman" w:hAnsi="Times New Roman"/>
          <w:sz w:val="14"/>
          <w:szCs w:val="14"/>
          <w:i w:val="1"/>
          <w:iCs w:val="1"/>
          <w:color w:val="auto"/>
        </w:rPr>
        <w:t>Dilution</w:t>
      </w:r>
      <w:r>
        <w:rPr>
          <w:rFonts w:ascii="Times New Roman" w:cs="Times New Roman" w:eastAsia="Times New Roman" w:hAnsi="Times New Roman"/>
          <w:sz w:val="14"/>
          <w:szCs w:val="14"/>
          <w:color w:val="auto"/>
        </w:rPr>
        <w:t>” below. To the extent outstanding stock options or warrants are exercised, there will be further dilution to new investors. In addition, to the extent we need to raise additional capital in the future and we issue additional shares of Class A common stock or securities convertible or exchangeable for our Class A common stock, our then existing stockholders may experience dilution and the new securities may have rights senior to those of our Class A common stock offered in this offering.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this offering and may not use them effectively.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from this offering, including for any of the purposes described in the section entitled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general corporate purposes. The failure by our management to apply these funds effectively could harm our business. Pending their use, we plan to invest the net proceeds from this offering in short-term or long-term,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actual number of shares we will issue under the Sales Agreement, at any one time or in total, is uncertain.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the shares of Class A common stock during the sales period and limits we set with TD Cowen. Because the price per share of each share sold will fluctuate based on the market price of our Class A common stock during the sales period, it is not possible at this stage to predict the number of shares that will be ultimately issued.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Class A common stock offered hereby will be sold in “at the market offerings,” and investors who buy shares at different times will likely pay different prices.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S-7</w:t>
      </w:r>
    </w:p>
    <w:p>
      <w:pPr>
        <w:sectPr>
          <w:pgSz w:w="11900" w:h="16838" w:orient="portrait"/>
          <w:cols w:equalWidth="0" w:num="1">
            <w:col w:w="11280"/>
          </w:cols>
          <w:pgMar w:left="300" w:top="878" w:right="319" w:bottom="1440" w:gutter="0" w:footer="0" w:header="0"/>
        </w:sectPr>
      </w:pPr>
    </w:p>
    <w:bookmarkStart w:id="48" w:name="page49"/>
    <w:bookmarkEnd w:id="48"/>
    <w:p>
      <w:pPr>
        <w:jc w:val="both"/>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intend to retain future earnings, if any, for future operations and expansion of our business and have no current plans to pay any cash dividends for the foreseeable future. The declaration, amount and payment of any future dividends on shares of Class A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Class A common stock unless you sell our Class A common stock for a price greater than that which you paid for it.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S-8</w:t>
      </w:r>
    </w:p>
    <w:p>
      <w:pPr>
        <w:sectPr>
          <w:pgSz w:w="11900" w:h="16838" w:orient="portrait"/>
          <w:cols w:equalWidth="0" w:num="1">
            <w:col w:w="11280"/>
          </w:cols>
          <w:pgMar w:left="300" w:top="878"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Certain matters discussed in this prospectus supplement, the accompanying base prospectus and the documents incorporated by reference herein and therein, may constitute forward-looking statements for purposes of the Securities Act and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 this prospectus supplement, the accompanying base prospectus and the documents incorporated by reference herein and therein, as well as other factors which may be identified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04" w:lineRule="exact"/>
        <w:rPr>
          <w:sz w:val="20"/>
          <w:szCs w:val="20"/>
          <w:color w:val="auto"/>
        </w:rPr>
      </w:pP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application of the net proceeds from this offering;</w:t>
      </w:r>
    </w:p>
    <w:p>
      <w:pPr>
        <w:spacing w:after="0" w:line="21" w:lineRule="exact"/>
        <w:rPr>
          <w:rFonts w:ascii="Times New Roman" w:cs="Times New Roman" w:eastAsia="Times New Roman" w:hAnsi="Times New Roman"/>
          <w:sz w:val="14"/>
          <w:szCs w:val="14"/>
          <w:color w:val="auto"/>
        </w:rPr>
      </w:pPr>
    </w:p>
    <w:p>
      <w:pPr>
        <w:ind w:left="500" w:hanging="244"/>
        <w:spacing w:after="0" w:line="250" w:lineRule="auto"/>
        <w:tabs>
          <w:tab w:leader="none" w:pos="49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the sufficiency of our existing capital resources combined with future anticipated cash flows and future capital requirements to finance our operating requirements, and capital expenditures;</w:t>
      </w: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for generating revenue, incurring losses, and remaining profitable on a sustained basis;</w:t>
      </w:r>
    </w:p>
    <w:p>
      <w:pPr>
        <w:spacing w:after="0" w:line="6" w:lineRule="exact"/>
        <w:rPr>
          <w:rFonts w:ascii="Times New Roman" w:cs="Times New Roman" w:eastAsia="Times New Roman" w:hAnsi="Times New Roman"/>
          <w:sz w:val="14"/>
          <w:szCs w:val="14"/>
          <w:color w:val="auto"/>
        </w:rPr>
      </w:pPr>
    </w:p>
    <w:p>
      <w:pPr>
        <w:jc w:val="both"/>
        <w:ind w:left="500" w:hanging="244"/>
        <w:spacing w:after="0" w:line="250" w:lineRule="auto"/>
        <w:tabs>
          <w:tab w:leader="none" w:pos="49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circumstances or other disruptions to normal business operations arising from general economic and political conditions such as recessions, fluctuating inflation, interest rates and tariff rates, government budget cuts and government shut downs, supply chain interruptions and manufacturing constraints, public health emergencies, natural disasters, acts of terrorism or other uncontrollable events;</w:t>
      </w: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our business strategy;</w:t>
      </w:r>
    </w:p>
    <w:p>
      <w:pPr>
        <w:spacing w:after="0" w:line="6"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or ability to enter into service, collaboration and other partnership agreements;</w:t>
      </w:r>
    </w:p>
    <w:p>
      <w:pPr>
        <w:spacing w:after="0" w:line="6"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or ability to build our own commercial infrastructure to scale market and sell our products;</w:t>
      </w:r>
    </w:p>
    <w:p>
      <w:pPr>
        <w:spacing w:after="0" w:line="6"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expected benefits of our acquisition of Fabric Genomics, Inc. (“Fabric Genomics”);</w:t>
      </w:r>
    </w:p>
    <w:p>
      <w:pPr>
        <w:spacing w:after="0" w:line="6"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or authorizations by the U.S. Food and Drug Administration, or other regulatory authorities;</w:t>
      </w:r>
    </w:p>
    <w:p>
      <w:pPr>
        <w:spacing w:after="0" w:line="6"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governmental regulation and other legal obligations, including privacy, data protection, information security, consumer protection, and anti-corruption and anti-bribery;</w:t>
      </w:r>
    </w:p>
    <w:p>
      <w:pPr>
        <w:spacing w:after="0" w:line="6"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intellectual property protection for our product candidates;</w:t>
      </w:r>
    </w:p>
    <w:p>
      <w:pPr>
        <w:spacing w:after="0" w:line="6"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against existing and emerging technologies;</w:t>
      </w:r>
    </w:p>
    <w:p>
      <w:pPr>
        <w:spacing w:after="0" w:line="6"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payor reimbursement and coverage decisions, negotiations and settlements;</w:t>
      </w:r>
    </w:p>
    <w:p>
      <w:pPr>
        <w:spacing w:after="0" w:line="6"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third-party service providers for our data programs;</w:t>
      </w:r>
    </w:p>
    <w:p>
      <w:pPr>
        <w:spacing w:after="0" w:line="6" w:lineRule="exact"/>
        <w:rPr>
          <w:rFonts w:ascii="Times New Roman" w:cs="Times New Roman" w:eastAsia="Times New Roman" w:hAnsi="Times New Roman"/>
          <w:sz w:val="14"/>
          <w:szCs w:val="14"/>
          <w:color w:val="auto"/>
        </w:rPr>
      </w:pPr>
    </w:p>
    <w:p>
      <w:pPr>
        <w:ind w:left="500" w:hanging="244"/>
        <w:spacing w:after="0" w:line="250" w:lineRule="auto"/>
        <w:tabs>
          <w:tab w:leader="none" w:pos="49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accounting estimates and judgments, including our expectations regarding the adequacy of our reserves for third party payor claims, and the fair value of the contingent consideration liability and our conclusions regarding the appropriateness of the carrying value of intangible assets and goodwill for the Fabric Genomics acquisition;</w:t>
      </w: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and its volatility; and</w:t>
      </w:r>
    </w:p>
    <w:p>
      <w:pPr>
        <w:spacing w:after="0" w:line="6"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personnel.</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supplement, the accompanying base prospectus and the documents incorporated by reference herein and therein reflect our views and assumptions only as of the date of this prospectus supplement, the accompanying base prospectus or such document as applicable. Except as required by law, we assume no responsibility for updating any forward-looking statements.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S-9</w:t>
      </w:r>
    </w:p>
    <w:p>
      <w:pPr>
        <w:sectPr>
          <w:pgSz w:w="11900" w:h="16838" w:orient="portrait"/>
          <w:cols w:equalWidth="0" w:num="1">
            <w:col w:w="11280"/>
          </w:cols>
          <w:pgMar w:left="300" w:top="878"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may issue and sell shares of our Class A common stock having aggregate sales proceeds of up to $100,000,000 from time to time. Because there is no minimum offering amount required pursuant to the Sales Agreement, the actual total public offering amount, commissions and proceeds to us, if any, are not determinable at this time. There can be no assurance that we will sell any shares under or fully utilize the Sales Agreement with TD Cowen as a source of financing.</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to us from the sale of our Class A common stock under this prospectus supplement and the accompanying base prospectus. General corporate purposes may include additions to working capital, financing of capital expenditures, repayment or redemption of existing indebtedness, and future acquisitions and strategic investment opportunities. Pending the application of net proceeds, we expect to invest the net proceeds in investment 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S-10</w:t>
      </w:r>
    </w:p>
    <w:p>
      <w:pPr>
        <w:sectPr>
          <w:pgSz w:w="11900" w:h="16838" w:orient="portrait"/>
          <w:cols w:equalWidth="0" w:num="1">
            <w:col w:w="11280"/>
          </w:cols>
          <w:pgMar w:left="300" w:top="878"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you invest in our Class A common stock, your interest may be diluted to the extent of the difference between the price per share you pay in this offering and the net tangible book value per share of our Class A common stock immediately after this offering. Our net tangible book value of our Class A common stock as of September 30, 2025 was approximately $106.9 million, or approximately $3.70 per share of Class A common stock based upon 28,889,689 shares outstanding as of September 30, 2025. Net tangible book value per share is equal to our total tangible assets, less our total liabilities, divided by the total number of shares outstanding as of September 30, 2025.</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After giving effect to the sale of our Class A common stock in the aggregate amount of $100,000,000 at an assumed offering price of $130.66 per share, the last reported sale price of our Class A common stock on The Nasdaq Global Select Market on October 27, 2025, and after deducting commissions and estimated offering expenses payable by us, our as adjusted net tangible book value as of September 30, 2025 would have been approximately $97.2 million, or $6.88 per share of Class A common stock. This represents an immediate increase in net tangible book value of $3.18 per share to our existing stockholders and an immediate dilution in net tangible book value of $123.78 per share to new investors in this offering.</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following table illustrates this calculation on a per share basis. The as-adjusted information is illustrative only and will adjust based on the actual price to the public, the actual number of shares sold and other terms of the offering determined at the time shares of our Class A common stock are sold pursuant to this prospectus supplement and the accompanying base prospectus. The as-adjusted information assumes that all of our Class A common stock in the aggregate amount of $100,000,000 is sold at the assumed offering price of $130.66 per share, the last reported sale price of our Class A common stock on The Nasdaq Global Select Market on October 27, 2025. The shares sold in this offering, if any, will be sold from time to time at various prices.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8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130.66</w:t>
            </w:r>
          </w:p>
        </w:tc>
        <w:tc>
          <w:tcPr>
            <w:tcW w:w="0" w:type="dxa"/>
            <w:vAlign w:val="bottom"/>
          </w:tcPr>
          <w:p>
            <w:pPr>
              <w:spacing w:after="0"/>
              <w:rPr>
                <w:sz w:val="1"/>
                <w:szCs w:val="1"/>
                <w:color w:val="auto"/>
              </w:rPr>
            </w:pPr>
          </w:p>
        </w:tc>
      </w:tr>
      <w:tr>
        <w:trPr>
          <w:trHeight w:val="24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tangible book value per share as of September 30, 2025</w:t>
            </w:r>
          </w:p>
        </w:tc>
        <w:tc>
          <w:tcPr>
            <w:tcW w:w="860" w:type="dxa"/>
            <w:vAlign w:val="bottom"/>
            <w:vMerge w:val="restart"/>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73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the offering</w:t>
            </w:r>
          </w:p>
        </w:tc>
        <w:tc>
          <w:tcPr>
            <w:tcW w:w="8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adjusted net tangible book value per share after giving effect to the offering</w:t>
            </w:r>
          </w:p>
        </w:tc>
        <w:tc>
          <w:tcPr>
            <w:tcW w:w="8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42"/>
        </w:trPr>
        <w:tc>
          <w:tcPr>
            <w:tcW w:w="73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Dilution per share to new investors participating in the offering</w:t>
            </w:r>
          </w:p>
        </w:tc>
        <w:tc>
          <w:tcPr>
            <w:tcW w:w="86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123.78</w:t>
            </w:r>
          </w:p>
        </w:tc>
        <w:tc>
          <w:tcPr>
            <w:tcW w:w="0" w:type="dxa"/>
            <w:vAlign w:val="bottom"/>
          </w:tcPr>
          <w:p>
            <w:pPr>
              <w:spacing w:after="0"/>
              <w:rPr>
                <w:sz w:val="1"/>
                <w:szCs w:val="1"/>
                <w:color w:val="auto"/>
              </w:rPr>
            </w:pPr>
          </w:p>
        </w:tc>
      </w:tr>
      <w:tr>
        <w:trPr>
          <w:trHeight w:val="42"/>
        </w:trPr>
        <w:tc>
          <w:tcPr>
            <w:tcW w:w="73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number of shares of our Class A common stock shown above to be outstanding after this offering is based on 28,889,689 shares of our Class A common stock outstanding as of September 30, 2025, and excludes:</w:t>
      </w:r>
    </w:p>
    <w:p>
      <w:pPr>
        <w:spacing w:after="0" w:line="83" w:lineRule="exact"/>
        <w:rPr>
          <w:sz w:val="20"/>
          <w:szCs w:val="20"/>
          <w:color w:val="auto"/>
        </w:rPr>
      </w:pPr>
    </w:p>
    <w:p>
      <w:pPr>
        <w:ind w:left="500" w:hanging="244"/>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666,515 shares of Class A common stock issuable upon exercise of warrants outstanding as of September 30, 2025, with a weighted average exercise price of $379.50 per share;</w:t>
      </w:r>
    </w:p>
    <w:p>
      <w:pPr>
        <w:spacing w:after="0" w:line="132"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302,133 shares of Class A common stock issuable upon exercise of options outstanding as of September 30, 2025, with a weighted average exercise price of $47.42 per share;</w:t>
      </w:r>
    </w:p>
    <w:p>
      <w:pPr>
        <w:spacing w:after="0" w:line="132" w:lineRule="exact"/>
        <w:rPr>
          <w:rFonts w:ascii="Times New Roman" w:cs="Times New Roman" w:eastAsia="Times New Roman" w:hAnsi="Times New Roman"/>
          <w:sz w:val="14"/>
          <w:szCs w:val="14"/>
          <w:color w:val="auto"/>
        </w:rPr>
      </w:pPr>
    </w:p>
    <w:p>
      <w:pPr>
        <w:ind w:left="500" w:hanging="244"/>
        <w:spacing w:after="0" w:line="282" w:lineRule="auto"/>
        <w:tabs>
          <w:tab w:leader="none" w:pos="49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1,584,100 shares of Class A common stock issuable upon vesting and settlement of RSUs outstanding as of September 30, 2025 (including 81,702 shares of Class A common stock issuable upon vesting and settlement of PRSUs outstanding as of September 30, 2025); and</w:t>
      </w:r>
    </w:p>
    <w:p>
      <w:pPr>
        <w:spacing w:after="0" w:line="83" w:lineRule="exact"/>
        <w:rPr>
          <w:rFonts w:ascii="Times New Roman" w:cs="Times New Roman" w:eastAsia="Times New Roman" w:hAnsi="Times New Roman"/>
          <w:sz w:val="14"/>
          <w:szCs w:val="14"/>
          <w:color w:val="auto"/>
        </w:rPr>
      </w:pPr>
    </w:p>
    <w:p>
      <w:pPr>
        <w:jc w:val="both"/>
        <w:ind w:left="500" w:hanging="244"/>
        <w:spacing w:after="0" w:line="266" w:lineRule="auto"/>
        <w:tabs>
          <w:tab w:leader="none" w:pos="49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3,810,474 shares of Class A common stock reserved and available for future issuance as of September 30, 2025, under our equity incentive plans, consisting of (1) 2,868,103 shares of Class A common stock reserved and available for issuance under the 2021 Plan, (2) 827,322 shares of Class A common stock reserved for issuance under the 2021 ESPP, and (3) 115,049 shares of Class A common stock reserved for issuance under the 2023 Plan.</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Except as otherwise indicated, the information in this prospectus supplement assumes no equity awards were issued under our equity incentive plans after September 30, 2025, that no outstanding warrants or options were exercised or terminated, and no outstanding RSUs vested and settled or were terminated, after September 30,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S-11</w:t>
      </w:r>
    </w:p>
    <w:p>
      <w:pPr>
        <w:sectPr>
          <w:pgSz w:w="11900" w:h="16838" w:orient="portrait"/>
          <w:cols w:equalWidth="0" w:num="1">
            <w:col w:w="11280"/>
          </w:cols>
          <w:pgMar w:left="300" w:top="878"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entered into a Sales Agreement with TD Cowen, under which we may issue and sell from time to time up to $100,000,000 of our Class A common stock through or to TD Cowen as our sales agent. Sales of our Class A common stock, if any, will be made in negotiated transactions, including block trades or block sales, or by any method permitted by law deemed to be an “at the market offering” as defined in Rule 415 under the Securities Act, including without limitation sales made through Nasdaq or on any other existing trading market for our Class A common stock, or by any other method permitted by law. Sales pursuant to the Sales Agreement may be made through an affiliate of TD Cowen.</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TD Cowen will offer our Class A common stock subject to the terms and conditions of the Sales Agreement on a daily basis or as otherwise agreed upon by us and TD Cowen. We will designate the maximum amount of Class A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Class A common stock requested to be sold by us. We may instruct TD Cowen not to sell Class A common stock if the sales cannot be effected at or above the price designated by us in any such instruction. TD Cowen or we may suspend the offering of our Class A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aggregate compensation payable to TD Cowen as sales agent equals up to 3.0% of the gross sales price of the shares sold through it pursuant to the Sales Agreement. We have also agreed to reimburse TD Cowen up to $75,000 of TD Cowen’s actual outside legal expenses incurred by TD Cowen in connection with this offering. We estimate that the total expenses of the offering payable by us, excluding commissions payable to TD Cowen under the Sales Agreement, will be approximately $0.3 million.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remaining sales proceeds, after deducting any expenses payable by us and any transaction fees imposed by any governmental, regulatory, or self-regulatory organization in connection with the sales, will equal our net proceeds for the sale of such Class A common stock.</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TD Cowen will provide written confirmation to us following the close of trading on Nasdaq on each day in which Class A common stock is sold through it as sales agent under the Sales Agreement. Each confirmation will include the number of shares of Class A common stock sold through it as sales agent on that day, the volume weighted average price of the shares sold, the percentage of the daily trading volume and the net proceeds to us.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will report at least quarterly the number of shares of Class A common stock sold through TD Cowen under the Sales Agreement, and the net proceeds to us in connection with the sales of Class A common stock.</w:t>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Settlement for sales of Class A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connection with the sales of our Class A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Class A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listed on Nasdaq and trades under the symbol “WGS.” The transfer agent of our Class A common stock is Continental Stock Transfer &amp; Trust Company.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S-12</w:t>
      </w:r>
    </w:p>
    <w:p>
      <w:pPr>
        <w:sectPr>
          <w:pgSz w:w="11900" w:h="16838" w:orient="portrait"/>
          <w:cols w:equalWidth="0" w:num="1">
            <w:col w:w="11280"/>
          </w:cols>
          <w:pgMar w:left="300" w:top="878" w:right="31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Fenwick &amp; West LLP, New York, New York, will pass upon certain legal matters relating to the issuance and sale of the shares of Class A common stock offered hereby on behalf of GeneDx Holdings Corp. TD Cowen is being represented in connection with this offering by DLA Piper LLP (US), Seattle, Washington.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S-13</w:t>
      </w:r>
    </w:p>
    <w:p>
      <w:pPr>
        <w:sectPr>
          <w:pgSz w:w="11900" w:h="16838" w:orient="portrait"/>
          <w:cols w:equalWidth="0" w:num="1">
            <w:col w:w="11280"/>
          </w:cols>
          <w:pgMar w:left="300" w:top="878"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GeneDx Holdings Corp. appearing in GeneDx Holdings Corp.’s Annual Report on Form 10-K for the years ended December 31, 2023 and 2024, have been audited by Ernst &amp; Young LLP, an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S-14</w:t>
      </w:r>
    </w:p>
    <w:p>
      <w:pPr>
        <w:sectPr>
          <w:pgSz w:w="11900" w:h="16838" w:orient="portrait"/>
          <w:cols w:equalWidth="0" w:num="1">
            <w:col w:w="11280"/>
          </w:cols>
          <w:pgMar w:left="300" w:top="878" w:right="31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768350</wp:posOffset>
            </wp:positionV>
            <wp:extent cx="71628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page">
              <wp:posOffset>3211195</wp:posOffset>
            </wp:positionH>
            <wp:positionV relativeFrom="page">
              <wp:posOffset>1261745</wp:posOffset>
            </wp:positionV>
            <wp:extent cx="1132840" cy="400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32840"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Up to $100,000,000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964565</wp:posOffset>
            </wp:positionV>
            <wp:extent cx="117284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11728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156210</wp:posOffset>
            </wp:positionV>
            <wp:extent cx="117284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11728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TD 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168275</wp:posOffset>
            </wp:positionV>
            <wp:extent cx="71628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141605</wp:posOffset>
            </wp:positionV>
            <wp:extent cx="71628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6" w:name="page57"/>
    <w:bookmarkEnd w:id="56"/>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(1) Item 14. Other Expenses of Issuance and Distribution</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table sets forth estimated expenses in connection with the issuance and distribution of the securities being registered:</w:t>
      </w:r>
    </w:p>
    <w:p>
      <w:pPr>
        <w:sectPr>
          <w:pgSz w:w="11900" w:h="16838" w:orient="portrait"/>
          <w:cols w:equalWidth="0" w:num="1">
            <w:col w:w="11280"/>
          </w:cols>
          <w:pgMar w:left="300" w:top="1440" w:right="319" w:bottom="1440" w:gutter="0" w:footer="0" w:header="0"/>
        </w:sect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113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62800" cy="11303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Printing and engraving**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7162800" cy="113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62800" cy="1130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7162800" cy="113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62800" cy="1130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Transfer agent and registrar fees and expenses**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7162800" cy="133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62800" cy="13335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222" w:hanging="1222"/>
        <w:spacing w:after="0"/>
        <w:tabs>
          <w:tab w:leader="none" w:pos="122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4,466.50</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33655</wp:posOffset>
            </wp:positionV>
            <wp:extent cx="12192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1219200" cy="635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8658" w:space="720"/>
            <w:col w:w="1902"/>
          </w:cols>
          <w:pgMar w:left="300" w:top="1440" w:right="319" w:bottom="1440" w:gutter="0" w:footer="0" w:header="0"/>
          <w:type w:val="continuous"/>
        </w:sectPr>
      </w:pPr>
    </w:p>
    <w:p>
      <w:pPr>
        <w:ind w:left="180" w:right="20" w:hanging="188"/>
        <w:spacing w:after="0" w:line="258" w:lineRule="auto"/>
        <w:tabs>
          <w:tab w:leader="none" w:pos="160" w:val="left"/>
        </w:tabs>
        <w:rPr>
          <w:sz w:val="20"/>
          <w:szCs w:val="20"/>
          <w:color w:val="auto"/>
        </w:rPr>
      </w:pPr>
      <w:r>
        <w:rPr>
          <w:rFonts w:ascii="Times New Roman" w:cs="Times New Roman" w:eastAsia="Times New Roman" w:hAnsi="Times New Roman"/>
          <w:sz w:val="11"/>
          <w:szCs w:val="11"/>
          <w:color w:val="auto"/>
        </w:rPr>
        <w:t>*</w:t>
        <w:tab/>
        <w:t>Represents registration fee applicable to amount included in the prospectus supplement contained in the registration statement, for up to $100,000,000 in shares of Class A common stock to be sold by the Registrant pursuant to the Sales Agreement, dated October 28, 2025, with TD Securities (USA) LLC. Additional registration fees deferred in reliance upon Rule 456(b) and 457(r) under the Securities Exchange Act of 1934, as amended.</w:t>
      </w:r>
    </w:p>
    <w:p>
      <w:pPr>
        <w:spacing w:after="0" w:line="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1"/>
          <w:szCs w:val="11"/>
          <w:color w:val="auto"/>
        </w:rPr>
        <w:t>**</w:t>
        <w:tab/>
        <w:t>These fees and expenses depend on the type of securities offered and the number of issuances and, accordingly, cannot be estimated at this time.</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(2) Item 15. Indemnification of Officers and Directors</w:t>
      </w:r>
    </w:p>
    <w:p>
      <w:pPr>
        <w:spacing w:after="0" w:line="135" w:lineRule="exact"/>
        <w:rPr>
          <w:sz w:val="20"/>
          <w:szCs w:val="20"/>
          <w:color w:val="auto"/>
        </w:rPr>
      </w:pPr>
    </w:p>
    <w:p>
      <w:pPr>
        <w:ind w:right="20" w:firstLine="252"/>
        <w:spacing w:after="0" w:line="266" w:lineRule="auto"/>
        <w:rPr>
          <w:sz w:val="20"/>
          <w:szCs w:val="20"/>
          <w:color w:val="auto"/>
        </w:rPr>
      </w:pPr>
      <w:r>
        <w:rPr>
          <w:rFonts w:ascii="Times New Roman" w:cs="Times New Roman" w:eastAsia="Times New Roman" w:hAnsi="Times New Roman"/>
          <w:sz w:val="14"/>
          <w:szCs w:val="14"/>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right="480" w:firstLine="252"/>
        <w:spacing w:after="0" w:line="267" w:lineRule="auto"/>
        <w:rPr>
          <w:sz w:val="20"/>
          <w:szCs w:val="20"/>
          <w:color w:val="auto"/>
        </w:rPr>
      </w:pPr>
      <w:r>
        <w:rPr>
          <w:rFonts w:ascii="Times New Roman" w:cs="Times New Roman" w:eastAsia="Times New Roman" w:hAnsi="Times New Roman"/>
          <w:sz w:val="14"/>
          <w:szCs w:val="14"/>
          <w:color w:val="auto"/>
        </w:rPr>
        <w:t>As permitted by the Delaware General Corporation Law, the Registrant’s third amended and restated certificate of incorporation, as amended (the “</w:t>
      </w:r>
      <w:r>
        <w:rPr>
          <w:rFonts w:ascii="Times New Roman" w:cs="Times New Roman" w:eastAsia="Times New Roman" w:hAnsi="Times New Roman"/>
          <w:sz w:val="14"/>
          <w:szCs w:val="14"/>
          <w:i w:val="1"/>
          <w:iCs w:val="1"/>
          <w:color w:val="auto"/>
        </w:rPr>
        <w:t>amended and restated certificate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incorporation</w:t>
      </w:r>
      <w:r>
        <w:rPr>
          <w:rFonts w:ascii="Times New Roman" w:cs="Times New Roman" w:eastAsia="Times New Roman" w:hAnsi="Times New Roman"/>
          <w:sz w:val="14"/>
          <w:szCs w:val="14"/>
          <w:color w:val="auto"/>
        </w:rPr>
        <w:t>”), contains a provision that eliminates, to the fullest extent permitted by law, the personal liability of a director or officer for monetary damages resulting from breach of his or 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fiduciary duties as a director or officer, respectively, except for liability:</w:t>
      </w:r>
    </w:p>
    <w:p>
      <w:pPr>
        <w:spacing w:after="0" w:line="94" w:lineRule="exact"/>
        <w:rPr>
          <w:sz w:val="20"/>
          <w:szCs w:val="20"/>
          <w:color w:val="auto"/>
        </w:rPr>
      </w:pPr>
    </w:p>
    <w:p>
      <w:pPr>
        <w:ind w:left="260" w:hanging="256"/>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 director’s or officer’s duty of loyalty to the Registrant or its stockholders;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not in good faith or that involve intentional misconduct or a knowing violation of law;</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 director under Section 174 of the Delaware General Corporation Law (regarding unlawful dividends, stock purchases or redemptions);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or officer derived an improper personal benefit; or</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an officer in any action by or in the right of the Registrant.</w:t>
      </w:r>
    </w:p>
    <w:p>
      <w:pPr>
        <w:spacing w:after="0" w:line="132"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permitted by the Delaware General Corporation Law, the Registrant’s restated bylaws provide that:</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required to indemnify its directors and officers to the fullest extent permitted by the Delaware General Corporation Law, subject to certain very limited exceptions;</w:t>
      </w:r>
    </w:p>
    <w:p>
      <w:pPr>
        <w:spacing w:after="0" w:line="132"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may indemnify its other employees and agents as set forth in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440" w:right="319" w:bottom="1440" w:gutter="0" w:footer="0" w:header="0"/>
          <w:type w:val="continuous"/>
        </w:sectPr>
      </w:pPr>
    </w:p>
    <w:bookmarkStart w:id="57" w:name="page58"/>
    <w:bookmarkEnd w:id="57"/>
    <w:p>
      <w:pPr>
        <w:ind w:left="260" w:hanging="256"/>
        <w:spacing w:after="0" w:line="282" w:lineRule="auto"/>
        <w:tabs>
          <w:tab w:leader="none" w:pos="25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required to advance expenses, as incurred, to its directors and officers in connection with a legal proceeding to the fullest extent permitted by the Delaware General Corporation Law, subject to certain very limited exceptions; and</w:t>
      </w:r>
    </w:p>
    <w:p>
      <w:pPr>
        <w:spacing w:after="0" w:line="8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conferred in the amended and restated bylaws are not exclusive.</w:t>
      </w:r>
    </w:p>
    <w:p>
      <w:pPr>
        <w:spacing w:after="0" w:line="133" w:lineRule="exact"/>
        <w:rPr>
          <w:sz w:val="20"/>
          <w:szCs w:val="20"/>
          <w:color w:val="auto"/>
        </w:rPr>
      </w:pPr>
    </w:p>
    <w:p>
      <w:pPr>
        <w:ind w:firstLine="252"/>
        <w:spacing w:after="0" w:line="258" w:lineRule="auto"/>
        <w:rPr>
          <w:sz w:val="20"/>
          <w:szCs w:val="20"/>
          <w:color w:val="auto"/>
        </w:rPr>
      </w:pPr>
      <w:r>
        <w:rPr>
          <w:rFonts w:ascii="Times New Roman" w:cs="Times New Roman" w:eastAsia="Times New Roman" w:hAnsi="Times New Roman"/>
          <w:sz w:val="14"/>
          <w:szCs w:val="14"/>
          <w:color w:val="auto"/>
        </w:rPr>
        <w:t>The Registrant has entered, and intends to continue to enter, into indemnification agreements with each of its directors and executive officers to provide these directors and executive officers additional contractual assurances regarding the scope of the indemnification set forth in the Registrant’s amended and restated certificate of incorporation and amended and restated bylaws and to provide additional procedural protections. The indemnification provisions in the Registrant’s amended and restated certificate of incorporation, the Registrant’s amended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 currently carries liability insurance for its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040"/>
          </w:cols>
          <w:pgMar w:left="300" w:top="1132" w:right="559" w:bottom="1440" w:gutter="0" w:footer="0" w:header="0"/>
        </w:sectPr>
      </w:pPr>
    </w:p>
    <w:bookmarkStart w:id="58" w:name="page59"/>
    <w:bookmarkEnd w:id="58"/>
    <w:p>
      <w:pPr>
        <w:ind w:left="500"/>
        <w:spacing w:after="0"/>
        <w:rPr>
          <w:sz w:val="20"/>
          <w:szCs w:val="20"/>
          <w:color w:val="auto"/>
        </w:rPr>
      </w:pPr>
      <w:r>
        <w:rPr>
          <w:rFonts w:ascii="Times New Roman" w:cs="Times New Roman" w:eastAsia="Times New Roman" w:hAnsi="Times New Roman"/>
          <w:sz w:val="14"/>
          <w:szCs w:val="14"/>
          <w:b w:val="1"/>
          <w:bCs w:val="1"/>
          <w:color w:val="auto"/>
        </w:rPr>
        <w:t>(3) Item 16.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121920</wp:posOffset>
            </wp:positionV>
            <wp:extent cx="271843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2718435" cy="6350"/>
                    </a:xfrm>
                    <a:prstGeom prst="rect">
                      <a:avLst/>
                    </a:prstGeom>
                    <a:noFill/>
                  </pic:spPr>
                </pic:pic>
              </a:graphicData>
            </a:graphic>
          </wp:anchor>
        </w:drawing>
      </w:r>
    </w:p>
    <w:p>
      <w:pPr>
        <w:spacing w:after="0" w:line="194"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7162800" cy="113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62800" cy="113030"/>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3320" w:val="left"/>
          <w:tab w:leader="none" w:pos="7300" w:val="left"/>
          <w:tab w:leader="none" w:pos="8220" w:val="left"/>
          <w:tab w:leader="none" w:pos="9200" w:val="left"/>
          <w:tab w:leader="none" w:pos="10320" w:val="left"/>
        </w:tabs>
        <w:rPr>
          <w:sz w:val="20"/>
          <w:szCs w:val="20"/>
          <w:color w:val="auto"/>
        </w:rPr>
      </w:pPr>
      <w:r>
        <w:rPr>
          <w:rFonts w:ascii="Times New Roman" w:cs="Times New Roman" w:eastAsia="Times New Roman" w:hAnsi="Times New Roman"/>
          <w:sz w:val="11"/>
          <w:szCs w:val="11"/>
          <w:b w:val="1"/>
          <w:bCs w:val="1"/>
          <w:color w:val="auto"/>
        </w:rPr>
        <w:t>No.</w:t>
      </w:r>
      <w:r>
        <w:rPr>
          <w:sz w:val="20"/>
          <w:szCs w:val="20"/>
          <w:color w:val="auto"/>
        </w:rPr>
        <w:tab/>
      </w:r>
      <w:r>
        <w:rPr>
          <w:rFonts w:ascii="Times New Roman" w:cs="Times New Roman" w:eastAsia="Times New Roman" w:hAnsi="Times New Roman"/>
          <w:sz w:val="11"/>
          <w:szCs w:val="11"/>
          <w:b w:val="1"/>
          <w:bCs w:val="1"/>
          <w:color w:val="auto"/>
        </w:rPr>
        <w:t>Description of Exhibit</w:t>
      </w:r>
      <w:r>
        <w:rPr>
          <w:sz w:val="20"/>
          <w:szCs w:val="20"/>
          <w:color w:val="auto"/>
        </w:rPr>
        <w:tab/>
      </w:r>
      <w:r>
        <w:rPr>
          <w:rFonts w:ascii="Times New Roman" w:cs="Times New Roman" w:eastAsia="Times New Roman" w:hAnsi="Times New Roman"/>
          <w:sz w:val="11"/>
          <w:szCs w:val="11"/>
          <w:b w:val="1"/>
          <w:bCs w:val="1"/>
          <w:color w:val="auto"/>
        </w:rPr>
        <w:t>Form</w:t>
      </w:r>
      <w:r>
        <w:rPr>
          <w:sz w:val="20"/>
          <w:szCs w:val="20"/>
          <w:color w:val="auto"/>
        </w:rPr>
        <w:tab/>
      </w: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Filing Date</w:t>
      </w:r>
      <w:r>
        <w:rPr>
          <w:sz w:val="20"/>
          <w:szCs w:val="20"/>
          <w:color w:val="auto"/>
        </w:rPr>
        <w:tab/>
      </w:r>
      <w:r>
        <w:rPr>
          <w:rFonts w:ascii="Times New Roman" w:cs="Times New Roman" w:eastAsia="Times New Roman" w:hAnsi="Times New Roman"/>
          <w:sz w:val="11"/>
          <w:szCs w:val="11"/>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46672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466725" cy="6350"/>
                    </a:xfrm>
                    <a:prstGeom prst="rect">
                      <a:avLst/>
                    </a:prstGeom>
                    <a:noFill/>
                  </pic:spPr>
                </pic:pic>
              </a:graphicData>
            </a:graphic>
          </wp:anchor>
        </w:drawing>
      </w:r>
    </w:p>
    <w:p>
      <w:pPr>
        <w:sectPr>
          <w:pgSz w:w="11900" w:h="16838" w:orient="portrait"/>
          <w:cols w:equalWidth="0" w:num="1">
            <w:col w:w="11280"/>
          </w:cols>
          <w:pgMar w:left="300" w:top="1288" w:right="319" w:bottom="1440" w:gutter="0" w:footer="0" w:header="0"/>
        </w:sectPr>
      </w:pP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1.1*</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1.2</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720" w:type="dxa"/>
            <w:vAlign w:val="bottom"/>
            <w:tcBorders>
              <w:top w:val="single" w:sz="8" w:color="auto"/>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color w:val="auto"/>
                <w:w w:val="96"/>
              </w:rPr>
              <w:t>Form of Underwriting Agreement</w:t>
            </w:r>
          </w:p>
        </w:tc>
        <w:tc>
          <w:tcPr>
            <w:tcW w:w="4320" w:type="dxa"/>
            <w:vAlign w:val="bottom"/>
            <w:tcBorders>
              <w:top w:val="single" w:sz="8" w:color="auto"/>
            </w:tcBorders>
            <w:gridSpan w:val="4"/>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169"/>
        </w:trPr>
        <w:tc>
          <w:tcPr>
            <w:tcW w:w="5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w w:val="96"/>
              </w:rPr>
              <w:t>Sales Agreement, dated October 28, 2025, by and between GeneDx Holdings Corp. and TD Securities (USA) LLC.</w:t>
            </w:r>
          </w:p>
        </w:tc>
        <w:tc>
          <w:tcPr>
            <w:tcW w:w="30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X</w:t>
            </w:r>
          </w:p>
        </w:tc>
      </w:tr>
      <w:tr>
        <w:trPr>
          <w:trHeight w:val="169"/>
        </w:trPr>
        <w:tc>
          <w:tcPr>
            <w:tcW w:w="6140" w:type="dxa"/>
            <w:vAlign w:val="bottom"/>
            <w:gridSpan w:val="6"/>
          </w:tcPr>
          <w:p>
            <w:pPr>
              <w:spacing w:after="0"/>
              <w:rPr>
                <w:rFonts w:ascii="Times New Roman" w:cs="Times New Roman" w:eastAsia="Times New Roman" w:hAnsi="Times New Roman"/>
                <w:sz w:val="13"/>
                <w:szCs w:val="13"/>
                <w:color w:val="auto"/>
              </w:rPr>
            </w:pPr>
            <w:hyperlink r:id="rId53">
              <w:r>
                <w:rPr>
                  <w:rFonts w:ascii="Times New Roman" w:cs="Times New Roman" w:eastAsia="Times New Roman" w:hAnsi="Times New Roman"/>
                  <w:sz w:val="13"/>
                  <w:szCs w:val="13"/>
                  <w:color w:val="auto"/>
                </w:rPr>
                <w:t>Agreement and Plan of Merger, dated February 9, 2021, by and among CMLS, Merger Sub and Legacy Sema4, as</w:t>
              </w:r>
            </w:hyperlink>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DEF14M</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Annex A</w:t>
            </w:r>
          </w:p>
        </w:tc>
        <w:tc>
          <w:tcPr>
            <w:tcW w:w="10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07/02/2021</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06"/>
        </w:trPr>
        <w:tc>
          <w:tcPr>
            <w:tcW w:w="5760" w:type="dxa"/>
            <w:vAlign w:val="bottom"/>
            <w:tcBorders>
              <w:top w:val="single" w:sz="8" w:color="auto"/>
            </w:tcBorders>
            <w:gridSpan w:val="3"/>
          </w:tcPr>
          <w:p>
            <w:pPr>
              <w:spacing w:after="0" w:line="106" w:lineRule="exact"/>
              <w:rPr>
                <w:rFonts w:ascii="Times New Roman" w:cs="Times New Roman" w:eastAsia="Times New Roman" w:hAnsi="Times New Roman"/>
                <w:sz w:val="12"/>
                <w:szCs w:val="12"/>
                <w:color w:val="auto"/>
              </w:rPr>
            </w:pPr>
            <w:hyperlink r:id="rId53">
              <w:r>
                <w:rPr>
                  <w:rFonts w:ascii="Times New Roman" w:cs="Times New Roman" w:eastAsia="Times New Roman" w:hAnsi="Times New Roman"/>
                  <w:sz w:val="12"/>
                  <w:szCs w:val="12"/>
                  <w:color w:val="auto"/>
                </w:rPr>
                <w:t>amended by Amendment to Agreement and Plan of Merger dated May 3, 2021.</w:t>
              </w:r>
            </w:hyperlink>
          </w:p>
        </w:tc>
        <w:tc>
          <w:tcPr>
            <w:tcW w:w="380" w:type="dxa"/>
            <w:vAlign w:val="bottom"/>
            <w:gridSpan w:val="3"/>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-292735</wp:posOffset>
            </wp:positionV>
            <wp:extent cx="716280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62800" cy="1200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80" w:space="480"/>
            <w:col w:w="10420"/>
          </w:cols>
          <w:pgMar w:left="300" w:top="1288" w:right="319" w:bottom="1440" w:gutter="0" w:footer="0" w:header="0"/>
          <w:type w:val="continuous"/>
        </w:sectPr>
      </w:pPr>
    </w:p>
    <w:tbl>
      <w:tblPr>
        <w:tblLayout w:type="fixed"/>
        <w:tblInd w:w="0" w:type="dxa"/>
        <w:tblCellMar>
          <w:top w:w="0" w:type="dxa"/>
          <w:left w:w="0" w:type="dxa"/>
          <w:bottom w:w="0" w:type="dxa"/>
          <w:right w:w="0" w:type="dxa"/>
        </w:tblCellMar>
      </w:tblPr>
      <w:tr>
        <w:trPr>
          <w:trHeight w:val="157"/>
        </w:trPr>
        <w:tc>
          <w:tcPr>
            <w:tcW w:w="860" w:type="dxa"/>
            <w:vAlign w:val="bottom"/>
            <w:shd w:val="clear" w:color="auto" w:fill="CCEEFF"/>
          </w:tcPr>
          <w:p>
            <w:pPr>
              <w:jc w:val="right"/>
              <w:ind w:right="617"/>
              <w:spacing w:after="0" w:line="138" w:lineRule="exact"/>
              <w:rPr>
                <w:sz w:val="20"/>
                <w:szCs w:val="20"/>
                <w:color w:val="auto"/>
              </w:rPr>
            </w:pPr>
            <w:r>
              <w:rPr>
                <w:rFonts w:ascii="Times New Roman" w:cs="Times New Roman" w:eastAsia="Times New Roman" w:hAnsi="Times New Roman"/>
                <w:sz w:val="13"/>
                <w:szCs w:val="13"/>
                <w:color w:val="auto"/>
                <w:w w:val="98"/>
              </w:rPr>
              <w:t>2.2</w:t>
            </w:r>
          </w:p>
        </w:tc>
        <w:tc>
          <w:tcPr>
            <w:tcW w:w="6220" w:type="dxa"/>
            <w:vAlign w:val="bottom"/>
            <w:gridSpan w:val="8"/>
            <w:shd w:val="clear" w:color="auto" w:fill="CCEEFF"/>
          </w:tcPr>
          <w:p>
            <w:pPr>
              <w:spacing w:after="0" w:line="138" w:lineRule="exact"/>
              <w:rPr>
                <w:rFonts w:ascii="Times New Roman" w:cs="Times New Roman" w:eastAsia="Times New Roman" w:hAnsi="Times New Roman"/>
                <w:sz w:val="13"/>
                <w:szCs w:val="13"/>
                <w:color w:val="auto"/>
              </w:rPr>
            </w:pPr>
            <w:hyperlink r:id="rId55">
              <w:r>
                <w:rPr>
                  <w:rFonts w:ascii="Times New Roman" w:cs="Times New Roman" w:eastAsia="Times New Roman" w:hAnsi="Times New Roman"/>
                  <w:sz w:val="13"/>
                  <w:szCs w:val="13"/>
                  <w:color w:val="auto"/>
                </w:rPr>
                <w:t>Agreement and Plan of Merger and Reorganization, dated as of January 14, 2022, by and among, Orion Merger Sub I,</w:t>
              </w:r>
            </w:hyperlink>
          </w:p>
        </w:tc>
        <w:tc>
          <w:tcPr>
            <w:tcW w:w="86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3"/>
                <w:szCs w:val="13"/>
                <w:color w:val="auto"/>
              </w:rPr>
              <w:t>8-K</w:t>
            </w:r>
          </w:p>
        </w:tc>
        <w:tc>
          <w:tcPr>
            <w:tcW w:w="92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w w:val="98"/>
              </w:rPr>
              <w:t>2.1</w:t>
            </w:r>
          </w:p>
        </w:tc>
        <w:tc>
          <w:tcPr>
            <w:tcW w:w="2420" w:type="dxa"/>
            <w:vAlign w:val="bottom"/>
            <w:shd w:val="clear" w:color="auto" w:fill="CCEEFF"/>
          </w:tcPr>
          <w:p>
            <w:pPr>
              <w:jc w:val="right"/>
              <w:ind w:right="1437"/>
              <w:spacing w:after="0" w:line="138" w:lineRule="exact"/>
              <w:rPr>
                <w:sz w:val="20"/>
                <w:szCs w:val="20"/>
                <w:color w:val="auto"/>
              </w:rPr>
            </w:pPr>
            <w:r>
              <w:rPr>
                <w:rFonts w:ascii="Times New Roman" w:cs="Times New Roman" w:eastAsia="Times New Roman" w:hAnsi="Times New Roman"/>
                <w:sz w:val="13"/>
                <w:szCs w:val="13"/>
                <w:color w:val="auto"/>
              </w:rPr>
              <w:t>01/18/2022</w:t>
            </w:r>
          </w:p>
        </w:tc>
      </w:tr>
      <w:tr>
        <w:trPr>
          <w:trHeight w:val="106"/>
        </w:trPr>
        <w:tc>
          <w:tcPr>
            <w:tcW w:w="860" w:type="dxa"/>
            <w:vAlign w:val="bottom"/>
            <w:tcBorders>
              <w:top w:val="single" w:sz="8" w:color="CCEEFF"/>
            </w:tcBorders>
            <w:shd w:val="clear" w:color="auto" w:fill="CCEEFF"/>
          </w:tcPr>
          <w:p>
            <w:pPr>
              <w:spacing w:after="0"/>
              <w:rPr>
                <w:sz w:val="9"/>
                <w:szCs w:val="9"/>
                <w:color w:val="auto"/>
              </w:rPr>
            </w:pPr>
          </w:p>
        </w:tc>
        <w:tc>
          <w:tcPr>
            <w:tcW w:w="5960" w:type="dxa"/>
            <w:vAlign w:val="bottom"/>
            <w:tcBorders>
              <w:top w:val="single" w:sz="8" w:color="auto"/>
            </w:tcBorders>
            <w:gridSpan w:val="7"/>
            <w:shd w:val="clear" w:color="auto" w:fill="CCEEFF"/>
          </w:tcPr>
          <w:p>
            <w:pPr>
              <w:spacing w:after="0" w:line="106" w:lineRule="exact"/>
              <w:rPr>
                <w:rFonts w:ascii="Times New Roman" w:cs="Times New Roman" w:eastAsia="Times New Roman" w:hAnsi="Times New Roman"/>
                <w:sz w:val="12"/>
                <w:szCs w:val="12"/>
                <w:color w:val="auto"/>
              </w:rPr>
            </w:pPr>
            <w:hyperlink r:id="rId55">
              <w:r>
                <w:rPr>
                  <w:rFonts w:ascii="Times New Roman" w:cs="Times New Roman" w:eastAsia="Times New Roman" w:hAnsi="Times New Roman"/>
                  <w:sz w:val="12"/>
                  <w:szCs w:val="12"/>
                  <w:color w:val="auto"/>
                </w:rPr>
                <w:t>Inc., Orion Merger Sub II, LLC, GeneDx, Inc., GeneDx Holding 2, Inc. and OPKO Health, Inc.</w:t>
              </w:r>
            </w:hyperlink>
          </w:p>
        </w:tc>
        <w:tc>
          <w:tcPr>
            <w:tcW w:w="2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CCEEFF"/>
            </w:tcBorders>
            <w:shd w:val="clear" w:color="auto" w:fill="CCEEFF"/>
          </w:tcPr>
          <w:p>
            <w:pPr>
              <w:spacing w:after="0"/>
              <w:rPr>
                <w:sz w:val="9"/>
                <w:szCs w:val="9"/>
                <w:color w:val="auto"/>
              </w:rPr>
            </w:pPr>
          </w:p>
        </w:tc>
        <w:tc>
          <w:tcPr>
            <w:tcW w:w="2420" w:type="dxa"/>
            <w:vAlign w:val="bottom"/>
            <w:tcBorders>
              <w:top w:val="single" w:sz="8" w:color="CCEEFF"/>
            </w:tcBorders>
            <w:shd w:val="clear" w:color="auto" w:fill="CCEEFF"/>
          </w:tcPr>
          <w:p>
            <w:pPr>
              <w:spacing w:after="0"/>
              <w:rPr>
                <w:sz w:val="9"/>
                <w:szCs w:val="9"/>
                <w:color w:val="auto"/>
              </w:rPr>
            </w:pPr>
          </w:p>
        </w:tc>
      </w:tr>
      <w:tr>
        <w:trPr>
          <w:trHeight w:val="31"/>
        </w:trPr>
        <w:tc>
          <w:tcPr>
            <w:tcW w:w="86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r>
      <w:tr>
        <w:trPr>
          <w:trHeight w:val="136"/>
        </w:trPr>
        <w:tc>
          <w:tcPr>
            <w:tcW w:w="860" w:type="dxa"/>
            <w:vAlign w:val="bottom"/>
          </w:tcPr>
          <w:p>
            <w:pPr>
              <w:jc w:val="right"/>
              <w:ind w:right="417"/>
              <w:spacing w:after="0" w:line="116" w:lineRule="exact"/>
              <w:rPr>
                <w:sz w:val="20"/>
                <w:szCs w:val="20"/>
                <w:color w:val="auto"/>
              </w:rPr>
            </w:pPr>
            <w:r>
              <w:rPr>
                <w:rFonts w:ascii="Times New Roman" w:cs="Times New Roman" w:eastAsia="Times New Roman" w:hAnsi="Times New Roman"/>
                <w:sz w:val="13"/>
                <w:szCs w:val="13"/>
                <w:color w:val="auto"/>
              </w:rPr>
              <w:t>2.3+</w:t>
            </w:r>
          </w:p>
        </w:tc>
        <w:tc>
          <w:tcPr>
            <w:tcW w:w="6220" w:type="dxa"/>
            <w:vAlign w:val="bottom"/>
            <w:gridSpan w:val="8"/>
          </w:tcPr>
          <w:p>
            <w:pPr>
              <w:spacing w:after="0" w:line="116" w:lineRule="exact"/>
              <w:rPr>
                <w:rFonts w:ascii="Times New Roman" w:cs="Times New Roman" w:eastAsia="Times New Roman" w:hAnsi="Times New Roman"/>
                <w:sz w:val="13"/>
                <w:szCs w:val="13"/>
                <w:color w:val="auto"/>
              </w:rPr>
            </w:pPr>
            <w:hyperlink r:id="rId56">
              <w:r>
                <w:rPr>
                  <w:rFonts w:ascii="Times New Roman" w:cs="Times New Roman" w:eastAsia="Times New Roman" w:hAnsi="Times New Roman"/>
                  <w:sz w:val="13"/>
                  <w:szCs w:val="13"/>
                  <w:color w:val="auto"/>
                </w:rPr>
                <w:t>Amendment to Agreement and Plan of Merger and Reorganization, dated as of April 29, 2022, by and among, Sema4</w:t>
              </w:r>
            </w:hyperlink>
          </w:p>
        </w:tc>
        <w:tc>
          <w:tcPr>
            <w:tcW w:w="860" w:type="dxa"/>
            <w:vAlign w:val="bottom"/>
          </w:tcPr>
          <w:p>
            <w:pPr>
              <w:ind w:left="280"/>
              <w:spacing w:after="0" w:line="116" w:lineRule="exact"/>
              <w:rPr>
                <w:sz w:val="20"/>
                <w:szCs w:val="20"/>
                <w:color w:val="auto"/>
              </w:rPr>
            </w:pPr>
            <w:r>
              <w:rPr>
                <w:rFonts w:ascii="Times New Roman" w:cs="Times New Roman" w:eastAsia="Times New Roman" w:hAnsi="Times New Roman"/>
                <w:sz w:val="13"/>
                <w:szCs w:val="13"/>
                <w:color w:val="auto"/>
              </w:rPr>
              <w:t>8-K</w:t>
            </w:r>
          </w:p>
        </w:tc>
        <w:tc>
          <w:tcPr>
            <w:tcW w:w="9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w w:val="96"/>
              </w:rPr>
              <w:t>99.2</w:t>
            </w:r>
          </w:p>
        </w:tc>
        <w:tc>
          <w:tcPr>
            <w:tcW w:w="2420" w:type="dxa"/>
            <w:vAlign w:val="bottom"/>
          </w:tcPr>
          <w:p>
            <w:pPr>
              <w:jc w:val="right"/>
              <w:ind w:right="1437"/>
              <w:spacing w:after="0" w:line="116" w:lineRule="exact"/>
              <w:rPr>
                <w:sz w:val="20"/>
                <w:szCs w:val="20"/>
                <w:color w:val="auto"/>
              </w:rPr>
            </w:pPr>
            <w:r>
              <w:rPr>
                <w:rFonts w:ascii="Times New Roman" w:cs="Times New Roman" w:eastAsia="Times New Roman" w:hAnsi="Times New Roman"/>
                <w:sz w:val="13"/>
                <w:szCs w:val="13"/>
                <w:color w:val="auto"/>
              </w:rPr>
              <w:t>05/02/2022</w:t>
            </w:r>
          </w:p>
        </w:tc>
      </w:tr>
      <w:tr>
        <w:trPr>
          <w:trHeight w:val="106"/>
        </w:trPr>
        <w:tc>
          <w:tcPr>
            <w:tcW w:w="860" w:type="dxa"/>
            <w:vAlign w:val="bottom"/>
          </w:tcPr>
          <w:p>
            <w:pPr>
              <w:spacing w:after="0"/>
              <w:rPr>
                <w:sz w:val="9"/>
                <w:szCs w:val="9"/>
                <w:color w:val="auto"/>
              </w:rPr>
            </w:pPr>
          </w:p>
        </w:tc>
        <w:tc>
          <w:tcPr>
            <w:tcW w:w="5920" w:type="dxa"/>
            <w:vAlign w:val="bottom"/>
            <w:tcBorders>
              <w:top w:val="single" w:sz="8" w:color="auto"/>
            </w:tcBorders>
            <w:gridSpan w:val="6"/>
          </w:tcPr>
          <w:p>
            <w:pPr>
              <w:spacing w:after="0" w:line="106" w:lineRule="exact"/>
              <w:rPr>
                <w:rFonts w:ascii="Times New Roman" w:cs="Times New Roman" w:eastAsia="Times New Roman" w:hAnsi="Times New Roman"/>
                <w:sz w:val="12"/>
                <w:szCs w:val="12"/>
                <w:color w:val="auto"/>
              </w:rPr>
            </w:pPr>
            <w:hyperlink r:id="rId56">
              <w:r>
                <w:rPr>
                  <w:rFonts w:ascii="Times New Roman" w:cs="Times New Roman" w:eastAsia="Times New Roman" w:hAnsi="Times New Roman"/>
                  <w:sz w:val="12"/>
                  <w:szCs w:val="12"/>
                  <w:color w:val="auto"/>
                </w:rPr>
                <w:t>Holdings Corp., Orion Merger Sub I, Inc., Orion Merger Sub II, LLC, GeneDx, Inc., GeneDx Holding 2, Inc. and</w:t>
              </w:r>
            </w:hyperlink>
          </w:p>
        </w:tc>
        <w:tc>
          <w:tcPr>
            <w:tcW w:w="30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20" w:type="dxa"/>
            <w:vAlign w:val="bottom"/>
          </w:tcPr>
          <w:p>
            <w:pPr>
              <w:spacing w:after="0"/>
              <w:rPr>
                <w:sz w:val="9"/>
                <w:szCs w:val="9"/>
                <w:color w:val="auto"/>
              </w:rPr>
            </w:pPr>
          </w:p>
        </w:tc>
      </w:tr>
      <w:tr>
        <w:trPr>
          <w:trHeight w:val="112"/>
        </w:trPr>
        <w:tc>
          <w:tcPr>
            <w:tcW w:w="860" w:type="dxa"/>
            <w:vAlign w:val="bottom"/>
          </w:tcPr>
          <w:p>
            <w:pPr>
              <w:spacing w:after="0"/>
              <w:rPr>
                <w:sz w:val="9"/>
                <w:szCs w:val="9"/>
                <w:color w:val="auto"/>
              </w:rPr>
            </w:pPr>
          </w:p>
        </w:tc>
        <w:tc>
          <w:tcPr>
            <w:tcW w:w="980" w:type="dxa"/>
            <w:vAlign w:val="bottom"/>
            <w:tcBorders>
              <w:top w:val="single" w:sz="8" w:color="auto"/>
              <w:bottom w:val="single" w:sz="8" w:color="auto"/>
            </w:tcBorders>
          </w:tcPr>
          <w:p>
            <w:pPr>
              <w:spacing w:after="0" w:line="106" w:lineRule="exact"/>
              <w:rPr>
                <w:rFonts w:ascii="Times New Roman" w:cs="Times New Roman" w:eastAsia="Times New Roman" w:hAnsi="Times New Roman"/>
                <w:sz w:val="12"/>
                <w:szCs w:val="12"/>
                <w:color w:val="auto"/>
              </w:rPr>
            </w:pPr>
            <w:hyperlink r:id="rId56">
              <w:r>
                <w:rPr>
                  <w:rFonts w:ascii="Times New Roman" w:cs="Times New Roman" w:eastAsia="Times New Roman" w:hAnsi="Times New Roman"/>
                  <w:sz w:val="12"/>
                  <w:szCs w:val="12"/>
                  <w:color w:val="auto"/>
                </w:rPr>
                <w:t>OPKO Health, Inc.</w:t>
              </w:r>
            </w:hyperlink>
          </w:p>
        </w:tc>
        <w:tc>
          <w:tcPr>
            <w:tcW w:w="4740" w:type="dxa"/>
            <w:vAlign w:val="bottom"/>
            <w:tcBorders>
              <w:top w:val="single" w:sz="8" w:color="auto"/>
            </w:tcBorders>
            <w:gridSpan w:val="4"/>
          </w:tcPr>
          <w:p>
            <w:pPr>
              <w:spacing w:after="0"/>
              <w:rPr>
                <w:sz w:val="9"/>
                <w:szCs w:val="9"/>
                <w:color w:val="auto"/>
              </w:rPr>
            </w:pPr>
          </w:p>
        </w:tc>
        <w:tc>
          <w:tcPr>
            <w:tcW w:w="500" w:type="dxa"/>
            <w:vAlign w:val="bottom"/>
            <w:gridSpan w:val="3"/>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20" w:type="dxa"/>
            <w:vAlign w:val="bottom"/>
          </w:tcPr>
          <w:p>
            <w:pPr>
              <w:spacing w:after="0"/>
              <w:rPr>
                <w:sz w:val="9"/>
                <w:szCs w:val="9"/>
                <w:color w:val="auto"/>
              </w:rPr>
            </w:pPr>
          </w:p>
        </w:tc>
      </w:tr>
      <w:tr>
        <w:trPr>
          <w:trHeight w:val="142"/>
        </w:trPr>
        <w:tc>
          <w:tcPr>
            <w:tcW w:w="860" w:type="dxa"/>
            <w:vAlign w:val="bottom"/>
            <w:shd w:val="clear" w:color="auto" w:fill="CCEEFF"/>
          </w:tcPr>
          <w:p>
            <w:pPr>
              <w:jc w:val="right"/>
              <w:ind w:right="617"/>
              <w:spacing w:after="0" w:line="123" w:lineRule="exact"/>
              <w:rPr>
                <w:sz w:val="20"/>
                <w:szCs w:val="20"/>
                <w:color w:val="auto"/>
              </w:rPr>
            </w:pPr>
            <w:r>
              <w:rPr>
                <w:rFonts w:ascii="Times New Roman" w:cs="Times New Roman" w:eastAsia="Times New Roman" w:hAnsi="Times New Roman"/>
                <w:sz w:val="13"/>
                <w:szCs w:val="13"/>
                <w:color w:val="auto"/>
                <w:w w:val="98"/>
              </w:rPr>
              <w:t>2.4</w:t>
            </w:r>
          </w:p>
        </w:tc>
        <w:tc>
          <w:tcPr>
            <w:tcW w:w="6220" w:type="dxa"/>
            <w:vAlign w:val="bottom"/>
            <w:gridSpan w:val="8"/>
            <w:shd w:val="clear" w:color="auto" w:fill="CCEEFF"/>
          </w:tcPr>
          <w:p>
            <w:pPr>
              <w:spacing w:after="0" w:line="123" w:lineRule="exact"/>
              <w:rPr>
                <w:rFonts w:ascii="Times New Roman" w:cs="Times New Roman" w:eastAsia="Times New Roman" w:hAnsi="Times New Roman"/>
                <w:sz w:val="13"/>
                <w:szCs w:val="13"/>
                <w:color w:val="auto"/>
              </w:rPr>
            </w:pPr>
            <w:hyperlink r:id="rId57">
              <w:r>
                <w:rPr>
                  <w:rFonts w:ascii="Times New Roman" w:cs="Times New Roman" w:eastAsia="Times New Roman" w:hAnsi="Times New Roman"/>
                  <w:sz w:val="13"/>
                  <w:szCs w:val="13"/>
                  <w:color w:val="auto"/>
                </w:rPr>
                <w:t>Agreement and Plan of Merger, by and among GeneDx Holdings Corp., Project Flare Merger Sub, Inc., Fabric</w:t>
              </w:r>
            </w:hyperlink>
          </w:p>
        </w:tc>
        <w:tc>
          <w:tcPr>
            <w:tcW w:w="860" w:type="dxa"/>
            <w:vAlign w:val="bottom"/>
            <w:shd w:val="clear" w:color="auto" w:fill="CCEEFF"/>
          </w:tcPr>
          <w:p>
            <w:pPr>
              <w:ind w:left="280"/>
              <w:spacing w:after="0" w:line="123" w:lineRule="exact"/>
              <w:rPr>
                <w:sz w:val="20"/>
                <w:szCs w:val="20"/>
                <w:color w:val="auto"/>
              </w:rPr>
            </w:pPr>
            <w:r>
              <w:rPr>
                <w:rFonts w:ascii="Times New Roman" w:cs="Times New Roman" w:eastAsia="Times New Roman" w:hAnsi="Times New Roman"/>
                <w:sz w:val="13"/>
                <w:szCs w:val="13"/>
                <w:color w:val="auto"/>
              </w:rPr>
              <w:t>8-K</w:t>
            </w:r>
          </w:p>
        </w:tc>
        <w:tc>
          <w:tcPr>
            <w:tcW w:w="920" w:type="dxa"/>
            <w:vAlign w:val="bottom"/>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8"/>
              </w:rPr>
              <w:t>2.1</w:t>
            </w:r>
          </w:p>
        </w:tc>
        <w:tc>
          <w:tcPr>
            <w:tcW w:w="2420" w:type="dxa"/>
            <w:vAlign w:val="bottom"/>
            <w:shd w:val="clear" w:color="auto" w:fill="CCEEFF"/>
          </w:tcPr>
          <w:p>
            <w:pPr>
              <w:jc w:val="right"/>
              <w:ind w:right="1437"/>
              <w:spacing w:after="0" w:line="123" w:lineRule="exact"/>
              <w:rPr>
                <w:sz w:val="20"/>
                <w:szCs w:val="20"/>
                <w:color w:val="auto"/>
              </w:rPr>
            </w:pPr>
            <w:r>
              <w:rPr>
                <w:rFonts w:ascii="Times New Roman" w:cs="Times New Roman" w:eastAsia="Times New Roman" w:hAnsi="Times New Roman"/>
                <w:sz w:val="13"/>
                <w:szCs w:val="13"/>
                <w:color w:val="auto"/>
              </w:rPr>
              <w:t>04/16/2025</w:t>
            </w:r>
          </w:p>
        </w:tc>
      </w:tr>
      <w:tr>
        <w:trPr>
          <w:trHeight w:val="117"/>
        </w:trPr>
        <w:tc>
          <w:tcPr>
            <w:tcW w:w="860" w:type="dxa"/>
            <w:vAlign w:val="bottom"/>
            <w:tcBorders>
              <w:top w:val="single" w:sz="8" w:color="CCEEFF"/>
              <w:bottom w:val="single" w:sz="8" w:color="CCEEFF"/>
            </w:tcBorders>
            <w:shd w:val="clear" w:color="auto" w:fill="CCEEFF"/>
          </w:tcPr>
          <w:p>
            <w:pPr>
              <w:spacing w:after="0"/>
              <w:rPr>
                <w:sz w:val="10"/>
                <w:szCs w:val="10"/>
                <w:color w:val="auto"/>
              </w:rPr>
            </w:pPr>
          </w:p>
        </w:tc>
        <w:tc>
          <w:tcPr>
            <w:tcW w:w="3800" w:type="dxa"/>
            <w:vAlign w:val="bottom"/>
            <w:tcBorders>
              <w:top w:val="single" w:sz="8" w:color="auto"/>
              <w:bottom w:val="single" w:sz="8" w:color="auto"/>
            </w:tcBorders>
            <w:gridSpan w:val="2"/>
            <w:shd w:val="clear" w:color="auto" w:fill="CCEEFF"/>
          </w:tcPr>
          <w:p>
            <w:pPr>
              <w:spacing w:after="0" w:line="106" w:lineRule="exact"/>
              <w:rPr>
                <w:rFonts w:ascii="Times New Roman" w:cs="Times New Roman" w:eastAsia="Times New Roman" w:hAnsi="Times New Roman"/>
                <w:sz w:val="12"/>
                <w:szCs w:val="12"/>
                <w:color w:val="auto"/>
              </w:rPr>
            </w:pPr>
            <w:hyperlink r:id="rId57">
              <w:r>
                <w:rPr>
                  <w:rFonts w:ascii="Times New Roman" w:cs="Times New Roman" w:eastAsia="Times New Roman" w:hAnsi="Times New Roman"/>
                  <w:sz w:val="12"/>
                  <w:szCs w:val="12"/>
                  <w:color w:val="auto"/>
                </w:rPr>
                <w:t>Genomics, Inc. and Martin Reese, as the Agent, dated as of April 15, 2025.</w:t>
              </w:r>
            </w:hyperlink>
          </w:p>
        </w:tc>
        <w:tc>
          <w:tcPr>
            <w:tcW w:w="1780" w:type="dxa"/>
            <w:vAlign w:val="bottom"/>
            <w:tcBorders>
              <w:top w:val="single" w:sz="8" w:color="auto"/>
              <w:bottom w:val="single" w:sz="8" w:color="CCEEFF"/>
            </w:tcBorders>
            <w:gridSpan w:val="2"/>
            <w:shd w:val="clear" w:color="auto" w:fill="CCEEFF"/>
          </w:tcPr>
          <w:p>
            <w:pPr>
              <w:spacing w:after="0"/>
              <w:rPr>
                <w:sz w:val="10"/>
                <w:szCs w:val="10"/>
                <w:color w:val="auto"/>
              </w:rPr>
            </w:pPr>
          </w:p>
        </w:tc>
        <w:tc>
          <w:tcPr>
            <w:tcW w:w="640" w:type="dxa"/>
            <w:vAlign w:val="bottom"/>
            <w:tcBorders>
              <w:top w:val="single" w:sz="8" w:color="CCEEFF"/>
              <w:bottom w:val="single" w:sz="8" w:color="CCEEFF"/>
            </w:tcBorders>
            <w:gridSpan w:val="4"/>
            <w:shd w:val="clear" w:color="auto" w:fill="CCEEFF"/>
          </w:tcPr>
          <w:p>
            <w:pPr>
              <w:spacing w:after="0"/>
              <w:rPr>
                <w:sz w:val="10"/>
                <w:szCs w:val="10"/>
                <w:color w:val="auto"/>
              </w:rPr>
            </w:pPr>
          </w:p>
        </w:tc>
        <w:tc>
          <w:tcPr>
            <w:tcW w:w="860" w:type="dxa"/>
            <w:vAlign w:val="bottom"/>
            <w:tcBorders>
              <w:top w:val="single" w:sz="8" w:color="CCEEFF"/>
              <w:bottom w:val="single" w:sz="8" w:color="CCEEFF"/>
            </w:tcBorders>
            <w:shd w:val="clear" w:color="auto" w:fill="CCEEFF"/>
          </w:tcPr>
          <w:p>
            <w:pPr>
              <w:spacing w:after="0"/>
              <w:rPr>
                <w:sz w:val="10"/>
                <w:szCs w:val="10"/>
                <w:color w:val="auto"/>
              </w:rPr>
            </w:pPr>
          </w:p>
        </w:tc>
        <w:tc>
          <w:tcPr>
            <w:tcW w:w="920" w:type="dxa"/>
            <w:vAlign w:val="bottom"/>
            <w:tcBorders>
              <w:top w:val="single" w:sz="8" w:color="CCEEFF"/>
              <w:bottom w:val="single" w:sz="8" w:color="CCEEFF"/>
            </w:tcBorders>
            <w:shd w:val="clear" w:color="auto" w:fill="CCEEFF"/>
          </w:tcPr>
          <w:p>
            <w:pPr>
              <w:spacing w:after="0"/>
              <w:rPr>
                <w:sz w:val="10"/>
                <w:szCs w:val="10"/>
                <w:color w:val="auto"/>
              </w:rPr>
            </w:pPr>
          </w:p>
        </w:tc>
        <w:tc>
          <w:tcPr>
            <w:tcW w:w="2420" w:type="dxa"/>
            <w:vAlign w:val="bottom"/>
            <w:tcBorders>
              <w:top w:val="single" w:sz="8" w:color="CCEEFF"/>
              <w:bottom w:val="single" w:sz="8" w:color="CCEEFF"/>
            </w:tcBorders>
            <w:shd w:val="clear" w:color="auto" w:fill="CCEEFF"/>
          </w:tcPr>
          <w:p>
            <w:pPr>
              <w:spacing w:after="0"/>
              <w:rPr>
                <w:sz w:val="10"/>
                <w:szCs w:val="10"/>
                <w:color w:val="auto"/>
              </w:rPr>
            </w:pPr>
          </w:p>
        </w:tc>
      </w:tr>
    </w:tbl>
    <w:p>
      <w:pPr>
        <w:spacing w:after="0" w:line="1" w:lineRule="exact"/>
        <w:rPr>
          <w:sz w:val="20"/>
          <w:szCs w:val="20"/>
          <w:color w:val="auto"/>
        </w:rPr>
      </w:pPr>
    </w:p>
    <w:p>
      <w:pPr>
        <w:sectPr>
          <w:pgSz w:w="11900" w:h="16838" w:orient="portrait"/>
          <w:cols w:equalWidth="0" w:num="1">
            <w:col w:w="11280"/>
          </w:cols>
          <w:pgMar w:left="300" w:top="1288" w:right="319" w:bottom="1440" w:gutter="0" w:footer="0" w:header="0"/>
          <w:type w:val="continuous"/>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3.1</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3.2</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4.1</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4.2</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3560" w:type="dxa"/>
            <w:vAlign w:val="bottom"/>
            <w:tcBorders>
              <w:bottom w:val="single" w:sz="8" w:color="auto"/>
            </w:tcBorders>
            <w:gridSpan w:val="5"/>
          </w:tcPr>
          <w:p>
            <w:pPr>
              <w:spacing w:after="0" w:line="137" w:lineRule="exact"/>
              <w:rPr>
                <w:rFonts w:ascii="Times New Roman" w:cs="Times New Roman" w:eastAsia="Times New Roman" w:hAnsi="Times New Roman"/>
                <w:sz w:val="13"/>
                <w:szCs w:val="13"/>
                <w:color w:val="auto"/>
                <w:w w:val="96"/>
              </w:rPr>
            </w:pPr>
            <w:hyperlink r:id="rId58">
              <w:r>
                <w:rPr>
                  <w:rFonts w:ascii="Times New Roman" w:cs="Times New Roman" w:eastAsia="Times New Roman" w:hAnsi="Times New Roman"/>
                  <w:sz w:val="13"/>
                  <w:szCs w:val="13"/>
                  <w:color w:val="auto"/>
                  <w:w w:val="96"/>
                </w:rPr>
                <w:t>Third Amended and Restated Certificate of Incorporation, as amended</w:t>
              </w:r>
            </w:hyperlink>
          </w:p>
        </w:tc>
        <w:tc>
          <w:tcPr>
            <w:tcW w:w="2560" w:type="dxa"/>
            <w:vAlign w:val="bottom"/>
            <w:gridSpan w:val="2"/>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7"/>
              </w:rPr>
              <w:t>10-Q</w:t>
            </w: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8"/>
              </w:rPr>
              <w:t>3.1</w:t>
            </w:r>
          </w:p>
        </w:tc>
        <w:tc>
          <w:tcPr>
            <w:tcW w:w="9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07/29/2025</w:t>
            </w:r>
          </w:p>
        </w:tc>
      </w:tr>
      <w:tr>
        <w:trPr>
          <w:trHeight w:val="169"/>
        </w:trPr>
        <w:tc>
          <w:tcPr>
            <w:tcW w:w="6120" w:type="dxa"/>
            <w:vAlign w:val="bottom"/>
            <w:gridSpan w:val="7"/>
          </w:tcPr>
          <w:p>
            <w:pPr>
              <w:spacing w:after="0"/>
              <w:rPr>
                <w:rFonts w:ascii="Times New Roman" w:cs="Times New Roman" w:eastAsia="Times New Roman" w:hAnsi="Times New Roman"/>
                <w:sz w:val="13"/>
                <w:szCs w:val="13"/>
                <w:color w:val="auto"/>
              </w:rPr>
            </w:pPr>
            <w:hyperlink r:id="rId59">
              <w:r>
                <w:rPr>
                  <w:rFonts w:ascii="Times New Roman" w:cs="Times New Roman" w:eastAsia="Times New Roman" w:hAnsi="Times New Roman"/>
                  <w:sz w:val="13"/>
                  <w:szCs w:val="13"/>
                  <w:color w:val="auto"/>
                </w:rPr>
                <w:t>Amended and Restated Bylaws of GeneDx Holdings Corp.</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01/09/2023</w:t>
            </w:r>
          </w:p>
        </w:tc>
      </w:tr>
      <w:tr>
        <w:trPr>
          <w:trHeight w:val="169"/>
        </w:trPr>
        <w:tc>
          <w:tcPr>
            <w:tcW w:w="2340" w:type="dxa"/>
            <w:vAlign w:val="bottom"/>
            <w:tcBorders>
              <w:top w:val="single" w:sz="8" w:color="auto"/>
              <w:bottom w:val="single" w:sz="8" w:color="auto"/>
            </w:tcBorders>
            <w:gridSpan w:val="3"/>
          </w:tcPr>
          <w:p>
            <w:pPr>
              <w:spacing w:after="0"/>
              <w:rPr>
                <w:rFonts w:ascii="Times New Roman" w:cs="Times New Roman" w:eastAsia="Times New Roman" w:hAnsi="Times New Roman"/>
                <w:sz w:val="13"/>
                <w:szCs w:val="13"/>
                <w:color w:val="auto"/>
                <w:w w:val="96"/>
              </w:rPr>
            </w:pPr>
            <w:hyperlink r:id="rId60">
              <w:r>
                <w:rPr>
                  <w:rFonts w:ascii="Times New Roman" w:cs="Times New Roman" w:eastAsia="Times New Roman" w:hAnsi="Times New Roman"/>
                  <w:sz w:val="13"/>
                  <w:szCs w:val="13"/>
                  <w:color w:val="auto"/>
                  <w:w w:val="96"/>
                </w:rPr>
                <w:t>Specimen Class A Common Stock Certificate.</w:t>
              </w:r>
            </w:hyperlink>
          </w:p>
        </w:tc>
        <w:tc>
          <w:tcPr>
            <w:tcW w:w="640" w:type="dxa"/>
            <w:vAlign w:val="bottom"/>
            <w:tcBorders>
              <w:top w:val="single" w:sz="8" w:color="auto"/>
            </w:tcBorders>
          </w:tcPr>
          <w:p>
            <w:pPr>
              <w:spacing w:after="0"/>
              <w:rPr>
                <w:sz w:val="14"/>
                <w:szCs w:val="14"/>
                <w:color w:val="auto"/>
              </w:rPr>
            </w:pPr>
          </w:p>
        </w:tc>
        <w:tc>
          <w:tcPr>
            <w:tcW w:w="3140" w:type="dxa"/>
            <w:vAlign w:val="bottom"/>
            <w:gridSpan w:val="3"/>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S-1/A</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08/24/2020</w:t>
            </w:r>
          </w:p>
        </w:tc>
      </w:tr>
      <w:tr>
        <w:trPr>
          <w:trHeight w:val="169"/>
        </w:trPr>
        <w:tc>
          <w:tcPr>
            <w:tcW w:w="1540" w:type="dxa"/>
            <w:vAlign w:val="bottom"/>
            <w:tcBorders>
              <w:bottom w:val="single" w:sz="8" w:color="auto"/>
            </w:tcBorders>
          </w:tcPr>
          <w:p>
            <w:pPr>
              <w:spacing w:after="0"/>
              <w:rPr>
                <w:rFonts w:ascii="Times New Roman" w:cs="Times New Roman" w:eastAsia="Times New Roman" w:hAnsi="Times New Roman"/>
                <w:sz w:val="13"/>
                <w:szCs w:val="13"/>
                <w:color w:val="auto"/>
                <w:w w:val="95"/>
              </w:rPr>
            </w:pPr>
            <w:hyperlink r:id="rId61">
              <w:r>
                <w:rPr>
                  <w:rFonts w:ascii="Times New Roman" w:cs="Times New Roman" w:eastAsia="Times New Roman" w:hAnsi="Times New Roman"/>
                  <w:sz w:val="13"/>
                  <w:szCs w:val="13"/>
                  <w:color w:val="auto"/>
                  <w:w w:val="95"/>
                </w:rPr>
                <w:t>Specimen Warrant Certificate.</w:t>
              </w:r>
            </w:hyperlink>
          </w:p>
        </w:tc>
        <w:tc>
          <w:tcPr>
            <w:tcW w:w="4580" w:type="dxa"/>
            <w:vAlign w:val="bottom"/>
            <w:gridSpan w:val="6"/>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S-1/A</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08/24/2020</w:t>
            </w:r>
          </w:p>
        </w:tc>
      </w:tr>
      <w:tr>
        <w:trPr>
          <w:trHeight w:val="169"/>
        </w:trPr>
        <w:tc>
          <w:tcPr>
            <w:tcW w:w="6120" w:type="dxa"/>
            <w:vAlign w:val="bottom"/>
            <w:gridSpan w:val="7"/>
          </w:tcPr>
          <w:p>
            <w:pPr>
              <w:spacing w:after="0"/>
              <w:rPr>
                <w:rFonts w:ascii="Times New Roman" w:cs="Times New Roman" w:eastAsia="Times New Roman" w:hAnsi="Times New Roman"/>
                <w:sz w:val="13"/>
                <w:szCs w:val="13"/>
                <w:color w:val="auto"/>
              </w:rPr>
            </w:pPr>
            <w:hyperlink r:id="rId62">
              <w:r>
                <w:rPr>
                  <w:rFonts w:ascii="Times New Roman" w:cs="Times New Roman" w:eastAsia="Times New Roman" w:hAnsi="Times New Roman"/>
                  <w:sz w:val="13"/>
                  <w:szCs w:val="13"/>
                  <w:color w:val="auto"/>
                </w:rPr>
                <w:t>Warrant Agreement, dated as of September 1, 2020, by and between CM Life Sciences, Inc. and Continental Stock</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09/04/2020</w:t>
            </w:r>
          </w:p>
        </w:tc>
      </w:tr>
      <w:tr>
        <w:trPr>
          <w:trHeight w:val="106"/>
        </w:trPr>
        <w:tc>
          <w:tcPr>
            <w:tcW w:w="5780" w:type="dxa"/>
            <w:vAlign w:val="bottom"/>
            <w:tcBorders>
              <w:top w:val="single" w:sz="8" w:color="auto"/>
            </w:tcBorders>
            <w:gridSpan w:val="6"/>
          </w:tcPr>
          <w:p>
            <w:pPr>
              <w:spacing w:after="0" w:line="106" w:lineRule="exact"/>
              <w:rPr>
                <w:rFonts w:ascii="Times New Roman" w:cs="Times New Roman" w:eastAsia="Times New Roman" w:hAnsi="Times New Roman"/>
                <w:sz w:val="12"/>
                <w:szCs w:val="12"/>
                <w:color w:val="auto"/>
              </w:rPr>
            </w:pPr>
            <w:hyperlink r:id="rId62">
              <w:r>
                <w:rPr>
                  <w:rFonts w:ascii="Times New Roman" w:cs="Times New Roman" w:eastAsia="Times New Roman" w:hAnsi="Times New Roman"/>
                  <w:sz w:val="12"/>
                  <w:szCs w:val="12"/>
                  <w:color w:val="auto"/>
                </w:rPr>
                <w:t>Transfer &amp; Trust Company, as warrant agent.</w:t>
              </w:r>
            </w:hyperlink>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-532130</wp:posOffset>
            </wp:positionV>
            <wp:extent cx="716280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162800" cy="12001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-292735</wp:posOffset>
            </wp:positionV>
            <wp:extent cx="716280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62800" cy="120015"/>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180" w:space="680"/>
            <w:col w:w="10420"/>
          </w:cols>
          <w:pgMar w:left="300" w:top="1288" w:right="319" w:bottom="1440" w:gutter="0" w:footer="0" w:header="0"/>
          <w:type w:val="continuous"/>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4.5</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4.6</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4.7*</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4.8*</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4.9*</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4.10*</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4.11*</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4.12*</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4.13*</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4.14*</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5.1</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23.1</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23.2</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24.1</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25.1**</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107.1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780" w:type="dxa"/>
            <w:vAlign w:val="bottom"/>
            <w:gridSpan w:val="16"/>
          </w:tcPr>
          <w:p>
            <w:pPr>
              <w:spacing w:after="0"/>
              <w:rPr>
                <w:rFonts w:ascii="Times New Roman" w:cs="Times New Roman" w:eastAsia="Times New Roman" w:hAnsi="Times New Roman"/>
                <w:sz w:val="13"/>
                <w:szCs w:val="13"/>
                <w:color w:val="auto"/>
              </w:rPr>
            </w:pPr>
            <w:hyperlink r:id="rId65">
              <w:r>
                <w:rPr>
                  <w:rFonts w:ascii="Times New Roman" w:cs="Times New Roman" w:eastAsia="Times New Roman" w:hAnsi="Times New Roman"/>
                  <w:sz w:val="13"/>
                  <w:szCs w:val="13"/>
                  <w:color w:val="auto"/>
                </w:rPr>
                <w:t>Form of Debt Security</w:t>
              </w:r>
            </w:hyperlink>
          </w:p>
        </w:tc>
        <w:tc>
          <w:tcPr>
            <w:tcW w:w="13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S-3</w:t>
            </w:r>
          </w:p>
        </w:tc>
        <w:tc>
          <w:tcPr>
            <w:tcW w:w="9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4.3</w:t>
            </w:r>
          </w:p>
        </w:tc>
        <w:tc>
          <w:tcPr>
            <w:tcW w:w="1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08/26/2022</w:t>
            </w:r>
          </w:p>
        </w:tc>
      </w:tr>
      <w:tr>
        <w:trPr>
          <w:trHeight w:val="169"/>
        </w:trPr>
        <w:tc>
          <w:tcPr>
            <w:tcW w:w="940" w:type="dxa"/>
            <w:vAlign w:val="bottom"/>
            <w:tcBorders>
              <w:top w:val="single" w:sz="8" w:color="auto"/>
              <w:bottom w:val="single" w:sz="8" w:color="auto"/>
            </w:tcBorders>
            <w:gridSpan w:val="2"/>
          </w:tcPr>
          <w:p>
            <w:pPr>
              <w:spacing w:after="0"/>
              <w:rPr>
                <w:rFonts w:ascii="Times New Roman" w:cs="Times New Roman" w:eastAsia="Times New Roman" w:hAnsi="Times New Roman"/>
                <w:sz w:val="13"/>
                <w:szCs w:val="13"/>
                <w:color w:val="auto"/>
                <w:w w:val="96"/>
              </w:rPr>
            </w:pPr>
            <w:hyperlink r:id="rId66">
              <w:r>
                <w:rPr>
                  <w:rFonts w:ascii="Times New Roman" w:cs="Times New Roman" w:eastAsia="Times New Roman" w:hAnsi="Times New Roman"/>
                  <w:sz w:val="13"/>
                  <w:szCs w:val="13"/>
                  <w:color w:val="auto"/>
                  <w:w w:val="96"/>
                </w:rPr>
                <w:t>Form of Indenture</w:t>
              </w:r>
            </w:hyperlink>
          </w:p>
        </w:tc>
        <w:tc>
          <w:tcPr>
            <w:tcW w:w="200" w:type="dxa"/>
            <w:vAlign w:val="bottom"/>
            <w:tcBorders>
              <w:top w:val="single" w:sz="8" w:color="auto"/>
            </w:tcBorders>
          </w:tcPr>
          <w:p>
            <w:pPr>
              <w:spacing w:after="0"/>
              <w:rPr>
                <w:sz w:val="14"/>
                <w:szCs w:val="14"/>
                <w:color w:val="auto"/>
              </w:rPr>
            </w:pPr>
          </w:p>
        </w:tc>
        <w:tc>
          <w:tcPr>
            <w:tcW w:w="4640" w:type="dxa"/>
            <w:vAlign w:val="bottom"/>
            <w:gridSpan w:val="13"/>
          </w:tcPr>
          <w:p>
            <w:pPr>
              <w:spacing w:after="0"/>
              <w:rPr>
                <w:sz w:val="14"/>
                <w:szCs w:val="14"/>
                <w:color w:val="auto"/>
              </w:rPr>
            </w:pPr>
          </w:p>
        </w:tc>
        <w:tc>
          <w:tcPr>
            <w:tcW w:w="13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S-3</w:t>
            </w:r>
          </w:p>
        </w:tc>
        <w:tc>
          <w:tcPr>
            <w:tcW w:w="9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4.4</w:t>
            </w:r>
          </w:p>
        </w:tc>
        <w:tc>
          <w:tcPr>
            <w:tcW w:w="1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08/26/2022</w:t>
            </w:r>
          </w:p>
        </w:tc>
      </w:tr>
      <w:tr>
        <w:trPr>
          <w:trHeight w:val="169"/>
        </w:trPr>
        <w:tc>
          <w:tcPr>
            <w:tcW w:w="578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Form of Warrant Agreement</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9"/>
        </w:trPr>
        <w:tc>
          <w:tcPr>
            <w:tcW w:w="142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w w:val="95"/>
              </w:rPr>
              <w:t>Form of Warrant Certificate</w:t>
            </w:r>
          </w:p>
        </w:tc>
        <w:tc>
          <w:tcPr>
            <w:tcW w:w="20" w:type="dxa"/>
            <w:vAlign w:val="bottom"/>
            <w:tcBorders>
              <w:top w:val="single" w:sz="8" w:color="auto"/>
            </w:tcBorders>
          </w:tcPr>
          <w:p>
            <w:pPr>
              <w:spacing w:after="0"/>
              <w:rPr>
                <w:sz w:val="14"/>
                <w:szCs w:val="14"/>
                <w:color w:val="auto"/>
              </w:rPr>
            </w:pPr>
          </w:p>
        </w:tc>
        <w:tc>
          <w:tcPr>
            <w:tcW w:w="4340" w:type="dxa"/>
            <w:vAlign w:val="bottom"/>
            <w:gridSpan w:val="9"/>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9"/>
        </w:trPr>
        <w:tc>
          <w:tcPr>
            <w:tcW w:w="27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3"/>
                <w:szCs w:val="13"/>
                <w:color w:val="auto"/>
                <w:w w:val="96"/>
              </w:rPr>
              <w:t>Form of Certificate of Designations of Preferred Stock</w:t>
            </w:r>
          </w:p>
        </w:tc>
        <w:tc>
          <w:tcPr>
            <w:tcW w:w="3020" w:type="dxa"/>
            <w:vAlign w:val="bottom"/>
            <w:gridSpan w:val="4"/>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9"/>
        </w:trPr>
        <w:tc>
          <w:tcPr>
            <w:tcW w:w="18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3"/>
                <w:szCs w:val="13"/>
                <w:color w:val="auto"/>
                <w:w w:val="96"/>
              </w:rPr>
              <w:t>Form of Preferred Stock Certificate</w:t>
            </w:r>
          </w:p>
        </w:tc>
        <w:tc>
          <w:tcPr>
            <w:tcW w:w="3980" w:type="dxa"/>
            <w:vAlign w:val="bottom"/>
            <w:gridSpan w:val="8"/>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9"/>
        </w:trPr>
        <w:tc>
          <w:tcPr>
            <w:tcW w:w="20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3"/>
                <w:szCs w:val="13"/>
                <w:color w:val="auto"/>
                <w:w w:val="96"/>
              </w:rPr>
              <w:t>Form of Subscription Rights Agreement</w:t>
            </w:r>
          </w:p>
        </w:tc>
        <w:tc>
          <w:tcPr>
            <w:tcW w:w="3740" w:type="dxa"/>
            <w:vAlign w:val="bottom"/>
            <w:gridSpan w:val="5"/>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9"/>
        </w:trPr>
        <w:tc>
          <w:tcPr>
            <w:tcW w:w="20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3"/>
                <w:szCs w:val="13"/>
                <w:color w:val="auto"/>
                <w:w w:val="96"/>
              </w:rPr>
              <w:t>Form of Subscription Rights Certificate</w:t>
            </w:r>
          </w:p>
        </w:tc>
        <w:tc>
          <w:tcPr>
            <w:tcW w:w="3760" w:type="dxa"/>
            <w:vAlign w:val="bottom"/>
            <w:gridSpan w:val="6"/>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9"/>
        </w:trPr>
        <w:tc>
          <w:tcPr>
            <w:tcW w:w="578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Form of Unit Agreement</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9"/>
        </w:trPr>
        <w:tc>
          <w:tcPr>
            <w:tcW w:w="124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w w:val="96"/>
              </w:rPr>
              <w:t>Form of Unit Certificate</w:t>
            </w:r>
          </w:p>
        </w:tc>
        <w:tc>
          <w:tcPr>
            <w:tcW w:w="20" w:type="dxa"/>
            <w:vAlign w:val="bottom"/>
            <w:tcBorders>
              <w:top w:val="single" w:sz="8" w:color="auto"/>
            </w:tcBorders>
          </w:tcPr>
          <w:p>
            <w:pPr>
              <w:spacing w:after="0"/>
              <w:rPr>
                <w:sz w:val="14"/>
                <w:szCs w:val="14"/>
                <w:color w:val="auto"/>
              </w:rPr>
            </w:pPr>
          </w:p>
        </w:tc>
        <w:tc>
          <w:tcPr>
            <w:tcW w:w="4520" w:type="dxa"/>
            <w:vAlign w:val="bottom"/>
            <w:gridSpan w:val="11"/>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9"/>
        </w:trPr>
        <w:tc>
          <w:tcPr>
            <w:tcW w:w="578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Legal Opinion of Fenwick &amp; West LLP</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ind w:left="1800"/>
              <w:spacing w:after="0"/>
              <w:rPr>
                <w:sz w:val="20"/>
                <w:szCs w:val="20"/>
                <w:color w:val="auto"/>
              </w:rPr>
            </w:pPr>
            <w:r>
              <w:rPr>
                <w:rFonts w:ascii="Times New Roman" w:cs="Times New Roman" w:eastAsia="Times New Roman" w:hAnsi="Times New Roman"/>
                <w:sz w:val="13"/>
                <w:szCs w:val="13"/>
                <w:color w:val="auto"/>
                <w:w w:val="84"/>
              </w:rPr>
              <w:t>X</w:t>
            </w:r>
          </w:p>
        </w:tc>
      </w:tr>
      <w:tr>
        <w:trPr>
          <w:trHeight w:val="20"/>
        </w:trPr>
        <w:tc>
          <w:tcPr>
            <w:tcW w:w="840" w:type="dxa"/>
            <w:vAlign w:val="bottom"/>
            <w:shd w:val="clear" w:color="auto" w:fill="000000"/>
          </w:tcPr>
          <w:p>
            <w:pPr>
              <w:spacing w:after="0" w:line="20" w:lineRule="exact"/>
              <w:rPr>
                <w:sz w:val="1"/>
                <w:szCs w:val="1"/>
                <w:color w:val="auto"/>
              </w:rPr>
            </w:pPr>
          </w:p>
        </w:tc>
        <w:tc>
          <w:tcPr>
            <w:tcW w:w="1160" w:type="dxa"/>
            <w:vAlign w:val="bottom"/>
            <w:gridSpan w:val="8"/>
            <w:shd w:val="clear" w:color="auto" w:fill="000000"/>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69"/>
        </w:trPr>
        <w:tc>
          <w:tcPr>
            <w:tcW w:w="578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Consent of Ernst &amp; Young LLP, independent registered accounting firm for GeneDx Holdings Corp.</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ind w:left="1800"/>
              <w:spacing w:after="0"/>
              <w:rPr>
                <w:sz w:val="20"/>
                <w:szCs w:val="20"/>
                <w:color w:val="auto"/>
              </w:rPr>
            </w:pPr>
            <w:r>
              <w:rPr>
                <w:rFonts w:ascii="Times New Roman" w:cs="Times New Roman" w:eastAsia="Times New Roman" w:hAnsi="Times New Roman"/>
                <w:sz w:val="13"/>
                <w:szCs w:val="13"/>
                <w:color w:val="auto"/>
                <w:w w:val="84"/>
              </w:rPr>
              <w:t>X</w:t>
            </w:r>
          </w:p>
        </w:tc>
      </w:tr>
      <w:tr>
        <w:trPr>
          <w:trHeight w:val="169"/>
        </w:trPr>
        <w:tc>
          <w:tcPr>
            <w:tcW w:w="506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3"/>
                <w:szCs w:val="13"/>
                <w:color w:val="auto"/>
              </w:rPr>
              <w:t>Consent of Fenwick &amp; West LLP (included as part of Exhibit 5.1)</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ind w:left="1800"/>
              <w:spacing w:after="0"/>
              <w:rPr>
                <w:sz w:val="20"/>
                <w:szCs w:val="20"/>
                <w:color w:val="auto"/>
              </w:rPr>
            </w:pPr>
            <w:r>
              <w:rPr>
                <w:rFonts w:ascii="Times New Roman" w:cs="Times New Roman" w:eastAsia="Times New Roman" w:hAnsi="Times New Roman"/>
                <w:sz w:val="13"/>
                <w:szCs w:val="13"/>
                <w:color w:val="auto"/>
                <w:w w:val="84"/>
              </w:rPr>
              <w:t>X</w:t>
            </w:r>
          </w:p>
        </w:tc>
      </w:tr>
      <w:tr>
        <w:trPr>
          <w:trHeight w:val="169"/>
        </w:trPr>
        <w:tc>
          <w:tcPr>
            <w:tcW w:w="332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3"/>
                <w:szCs w:val="13"/>
                <w:color w:val="auto"/>
              </w:rPr>
              <w:t>Power of Attorney (included on the signature page hereto)</w:t>
            </w:r>
          </w:p>
        </w:tc>
        <w:tc>
          <w:tcPr>
            <w:tcW w:w="2460" w:type="dxa"/>
            <w:vAlign w:val="bottom"/>
            <w:gridSpan w:val="2"/>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ind w:left="1800"/>
              <w:spacing w:after="0"/>
              <w:rPr>
                <w:sz w:val="20"/>
                <w:szCs w:val="20"/>
                <w:color w:val="auto"/>
              </w:rPr>
            </w:pPr>
            <w:r>
              <w:rPr>
                <w:rFonts w:ascii="Times New Roman" w:cs="Times New Roman" w:eastAsia="Times New Roman" w:hAnsi="Times New Roman"/>
                <w:sz w:val="13"/>
                <w:szCs w:val="13"/>
                <w:color w:val="auto"/>
                <w:w w:val="84"/>
              </w:rPr>
              <w:t>X</w:t>
            </w:r>
          </w:p>
        </w:tc>
      </w:tr>
      <w:tr>
        <w:trPr>
          <w:trHeight w:val="20"/>
        </w:trPr>
        <w:tc>
          <w:tcPr>
            <w:tcW w:w="840" w:type="dxa"/>
            <w:vAlign w:val="bottom"/>
            <w:shd w:val="clear" w:color="auto" w:fill="000000"/>
          </w:tcPr>
          <w:p>
            <w:pPr>
              <w:spacing w:after="0" w:line="20" w:lineRule="exact"/>
              <w:rPr>
                <w:sz w:val="1"/>
                <w:szCs w:val="1"/>
                <w:color w:val="auto"/>
              </w:rPr>
            </w:pPr>
          </w:p>
        </w:tc>
        <w:tc>
          <w:tcPr>
            <w:tcW w:w="2100" w:type="dxa"/>
            <w:vAlign w:val="bottom"/>
            <w:gridSpan w:val="12"/>
            <w:shd w:val="clear" w:color="auto" w:fill="000000"/>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78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Form T-1 Statement of Eligibility of Trustee for Senior Indenture Act of 1939</w:t>
            </w: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61"/>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5"/>
              </w:rPr>
              <w:t>Filing Fee Table</w:t>
            </w:r>
          </w:p>
        </w:tc>
        <w:tc>
          <w:tcPr>
            <w:tcW w:w="4940" w:type="dxa"/>
            <w:vAlign w:val="bottom"/>
            <w:gridSpan w:val="15"/>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ind w:left="1800"/>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-1891665</wp:posOffset>
            </wp:positionV>
            <wp:extent cx="716280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7162800" cy="12001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-1651635</wp:posOffset>
            </wp:positionV>
            <wp:extent cx="716280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7162800" cy="12001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-1412240</wp:posOffset>
            </wp:positionV>
            <wp:extent cx="716280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7162800" cy="12001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-1172210</wp:posOffset>
            </wp:positionV>
            <wp:extent cx="716280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7162800" cy="12001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-932180</wp:posOffset>
            </wp:positionV>
            <wp:extent cx="716280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7162800" cy="12001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-692150</wp:posOffset>
            </wp:positionV>
            <wp:extent cx="716280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7162800" cy="12001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-452755</wp:posOffset>
            </wp:positionV>
            <wp:extent cx="716280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7162800" cy="12001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-212725</wp:posOffset>
            </wp:positionV>
            <wp:extent cx="716280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7162800" cy="120015"/>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500" w:space="360"/>
            <w:col w:w="10420"/>
          </w:cols>
          <w:pgMar w:left="300" w:top="128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9" w:lineRule="exact"/>
        <w:rPr>
          <w:sz w:val="20"/>
          <w:szCs w:val="20"/>
          <w:color w:val="auto"/>
        </w:rPr>
      </w:pPr>
    </w:p>
    <w:p>
      <w:pPr>
        <w:ind w:left="180" w:right="100" w:hanging="188"/>
        <w:spacing w:after="0" w:line="251" w:lineRule="auto"/>
        <w:tabs>
          <w:tab w:leader="none" w:pos="160" w:val="left"/>
        </w:tabs>
        <w:rPr>
          <w:sz w:val="20"/>
          <w:szCs w:val="20"/>
          <w:color w:val="auto"/>
        </w:rPr>
      </w:pPr>
      <w:r>
        <w:rPr>
          <w:rFonts w:ascii="Times New Roman" w:cs="Times New Roman" w:eastAsia="Times New Roman" w:hAnsi="Times New Roman"/>
          <w:sz w:val="11"/>
          <w:szCs w:val="11"/>
          <w:color w:val="auto"/>
        </w:rPr>
        <w:t>+</w:t>
        <w:tab/>
        <w:t>Certain schedules and exhibits to this Exhibit have been omitted pursuant to Item 601(a)(5) or Item 601(b)(10)(iv), as applicable, of Regulation S-K. The Registrant agrees to furnish supplemental copies of all omitted exhibits and schedules to the SEC upon its request.</w:t>
      </w:r>
    </w:p>
    <w:p>
      <w:pPr>
        <w:ind w:right="1040" w:firstLine="4"/>
        <w:spacing w:after="0" w:line="272" w:lineRule="auto"/>
        <w:tabs>
          <w:tab w:leader="none" w:pos="166"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filed by amendment, as an exhibit to a report on Form 8-K under the Securities Exchange Act of 1934, as amended (the “</w:t>
      </w:r>
      <w:r>
        <w:rPr>
          <w:rFonts w:ascii="Times New Roman" w:cs="Times New Roman" w:eastAsia="Times New Roman" w:hAnsi="Times New Roman"/>
          <w:sz w:val="11"/>
          <w:szCs w:val="11"/>
          <w:i w:val="1"/>
          <w:iCs w:val="1"/>
          <w:color w:val="auto"/>
        </w:rPr>
        <w:t>Exchange Act</w:t>
      </w:r>
      <w:r>
        <w:rPr>
          <w:rFonts w:ascii="Times New Roman" w:cs="Times New Roman" w:eastAsia="Times New Roman" w:hAnsi="Times New Roman"/>
          <w:sz w:val="11"/>
          <w:szCs w:val="11"/>
          <w:color w:val="auto"/>
        </w:rPr>
        <w:t>”), or by other applicable filing with the SEC, and incorporated herein by reference. ** To be filed pursuant to Section 305(b)(2) of the Trust Indenture Act of 1939, as amended (the “</w:t>
      </w:r>
      <w:r>
        <w:rPr>
          <w:rFonts w:ascii="Times New Roman" w:cs="Times New Roman" w:eastAsia="Times New Roman" w:hAnsi="Times New Roman"/>
          <w:sz w:val="11"/>
          <w:szCs w:val="11"/>
          <w:i w:val="1"/>
          <w:iCs w:val="1"/>
          <w:color w:val="auto"/>
        </w:rPr>
        <w:t>Trust Indenture Act</w:t>
      </w:r>
      <w:r>
        <w:rPr>
          <w:rFonts w:ascii="Times New Roman" w:cs="Times New Roman" w:eastAsia="Times New Roman" w:hAnsi="Times New Roman"/>
          <w:sz w:val="11"/>
          <w:szCs w:val="11"/>
          <w:color w:val="auto"/>
        </w:rPr>
        <w:t>”).</w:t>
      </w:r>
    </w:p>
    <w:p>
      <w:pPr>
        <w:spacing w:after="0" w:line="164" w:lineRule="exact"/>
        <w:rPr>
          <w:sz w:val="20"/>
          <w:szCs w:val="20"/>
          <w:color w:val="auto"/>
        </w:rPr>
      </w:pPr>
    </w:p>
    <w:p>
      <w:pPr>
        <w:ind w:left="760" w:hanging="252"/>
        <w:spacing w:after="0"/>
        <w:tabs>
          <w:tab w:leader="none" w:pos="760" w:val="left"/>
        </w:tabs>
        <w:numPr>
          <w:ilvl w:val="1"/>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Item 17. Undertakings</w:t>
      </w:r>
    </w:p>
    <w:p>
      <w:pPr>
        <w:spacing w:after="0" w:line="134" w:lineRule="exact"/>
        <w:rPr>
          <w:rFonts w:ascii="Times New Roman" w:cs="Times New Roman" w:eastAsia="Times New Roman" w:hAnsi="Times New Roman"/>
          <w:sz w:val="14"/>
          <w:szCs w:val="14"/>
          <w:b w:val="1"/>
          <w:bCs w:val="1"/>
          <w:color w:val="auto"/>
        </w:rPr>
      </w:pPr>
    </w:p>
    <w:p>
      <w:pPr>
        <w:ind w:left="260" w:hanging="256"/>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288" w:right="319" w:bottom="1440" w:gutter="0" w:footer="0" w:header="0"/>
          <w:type w:val="continuous"/>
        </w:sectPr>
      </w:pPr>
    </w:p>
    <w:bookmarkStart w:id="59" w:name="page60"/>
    <w:bookmarkEnd w:id="59"/>
    <w:p>
      <w:pPr>
        <w:ind w:left="260" w:hanging="252"/>
        <w:spacing w:after="0"/>
        <w:tabs>
          <w:tab w:leader="none" w:pos="260" w:val="left"/>
        </w:tabs>
        <w:numPr>
          <w:ilvl w:val="0"/>
          <w:numId w:val="5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32" w:lineRule="exact"/>
        <w:rPr>
          <w:rFonts w:ascii="Times New Roman" w:cs="Times New Roman" w:eastAsia="Times New Roman" w:hAnsi="Times New Roman"/>
          <w:sz w:val="14"/>
          <w:szCs w:val="14"/>
          <w:color w:val="010000"/>
        </w:rPr>
      </w:pPr>
    </w:p>
    <w:p>
      <w:pPr>
        <w:ind w:left="820" w:hanging="309"/>
        <w:spacing w:after="0"/>
        <w:tabs>
          <w:tab w:leader="none" w:pos="820" w:val="left"/>
        </w:tabs>
        <w:numPr>
          <w:ilvl w:val="1"/>
          <w:numId w:val="5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to include any prospectus required by Section 10(a)(3) of the Securities Act;</w:t>
      </w:r>
    </w:p>
    <w:p>
      <w:pPr>
        <w:spacing w:after="0" w:line="132" w:lineRule="exact"/>
        <w:rPr>
          <w:rFonts w:ascii="Times New Roman" w:cs="Times New Roman" w:eastAsia="Times New Roman" w:hAnsi="Times New Roman"/>
          <w:sz w:val="14"/>
          <w:szCs w:val="14"/>
          <w:color w:val="010000"/>
        </w:rPr>
      </w:pPr>
    </w:p>
    <w:p>
      <w:pPr>
        <w:ind w:left="820" w:right="20" w:hanging="309"/>
        <w:spacing w:after="0" w:line="256" w:lineRule="auto"/>
        <w:tabs>
          <w:tab w:leader="none" w:pos="815" w:val="left"/>
        </w:tabs>
        <w:numPr>
          <w:ilvl w:val="1"/>
          <w:numId w:val="5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02" w:lineRule="exact"/>
        <w:rPr>
          <w:rFonts w:ascii="Times New Roman" w:cs="Times New Roman" w:eastAsia="Times New Roman" w:hAnsi="Times New Roman"/>
          <w:sz w:val="14"/>
          <w:szCs w:val="14"/>
          <w:color w:val="010000"/>
        </w:rPr>
      </w:pPr>
    </w:p>
    <w:p>
      <w:pPr>
        <w:ind w:left="820" w:right="40" w:hanging="309"/>
        <w:spacing w:after="0" w:line="282" w:lineRule="auto"/>
        <w:tabs>
          <w:tab w:leader="none" w:pos="812" w:val="left"/>
        </w:tabs>
        <w:numPr>
          <w:ilvl w:val="1"/>
          <w:numId w:val="5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3" w:lineRule="exact"/>
        <w:rPr>
          <w:sz w:val="20"/>
          <w:szCs w:val="20"/>
          <w:color w:val="auto"/>
        </w:rPr>
      </w:pPr>
    </w:p>
    <w:p>
      <w:pPr>
        <w:jc w:val="both"/>
        <w:ind w:left="520" w:right="320"/>
        <w:spacing w:after="0" w:line="266" w:lineRule="auto"/>
        <w:rPr>
          <w:sz w:val="20"/>
          <w:szCs w:val="20"/>
          <w:color w:val="auto"/>
        </w:rPr>
      </w:pPr>
      <w:r>
        <w:rPr>
          <w:rFonts w:ascii="Times New Roman" w:cs="Times New Roman" w:eastAsia="Times New Roman" w:hAnsi="Times New Roman"/>
          <w:sz w:val="14"/>
          <w:szCs w:val="14"/>
          <w:color w:val="auto"/>
        </w:rPr>
        <w:t>provided, however, that subparagraphs (i), (ii), and (iii)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94" w:lineRule="exact"/>
        <w:rPr>
          <w:sz w:val="20"/>
          <w:szCs w:val="20"/>
          <w:color w:val="auto"/>
        </w:rPr>
      </w:pPr>
    </w:p>
    <w:p>
      <w:pPr>
        <w:ind w:left="260" w:right="60" w:hanging="252"/>
        <w:spacing w:after="0" w:line="282" w:lineRule="auto"/>
        <w:tabs>
          <w:tab w:leader="none" w:pos="255" w:val="left"/>
        </w:tabs>
        <w:numPr>
          <w:ilvl w:val="0"/>
          <w:numId w:val="5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3" w:lineRule="exact"/>
        <w:rPr>
          <w:rFonts w:ascii="Times New Roman" w:cs="Times New Roman" w:eastAsia="Times New Roman" w:hAnsi="Times New Roman"/>
          <w:sz w:val="14"/>
          <w:szCs w:val="14"/>
          <w:color w:val="010000"/>
        </w:rPr>
      </w:pPr>
    </w:p>
    <w:p>
      <w:pPr>
        <w:ind w:left="260" w:hanging="252"/>
        <w:spacing w:after="0"/>
        <w:tabs>
          <w:tab w:leader="none" w:pos="260" w:val="left"/>
        </w:tabs>
        <w:numPr>
          <w:ilvl w:val="0"/>
          <w:numId w:val="5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32" w:lineRule="exact"/>
        <w:rPr>
          <w:rFonts w:ascii="Times New Roman" w:cs="Times New Roman" w:eastAsia="Times New Roman" w:hAnsi="Times New Roman"/>
          <w:sz w:val="14"/>
          <w:szCs w:val="14"/>
          <w:color w:val="010000"/>
        </w:rPr>
      </w:pPr>
    </w:p>
    <w:p>
      <w:pPr>
        <w:ind w:left="260" w:hanging="252"/>
        <w:spacing w:after="0"/>
        <w:tabs>
          <w:tab w:leader="none" w:pos="260" w:val="left"/>
        </w:tabs>
        <w:numPr>
          <w:ilvl w:val="0"/>
          <w:numId w:val="5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32" w:lineRule="exact"/>
        <w:rPr>
          <w:rFonts w:ascii="Times New Roman" w:cs="Times New Roman" w:eastAsia="Times New Roman" w:hAnsi="Times New Roman"/>
          <w:sz w:val="14"/>
          <w:szCs w:val="14"/>
          <w:color w:val="010000"/>
        </w:rPr>
      </w:pPr>
    </w:p>
    <w:p>
      <w:pPr>
        <w:ind w:left="820" w:right="120" w:hanging="309"/>
        <w:spacing w:after="0" w:line="282" w:lineRule="auto"/>
        <w:tabs>
          <w:tab w:leader="none" w:pos="818" w:val="left"/>
        </w:tabs>
        <w:numPr>
          <w:ilvl w:val="1"/>
          <w:numId w:val="5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3" w:lineRule="exact"/>
        <w:rPr>
          <w:rFonts w:ascii="Times New Roman" w:cs="Times New Roman" w:eastAsia="Times New Roman" w:hAnsi="Times New Roman"/>
          <w:sz w:val="14"/>
          <w:szCs w:val="14"/>
          <w:color w:val="010000"/>
        </w:rPr>
      </w:pPr>
    </w:p>
    <w:p>
      <w:pPr>
        <w:ind w:left="820" w:hanging="309"/>
        <w:spacing w:after="0" w:line="254" w:lineRule="auto"/>
        <w:tabs>
          <w:tab w:leader="none" w:pos="815" w:val="left"/>
        </w:tabs>
        <w:numPr>
          <w:ilvl w:val="1"/>
          <w:numId w:val="5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780"/>
          </w:cols>
          <w:pgMar w:left="800" w:top="1132" w:right="319" w:bottom="1440" w:gutter="0" w:footer="0" w:header="0"/>
        </w:sectPr>
      </w:pPr>
    </w:p>
    <w:bookmarkStart w:id="60" w:name="page61"/>
    <w:bookmarkEnd w:id="60"/>
    <w:p>
      <w:pPr>
        <w:ind w:left="1320"/>
        <w:spacing w:after="0" w:line="282" w:lineRule="auto"/>
        <w:rPr>
          <w:sz w:val="20"/>
          <w:szCs w:val="20"/>
          <w:color w:val="auto"/>
        </w:rPr>
      </w:pPr>
      <w:r>
        <w:rPr>
          <w:rFonts w:ascii="Times New Roman" w:cs="Times New Roman" w:eastAsia="Times New Roman" w:hAnsi="Times New Roman"/>
          <w:sz w:val="14"/>
          <w:szCs w:val="14"/>
          <w:color w:val="auto"/>
        </w:rPr>
        <w:t>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3" w:lineRule="exact"/>
        <w:rPr>
          <w:sz w:val="20"/>
          <w:szCs w:val="20"/>
          <w:color w:val="auto"/>
        </w:rPr>
      </w:pPr>
    </w:p>
    <w:p>
      <w:pPr>
        <w:ind w:left="760" w:right="120" w:hanging="252"/>
        <w:spacing w:after="0" w:line="261" w:lineRule="auto"/>
        <w:tabs>
          <w:tab w:leader="none" w:pos="755" w:val="left"/>
        </w:tabs>
        <w:numPr>
          <w:ilvl w:val="1"/>
          <w:numId w:val="5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7" w:lineRule="exact"/>
        <w:rPr>
          <w:rFonts w:ascii="Times New Roman" w:cs="Times New Roman" w:eastAsia="Times New Roman" w:hAnsi="Times New Roman"/>
          <w:sz w:val="14"/>
          <w:szCs w:val="14"/>
          <w:color w:val="010000"/>
        </w:rPr>
      </w:pPr>
    </w:p>
    <w:p>
      <w:pPr>
        <w:ind w:left="1320" w:hanging="309"/>
        <w:spacing w:after="0"/>
        <w:tabs>
          <w:tab w:leader="none" w:pos="1320" w:val="left"/>
        </w:tabs>
        <w:numPr>
          <w:ilvl w:val="2"/>
          <w:numId w:val="5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32" w:lineRule="exact"/>
        <w:rPr>
          <w:rFonts w:ascii="Times New Roman" w:cs="Times New Roman" w:eastAsia="Times New Roman" w:hAnsi="Times New Roman"/>
          <w:sz w:val="14"/>
          <w:szCs w:val="14"/>
          <w:color w:val="010000"/>
        </w:rPr>
      </w:pPr>
    </w:p>
    <w:p>
      <w:pPr>
        <w:ind w:left="1300" w:hanging="289"/>
        <w:spacing w:after="0"/>
        <w:tabs>
          <w:tab w:leader="none" w:pos="1300" w:val="left"/>
        </w:tabs>
        <w:numPr>
          <w:ilvl w:val="2"/>
          <w:numId w:val="5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32" w:lineRule="exact"/>
        <w:rPr>
          <w:rFonts w:ascii="Times New Roman" w:cs="Times New Roman" w:eastAsia="Times New Roman" w:hAnsi="Times New Roman"/>
          <w:sz w:val="14"/>
          <w:szCs w:val="14"/>
          <w:color w:val="010000"/>
        </w:rPr>
      </w:pPr>
    </w:p>
    <w:p>
      <w:pPr>
        <w:ind w:left="1320" w:right="40" w:hanging="309"/>
        <w:spacing w:after="0" w:line="282" w:lineRule="auto"/>
        <w:tabs>
          <w:tab w:leader="none" w:pos="1312" w:val="left"/>
        </w:tabs>
        <w:numPr>
          <w:ilvl w:val="2"/>
          <w:numId w:val="5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3" w:lineRule="exact"/>
        <w:rPr>
          <w:rFonts w:ascii="Times New Roman" w:cs="Times New Roman" w:eastAsia="Times New Roman" w:hAnsi="Times New Roman"/>
          <w:sz w:val="14"/>
          <w:szCs w:val="14"/>
          <w:color w:val="010000"/>
        </w:rPr>
      </w:pPr>
    </w:p>
    <w:p>
      <w:pPr>
        <w:ind w:left="1300" w:hanging="289"/>
        <w:spacing w:after="0"/>
        <w:tabs>
          <w:tab w:leader="none" w:pos="1300" w:val="left"/>
        </w:tabs>
        <w:numPr>
          <w:ilvl w:val="2"/>
          <w:numId w:val="5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32" w:lineRule="exact"/>
        <w:rPr>
          <w:rFonts w:ascii="Times New Roman" w:cs="Times New Roman" w:eastAsia="Times New Roman" w:hAnsi="Times New Roman"/>
          <w:sz w:val="14"/>
          <w:szCs w:val="14"/>
          <w:color w:val="010000"/>
        </w:rPr>
      </w:pPr>
    </w:p>
    <w:p>
      <w:pPr>
        <w:ind w:left="260" w:right="120" w:hanging="256"/>
        <w:spacing w:after="0" w:line="261" w:lineRule="auto"/>
        <w:tabs>
          <w:tab w:leader="none" w:pos="25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7" w:lineRule="exact"/>
        <w:rPr>
          <w:rFonts w:ascii="Times New Roman" w:cs="Times New Roman" w:eastAsia="Times New Roman" w:hAnsi="Times New Roman"/>
          <w:sz w:val="14"/>
          <w:szCs w:val="14"/>
          <w:color w:val="auto"/>
        </w:rPr>
      </w:pPr>
    </w:p>
    <w:p>
      <w:pPr>
        <w:ind w:left="260" w:right="240" w:hanging="256"/>
        <w:spacing w:after="0" w:line="256" w:lineRule="auto"/>
        <w:tabs>
          <w:tab w:leader="none" w:pos="25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2" w:lineRule="exact"/>
        <w:rPr>
          <w:rFonts w:ascii="Times New Roman" w:cs="Times New Roman" w:eastAsia="Times New Roman" w:hAnsi="Times New Roman"/>
          <w:sz w:val="14"/>
          <w:szCs w:val="14"/>
          <w:color w:val="auto"/>
        </w:rPr>
      </w:pPr>
    </w:p>
    <w:p>
      <w:pPr>
        <w:ind w:left="260" w:hanging="256"/>
        <w:spacing w:after="0" w:line="282" w:lineRule="auto"/>
        <w:tabs>
          <w:tab w:leader="none" w:pos="25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32" w:right="319" w:bottom="1440" w:gutter="0" w:footer="0" w:header="0"/>
        </w:sectPr>
      </w:pPr>
    </w:p>
    <w:bookmarkStart w:id="61" w:name="page62"/>
    <w:bookmarkEnd w:id="61"/>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7" w:lineRule="exact"/>
        <w:rPr>
          <w:sz w:val="20"/>
          <w:szCs w:val="20"/>
          <w:color w:val="auto"/>
        </w:rPr>
      </w:pPr>
    </w:p>
    <w:p>
      <w:pPr>
        <w:ind w:right="20" w:firstLine="252"/>
        <w:spacing w:after="0" w:line="28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Stamford, State of Connecticut, on October 28, 2025.</w:t>
      </w:r>
    </w:p>
    <w:p>
      <w:pPr>
        <w:spacing w:after="0" w:line="155"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GENEDX HOLDINGS CORP.</w:t>
      </w:r>
    </w:p>
    <w:p>
      <w:pPr>
        <w:spacing w:after="0" w:line="61" w:lineRule="exact"/>
        <w:rPr>
          <w:sz w:val="20"/>
          <w:szCs w:val="20"/>
          <w:color w:val="auto"/>
        </w:rPr>
      </w:pPr>
    </w:p>
    <w:p>
      <w:pPr>
        <w:ind w:left="8420"/>
        <w:spacing w:after="0"/>
        <w:tabs>
          <w:tab w:leader="none" w:pos="8820" w:val="left"/>
        </w:tabs>
        <w:rPr>
          <w:sz w:val="20"/>
          <w:szCs w:val="20"/>
          <w:color w:val="auto"/>
        </w:rPr>
      </w:pPr>
      <w:r>
        <w:rPr>
          <w:rFonts w:ascii="Times New Roman" w:cs="Times New Roman" w:eastAsia="Times New Roman" w:hAnsi="Times New Roman"/>
          <w:sz w:val="14"/>
          <w:szCs w:val="14"/>
          <w:color w:val="auto"/>
        </w:rPr>
        <w:t>By:</w:t>
        <w:tab/>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5606415</wp:posOffset>
            </wp:positionH>
            <wp:positionV relativeFrom="paragraph">
              <wp:posOffset>13970</wp:posOffset>
            </wp:positionV>
            <wp:extent cx="155892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1558925" cy="6350"/>
                    </a:xfrm>
                    <a:prstGeom prst="rect">
                      <a:avLst/>
                    </a:prstGeom>
                    <a:noFill/>
                  </pic:spPr>
                </pic:pic>
              </a:graphicData>
            </a:graphic>
          </wp:anchor>
        </w:drawing>
      </w:r>
    </w:p>
    <w:p>
      <w:pPr>
        <w:spacing w:after="0" w:line="8"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color w:val="auto"/>
        </w:rPr>
        <w:t>Katherine Stueland</w:t>
      </w:r>
    </w:p>
    <w:p>
      <w:pPr>
        <w:spacing w:after="0" w:line="26"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24"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7" w:lineRule="exact"/>
        <w:rPr>
          <w:sz w:val="20"/>
          <w:szCs w:val="20"/>
          <w:color w:val="auto"/>
        </w:rPr>
      </w:pPr>
    </w:p>
    <w:p>
      <w:pPr>
        <w:ind w:firstLine="252"/>
        <w:spacing w:after="0" w:line="256"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hereby constitutes and appoints Katherine Stueland, Kevin Feeley and Heidi Chen,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03" w:lineRule="exact"/>
        <w:rPr>
          <w:sz w:val="20"/>
          <w:szCs w:val="20"/>
          <w:color w:val="auto"/>
        </w:rPr>
      </w:pPr>
    </w:p>
    <w:p>
      <w:pPr>
        <w:ind w:right="100" w:firstLine="252"/>
        <w:spacing w:after="0" w:line="28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on Form S-3 has been signed below by the following persons in the capacities and on the dates indicated.</w:t>
      </w:r>
    </w:p>
    <w:p>
      <w:pPr>
        <w:spacing w:after="0" w:line="152" w:lineRule="exact"/>
        <w:rPr>
          <w:sz w:val="20"/>
          <w:szCs w:val="20"/>
          <w:color w:val="auto"/>
        </w:rPr>
      </w:pPr>
    </w:p>
    <w:p>
      <w:pPr>
        <w:ind w:left="1620"/>
        <w:spacing w:after="0"/>
        <w:tabs>
          <w:tab w:leader="none" w:pos="6360" w:val="left"/>
          <w:tab w:leader="none" w:pos="10120" w:val="left"/>
        </w:tabs>
        <w:rPr>
          <w:sz w:val="20"/>
          <w:szCs w:val="20"/>
          <w:color w:val="auto"/>
        </w:rPr>
      </w:pPr>
      <w:r>
        <w:rPr>
          <w:rFonts w:ascii="Times New Roman" w:cs="Times New Roman" w:eastAsia="Times New Roman" w:hAnsi="Times New Roman"/>
          <w:sz w:val="11"/>
          <w:szCs w:val="11"/>
          <w:b w:val="1"/>
          <w:bCs w:val="1"/>
          <w:color w:val="auto"/>
        </w:rPr>
        <w:t>Signature</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710946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7109460" cy="6350"/>
                    </a:xfrm>
                    <a:prstGeom prst="rect">
                      <a:avLst/>
                    </a:prstGeom>
                    <a:noFill/>
                  </pic:spPr>
                </pic:pic>
              </a:graphicData>
            </a:graphic>
          </wp:anchor>
        </w:drawing>
      </w:r>
    </w:p>
    <w:p>
      <w:pPr>
        <w:sectPr>
          <w:pgSz w:w="11900" w:h="16838" w:orient="portrait"/>
          <w:cols w:equalWidth="0" w:num="1">
            <w:col w:w="11180"/>
          </w:cols>
          <w:pgMar w:left="300" w:top="543" w:right="419" w:bottom="1440" w:gutter="0" w:footer="0" w:header="0"/>
        </w:sectPr>
      </w:pPr>
    </w:p>
    <w:p>
      <w:pPr>
        <w:spacing w:after="0" w:line="26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33870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2338705" cy="6350"/>
                    </a:xfrm>
                    <a:prstGeom prst="rect">
                      <a:avLst/>
                    </a:prstGeom>
                    <a:noFill/>
                  </pic:spPr>
                </pic:pic>
              </a:graphicData>
            </a:graphic>
          </wp:anchor>
        </w:drawing>
      </w:r>
    </w:p>
    <w:p>
      <w:pPr>
        <w:spacing w:after="0" w:line="1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Katherine Stueland</w:t>
      </w:r>
    </w:p>
    <w:p>
      <w:pPr>
        <w:spacing w:after="0" w:line="15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33870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2338705" cy="6350"/>
                    </a:xfrm>
                    <a:prstGeom prst="rect">
                      <a:avLst/>
                    </a:prstGeom>
                    <a:noFill/>
                  </pic:spPr>
                </pic:pic>
              </a:graphicData>
            </a:graphic>
          </wp:anchor>
        </w:drawing>
      </w:r>
    </w:p>
    <w:p>
      <w:pPr>
        <w:spacing w:after="0" w:line="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Kevin Feeley</w:t>
      </w:r>
    </w:p>
    <w:p>
      <w:pPr>
        <w:spacing w:after="0" w:line="16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33870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2338705" cy="6350"/>
                    </a:xfrm>
                    <a:prstGeom prst="rect">
                      <a:avLst/>
                    </a:prstGeom>
                    <a:noFill/>
                  </pic:spPr>
                </pic:pic>
              </a:graphicData>
            </a:graphic>
          </wp:anchor>
        </w:drawing>
      </w:r>
    </w:p>
    <w:p>
      <w:pPr>
        <w:spacing w:after="0" w:line="1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Jason Ryan</w:t>
      </w:r>
    </w:p>
    <w:p>
      <w:pPr>
        <w:spacing w:after="0" w:line="15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33870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2338705" cy="6350"/>
                    </a:xfrm>
                    <a:prstGeom prst="rect">
                      <a:avLst/>
                    </a:prstGeom>
                    <a:noFill/>
                  </pic:spPr>
                </pic:pic>
              </a:graphicData>
            </a:graphic>
          </wp:anchor>
        </w:drawing>
      </w:r>
    </w:p>
    <w:p>
      <w:pPr>
        <w:spacing w:after="0" w:line="1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Joshua Ruch</w:t>
      </w:r>
    </w:p>
    <w:p>
      <w:pPr>
        <w:spacing w:after="0" w:line="15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/s/ Eli D.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33870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2338705" cy="6350"/>
                    </a:xfrm>
                    <a:prstGeom prst="rect">
                      <a:avLst/>
                    </a:prstGeom>
                    <a:noFill/>
                  </pic:spPr>
                </pic:pic>
              </a:graphicData>
            </a:graphic>
          </wp:anchor>
        </w:drawing>
      </w:r>
    </w:p>
    <w:p>
      <w:pPr>
        <w:spacing w:after="0" w:line="1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Eli D. Casdin</w:t>
      </w:r>
    </w:p>
    <w:p>
      <w:pPr>
        <w:spacing w:after="0" w:line="15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33870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2338705" cy="6350"/>
                    </a:xfrm>
                    <a:prstGeom prst="rect">
                      <a:avLst/>
                    </a:prstGeom>
                    <a:noFill/>
                  </pic:spPr>
                </pic:pic>
              </a:graphicData>
            </a:graphic>
          </wp:anchor>
        </w:drawing>
      </w:r>
    </w:p>
    <w:p>
      <w:pPr>
        <w:spacing w:after="0" w:line="1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Emily Leproust</w:t>
      </w:r>
    </w:p>
    <w:p>
      <w:pPr>
        <w:spacing w:after="0" w:line="15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33870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2338705" cy="6350"/>
                    </a:xfrm>
                    <a:prstGeom prst="rect">
                      <a:avLst/>
                    </a:prstGeom>
                    <a:noFill/>
                  </pic:spPr>
                </pic:pic>
              </a:graphicData>
            </a:graphic>
          </wp:anchor>
        </w:drawing>
      </w:r>
    </w:p>
    <w:p>
      <w:pPr>
        <w:spacing w:after="0" w:line="1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Keith Meister</w:t>
      </w:r>
    </w:p>
    <w:p>
      <w:pPr>
        <w:spacing w:after="0" w:line="15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3"/>
          <w:szCs w:val="13"/>
          <w:color w:val="auto"/>
        </w:rPr>
        <w:t>/s/ Richard C. Pfenniger,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33870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2338705" cy="6350"/>
                    </a:xfrm>
                    <a:prstGeom prst="rect">
                      <a:avLst/>
                    </a:prstGeom>
                    <a:noFill/>
                  </pic:spPr>
                </pic:pic>
              </a:graphicData>
            </a:graphic>
          </wp:anchor>
        </w:drawing>
      </w:r>
    </w:p>
    <w:p>
      <w:pPr>
        <w:spacing w:after="0" w:line="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Richard C. Pfenniger, Jr.</w:t>
      </w:r>
    </w:p>
    <w:p>
      <w:pPr>
        <w:spacing w:after="0" w:line="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 Thomas J. Fuchs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39204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2392045" cy="6350"/>
                    </a:xfrm>
                    <a:prstGeom prst="rect">
                      <a:avLst/>
                    </a:prstGeom>
                    <a:noFill/>
                  </pic:spPr>
                </pic:pic>
              </a:graphicData>
            </a:graphic>
          </wp:anchor>
        </w:drawing>
      </w:r>
    </w:p>
    <w:p>
      <w:pPr>
        <w:spacing w:after="0" w:line="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Thomas J. Fuchs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4"/>
                <w:szCs w:val="14"/>
                <w:color w:val="auto"/>
                <w:w w:val="99"/>
              </w:rPr>
              <w:t>Chief Executive Officer and Director</w:t>
            </w:r>
          </w:p>
        </w:tc>
        <w:tc>
          <w:tcPr>
            <w:tcW w:w="216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color w:val="auto"/>
              </w:rPr>
              <w:t>October 28, 2025</w:t>
            </w:r>
          </w:p>
        </w:tc>
        <w:tc>
          <w:tcPr>
            <w:tcW w:w="0" w:type="dxa"/>
            <w:vAlign w:val="bottom"/>
          </w:tcPr>
          <w:p>
            <w:pPr>
              <w:spacing w:after="0"/>
              <w:rPr>
                <w:sz w:val="1"/>
                <w:szCs w:val="1"/>
                <w:color w:val="auto"/>
              </w:rPr>
            </w:pPr>
          </w:p>
        </w:tc>
      </w:tr>
      <w:tr>
        <w:trPr>
          <w:trHeight w:val="99"/>
        </w:trPr>
        <w:tc>
          <w:tcPr>
            <w:tcW w:w="3200" w:type="dxa"/>
            <w:vAlign w:val="bottom"/>
            <w:vMerge w:val="restart"/>
          </w:tcPr>
          <w:p>
            <w:pPr>
              <w:jc w:val="center"/>
              <w:ind w:right="105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20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2"/>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4"/>
                <w:szCs w:val="14"/>
                <w:color w:val="auto"/>
              </w:rPr>
              <w:t>Chief Financial Officer</w:t>
            </w:r>
          </w:p>
        </w:tc>
        <w:tc>
          <w:tcPr>
            <w:tcW w:w="216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color w:val="auto"/>
              </w:rPr>
              <w:t>October 28, 2025</w:t>
            </w:r>
          </w:p>
        </w:tc>
        <w:tc>
          <w:tcPr>
            <w:tcW w:w="0" w:type="dxa"/>
            <w:vAlign w:val="bottom"/>
          </w:tcPr>
          <w:p>
            <w:pPr>
              <w:spacing w:after="0"/>
              <w:rPr>
                <w:sz w:val="1"/>
                <w:szCs w:val="1"/>
                <w:color w:val="auto"/>
              </w:rPr>
            </w:pPr>
          </w:p>
        </w:tc>
      </w:tr>
      <w:tr>
        <w:trPr>
          <w:trHeight w:val="99"/>
        </w:trPr>
        <w:tc>
          <w:tcPr>
            <w:tcW w:w="3200" w:type="dxa"/>
            <w:vAlign w:val="bottom"/>
            <w:vMerge w:val="restart"/>
          </w:tcPr>
          <w:p>
            <w:pPr>
              <w:jc w:val="center"/>
              <w:ind w:right="105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20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0"/>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4"/>
                <w:szCs w:val="14"/>
                <w:color w:val="auto"/>
                <w:w w:val="99"/>
              </w:rPr>
              <w:t>Chairman of the Board</w:t>
            </w:r>
          </w:p>
        </w:tc>
        <w:tc>
          <w:tcPr>
            <w:tcW w:w="2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October 28, 2025</w:t>
            </w:r>
          </w:p>
        </w:tc>
        <w:tc>
          <w:tcPr>
            <w:tcW w:w="0" w:type="dxa"/>
            <w:vAlign w:val="bottom"/>
          </w:tcPr>
          <w:p>
            <w:pPr>
              <w:spacing w:after="0"/>
              <w:rPr>
                <w:sz w:val="1"/>
                <w:szCs w:val="1"/>
                <w:color w:val="auto"/>
              </w:rPr>
            </w:pPr>
          </w:p>
        </w:tc>
      </w:tr>
      <w:tr>
        <w:trPr>
          <w:trHeight w:val="514"/>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October 28, 2025</w:t>
            </w:r>
          </w:p>
        </w:tc>
        <w:tc>
          <w:tcPr>
            <w:tcW w:w="0" w:type="dxa"/>
            <w:vAlign w:val="bottom"/>
          </w:tcPr>
          <w:p>
            <w:pPr>
              <w:spacing w:after="0"/>
              <w:rPr>
                <w:sz w:val="1"/>
                <w:szCs w:val="1"/>
                <w:color w:val="auto"/>
              </w:rPr>
            </w:pPr>
          </w:p>
        </w:tc>
      </w:tr>
      <w:tr>
        <w:trPr>
          <w:trHeight w:val="514"/>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October 28, 2025</w:t>
            </w:r>
          </w:p>
        </w:tc>
        <w:tc>
          <w:tcPr>
            <w:tcW w:w="0" w:type="dxa"/>
            <w:vAlign w:val="bottom"/>
          </w:tcPr>
          <w:p>
            <w:pPr>
              <w:spacing w:after="0"/>
              <w:rPr>
                <w:sz w:val="1"/>
                <w:szCs w:val="1"/>
                <w:color w:val="auto"/>
              </w:rPr>
            </w:pPr>
          </w:p>
        </w:tc>
      </w:tr>
      <w:tr>
        <w:trPr>
          <w:trHeight w:val="514"/>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October 28, 2025</w:t>
            </w:r>
          </w:p>
        </w:tc>
        <w:tc>
          <w:tcPr>
            <w:tcW w:w="0" w:type="dxa"/>
            <w:vAlign w:val="bottom"/>
          </w:tcPr>
          <w:p>
            <w:pPr>
              <w:spacing w:after="0"/>
              <w:rPr>
                <w:sz w:val="1"/>
                <w:szCs w:val="1"/>
                <w:color w:val="auto"/>
              </w:rPr>
            </w:pPr>
          </w:p>
        </w:tc>
      </w:tr>
      <w:tr>
        <w:trPr>
          <w:trHeight w:val="514"/>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October 28, 2025</w:t>
            </w:r>
          </w:p>
        </w:tc>
        <w:tc>
          <w:tcPr>
            <w:tcW w:w="0" w:type="dxa"/>
            <w:vAlign w:val="bottom"/>
          </w:tcPr>
          <w:p>
            <w:pPr>
              <w:spacing w:after="0"/>
              <w:rPr>
                <w:sz w:val="1"/>
                <w:szCs w:val="1"/>
                <w:color w:val="auto"/>
              </w:rPr>
            </w:pPr>
          </w:p>
        </w:tc>
      </w:tr>
      <w:tr>
        <w:trPr>
          <w:trHeight w:val="525"/>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October 28, 2025</w:t>
            </w:r>
          </w:p>
        </w:tc>
        <w:tc>
          <w:tcPr>
            <w:tcW w:w="0" w:type="dxa"/>
            <w:vAlign w:val="bottom"/>
          </w:tcPr>
          <w:p>
            <w:pPr>
              <w:spacing w:after="0"/>
              <w:rPr>
                <w:sz w:val="1"/>
                <w:szCs w:val="1"/>
                <w:color w:val="auto"/>
              </w:rPr>
            </w:pPr>
          </w:p>
        </w:tc>
      </w:tr>
      <w:tr>
        <w:trPr>
          <w:trHeight w:val="409"/>
        </w:trPr>
        <w:tc>
          <w:tcPr>
            <w:tcW w:w="3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1200"/>
              <w:spacing w:after="0"/>
              <w:rPr>
                <w:sz w:val="20"/>
                <w:szCs w:val="20"/>
                <w:color w:val="auto"/>
              </w:rPr>
            </w:pPr>
            <w:r>
              <w:rPr>
                <w:rFonts w:ascii="Times New Roman" w:cs="Times New Roman" w:eastAsia="Times New Roman" w:hAnsi="Times New Roman"/>
                <w:sz w:val="14"/>
                <w:szCs w:val="14"/>
                <w:color w:val="auto"/>
                <w:w w:val="96"/>
              </w:rPr>
              <w:t>October 28, 2025</w:t>
            </w: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2">
            <w:col w:w="4740" w:space="720"/>
            <w:col w:w="5720"/>
          </w:cols>
          <w:pgMar w:left="300" w:top="543" w:right="419" w:bottom="1440" w:gutter="0" w:footer="0" w:header="0"/>
          <w:type w:val="continuous"/>
        </w:sectPr>
      </w:pPr>
    </w:p>
    <w:p>
      <w:pPr>
        <w:spacing w:after="0" w:line="1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180"/>
          </w:cols>
          <w:pgMar w:left="300" w:top="543" w:right="419" w:bottom="1440" w:gutter="0" w:footer="0" w:header="0"/>
          <w:type w:val="continuous"/>
        </w:sectPr>
      </w:pPr>
    </w:p>
    <w:bookmarkStart w:id="62" w:name="page63"/>
    <w:bookmarkEnd w:id="62"/>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1"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8"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GeneDx Holdings Corp.</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12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20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ind w:left="24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4"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8"/>
                <w:szCs w:val="8"/>
                <w:color w:val="auto"/>
              </w:rPr>
            </w:pPr>
          </w:p>
        </w:tc>
        <w:tc>
          <w:tcPr>
            <w:tcW w:w="68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w w:val="97"/>
              </w:rPr>
              <w:t>par 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ind w:left="20"/>
              <w:spacing w:after="0" w:line="178" w:lineRule="exact"/>
              <w:rPr>
                <w:sz w:val="20"/>
                <w:szCs w:val="20"/>
                <w:color w:val="auto"/>
              </w:rPr>
            </w:pPr>
            <w:r>
              <w:rPr>
                <w:rFonts w:ascii="Arial" w:cs="Arial" w:eastAsia="Arial" w:hAnsi="Arial"/>
                <w:sz w:val="17"/>
                <w:szCs w:val="17"/>
                <w:color w:val="auto"/>
                <w:w w:val="95"/>
              </w:rPr>
              <w:t>Preferred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7"/>
              </w:rPr>
              <w:t>par value</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84"/>
              </w:rPr>
              <w:t>3</w:t>
            </w:r>
          </w:p>
        </w:tc>
        <w:tc>
          <w:tcPr>
            <w:tcW w:w="4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8"/>
              </w:rPr>
              <w:t>Warrants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84"/>
              </w:rPr>
              <w:t>4</w:t>
            </w:r>
          </w:p>
        </w:tc>
        <w:tc>
          <w:tcPr>
            <w:tcW w:w="4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Rights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84"/>
              </w:rPr>
              <w:t>5</w:t>
            </w:r>
          </w:p>
        </w:tc>
        <w:tc>
          <w:tcPr>
            <w:tcW w:w="4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auto"/>
              </w:rPr>
              <w:t>6 Equity</w:t>
            </w:r>
          </w:p>
        </w:tc>
        <w:tc>
          <w:tcPr>
            <w:tcW w:w="20" w:type="dxa"/>
            <w:vAlign w:val="bottom"/>
          </w:tcPr>
          <w:p>
            <w:pPr>
              <w:spacing w:after="0"/>
              <w:rPr>
                <w:sz w:val="16"/>
                <w:szCs w:val="16"/>
                <w:color w:val="auto"/>
              </w:rPr>
            </w:pPr>
          </w:p>
        </w:tc>
        <w:tc>
          <w:tcPr>
            <w:tcW w:w="720" w:type="dxa"/>
            <w:vAlign w:val="bottom"/>
          </w:tcPr>
          <w:p>
            <w:pPr>
              <w:ind w:left="20"/>
              <w:spacing w:after="0" w:line="189" w:lineRule="exact"/>
              <w:rPr>
                <w:sz w:val="20"/>
                <w:szCs w:val="20"/>
                <w:color w:val="auto"/>
              </w:rPr>
            </w:pPr>
            <w:r>
              <w:rPr>
                <w:rFonts w:ascii="Arial" w:cs="Arial" w:eastAsia="Arial" w:hAnsi="Arial"/>
                <w:sz w:val="17"/>
                <w:szCs w:val="17"/>
                <w:color w:val="auto"/>
                <w:w w:val="97"/>
              </w:rPr>
              <w:t>par value</w:t>
            </w:r>
          </w:p>
        </w:tc>
        <w:tc>
          <w:tcPr>
            <w:tcW w:w="2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9"/>
              </w:rPr>
              <w:t>0.0001381</w:t>
            </w:r>
          </w:p>
        </w:tc>
        <w:tc>
          <w:tcPr>
            <w:tcW w:w="1020" w:type="dxa"/>
            <w:vAlign w:val="bottom"/>
            <w:gridSpan w:val="2"/>
            <w:vMerge w:val="restart"/>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100,000,000.00</w:t>
            </w:r>
          </w:p>
        </w:tc>
        <w:tc>
          <w:tcPr>
            <w:tcW w:w="84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-4290060</wp:posOffset>
            </wp:positionV>
            <wp:extent cx="7214235" cy="61893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214235" cy="6189345"/>
                    </a:xfrm>
                    <a:prstGeom prst="rect">
                      <a:avLst/>
                    </a:prstGeom>
                    <a:noFill/>
                  </pic:spPr>
                </pic:pic>
              </a:graphicData>
            </a:graphic>
          </wp:anchor>
        </w:drawing>
      </w:r>
    </w:p>
    <w:p>
      <w:pPr>
        <w:ind w:left="1720"/>
        <w:spacing w:after="0" w:line="231" w:lineRule="auto"/>
        <w:rPr>
          <w:sz w:val="20"/>
          <w:szCs w:val="20"/>
          <w:color w:val="auto"/>
        </w:rPr>
      </w:pPr>
      <w:r>
        <w:rPr>
          <w:rFonts w:ascii="Arial" w:cs="Arial" w:eastAsia="Arial" w:hAnsi="Arial"/>
          <w:sz w:val="17"/>
          <w:szCs w:val="17"/>
          <w:color w:val="auto"/>
        </w:rPr>
        <w:t>per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share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Fees</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gridSpan w:val="5"/>
          </w:tcPr>
          <w:p>
            <w:pPr>
              <w:ind w:left="36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90"/>
        </w:trPr>
        <w:tc>
          <w:tcPr>
            <w:tcW w:w="80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189"/>
        </w:trPr>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220"/>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r>
      <w:tr>
        <w:trPr>
          <w:trHeight w:val="199"/>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7"/>
                <w:szCs w:val="17"/>
                <w:color w:val="auto"/>
              </w:rPr>
              <w:t>Total Offering Amounts:</w:t>
            </w:r>
          </w:p>
        </w:tc>
        <w:tc>
          <w:tcPr>
            <w:tcW w:w="204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$ 13,810.00</w:t>
            </w:r>
          </w:p>
        </w:tc>
      </w:tr>
      <w:tr>
        <w:trPr>
          <w:trHeight w:val="222"/>
        </w:trPr>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40" w:type="dxa"/>
            <w:vAlign w:val="bottom"/>
            <w:gridSpan w:val="4"/>
          </w:tcPr>
          <w:p>
            <w:pPr>
              <w:jc w:val="right"/>
              <w:ind w:right="20"/>
              <w:spacing w:after="0"/>
              <w:rPr>
                <w:sz w:val="20"/>
                <w:szCs w:val="20"/>
                <w:color w:val="auto"/>
              </w:rPr>
            </w:pPr>
            <w:r>
              <w:rPr>
                <w:rFonts w:ascii="Arial" w:cs="Arial" w:eastAsia="Arial" w:hAnsi="Arial"/>
                <w:sz w:val="17"/>
                <w:szCs w:val="17"/>
                <w:color w:val="auto"/>
              </w:rPr>
              <w:t>100,000,000.00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$ 9,343.25</w:t>
            </w:r>
          </w:p>
        </w:tc>
      </w:tr>
      <w:tr>
        <w:trPr>
          <w:trHeight w:val="23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$ 4,466.75</w:t>
            </w:r>
          </w:p>
        </w:tc>
      </w:tr>
    </w:tbl>
    <w:p>
      <w:pPr>
        <w:spacing w:after="0" w:line="2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3" w:lineRule="exact"/>
        <w:rPr>
          <w:sz w:val="20"/>
          <w:szCs w:val="20"/>
          <w:color w:val="auto"/>
        </w:rPr>
      </w:pPr>
    </w:p>
    <w:p>
      <w:pPr>
        <w:ind w:left="220" w:right="140" w:hanging="6"/>
        <w:spacing w:after="0"/>
        <w:tabs>
          <w:tab w:leader="none" w:pos="47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 is relying on Rule 456(b) and Rule 457(r) under the Securities Act of 1933, as amended (the "Securities Act"), to defer payment of all registration fees.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(2) Omitted pursuant to Form S-3 General Instruction II.E. An unspecified number of the securities of each identified class of securities is being registered for possible issuance from time to time at indeterminate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819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63" w:lineRule="exact"/>
        <w:rPr>
          <w:sz w:val="20"/>
          <w:szCs w:val="20"/>
          <w:color w:val="auto"/>
        </w:rPr>
      </w:pPr>
    </w:p>
    <w:p>
      <w:pPr>
        <w:ind w:left="220" w:right="160" w:hanging="6"/>
        <w:spacing w:after="0"/>
        <w:tabs>
          <w:tab w:leader="none" w:pos="47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 is relying on Rule 456(b) and Rule 457(r) under the Securities Act of 1933, as amended, to defer payment of all registration fees.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(2) Omitted pursuant to Form S-3 General Instruction II.E. An unspecified number of the securities of each identified class of securities is being registered for possible issuance from time to time at indeterminate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819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0"/>
          <w:szCs w:val="10"/>
          <w:color w:val="auto"/>
        </w:rPr>
        <w:t>3</w:t>
      </w:r>
    </w:p>
    <w:p>
      <w:pPr>
        <w:spacing w:after="0" w:line="63" w:lineRule="exact"/>
        <w:rPr>
          <w:sz w:val="20"/>
          <w:szCs w:val="20"/>
          <w:color w:val="auto"/>
        </w:rPr>
      </w:pPr>
    </w:p>
    <w:p>
      <w:pPr>
        <w:ind w:left="220" w:right="160" w:hanging="6"/>
        <w:spacing w:after="0"/>
        <w:tabs>
          <w:tab w:leader="none" w:pos="47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 is relying on Rule 456(b) and Rule 457(r) under the Securities Act of 1933, as amended, to defer payment of all registration fees.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(2) Omitted pursuant to Form S-3 General Instruction II.E. An unspecified number of the securities of each identified class of securities is being registered for possible issuance from time to time at indeterminate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819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360"/>
          </w:cols>
          <w:pgMar w:left="300" w:top="142" w:right="239" w:bottom="0"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 The Registrant is relying on Rule 456(b) and Rule 457(r) under the Securities Act of 1933, as amended, to defer payment of all registration fees.</w:t>
      </w:r>
    </w:p>
    <w:p>
      <w:pPr>
        <w:sectPr>
          <w:pgSz w:w="11900" w:h="16838" w:orient="portrait"/>
          <w:cols w:equalWidth="0" w:num="1">
            <w:col w:w="11360"/>
          </w:cols>
          <w:pgMar w:left="300" w:top="142" w:right="239" w:bottom="0" w:gutter="0" w:footer="0" w:header="0"/>
          <w:type w:val="continuous"/>
        </w:sectPr>
      </w:pPr>
    </w:p>
    <w:bookmarkStart w:id="63" w:name="page64"/>
    <w:bookmarkEnd w:id="63"/>
    <w:p>
      <w:pPr>
        <w:ind w:left="220" w:right="80"/>
        <w:spacing w:after="0" w:line="242" w:lineRule="auto"/>
        <w:rPr>
          <w:sz w:val="20"/>
          <w:szCs w:val="20"/>
          <w:color w:val="auto"/>
        </w:rPr>
      </w:pPr>
      <w:r>
        <w:rPr>
          <w:rFonts w:ascii="Arial" w:cs="Arial" w:eastAsia="Arial" w:hAnsi="Arial"/>
          <w:sz w:val="17"/>
          <w:szCs w:val="17"/>
          <w:color w:val="auto"/>
        </w:rPr>
        <w:t>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(2) Omitted pursuant to Form S-3 General Instruction II.E. An unspecified number of the securities of each identified class of securities is being registered for possible issuance from time to time at indeterminate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59055</wp:posOffset>
            </wp:positionV>
            <wp:extent cx="714819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0"/>
          <w:szCs w:val="10"/>
          <w:color w:val="auto"/>
        </w:rPr>
        <w:t>5</w:t>
      </w:r>
    </w:p>
    <w:p>
      <w:pPr>
        <w:spacing w:after="0" w:line="63" w:lineRule="exact"/>
        <w:rPr>
          <w:sz w:val="20"/>
          <w:szCs w:val="20"/>
          <w:color w:val="auto"/>
        </w:rPr>
      </w:pPr>
    </w:p>
    <w:p>
      <w:pPr>
        <w:ind w:left="220" w:right="80" w:hanging="6"/>
        <w:spacing w:after="0"/>
        <w:tabs>
          <w:tab w:leader="none" w:pos="472"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 is relying on Rule 456(b) and Rule 457(r) under the Securities Act of 1933, as amended, to defer payment of all registration fees.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(2) Omitted pursuant to Form S-3 General Instruction II.E. An unspecified number of the securities of each identified class of securities is being registered for possible issuance from time to time at indeterminate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819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0"/>
          <w:szCs w:val="10"/>
          <w:color w:val="auto"/>
        </w:rPr>
        <w:t>6</w:t>
      </w:r>
    </w:p>
    <w:p>
      <w:pPr>
        <w:spacing w:after="0" w:line="63" w:lineRule="exact"/>
        <w:rPr>
          <w:sz w:val="20"/>
          <w:szCs w:val="20"/>
          <w:color w:val="auto"/>
        </w:rPr>
      </w:pPr>
    </w:p>
    <w:p>
      <w:pPr>
        <w:ind w:left="220" w:right="40"/>
        <w:spacing w:after="0" w:line="248" w:lineRule="auto"/>
        <w:rPr>
          <w:sz w:val="20"/>
          <w:szCs w:val="20"/>
          <w:color w:val="auto"/>
        </w:rPr>
      </w:pPr>
      <w:r>
        <w:rPr>
          <w:rFonts w:ascii="Arial" w:cs="Arial" w:eastAsia="Arial" w:hAnsi="Arial"/>
          <w:sz w:val="17"/>
          <w:szCs w:val="17"/>
          <w:color w:val="auto"/>
        </w:rPr>
        <w:t>Estimated solely for the purpose of calculating the registration fee, based on the average of the high and low prices of the common stock on the New York Stock Exchange on August 14, 2025 (such date being within five business days of the date that this registration statement was filed with the Securities and Exchange Commission). This calculation is in accordance with Rule 457(c)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55880</wp:posOffset>
            </wp:positionV>
            <wp:extent cx="714819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260" w:type="dxa"/>
            <w:vAlign w:val="bottom"/>
            <w:tcBorders>
              <w:bottom w:val="single" w:sz="8" w:color="auto"/>
            </w:tcBorders>
            <w:gridSpan w:val="8"/>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4"/>
          </w:tcPr>
          <w:p>
            <w:pPr>
              <w:ind w:left="60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Fee 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restart"/>
            <w:shd w:val="clear" w:color="auto" w:fill="9ADAF6"/>
          </w:tcPr>
          <w:p>
            <w:pPr>
              <w:ind w:left="100"/>
              <w:spacing w:after="0"/>
              <w:rPr>
                <w:sz w:val="20"/>
                <w:szCs w:val="20"/>
                <w:color w:val="auto"/>
              </w:rPr>
            </w:pPr>
            <w:r>
              <w:rPr>
                <w:rFonts w:ascii="Arial" w:cs="Arial" w:eastAsia="Arial" w:hAnsi="Arial"/>
                <w:sz w:val="17"/>
                <w:szCs w:val="17"/>
                <w:b w:val="1"/>
                <w:bCs w:val="1"/>
                <w:color w:val="auto"/>
              </w:rPr>
              <w:t>Registrant or</w:t>
            </w:r>
          </w:p>
        </w:tc>
        <w:tc>
          <w:tcPr>
            <w:tcW w:w="20" w:type="dxa"/>
            <w:vAlign w:val="bottom"/>
          </w:tcPr>
          <w:p>
            <w:pPr>
              <w:spacing w:after="0"/>
              <w:rPr>
                <w:sz w:val="8"/>
                <w:szCs w:val="8"/>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11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9ADAF6"/>
          </w:tcPr>
          <w:p>
            <w:pPr>
              <w:ind w:left="200"/>
              <w:spacing w:after="0" w:line="189" w:lineRule="exact"/>
              <w:rPr>
                <w:sz w:val="20"/>
                <w:szCs w:val="20"/>
                <w:color w:val="auto"/>
              </w:rPr>
            </w:pPr>
            <w:r>
              <w:rPr>
                <w:rFonts w:ascii="Arial" w:cs="Arial" w:eastAsia="Arial" w:hAnsi="Arial"/>
                <w:sz w:val="17"/>
                <w:szCs w:val="17"/>
                <w:b w:val="1"/>
                <w:bCs w:val="1"/>
                <w:color w:val="auto"/>
              </w:rPr>
              <w:t>Filer Name</w:t>
            </w:r>
          </w:p>
        </w:tc>
        <w:tc>
          <w:tcPr>
            <w:tcW w:w="20" w:type="dxa"/>
            <w:vAlign w:val="bottom"/>
          </w:tcPr>
          <w:p>
            <w:pPr>
              <w:spacing w:after="0"/>
              <w:rPr>
                <w:sz w:val="16"/>
                <w:szCs w:val="16"/>
                <w:color w:val="auto"/>
              </w:rPr>
            </w:pPr>
          </w:p>
        </w:tc>
        <w:tc>
          <w:tcPr>
            <w:tcW w:w="5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11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7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Source</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7"/>
          </w:tcPr>
          <w:p>
            <w:pPr>
              <w:ind w:left="560"/>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3"/>
          </w:tcPr>
          <w:p>
            <w:pPr>
              <w:jc w:val="right"/>
              <w:ind w:right="296"/>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Borders>
              <w:left w:val="single" w:sz="8" w:color="auto"/>
            </w:tcBorders>
          </w:tcPr>
          <w:p>
            <w:pPr>
              <w:spacing w:after="0"/>
              <w:rPr>
                <w:sz w:val="22"/>
                <w:szCs w:val="22"/>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22"/>
                <w:szCs w:val="22"/>
                <w:color w:val="auto"/>
              </w:rPr>
            </w:pPr>
          </w:p>
        </w:tc>
        <w:tc>
          <w:tcPr>
            <w:tcW w:w="4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1, 2</w:t>
            </w:r>
          </w:p>
        </w:tc>
        <w:tc>
          <w:tcPr>
            <w:tcW w:w="40" w:type="dxa"/>
            <w:vAlign w:val="bottom"/>
          </w:tcPr>
          <w:p>
            <w:pPr>
              <w:spacing w:after="0"/>
              <w:rPr>
                <w:sz w:val="22"/>
                <w:szCs w:val="22"/>
                <w:color w:val="auto"/>
              </w:rPr>
            </w:pPr>
          </w:p>
        </w:tc>
        <w:tc>
          <w:tcPr>
            <w:tcW w:w="1260" w:type="dxa"/>
            <w:vAlign w:val="bottom"/>
            <w:shd w:val="clear" w:color="auto" w:fill="E7E7E2"/>
          </w:tcPr>
          <w:p>
            <w:pPr>
              <w:spacing w:after="0"/>
              <w:rPr>
                <w:sz w:val="20"/>
                <w:szCs w:val="20"/>
                <w:color w:val="auto"/>
              </w:rPr>
            </w:pPr>
            <w:r>
              <w:rPr>
                <w:rFonts w:ascii="Arial" w:cs="Arial" w:eastAsia="Arial" w:hAnsi="Arial"/>
                <w:sz w:val="17"/>
                <w:szCs w:val="17"/>
                <w:color w:val="auto"/>
              </w:rPr>
              <w:t>GeneDx</w:t>
            </w:r>
          </w:p>
        </w:tc>
        <w:tc>
          <w:tcPr>
            <w:tcW w:w="20" w:type="dxa"/>
            <w:vAlign w:val="bottom"/>
          </w:tcPr>
          <w:p>
            <w:pPr>
              <w:spacing w:after="0"/>
              <w:rPr>
                <w:sz w:val="22"/>
                <w:szCs w:val="22"/>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22"/>
                <w:szCs w:val="22"/>
                <w:color w:val="auto"/>
              </w:rPr>
            </w:pPr>
          </w:p>
        </w:tc>
        <w:tc>
          <w:tcPr>
            <w:tcW w:w="72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22"/>
                <w:szCs w:val="22"/>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08/26/2022</w:t>
            </w:r>
          </w:p>
        </w:tc>
        <w:tc>
          <w:tcPr>
            <w:tcW w:w="20" w:type="dxa"/>
            <w:vAlign w:val="bottom"/>
          </w:tcPr>
          <w:p>
            <w:pPr>
              <w:spacing w:after="0"/>
              <w:rPr>
                <w:sz w:val="22"/>
                <w:szCs w:val="22"/>
                <w:color w:val="auto"/>
              </w:rPr>
            </w:pPr>
          </w:p>
        </w:tc>
        <w:tc>
          <w:tcPr>
            <w:tcW w:w="8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92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Unallocated</w:t>
            </w:r>
          </w:p>
        </w:tc>
        <w:tc>
          <w:tcPr>
            <w:tcW w:w="20" w:type="dxa"/>
            <w:vAlign w:val="bottom"/>
          </w:tcPr>
          <w:p>
            <w:pPr>
              <w:spacing w:after="0"/>
              <w:rPr>
                <w:sz w:val="22"/>
                <w:szCs w:val="22"/>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7"/>
              </w:rPr>
              <w:t>Unallocated</w:t>
            </w:r>
          </w:p>
        </w:tc>
        <w:tc>
          <w:tcPr>
            <w:tcW w:w="20" w:type="dxa"/>
            <w:vAlign w:val="bottom"/>
          </w:tcPr>
          <w:p>
            <w:pPr>
              <w:spacing w:after="0"/>
              <w:rPr>
                <w:sz w:val="22"/>
                <w:szCs w:val="22"/>
                <w:color w:val="auto"/>
              </w:rPr>
            </w:pPr>
          </w:p>
        </w:tc>
        <w:tc>
          <w:tcPr>
            <w:tcW w:w="94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780" w:type="dxa"/>
            <w:vAlign w:val="bottom"/>
            <w:shd w:val="clear" w:color="auto" w:fill="E7E7E2"/>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48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Holdings Corp.</w:t>
            </w:r>
          </w:p>
        </w:tc>
        <w:tc>
          <w:tcPr>
            <w:tcW w:w="20" w:type="dxa"/>
            <w:vAlign w:val="bottom"/>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5"/>
              </w:rPr>
              <w:t>267112</w:t>
            </w: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6,946.50</w:t>
            </w:r>
          </w:p>
        </w:tc>
        <w:tc>
          <w:tcPr>
            <w:tcW w:w="20" w:type="dxa"/>
            <w:vAlign w:val="bottom"/>
          </w:tcPr>
          <w:p>
            <w:pPr>
              <w:spacing w:after="0"/>
              <w:rPr>
                <w:sz w:val="10"/>
                <w:szCs w:val="10"/>
                <w:color w:val="auto"/>
              </w:rPr>
            </w:pPr>
          </w:p>
        </w:tc>
        <w:tc>
          <w:tcPr>
            <w:tcW w:w="920" w:type="dxa"/>
            <w:vAlign w:val="bottom"/>
            <w:shd w:val="clear" w:color="auto" w:fill="E7E7E2"/>
          </w:tcPr>
          <w:p>
            <w:pPr>
              <w:spacing w:after="0" w:line="116" w:lineRule="exact"/>
              <w:rPr>
                <w:sz w:val="20"/>
                <w:szCs w:val="20"/>
                <w:color w:val="auto"/>
              </w:rPr>
            </w:pPr>
            <w:r>
              <w:rPr>
                <w:rFonts w:ascii="Arial" w:cs="Arial" w:eastAsia="Arial" w:hAnsi="Arial"/>
                <w:sz w:val="13"/>
                <w:szCs w:val="13"/>
                <w:color w:val="auto"/>
              </w:rPr>
              <w:t>(Universal)</w:t>
            </w:r>
          </w:p>
        </w:tc>
        <w:tc>
          <w:tcPr>
            <w:tcW w:w="20" w:type="dxa"/>
            <w:vAlign w:val="bottom"/>
          </w:tcPr>
          <w:p>
            <w:pPr>
              <w:spacing w:after="0"/>
              <w:rPr>
                <w:sz w:val="10"/>
                <w:szCs w:val="10"/>
                <w:color w:val="auto"/>
              </w:rPr>
            </w:pPr>
          </w:p>
        </w:tc>
        <w:tc>
          <w:tcPr>
            <w:tcW w:w="9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(Universal)</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74,935,250.00</w:t>
            </w: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4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20"/>
                <w:szCs w:val="20"/>
                <w:color w:val="auto"/>
              </w:rPr>
            </w:pPr>
            <w:r>
              <w:rPr>
                <w:rFonts w:ascii="Arial" w:cs="Arial" w:eastAsia="Arial" w:hAnsi="Arial"/>
                <w:sz w:val="17"/>
                <w:szCs w:val="17"/>
                <w:color w:val="auto"/>
              </w:rPr>
              <w:t>Shelf</w:t>
            </w: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Shelf</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8"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GeneDx</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6"/>
              </w:rPr>
              <w:t>$0.0001 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shd w:val="clear" w:color="auto" w:fill="E7E7E2"/>
          </w:tcPr>
          <w:p>
            <w:pPr>
              <w:jc w:val="center"/>
              <w:spacing w:after="0" w:line="168" w:lineRule="exact"/>
              <w:rPr>
                <w:sz w:val="20"/>
                <w:szCs w:val="20"/>
                <w:color w:val="auto"/>
              </w:rPr>
            </w:pPr>
            <w:r>
              <w:rPr>
                <w:rFonts w:ascii="Arial" w:cs="Arial" w:eastAsia="Arial" w:hAnsi="Arial"/>
                <w:sz w:val="17"/>
                <w:szCs w:val="17"/>
                <w:color w:val="auto"/>
                <w:w w:val="98"/>
              </w:rPr>
              <w:t>3, 4</w:t>
            </w:r>
          </w:p>
        </w:tc>
        <w:tc>
          <w:tcPr>
            <w:tcW w:w="40" w:type="dxa"/>
            <w:vAlign w:val="bottom"/>
          </w:tcPr>
          <w:p>
            <w:pPr>
              <w:spacing w:after="0"/>
              <w:rPr>
                <w:sz w:val="14"/>
                <w:szCs w:val="14"/>
                <w:color w:val="auto"/>
              </w:rPr>
            </w:pPr>
          </w:p>
        </w:tc>
        <w:tc>
          <w:tcPr>
            <w:tcW w:w="12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shd w:val="clear" w:color="auto" w:fill="E7E7E2"/>
          </w:tcPr>
          <w:p>
            <w:pPr>
              <w:jc w:val="center"/>
              <w:spacing w:after="0" w:line="168" w:lineRule="exact"/>
              <w:rPr>
                <w:sz w:val="20"/>
                <w:szCs w:val="20"/>
                <w:color w:val="auto"/>
              </w:rPr>
            </w:pPr>
            <w:r>
              <w:rPr>
                <w:rFonts w:ascii="Arial" w:cs="Arial" w:eastAsia="Arial" w:hAnsi="Arial"/>
                <w:sz w:val="17"/>
                <w:szCs w:val="17"/>
                <w:color w:val="auto"/>
                <w:w w:val="98"/>
              </w:rPr>
              <w:t>S-8</w:t>
            </w: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jc w:val="center"/>
              <w:spacing w:after="0" w:line="168" w:lineRule="exact"/>
              <w:rPr>
                <w:sz w:val="20"/>
                <w:szCs w:val="20"/>
                <w:color w:val="auto"/>
              </w:rPr>
            </w:pPr>
            <w:r>
              <w:rPr>
                <w:rFonts w:ascii="Arial" w:cs="Arial" w:eastAsia="Arial" w:hAnsi="Arial"/>
                <w:sz w:val="17"/>
                <w:szCs w:val="17"/>
                <w:color w:val="auto"/>
                <w:w w:val="98"/>
              </w:rPr>
              <w:t>09/27/2021</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68" w:lineRule="exact"/>
              <w:rPr>
                <w:sz w:val="20"/>
                <w:szCs w:val="20"/>
                <w:color w:val="auto"/>
              </w:rPr>
            </w:pPr>
            <w:r>
              <w:rPr>
                <w:rFonts w:ascii="Arial" w:cs="Arial" w:eastAsia="Arial" w:hAnsi="Arial"/>
                <w:sz w:val="17"/>
                <w:szCs w:val="17"/>
                <w:color w:val="auto"/>
              </w:rPr>
              <w:t>share,</w:t>
            </w:r>
          </w:p>
        </w:tc>
        <w:tc>
          <w:tcPr>
            <w:tcW w:w="20" w:type="dxa"/>
            <w:vAlign w:val="bottom"/>
          </w:tcPr>
          <w:p>
            <w:pPr>
              <w:spacing w:after="0"/>
              <w:rPr>
                <w:sz w:val="14"/>
                <w:szCs w:val="14"/>
                <w:color w:val="auto"/>
              </w:rPr>
            </w:pPr>
          </w:p>
        </w:tc>
        <w:tc>
          <w:tcPr>
            <w:tcW w:w="94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rPr>
              <w:t>1,847,920</w:t>
            </w:r>
          </w:p>
        </w:tc>
        <w:tc>
          <w:tcPr>
            <w:tcW w:w="20" w:type="dxa"/>
            <w:vAlign w:val="bottom"/>
          </w:tcPr>
          <w:p>
            <w:pPr>
              <w:spacing w:after="0"/>
              <w:rPr>
                <w:sz w:val="14"/>
                <w:szCs w:val="14"/>
                <w:color w:val="auto"/>
              </w:rPr>
            </w:pPr>
          </w:p>
        </w:tc>
        <w:tc>
          <w:tcPr>
            <w:tcW w:w="1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Claims</w:t>
            </w: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Holdings Corp.</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w w:val="98"/>
              </w:rPr>
              <w:t>259815</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6"/>
              </w:rPr>
              <w:t>1,806.00</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issuable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7"/>
              </w:rPr>
              <w:t>16,548,124.00</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upon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vesting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Earn-Out</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RSUs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8"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GeneDx</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6"/>
              </w:rPr>
              <w:t>$0.0001 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shd w:val="clear" w:color="auto" w:fill="E7E7E2"/>
          </w:tcPr>
          <w:p>
            <w:pPr>
              <w:jc w:val="center"/>
              <w:spacing w:after="0" w:line="168" w:lineRule="exact"/>
              <w:rPr>
                <w:sz w:val="20"/>
                <w:szCs w:val="20"/>
                <w:color w:val="auto"/>
              </w:rPr>
            </w:pPr>
            <w:r>
              <w:rPr>
                <w:rFonts w:ascii="Arial" w:cs="Arial" w:eastAsia="Arial" w:hAnsi="Arial"/>
                <w:sz w:val="17"/>
                <w:szCs w:val="17"/>
                <w:color w:val="auto"/>
                <w:w w:val="98"/>
              </w:rPr>
              <w:t>5, 6</w:t>
            </w:r>
          </w:p>
        </w:tc>
        <w:tc>
          <w:tcPr>
            <w:tcW w:w="40" w:type="dxa"/>
            <w:vAlign w:val="bottom"/>
          </w:tcPr>
          <w:p>
            <w:pPr>
              <w:spacing w:after="0"/>
              <w:rPr>
                <w:sz w:val="14"/>
                <w:szCs w:val="14"/>
                <w:color w:val="auto"/>
              </w:rPr>
            </w:pPr>
          </w:p>
        </w:tc>
        <w:tc>
          <w:tcPr>
            <w:tcW w:w="12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shd w:val="clear" w:color="auto" w:fill="E7E7E2"/>
          </w:tcPr>
          <w:p>
            <w:pPr>
              <w:jc w:val="center"/>
              <w:spacing w:after="0" w:line="168" w:lineRule="exact"/>
              <w:rPr>
                <w:sz w:val="20"/>
                <w:szCs w:val="20"/>
                <w:color w:val="auto"/>
              </w:rPr>
            </w:pPr>
            <w:r>
              <w:rPr>
                <w:rFonts w:ascii="Arial" w:cs="Arial" w:eastAsia="Arial" w:hAnsi="Arial"/>
                <w:sz w:val="17"/>
                <w:szCs w:val="17"/>
                <w:color w:val="auto"/>
                <w:w w:val="98"/>
              </w:rPr>
              <w:t>S-8</w:t>
            </w: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jc w:val="center"/>
              <w:spacing w:after="0" w:line="168" w:lineRule="exact"/>
              <w:rPr>
                <w:sz w:val="20"/>
                <w:szCs w:val="20"/>
                <w:color w:val="auto"/>
              </w:rPr>
            </w:pPr>
            <w:r>
              <w:rPr>
                <w:rFonts w:ascii="Arial" w:cs="Arial" w:eastAsia="Arial" w:hAnsi="Arial"/>
                <w:sz w:val="17"/>
                <w:szCs w:val="17"/>
                <w:color w:val="auto"/>
                <w:w w:val="98"/>
              </w:rPr>
              <w:t>10/25/2021</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6"/>
              </w:rPr>
              <w:t>$ 590.75</w:t>
            </w:r>
          </w:p>
        </w:tc>
        <w:tc>
          <w:tcPr>
            <w:tcW w:w="20" w:type="dxa"/>
            <w:vAlign w:val="bottom"/>
          </w:tcPr>
          <w:p>
            <w:pPr>
              <w:spacing w:after="0"/>
              <w:rPr>
                <w:sz w:val="14"/>
                <w:szCs w:val="14"/>
                <w:color w:val="auto"/>
              </w:rPr>
            </w:pPr>
          </w:p>
        </w:tc>
        <w:tc>
          <w:tcPr>
            <w:tcW w:w="92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68" w:lineRule="exact"/>
              <w:rPr>
                <w:sz w:val="20"/>
                <w:szCs w:val="20"/>
                <w:color w:val="auto"/>
              </w:rPr>
            </w:pPr>
            <w:r>
              <w:rPr>
                <w:rFonts w:ascii="Arial" w:cs="Arial" w:eastAsia="Arial" w:hAnsi="Arial"/>
                <w:sz w:val="17"/>
                <w:szCs w:val="17"/>
                <w:color w:val="auto"/>
              </w:rPr>
              <w:t>share,</w:t>
            </w:r>
          </w:p>
        </w:tc>
        <w:tc>
          <w:tcPr>
            <w:tcW w:w="20" w:type="dxa"/>
            <w:vAlign w:val="bottom"/>
          </w:tcPr>
          <w:p>
            <w:pPr>
              <w:spacing w:after="0"/>
              <w:rPr>
                <w:sz w:val="14"/>
                <w:szCs w:val="14"/>
                <w:color w:val="auto"/>
              </w:rPr>
            </w:pPr>
          </w:p>
        </w:tc>
        <w:tc>
          <w:tcPr>
            <w:tcW w:w="94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rPr>
              <w:t>841,844</w:t>
            </w:r>
          </w:p>
        </w:tc>
        <w:tc>
          <w:tcPr>
            <w:tcW w:w="20" w:type="dxa"/>
            <w:vAlign w:val="bottom"/>
          </w:tcPr>
          <w:p>
            <w:pPr>
              <w:spacing w:after="0"/>
              <w:rPr>
                <w:sz w:val="14"/>
                <w:szCs w:val="14"/>
                <w:color w:val="auto"/>
              </w:rPr>
            </w:pPr>
          </w:p>
        </w:tc>
        <w:tc>
          <w:tcPr>
            <w:tcW w:w="1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Claims</w:t>
            </w: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Holdings Corp.</w:t>
            </w: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w w:val="98"/>
              </w:rPr>
              <w:t>260481</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issuable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6,372,720.00</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upon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vesting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Earn-Out</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RSUs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84"/>
              </w:rPr>
              <w:t>7</w:t>
            </w:r>
          </w:p>
        </w:tc>
        <w:tc>
          <w:tcPr>
            <w:tcW w:w="40" w:type="dxa"/>
            <w:vAlign w:val="bottom"/>
          </w:tcPr>
          <w:p>
            <w:pPr>
              <w:spacing w:after="0"/>
              <w:rPr>
                <w:sz w:val="15"/>
                <w:szCs w:val="15"/>
                <w:color w:val="auto"/>
              </w:rPr>
            </w:pPr>
          </w:p>
        </w:tc>
        <w:tc>
          <w:tcPr>
            <w:tcW w:w="126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GeneDx</w:t>
            </w:r>
          </w:p>
        </w:tc>
        <w:tc>
          <w:tcPr>
            <w:tcW w:w="20" w:type="dxa"/>
            <w:vAlign w:val="bottom"/>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vMerge w:val="continue"/>
          </w:tcPr>
          <w:p>
            <w:pPr>
              <w:spacing w:after="0"/>
              <w:rPr>
                <w:sz w:val="15"/>
                <w:szCs w:val="15"/>
                <w:color w:val="auto"/>
              </w:rPr>
            </w:pPr>
          </w:p>
        </w:tc>
        <w:tc>
          <w:tcPr>
            <w:tcW w:w="720" w:type="dxa"/>
            <w:vAlign w:val="bottom"/>
            <w:shd w:val="clear" w:color="auto" w:fill="E7E7E2"/>
          </w:tcPr>
          <w:p>
            <w:pPr>
              <w:jc w:val="center"/>
              <w:spacing w:after="0" w:line="178" w:lineRule="exact"/>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08/26/2022</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780" w:type="dxa"/>
            <w:vAlign w:val="bottom"/>
            <w:shd w:val="clear" w:color="auto" w:fill="E7E7E2"/>
          </w:tcPr>
          <w:p>
            <w:pPr>
              <w:jc w:val="right"/>
              <w:spacing w:after="0" w:line="178" w:lineRule="exact"/>
              <w:rPr>
                <w:sz w:val="20"/>
                <w:szCs w:val="20"/>
                <w:color w:val="auto"/>
              </w:rPr>
            </w:pPr>
            <w:r>
              <w:rPr>
                <w:rFonts w:ascii="Arial" w:cs="Arial" w:eastAsia="Arial" w:hAnsi="Arial"/>
                <w:sz w:val="17"/>
                <w:szCs w:val="17"/>
                <w:color w:val="auto"/>
              </w:rPr>
              <w:t>$</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4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Holdings Corp.</w:t>
            </w: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5"/>
              </w:rPr>
              <w:t>267112</w:t>
            </w: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27,810.00</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84"/>
              </w:rPr>
              <w:t>8</w:t>
            </w:r>
          </w:p>
        </w:tc>
        <w:tc>
          <w:tcPr>
            <w:tcW w:w="40" w:type="dxa"/>
            <w:vAlign w:val="bottom"/>
          </w:tcPr>
          <w:p>
            <w:pPr>
              <w:spacing w:after="0"/>
              <w:rPr>
                <w:sz w:val="15"/>
                <w:szCs w:val="15"/>
                <w:color w:val="auto"/>
              </w:rPr>
            </w:pPr>
          </w:p>
        </w:tc>
        <w:tc>
          <w:tcPr>
            <w:tcW w:w="126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GeneDx</w:t>
            </w:r>
          </w:p>
        </w:tc>
        <w:tc>
          <w:tcPr>
            <w:tcW w:w="20" w:type="dxa"/>
            <w:vAlign w:val="bottom"/>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S-8</w:t>
            </w:r>
          </w:p>
        </w:tc>
        <w:tc>
          <w:tcPr>
            <w:tcW w:w="20" w:type="dxa"/>
            <w:vAlign w:val="bottom"/>
            <w:vMerge w:val="continue"/>
          </w:tcPr>
          <w:p>
            <w:pPr>
              <w:spacing w:after="0"/>
              <w:rPr>
                <w:sz w:val="15"/>
                <w:szCs w:val="15"/>
                <w:color w:val="auto"/>
              </w:rPr>
            </w:pPr>
          </w:p>
        </w:tc>
        <w:tc>
          <w:tcPr>
            <w:tcW w:w="720" w:type="dxa"/>
            <w:vAlign w:val="bottom"/>
            <w:shd w:val="clear" w:color="auto" w:fill="E7E7E2"/>
          </w:tcPr>
          <w:p>
            <w:pPr>
              <w:jc w:val="center"/>
              <w:spacing w:after="0" w:line="178" w:lineRule="exact"/>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09/27/2021</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780" w:type="dxa"/>
            <w:vAlign w:val="bottom"/>
            <w:shd w:val="clear" w:color="auto" w:fill="E7E7E2"/>
          </w:tcPr>
          <w:p>
            <w:pPr>
              <w:jc w:val="right"/>
              <w:spacing w:after="0" w:line="178" w:lineRule="exact"/>
              <w:rPr>
                <w:sz w:val="20"/>
                <w:szCs w:val="20"/>
                <w:color w:val="auto"/>
              </w:rPr>
            </w:pPr>
            <w:r>
              <w:rPr>
                <w:rFonts w:ascii="Arial" w:cs="Arial" w:eastAsia="Arial" w:hAnsi="Arial"/>
                <w:sz w:val="17"/>
                <w:szCs w:val="17"/>
                <w:color w:val="auto"/>
              </w:rPr>
              <w:t>$</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4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Holdings Corp.</w:t>
            </w: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259815</w:t>
            </w: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1,806.00</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84"/>
              </w:rPr>
              <w:t>9</w:t>
            </w:r>
          </w:p>
        </w:tc>
        <w:tc>
          <w:tcPr>
            <w:tcW w:w="40" w:type="dxa"/>
            <w:vAlign w:val="bottom"/>
          </w:tcPr>
          <w:p>
            <w:pPr>
              <w:spacing w:after="0"/>
              <w:rPr>
                <w:sz w:val="15"/>
                <w:szCs w:val="15"/>
                <w:color w:val="auto"/>
              </w:rPr>
            </w:pPr>
          </w:p>
        </w:tc>
        <w:tc>
          <w:tcPr>
            <w:tcW w:w="126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GeneDx</w:t>
            </w:r>
          </w:p>
        </w:tc>
        <w:tc>
          <w:tcPr>
            <w:tcW w:w="20" w:type="dxa"/>
            <w:vAlign w:val="bottom"/>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S-8</w:t>
            </w:r>
          </w:p>
        </w:tc>
        <w:tc>
          <w:tcPr>
            <w:tcW w:w="20" w:type="dxa"/>
            <w:vAlign w:val="bottom"/>
            <w:vMerge w:val="continue"/>
          </w:tcPr>
          <w:p>
            <w:pPr>
              <w:spacing w:after="0"/>
              <w:rPr>
                <w:sz w:val="15"/>
                <w:szCs w:val="15"/>
                <w:color w:val="auto"/>
              </w:rPr>
            </w:pPr>
          </w:p>
        </w:tc>
        <w:tc>
          <w:tcPr>
            <w:tcW w:w="720" w:type="dxa"/>
            <w:vAlign w:val="bottom"/>
            <w:shd w:val="clear" w:color="auto" w:fill="E7E7E2"/>
          </w:tcPr>
          <w:p>
            <w:pPr>
              <w:jc w:val="center"/>
              <w:spacing w:after="0" w:line="178" w:lineRule="exact"/>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10/25/2021</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$ 590.75</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4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Holdings Corp.</w:t>
            </w: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260481</w:t>
            </w: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Rule 457(p) Statement of Withdrawal, Termination, or Completion:</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3" w:lineRule="exact"/>
        <w:rPr>
          <w:sz w:val="20"/>
          <w:szCs w:val="20"/>
          <w:color w:val="auto"/>
        </w:rPr>
      </w:pPr>
    </w:p>
    <w:p>
      <w:pPr>
        <w:ind w:left="220" w:right="420"/>
        <w:spacing w:after="0" w:line="264" w:lineRule="auto"/>
        <w:rPr>
          <w:sz w:val="20"/>
          <w:szCs w:val="20"/>
          <w:color w:val="auto"/>
        </w:rPr>
      </w:pPr>
      <w:r>
        <w:rPr>
          <w:rFonts w:ascii="Arial" w:cs="Arial" w:eastAsia="Arial" w:hAnsi="Arial"/>
          <w:sz w:val="17"/>
          <w:szCs w:val="17"/>
          <w:color w:val="auto"/>
        </w:rPr>
        <w:t>The Registrant has terminated its offering that included the unsold securities on the Registration Statement on Form S-3 ("Registration No. 333-267112") filed with the Securities and Exchange Commission ("the SEC") on August 26, 2022 ("the Prior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wp:posOffset>
            </wp:positionV>
            <wp:extent cx="714819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0"/>
          <w:szCs w:val="10"/>
          <w:color w:val="auto"/>
        </w:rPr>
        <w:t>3</w:t>
      </w:r>
    </w:p>
    <w:p>
      <w:pPr>
        <w:spacing w:after="0" w:line="63" w:lineRule="exact"/>
        <w:rPr>
          <w:sz w:val="20"/>
          <w:szCs w:val="20"/>
          <w:color w:val="auto"/>
        </w:rPr>
      </w:pPr>
    </w:p>
    <w:p>
      <w:pPr>
        <w:ind w:left="220" w:right="480"/>
        <w:spacing w:after="0" w:line="264" w:lineRule="auto"/>
        <w:rPr>
          <w:sz w:val="20"/>
          <w:szCs w:val="20"/>
          <w:color w:val="auto"/>
        </w:rPr>
      </w:pPr>
      <w:r>
        <w:rPr>
          <w:rFonts w:ascii="Arial" w:cs="Arial" w:eastAsia="Arial" w:hAnsi="Arial"/>
          <w:sz w:val="17"/>
          <w:szCs w:val="17"/>
          <w:color w:val="auto"/>
        </w:rPr>
        <w:t>The Registrant has terminated its offering that included the unsold securities on the Registration Statement on Form S-8 (Registration No. 333-259815) filed with the SEC on September 27, 2021 (the "First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wp:posOffset>
            </wp:positionV>
            <wp:extent cx="714819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0"/>
          <w:szCs w:val="10"/>
          <w:color w:val="auto"/>
        </w:rPr>
        <w:t>5</w:t>
      </w:r>
    </w:p>
    <w:p>
      <w:pPr>
        <w:spacing w:after="0" w:line="63" w:lineRule="exact"/>
        <w:rPr>
          <w:sz w:val="20"/>
          <w:szCs w:val="20"/>
          <w:color w:val="auto"/>
        </w:rPr>
      </w:pPr>
    </w:p>
    <w:p>
      <w:pPr>
        <w:ind w:left="220" w:right="480"/>
        <w:spacing w:after="0" w:line="264" w:lineRule="auto"/>
        <w:rPr>
          <w:sz w:val="20"/>
          <w:szCs w:val="20"/>
          <w:color w:val="auto"/>
        </w:rPr>
      </w:pPr>
      <w:r>
        <w:rPr>
          <w:rFonts w:ascii="Arial" w:cs="Arial" w:eastAsia="Arial" w:hAnsi="Arial"/>
          <w:sz w:val="17"/>
          <w:szCs w:val="17"/>
          <w:color w:val="auto"/>
        </w:rPr>
        <w:t>The Registrant has terminated its offering that included the unsold securities on the Registration Statement on Form S-8 (Registration No. 333-260481) filed with the SEC on October 25, 2021 (the "Second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wp:posOffset>
            </wp:positionV>
            <wp:extent cx="714819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ectPr>
          <w:pgSz w:w="11900" w:h="16838" w:orient="portrait"/>
          <w:cols w:equalWidth="0" w:num="1">
            <w:col w:w="11280"/>
          </w:cols>
          <w:pgMar w:left="300" w:top="120" w:right="319" w:bottom="0" w:gutter="0" w:footer="0" w:header="0"/>
        </w:sect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Offset Note</w:t>
      </w:r>
    </w:p>
    <w:p>
      <w:pPr>
        <w:sectPr>
          <w:pgSz w:w="11900" w:h="16838" w:orient="portrait"/>
          <w:cols w:equalWidth="0" w:num="1">
            <w:col w:w="11280"/>
          </w:cols>
          <w:pgMar w:left="300" w:top="120" w:right="319" w:bottom="0" w:gutter="0" w:footer="0" w:header="0"/>
          <w:type w:val="continuous"/>
        </w:sectPr>
      </w:pPr>
    </w:p>
    <w:bookmarkStart w:id="64" w:name="page65"/>
    <w:bookmarkEnd w:id="64"/>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63" w:lineRule="exact"/>
        <w:rPr>
          <w:sz w:val="20"/>
          <w:szCs w:val="20"/>
          <w:color w:val="auto"/>
        </w:rPr>
      </w:pPr>
    </w:p>
    <w:p>
      <w:pPr>
        <w:ind w:left="180"/>
        <w:spacing w:after="0" w:line="238" w:lineRule="auto"/>
        <w:rPr>
          <w:sz w:val="20"/>
          <w:szCs w:val="20"/>
          <w:color w:val="auto"/>
        </w:rPr>
      </w:pPr>
      <w:r>
        <w:rPr>
          <w:rFonts w:ascii="Arial" w:cs="Arial" w:eastAsia="Arial" w:hAnsi="Arial"/>
          <w:sz w:val="17"/>
          <w:szCs w:val="17"/>
          <w:color w:val="auto"/>
        </w:rPr>
        <w:t>On August 26, 2022, the Registrant initially filed the Prior S-3, which registered an aggregate amount of $300,000,000 of Class A common stock, preferred stock, debt securities, warrants and units to be offered by the Registrant from time to time. Approximately $225,064,750 of securities were offered and sold pursuant to the Prior S-3 prior to the third anniversary of the effective date of the Prior S-3, with $74,935,250 of the Registrant's securities remaining unsold as of such anniversary (the "Remaining Unsold Securities"). On September 5, 2025, the Registrant filed a Post-Effective Amendment No. 1 to the Prior S-3 to remove from registration by means of a post-effective amendment the Remaining Unsold Securities registered under the Prior S-3. As a result, the Registrant had $6,946.50 in unused filing fees associated with the Prior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4819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63" w:lineRule="exact"/>
        <w:rPr>
          <w:sz w:val="20"/>
          <w:szCs w:val="20"/>
          <w:color w:val="auto"/>
        </w:rPr>
      </w:pPr>
    </w:p>
    <w:p>
      <w:pPr>
        <w:ind w:left="180" w:right="140"/>
        <w:spacing w:after="0" w:line="235" w:lineRule="auto"/>
        <w:rPr>
          <w:sz w:val="20"/>
          <w:szCs w:val="20"/>
          <w:color w:val="auto"/>
        </w:rPr>
      </w:pPr>
      <w:r>
        <w:rPr>
          <w:rFonts w:ascii="Arial" w:cs="Arial" w:eastAsia="Arial" w:hAnsi="Arial"/>
          <w:sz w:val="17"/>
          <w:szCs w:val="17"/>
          <w:color w:val="auto"/>
        </w:rPr>
        <w:t>On September 27, 2021, the Registrant filed the First S-8 to register certain shares of the Registrant's Class A common stock, including 1,847,920 shares of Class A common stock issuable upon the vesting of certain RSU awards (the "Earn-Out RSUs") that were expected to be granted to certain former equity award holders of Sema4 (as defined below) and certain employees of the Registrant pursuant to the terms of that certain Agreement and Plan of Merger, dated as of February 9, 2021 (as amended, the "Merger Agreement"), by and among CM Life Sciences, Inc., S-IV Sub, Inc. and Mount Sinai Genomics, Inc. d/b/a Sema4 ("Sema4").</w:t>
      </w:r>
    </w:p>
    <w:p>
      <w:pPr>
        <w:spacing w:after="0" w:line="3" w:lineRule="exact"/>
        <w:rPr>
          <w:sz w:val="20"/>
          <w:szCs w:val="20"/>
          <w:color w:val="auto"/>
        </w:rPr>
      </w:pPr>
    </w:p>
    <w:p>
      <w:pPr>
        <w:ind w:left="180" w:right="400"/>
        <w:spacing w:after="0" w:line="231" w:lineRule="auto"/>
        <w:rPr>
          <w:sz w:val="20"/>
          <w:szCs w:val="20"/>
          <w:color w:val="auto"/>
        </w:rPr>
      </w:pPr>
      <w:r>
        <w:rPr>
          <w:rFonts w:ascii="Arial" w:cs="Arial" w:eastAsia="Arial" w:hAnsi="Arial"/>
          <w:sz w:val="17"/>
          <w:szCs w:val="17"/>
          <w:color w:val="auto"/>
        </w:rPr>
        <w:t>On October 25, 2021, the Registrant filed the Second S-8 to register an additional 841,844 shares of Class A common Stock issuable upon the vesting of certain additional Earn-Out RSUs that were expected to be granted to certain former equity award holders of Sema4 and certain employees of the Registrant pursuant to the terms of the Merger Agreement.</w:t>
      </w:r>
    </w:p>
    <w:p>
      <w:pPr>
        <w:spacing w:after="0" w:line="2" w:lineRule="exact"/>
        <w:rPr>
          <w:sz w:val="20"/>
          <w:szCs w:val="20"/>
          <w:color w:val="auto"/>
        </w:rPr>
      </w:pPr>
    </w:p>
    <w:p>
      <w:pPr>
        <w:ind w:left="180" w:right="340"/>
        <w:spacing w:after="0" w:line="246" w:lineRule="auto"/>
        <w:rPr>
          <w:sz w:val="20"/>
          <w:szCs w:val="20"/>
          <w:color w:val="auto"/>
        </w:rPr>
      </w:pPr>
      <w:r>
        <w:rPr>
          <w:rFonts w:ascii="Arial" w:cs="Arial" w:eastAsia="Arial" w:hAnsi="Arial"/>
          <w:sz w:val="16"/>
          <w:szCs w:val="16"/>
          <w:color w:val="auto"/>
        </w:rPr>
        <w:t>The "Earn-Out Period" under the Earn-Out RSUs expired in accordance with the terms thereof and, as a result, none of the 1,921,064 shares of Class A common stock (the "Earn-Out RSU Shares") previously registered pursuant to the First S-8 and Second S-8 were issued thereunder.</w:t>
      </w:r>
    </w:p>
    <w:p>
      <w:pPr>
        <w:spacing w:after="0" w:line="1" w:lineRule="exact"/>
        <w:rPr>
          <w:sz w:val="20"/>
          <w:szCs w:val="20"/>
          <w:color w:val="auto"/>
        </w:rPr>
      </w:pPr>
    </w:p>
    <w:p>
      <w:pPr>
        <w:ind w:left="180" w:right="60"/>
        <w:spacing w:after="0" w:line="236" w:lineRule="auto"/>
        <w:rPr>
          <w:sz w:val="20"/>
          <w:szCs w:val="20"/>
          <w:color w:val="auto"/>
        </w:rPr>
      </w:pPr>
      <w:r>
        <w:rPr>
          <w:rFonts w:ascii="Arial" w:cs="Arial" w:eastAsia="Arial" w:hAnsi="Arial"/>
          <w:sz w:val="17"/>
          <w:szCs w:val="17"/>
          <w:color w:val="auto"/>
        </w:rPr>
        <w:t>On February 20, 2025, the Registrant filed a Post-Effective Amendment No. 1 to the First S-8 and a Post-Effective Amendment No. 1 to the Second S-8 to remove from registration by means of post-effective amendments all of the Earn-Out RSU Shares previously registered for offering and sale by Registrant pursuant to the Earn-Out RSUs. As a result, $1,806 of the fee previously paid in connection with the First S-8 and $591 of the fee previously paid in connection with the Second S-8 remain available to be used to offset the fee currently due. In accordance with Rule 457(p) under the Securities Act, the Registrant is using the unused filing fees to offset the filing fee payable in connection with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179705</wp:posOffset>
            </wp:positionV>
            <wp:extent cx="714819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63" w:lineRule="exact"/>
        <w:rPr>
          <w:sz w:val="20"/>
          <w:szCs w:val="20"/>
          <w:color w:val="auto"/>
        </w:rPr>
      </w:pPr>
    </w:p>
    <w:p>
      <w:pPr>
        <w:ind w:left="180" w:right="140"/>
        <w:spacing w:after="0" w:line="235" w:lineRule="auto"/>
        <w:rPr>
          <w:sz w:val="20"/>
          <w:szCs w:val="20"/>
          <w:color w:val="auto"/>
        </w:rPr>
      </w:pPr>
      <w:r>
        <w:rPr>
          <w:rFonts w:ascii="Arial" w:cs="Arial" w:eastAsia="Arial" w:hAnsi="Arial"/>
          <w:sz w:val="17"/>
          <w:szCs w:val="17"/>
          <w:color w:val="auto"/>
        </w:rPr>
        <w:t>On September 27, 2021, the Registrant filed the First S-8 to register certain shares of the Registrant's Class A common stock, including 1,847,920 shares of Class A common stock issuable upon the vesting of certain RSU awards (the "Earn-Out RSUs") that were expected to be granted to certain former equity award holders of Sema4 (as defined below) and certain employees of the Registrant pursuant to the terms of that certain Agreement and Plan of Merger, dated as of February 9, 2021 (as amended, the "Merger Agreement"), by and among CM Life Sciences, Inc., S-IV Sub, Inc. and Mount Sinai Genomics, Inc. d/b/a Sema4 ("Sema4").</w:t>
      </w:r>
    </w:p>
    <w:p>
      <w:pPr>
        <w:spacing w:after="0" w:line="3" w:lineRule="exact"/>
        <w:rPr>
          <w:sz w:val="20"/>
          <w:szCs w:val="20"/>
          <w:color w:val="auto"/>
        </w:rPr>
      </w:pPr>
    </w:p>
    <w:p>
      <w:pPr>
        <w:ind w:left="180" w:right="400"/>
        <w:spacing w:after="0" w:line="231" w:lineRule="auto"/>
        <w:rPr>
          <w:sz w:val="20"/>
          <w:szCs w:val="20"/>
          <w:color w:val="auto"/>
        </w:rPr>
      </w:pPr>
      <w:r>
        <w:rPr>
          <w:rFonts w:ascii="Arial" w:cs="Arial" w:eastAsia="Arial" w:hAnsi="Arial"/>
          <w:sz w:val="17"/>
          <w:szCs w:val="17"/>
          <w:color w:val="auto"/>
        </w:rPr>
        <w:t>On October 25, 2021, the Registrant filed the Second S-8 to register an additional 841,844 shares of Class A common Stock issuable upon the vesting of certain additional Earn-Out RSUs that were expected to be granted to certain former equity award holders of Sema4 and certain employees of the Registrant pursuant to the terms of the Merger Agreement.</w:t>
      </w:r>
    </w:p>
    <w:p>
      <w:pPr>
        <w:spacing w:after="0" w:line="2" w:lineRule="exact"/>
        <w:rPr>
          <w:sz w:val="20"/>
          <w:szCs w:val="20"/>
          <w:color w:val="auto"/>
        </w:rPr>
      </w:pPr>
    </w:p>
    <w:p>
      <w:pPr>
        <w:ind w:left="180" w:right="340"/>
        <w:spacing w:after="0" w:line="246" w:lineRule="auto"/>
        <w:rPr>
          <w:sz w:val="20"/>
          <w:szCs w:val="20"/>
          <w:color w:val="auto"/>
        </w:rPr>
      </w:pPr>
      <w:r>
        <w:rPr>
          <w:rFonts w:ascii="Arial" w:cs="Arial" w:eastAsia="Arial" w:hAnsi="Arial"/>
          <w:sz w:val="16"/>
          <w:szCs w:val="16"/>
          <w:color w:val="auto"/>
        </w:rPr>
        <w:t>The "Earn-Out Period" under the Earn-Out RSUs expired in accordance with the terms thereof and, as a result, none of the 1,921,064 shares of Class A common stock (the "Earn-Out RSU Shares") previously registered pursuant to the First S-8 and Second S-8 were issued thereunder.</w:t>
      </w:r>
    </w:p>
    <w:p>
      <w:pPr>
        <w:spacing w:after="0" w:line="1" w:lineRule="exact"/>
        <w:rPr>
          <w:sz w:val="20"/>
          <w:szCs w:val="20"/>
          <w:color w:val="auto"/>
        </w:rPr>
      </w:pPr>
    </w:p>
    <w:p>
      <w:pPr>
        <w:ind w:left="180" w:right="60"/>
        <w:spacing w:after="0" w:line="236" w:lineRule="auto"/>
        <w:rPr>
          <w:sz w:val="20"/>
          <w:szCs w:val="20"/>
          <w:color w:val="auto"/>
        </w:rPr>
      </w:pPr>
      <w:r>
        <w:rPr>
          <w:rFonts w:ascii="Arial" w:cs="Arial" w:eastAsia="Arial" w:hAnsi="Arial"/>
          <w:sz w:val="17"/>
          <w:szCs w:val="17"/>
          <w:color w:val="auto"/>
        </w:rPr>
        <w:t>On February 20, 2025, the Registrant filed a Post-Effective Amendment No. 1 to the First S-8 and a Post-Effective Amendment No. 1 to the Second S-8 to remove from registration by means of post-effective amendments all of the Earn-Out RSU Shares previously registered for offering and sale by Registrant pursuant to the Earn-Out RSUs. As a result, $1,806 of the fee previously paid in connection with the First S-8 and $591 of the fee previously paid in connection with the Second S-8 remain available to be used to offset the fee currently due. In accordance with Rule 457(p) under the Securities Act, the Registrant is using the unused filing fees to offset the filing fee payable in connection with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299720</wp:posOffset>
            </wp:positionV>
            <wp:extent cx="714819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63" w:lineRule="exact"/>
        <w:rPr>
          <w:sz w:val="20"/>
          <w:szCs w:val="20"/>
          <w:color w:val="auto"/>
        </w:rPr>
      </w:pPr>
    </w:p>
    <w:p>
      <w:pPr>
        <w:ind w:left="180"/>
        <w:spacing w:after="0" w:line="238" w:lineRule="auto"/>
        <w:rPr>
          <w:sz w:val="20"/>
          <w:szCs w:val="20"/>
          <w:color w:val="auto"/>
        </w:rPr>
      </w:pPr>
      <w:r>
        <w:rPr>
          <w:rFonts w:ascii="Arial" w:cs="Arial" w:eastAsia="Arial" w:hAnsi="Arial"/>
          <w:sz w:val="17"/>
          <w:szCs w:val="17"/>
          <w:color w:val="auto"/>
        </w:rPr>
        <w:t>On August 26, 2022, the Registrant initially filed the Prior S-3, which registered an aggregate amount of $300,000,000 of Class A common stock, preferred stock, debt securities, warrants and units to be offered by the Registrant from time to time. Approximately $225,064,750 of securities were offered and sold pursuant to the Prior S-3 prior to the third anniversary of the effective date of the Prior S-3, with $74,935,250 of the Registrant's securities remaining unsold as of such anniversary (the "Remaining Unsold Securities"). On September 5, 2025, the Registrant filed a Post-Effective Amendment No. 1 to the Prior S-3 to remove from registration by means of a post-effective amendment the Remaining Unsold Securities registered under the Prior S-3. As a result, the Registrant had $6,946.50 in unused filing fees associated with the Prior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4819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63" w:lineRule="exact"/>
        <w:rPr>
          <w:sz w:val="20"/>
          <w:szCs w:val="20"/>
          <w:color w:val="auto"/>
        </w:rPr>
      </w:pPr>
    </w:p>
    <w:p>
      <w:pPr>
        <w:ind w:left="180" w:right="140"/>
        <w:spacing w:after="0" w:line="235" w:lineRule="auto"/>
        <w:rPr>
          <w:sz w:val="20"/>
          <w:szCs w:val="20"/>
          <w:color w:val="auto"/>
        </w:rPr>
      </w:pPr>
      <w:r>
        <w:rPr>
          <w:rFonts w:ascii="Arial" w:cs="Arial" w:eastAsia="Arial" w:hAnsi="Arial"/>
          <w:sz w:val="17"/>
          <w:szCs w:val="17"/>
          <w:color w:val="auto"/>
        </w:rPr>
        <w:t>On September 27, 2021, the Registrant filed the First S-8 to register certain shares of the Registrant's Class A common stock, including 1,847,920 shares of Class A common stock issuable upon the vesting of certain RSU awards (the "Earn-Out RSUs") that were expected to be granted to certain former equity award holders of Sema4 (as defined below) and certain employees of the Registrant pursuant to the terms of that certain Agreement and Plan of Merger, dated as of February 9, 2021 (as amended, the "Merger Agreement"), by and among CM Life Sciences, Inc., S-IV Sub, Inc. and Mount Sinai Genomics, Inc. d/b/a Sema4 ("Sema4").</w:t>
      </w:r>
    </w:p>
    <w:p>
      <w:pPr>
        <w:spacing w:after="0" w:line="3" w:lineRule="exact"/>
        <w:rPr>
          <w:sz w:val="20"/>
          <w:szCs w:val="20"/>
          <w:color w:val="auto"/>
        </w:rPr>
      </w:pPr>
    </w:p>
    <w:p>
      <w:pPr>
        <w:ind w:left="180" w:right="400"/>
        <w:spacing w:after="0" w:line="231" w:lineRule="auto"/>
        <w:rPr>
          <w:sz w:val="20"/>
          <w:szCs w:val="20"/>
          <w:color w:val="auto"/>
        </w:rPr>
      </w:pPr>
      <w:r>
        <w:rPr>
          <w:rFonts w:ascii="Arial" w:cs="Arial" w:eastAsia="Arial" w:hAnsi="Arial"/>
          <w:sz w:val="17"/>
          <w:szCs w:val="17"/>
          <w:color w:val="auto"/>
        </w:rPr>
        <w:t>On October 25, 2021, the Registrant filed the Second S-8 to register an additional 841,844 shares of Class A common Stock issuable upon the vesting of certain additional Earn-Out RSUs that were expected to be granted to certain former equity award holders of Sema4 and certain employees of the Registrant pursuant to the terms of the Merger Agreement.</w:t>
      </w:r>
    </w:p>
    <w:p>
      <w:pPr>
        <w:spacing w:after="0" w:line="2" w:lineRule="exact"/>
        <w:rPr>
          <w:sz w:val="20"/>
          <w:szCs w:val="20"/>
          <w:color w:val="auto"/>
        </w:rPr>
      </w:pPr>
    </w:p>
    <w:p>
      <w:pPr>
        <w:ind w:left="180" w:right="340"/>
        <w:spacing w:after="0" w:line="246" w:lineRule="auto"/>
        <w:rPr>
          <w:sz w:val="20"/>
          <w:szCs w:val="20"/>
          <w:color w:val="auto"/>
        </w:rPr>
      </w:pPr>
      <w:r>
        <w:rPr>
          <w:rFonts w:ascii="Arial" w:cs="Arial" w:eastAsia="Arial" w:hAnsi="Arial"/>
          <w:sz w:val="16"/>
          <w:szCs w:val="16"/>
          <w:color w:val="auto"/>
        </w:rPr>
        <w:t>The "Earn-Out Period" under the Earn-Out RSUs expired in accordance with the terms thereof and, as a result, none of the 1,921,064 shares of Class A common stock (the "Earn-Out RSU Shares") previously registered pursuant to the First S-8 and Second S-8 were issued thereunder.</w:t>
      </w:r>
    </w:p>
    <w:p>
      <w:pPr>
        <w:spacing w:after="0" w:line="1" w:lineRule="exact"/>
        <w:rPr>
          <w:sz w:val="20"/>
          <w:szCs w:val="20"/>
          <w:color w:val="auto"/>
        </w:rPr>
      </w:pPr>
    </w:p>
    <w:p>
      <w:pPr>
        <w:ind w:left="180" w:right="60"/>
        <w:spacing w:after="0" w:line="236" w:lineRule="auto"/>
        <w:rPr>
          <w:sz w:val="20"/>
          <w:szCs w:val="20"/>
          <w:color w:val="auto"/>
        </w:rPr>
      </w:pPr>
      <w:r>
        <w:rPr>
          <w:rFonts w:ascii="Arial" w:cs="Arial" w:eastAsia="Arial" w:hAnsi="Arial"/>
          <w:sz w:val="17"/>
          <w:szCs w:val="17"/>
          <w:color w:val="auto"/>
        </w:rPr>
        <w:t>On February 20, 2025, the Registrant filed a Post-Effective Amendment No. 1 to the First S-8 and a Post-Effective Amendment No. 1 to the Second S-8 to remove from registration by means of post-effective amendments all of the Earn-Out RSU Shares previously registered for offering and sale by Registrant pursuant to the Earn-Out RSUs. As a result, $1,806 of the fee previously paid in connection with the First S-8 and $591 of the fee previously paid in connection with the Second S-8 remain available to be used to offset the fee currently due. In accordance with Rule 457(p) under the Securities Act, the Registrant is using the unused filing fees to offset the filing fee payable in connection with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179705</wp:posOffset>
            </wp:positionV>
            <wp:extent cx="714819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0"/>
          <w:szCs w:val="10"/>
          <w:color w:val="auto"/>
        </w:rPr>
        <w:t>9</w:t>
      </w:r>
    </w:p>
    <w:p>
      <w:pPr>
        <w:spacing w:after="0" w:line="63" w:lineRule="exact"/>
        <w:rPr>
          <w:sz w:val="20"/>
          <w:szCs w:val="20"/>
          <w:color w:val="auto"/>
        </w:rPr>
      </w:pPr>
    </w:p>
    <w:p>
      <w:pPr>
        <w:ind w:left="180" w:right="140"/>
        <w:spacing w:after="0" w:line="235" w:lineRule="auto"/>
        <w:rPr>
          <w:sz w:val="20"/>
          <w:szCs w:val="20"/>
          <w:color w:val="auto"/>
        </w:rPr>
      </w:pPr>
      <w:r>
        <w:rPr>
          <w:rFonts w:ascii="Arial" w:cs="Arial" w:eastAsia="Arial" w:hAnsi="Arial"/>
          <w:sz w:val="17"/>
          <w:szCs w:val="17"/>
          <w:color w:val="auto"/>
        </w:rPr>
        <w:t>On September 27, 2021, the Registrant filed the First S-8 to register certain shares of the Registrant's Class A common stock, including 1,847,920 shares of Class A common stock issuable upon the vesting of certain RSU awards (the "Earn-Out RSUs") that were expected to be granted to certain former equity award holders of Sema4 (as defined below) and certain employees of the Registrant pursuant to the terms of that certain Agreement and Plan of Merger, dated as of February 9, 2021 (as amended, the "Merger Agreement"), by and among CM Life Sciences, Inc., S-IV Sub, Inc. and Mount Sinai Genomics, Inc. d/b/a Sema4 ("Sema4").</w:t>
      </w:r>
    </w:p>
    <w:p>
      <w:pPr>
        <w:spacing w:after="0" w:line="3" w:lineRule="exact"/>
        <w:rPr>
          <w:sz w:val="20"/>
          <w:szCs w:val="20"/>
          <w:color w:val="auto"/>
        </w:rPr>
      </w:pPr>
    </w:p>
    <w:p>
      <w:pPr>
        <w:ind w:left="180" w:right="400"/>
        <w:spacing w:after="0" w:line="231" w:lineRule="auto"/>
        <w:rPr>
          <w:sz w:val="20"/>
          <w:szCs w:val="20"/>
          <w:color w:val="auto"/>
        </w:rPr>
      </w:pPr>
      <w:r>
        <w:rPr>
          <w:rFonts w:ascii="Arial" w:cs="Arial" w:eastAsia="Arial" w:hAnsi="Arial"/>
          <w:sz w:val="17"/>
          <w:szCs w:val="17"/>
          <w:color w:val="auto"/>
        </w:rPr>
        <w:t>On October 25, 2021, the Registrant filed the Second S-8 to register an additional 841,844 shares of Class A common Stock issuable upon the vesting of certain additional Earn-Out RSUs that were expected to be granted to certain former equity award holders of Sema4 and certain employees of the Registrant pursuant to the terms of the Merger Agreement.</w:t>
      </w:r>
    </w:p>
    <w:p>
      <w:pPr>
        <w:spacing w:after="0" w:line="2" w:lineRule="exact"/>
        <w:rPr>
          <w:sz w:val="20"/>
          <w:szCs w:val="20"/>
          <w:color w:val="auto"/>
        </w:rPr>
      </w:pPr>
    </w:p>
    <w:p>
      <w:pPr>
        <w:ind w:left="180" w:right="340"/>
        <w:spacing w:after="0" w:line="246" w:lineRule="auto"/>
        <w:rPr>
          <w:sz w:val="20"/>
          <w:szCs w:val="20"/>
          <w:color w:val="auto"/>
        </w:rPr>
      </w:pPr>
      <w:r>
        <w:rPr>
          <w:rFonts w:ascii="Arial" w:cs="Arial" w:eastAsia="Arial" w:hAnsi="Arial"/>
          <w:sz w:val="16"/>
          <w:szCs w:val="16"/>
          <w:color w:val="auto"/>
        </w:rPr>
        <w:t>The "Earn-Out Period" under the Earn-Out RSUs expired in accordance with the terms thereof and, as a result, none of the 1,921,064 shares of Class A common stock (the "Earn-Out RSU Shares") previously registered pursuant to the First S-8 and Second S-8 were issued thereunder.</w:t>
      </w:r>
    </w:p>
    <w:p>
      <w:pPr>
        <w:spacing w:after="0" w:line="1" w:lineRule="exact"/>
        <w:rPr>
          <w:sz w:val="20"/>
          <w:szCs w:val="20"/>
          <w:color w:val="auto"/>
        </w:rPr>
      </w:pPr>
    </w:p>
    <w:p>
      <w:pPr>
        <w:jc w:val="both"/>
        <w:ind w:left="180" w:right="60"/>
        <w:spacing w:after="0" w:line="260" w:lineRule="auto"/>
        <w:rPr>
          <w:sz w:val="20"/>
          <w:szCs w:val="20"/>
          <w:color w:val="auto"/>
        </w:rPr>
      </w:pPr>
      <w:r>
        <w:rPr>
          <w:rFonts w:ascii="Arial" w:cs="Arial" w:eastAsia="Arial" w:hAnsi="Arial"/>
          <w:sz w:val="16"/>
          <w:szCs w:val="16"/>
          <w:color w:val="auto"/>
        </w:rPr>
        <w:t>On February 20, 2025, the Registrant filed a Post-Effective Amendment No. 1 to the First S-8 and a Post-Effective Amendment No. 1 to the Second S-8 to remove from registration by means of post-effective amendments all of the Earn-Out RSU Shares previously registered for offering and sale by Registrant pursuant to the Earn-Out RSUs. As a result, $1,806 of the fee previously paid in connection with the First S-8 and $591 of the fee</w:t>
      </w:r>
    </w:p>
    <w:p>
      <w:pPr>
        <w:sectPr>
          <w:pgSz w:w="11900" w:h="16841" w:orient="portrait"/>
          <w:cols w:equalWidth="0" w:num="1">
            <w:col w:w="11160"/>
          </w:cols>
          <w:pgMar w:left="340" w:top="130" w:right="399" w:bottom="0" w:gutter="0" w:footer="0" w:header="0"/>
        </w:sectPr>
      </w:pPr>
    </w:p>
    <w:bookmarkStart w:id="65" w:name="page66"/>
    <w:bookmarkEnd w:id="65"/>
    <w:p>
      <w:pPr>
        <w:ind w:left="220" w:right="160"/>
        <w:spacing w:after="0" w:line="265" w:lineRule="auto"/>
        <w:rPr>
          <w:sz w:val="20"/>
          <w:szCs w:val="20"/>
          <w:color w:val="auto"/>
        </w:rPr>
      </w:pPr>
      <w:r>
        <w:rPr>
          <w:rFonts w:ascii="Arial" w:cs="Arial" w:eastAsia="Arial" w:hAnsi="Arial"/>
          <w:sz w:val="17"/>
          <w:szCs w:val="17"/>
          <w:color w:val="auto"/>
        </w:rPr>
        <w:t>previously paid in connection with the Second S-8 remain available to be used to offset the fee currently due. In accordance with Rule 457(p) under the Securities Act, the Registrant is using the unused filing fees to offset the filing fee payable in connection with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167005</wp:posOffset>
            </wp:positionV>
            <wp:extent cx="714819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8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File Number</w:t>
            </w:r>
          </w:p>
        </w:tc>
        <w:tc>
          <w:tcPr>
            <w:tcW w:w="4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8"/>
                <w:szCs w:val="18"/>
                <w:color w:val="auto"/>
              </w:rPr>
            </w:pPr>
          </w:p>
        </w:tc>
        <w:tc>
          <w:tcPr>
            <w:tcW w:w="2020" w:type="dxa"/>
            <w:vAlign w:val="bottom"/>
            <w:shd w:val="clear" w:color="auto" w:fill="E7E7E2"/>
          </w:tcPr>
          <w:p>
            <w:pPr>
              <w:ind w:left="17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8"/>
                <w:szCs w:val="18"/>
                <w:color w:val="auto"/>
              </w:rPr>
            </w:pPr>
          </w:p>
        </w:tc>
        <w:tc>
          <w:tcPr>
            <w:tcW w:w="68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110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920" w:type="dxa"/>
            <w:vAlign w:val="bottom"/>
            <w:tcBorders>
              <w:right w:val="single" w:sz="8" w:color="auto"/>
            </w:tcBorders>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118" w:right="319" w:bottom="1440" w:gutter="0" w:footer="0" w:header="0"/>
        </w:sectPr>
      </w:pPr>
    </w:p>
    <w:bookmarkStart w:id="66" w:name="page67"/>
    <w:bookmarkEnd w:id="66"/>
    <w:p>
      <w:pPr>
        <w:ind w:left="10500"/>
        <w:spacing w:after="0"/>
        <w:rPr>
          <w:sz w:val="20"/>
          <w:szCs w:val="20"/>
          <w:color w:val="auto"/>
        </w:rPr>
      </w:pPr>
      <w:r>
        <w:rPr>
          <w:rFonts w:ascii="Times New Roman" w:cs="Times New Roman" w:eastAsia="Times New Roman" w:hAnsi="Times New Roman"/>
          <w:sz w:val="16"/>
          <w:szCs w:val="16"/>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HOLDINGS CORP.</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$100,000,000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SALES AGREEMENT</w:t>
      </w:r>
    </w:p>
    <w:p>
      <w:pPr>
        <w:spacing w:after="0" w:line="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October 28, 2025</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TD Securities (USA)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Vanderbilt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89" w:lineRule="exact"/>
        <w:rPr>
          <w:sz w:val="20"/>
          <w:szCs w:val="20"/>
          <w:color w:val="auto"/>
        </w:rPr>
      </w:pPr>
    </w:p>
    <w:p>
      <w:pPr>
        <w:ind w:firstLine="504"/>
        <w:spacing w:after="0" w:line="289" w:lineRule="auto"/>
        <w:rPr>
          <w:sz w:val="20"/>
          <w:szCs w:val="20"/>
          <w:color w:val="auto"/>
        </w:rPr>
      </w:pPr>
      <w:r>
        <w:rPr>
          <w:rFonts w:ascii="Times New Roman" w:cs="Times New Roman" w:eastAsia="Times New Roman" w:hAnsi="Times New Roman"/>
          <w:sz w:val="17"/>
          <w:szCs w:val="17"/>
          <w:color w:val="auto"/>
        </w:rPr>
        <w:t>GeneDx Holdings Corp., a Delaware corporation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confirms its agreement (this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with TD Securities (USA) LLC (“</w:t>
      </w:r>
      <w:r>
        <w:rPr>
          <w:rFonts w:ascii="Times New Roman" w:cs="Times New Roman" w:eastAsia="Times New Roman" w:hAnsi="Times New Roman"/>
          <w:sz w:val="17"/>
          <w:szCs w:val="17"/>
          <w:b w:val="1"/>
          <w:bCs w:val="1"/>
          <w:u w:val="single" w:color="auto"/>
          <w:color w:val="auto"/>
        </w:rPr>
        <w:t>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Cowen</w:t>
      </w:r>
      <w:r>
        <w:rPr>
          <w:rFonts w:ascii="Times New Roman" w:cs="Times New Roman" w:eastAsia="Times New Roman" w:hAnsi="Times New Roman"/>
          <w:sz w:val="17"/>
          <w:szCs w:val="17"/>
          <w:color w:val="auto"/>
        </w:rPr>
        <w:t>”), as follows:</w:t>
      </w:r>
    </w:p>
    <w:p>
      <w:pPr>
        <w:spacing w:after="0" w:line="89" w:lineRule="exact"/>
        <w:rPr>
          <w:sz w:val="20"/>
          <w:szCs w:val="20"/>
          <w:color w:val="auto"/>
        </w:rPr>
      </w:pPr>
    </w:p>
    <w:p>
      <w:pPr>
        <w:jc w:val="both"/>
        <w:ind w:firstLine="508"/>
        <w:spacing w:after="0" w:line="226" w:lineRule="auto"/>
        <w:tabs>
          <w:tab w:leader="none" w:pos="100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and Sale of Shares</w:t>
      </w:r>
      <w:r>
        <w:rPr>
          <w:rFonts w:ascii="Times New Roman" w:cs="Times New Roman" w:eastAsia="Times New Roman" w:hAnsi="Times New Roman"/>
          <w:sz w:val="16"/>
          <w:szCs w:val="16"/>
          <w:color w:val="auto"/>
        </w:rPr>
        <w:t>. The Company agrees that, from time to time during the term of this Agreement, on the terms and subject to the conditions set forth herein, it may issue and sell through TD Cowen, acting as agent and/or principal, shares (the “</w:t>
      </w:r>
      <w:r>
        <w:rPr>
          <w:rFonts w:ascii="Times New Roman" w:cs="Times New Roman" w:eastAsia="Times New Roman" w:hAnsi="Times New Roman"/>
          <w:sz w:val="16"/>
          <w:szCs w:val="16"/>
          <w:b w:val="1"/>
          <w:bCs w:val="1"/>
          <w:u w:val="single" w:color="auto"/>
          <w:color w:val="auto"/>
        </w:rPr>
        <w:t>Placement Shares</w:t>
      </w:r>
      <w:r>
        <w:rPr>
          <w:rFonts w:ascii="Times New Roman" w:cs="Times New Roman" w:eastAsia="Times New Roman" w:hAnsi="Times New Roman"/>
          <w:sz w:val="16"/>
          <w:szCs w:val="16"/>
          <w:color w:val="auto"/>
        </w:rPr>
        <w:t>”) of the Company’s Class A common stock, par value $0.0001 per share (the “</w:t>
      </w:r>
      <w:r>
        <w:rPr>
          <w:rFonts w:ascii="Times New Roman" w:cs="Times New Roman" w:eastAsia="Times New Roman" w:hAnsi="Times New Roman"/>
          <w:sz w:val="16"/>
          <w:szCs w:val="16"/>
          <w:b w:val="1"/>
          <w:bCs w:val="1"/>
          <w:u w:val="single" w:color="auto"/>
          <w:color w:val="auto"/>
        </w:rPr>
        <w:t>Common Stock</w:t>
      </w:r>
      <w:r>
        <w:rPr>
          <w:rFonts w:ascii="Times New Roman" w:cs="Times New Roman" w:eastAsia="Times New Roman" w:hAnsi="Times New Roman"/>
          <w:sz w:val="16"/>
          <w:szCs w:val="16"/>
          <w:color w:val="auto"/>
        </w:rPr>
        <w:t>”), having an aggregate offering price of up to $100,000,000 (the “</w:t>
      </w:r>
      <w:r>
        <w:rPr>
          <w:rFonts w:ascii="Times New Roman" w:cs="Times New Roman" w:eastAsia="Times New Roman" w:hAnsi="Times New Roman"/>
          <w:sz w:val="16"/>
          <w:szCs w:val="16"/>
          <w:b w:val="1"/>
          <w:bCs w:val="1"/>
          <w:u w:val="single" w:color="auto"/>
          <w:color w:val="auto"/>
        </w:rPr>
        <w:t>Maximum Amount</w:t>
      </w:r>
      <w:r>
        <w:rPr>
          <w:rFonts w:ascii="Times New Roman" w:cs="Times New Roman" w:eastAsia="Times New Roman" w:hAnsi="Times New Roman"/>
          <w:sz w:val="16"/>
          <w:szCs w:val="16"/>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after such Registration Statement has become effective, although nothing in this Agreement shall be construed as requiring the Company to use the Registration Statement (as defined below) to issue the Common Stock. The Company acknowledges and agrees that sales of Common Stock under this Agreement may be made through affiliates of TD Cowen, and that TD Cowen may otherwise fulfill its obligations pursuant to this Agreement to or through an affiliated broker-dealer.</w:t>
      </w:r>
    </w:p>
    <w:p>
      <w:pPr>
        <w:spacing w:after="0" w:line="140" w:lineRule="exact"/>
        <w:rPr>
          <w:rFonts w:ascii="Times New Roman" w:cs="Times New Roman" w:eastAsia="Times New Roman" w:hAnsi="Times New Roman"/>
          <w:sz w:val="16"/>
          <w:szCs w:val="16"/>
          <w:color w:val="auto"/>
        </w:rPr>
      </w:pPr>
    </w:p>
    <w:p>
      <w:pPr>
        <w:jc w:val="both"/>
        <w:ind w:firstLine="508"/>
        <w:spacing w:after="0" w:line="251" w:lineRule="auto"/>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file, in accordance with the provisions of the Securities Act of 1933, as amended, and the rules and regulations thereunder (collectively, the “</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with the Securities and Exchange Commission (the “</w:t>
      </w:r>
      <w:r>
        <w:rPr>
          <w:rFonts w:ascii="Times New Roman" w:cs="Times New Roman" w:eastAsia="Times New Roman" w:hAnsi="Times New Roman"/>
          <w:sz w:val="17"/>
          <w:szCs w:val="17"/>
          <w:b w:val="1"/>
          <w:bCs w:val="1"/>
          <w:u w:val="single" w:color="auto"/>
          <w:color w:val="auto"/>
        </w:rPr>
        <w:t>Commission</w:t>
      </w:r>
      <w:r>
        <w:rPr>
          <w:rFonts w:ascii="Times New Roman" w:cs="Times New Roman" w:eastAsia="Times New Roman" w:hAnsi="Times New Roman"/>
          <w:sz w:val="17"/>
          <w:szCs w:val="17"/>
          <w:color w:val="auto"/>
        </w:rPr>
        <w:t>”) a registration statement on Form S-3ASR,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The Company has prepared a prospectus supplement specifically relating to the Placement Shares (the “</w:t>
      </w:r>
      <w:r>
        <w:rPr>
          <w:rFonts w:ascii="Times New Roman" w:cs="Times New Roman" w:eastAsia="Times New Roman" w:hAnsi="Times New Roman"/>
          <w:sz w:val="17"/>
          <w:szCs w:val="17"/>
          <w:b w:val="1"/>
          <w:bCs w:val="1"/>
          <w:u w:val="single" w:color="auto"/>
          <w:color w:val="auto"/>
        </w:rPr>
        <w:t>Prospectus Supplement</w:t>
      </w:r>
      <w:r>
        <w:rPr>
          <w:rFonts w:ascii="Times New Roman" w:cs="Times New Roman" w:eastAsia="Times New Roman" w:hAnsi="Times New Roman"/>
          <w:sz w:val="17"/>
          <w:szCs w:val="17"/>
          <w:color w:val="auto"/>
        </w:rPr>
        <w:t>”) to the base prospectus included as part of such registration statement. The Company shall furnish to TD Cowen, for use by TD Cowen, copies of the prospectus included as part of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1623036937.4</w:t>
      </w:r>
    </w:p>
    <w:p>
      <w:pPr>
        <w:sectPr>
          <w:pgSz w:w="11900" w:h="16838" w:orient="portrait"/>
          <w:cols w:equalWidth="0" w:num="1">
            <w:col w:w="11280"/>
          </w:cols>
          <w:pgMar w:left="300" w:top="125" w:right="319" w:bottom="1440" w:gutter="0" w:footer="0" w:header="0"/>
        </w:sectPr>
      </w:pPr>
    </w:p>
    <w:bookmarkStart w:id="67" w:name="page68"/>
    <w:bookmarkEnd w:id="67"/>
    <w:p>
      <w:pPr>
        <w:jc w:val="both"/>
        <w:spacing w:after="0" w:line="248" w:lineRule="auto"/>
        <w:rPr>
          <w:sz w:val="20"/>
          <w:szCs w:val="20"/>
          <w:color w:val="auto"/>
        </w:rPr>
      </w:pPr>
      <w:r>
        <w:rPr>
          <w:rFonts w:ascii="Times New Roman" w:cs="Times New Roman" w:eastAsia="Times New Roman" w:hAnsi="Times New Roman"/>
          <w:sz w:val="17"/>
          <w:szCs w:val="17"/>
          <w:color w:val="auto"/>
        </w:rPr>
        <w:t>statement, as supplemented by the Prospectus Supplement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 w:cs="Times New Roman" w:eastAsia="Times New Roman" w:hAnsi="Times New Roman"/>
          <w:sz w:val="17"/>
          <w:szCs w:val="17"/>
          <w:b w:val="1"/>
          <w:bCs w:val="1"/>
          <w:u w:val="single" w:color="auto"/>
          <w:color w:val="auto"/>
        </w:rPr>
        <w:t>Registration Statement.</w:t>
      </w:r>
      <w:r>
        <w:rPr>
          <w:rFonts w:ascii="Times New Roman" w:cs="Times New Roman" w:eastAsia="Times New Roman" w:hAnsi="Times New Roman"/>
          <w:sz w:val="17"/>
          <w:szCs w:val="17"/>
          <w:color w:val="auto"/>
        </w:rPr>
        <w:t>” Any registration statement and amendments thereto filed pursuant to Rule 462(b) of the Securities Act and relating to the offering covered by the Registration Statement is herein called a “</w:t>
      </w:r>
      <w:r>
        <w:rPr>
          <w:rFonts w:ascii="Times New Roman" w:cs="Times New Roman" w:eastAsia="Times New Roman" w:hAnsi="Times New Roman"/>
          <w:sz w:val="17"/>
          <w:szCs w:val="17"/>
          <w:b w:val="1"/>
          <w:bCs w:val="1"/>
          <w:u w:val="single" w:color="auto"/>
          <w:color w:val="auto"/>
        </w:rPr>
        <w:t>Rule 462(b) Registration Statement</w:t>
      </w:r>
      <w:r>
        <w:rPr>
          <w:rFonts w:ascii="Times New Roman" w:cs="Times New Roman" w:eastAsia="Times New Roman" w:hAnsi="Times New Roman"/>
          <w:sz w:val="17"/>
          <w:szCs w:val="17"/>
          <w:color w:val="auto"/>
        </w:rPr>
        <w:t>” and, after such filing, the “Registration Statement” shall include any Rule 462(b) Registration Statement.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cs="Times New Roman" w:eastAsia="Times New Roman" w:hAnsi="Times New Roman"/>
          <w:sz w:val="17"/>
          <w:szCs w:val="17"/>
          <w:b w:val="1"/>
          <w:bCs w:val="1"/>
          <w:u w:val="single" w:color="auto"/>
          <w:color w:val="auto"/>
        </w:rPr>
        <w:t>Rule 433</w:t>
      </w:r>
      <w:r>
        <w:rPr>
          <w:rFonts w:ascii="Times New Roman" w:cs="Times New Roman" w:eastAsia="Times New Roman" w:hAnsi="Times New Roman"/>
          <w:sz w:val="17"/>
          <w:szCs w:val="17"/>
          <w:color w:val="auto"/>
        </w:rPr>
        <w:t>”), relating to the Placement Shares that (i) is consented to by TD Cowen, hereinafter referred to as a “</w:t>
      </w:r>
      <w:r>
        <w:rPr>
          <w:rFonts w:ascii="Times New Roman" w:cs="Times New Roman" w:eastAsia="Times New Roman" w:hAnsi="Times New Roman"/>
          <w:sz w:val="17"/>
          <w:szCs w:val="17"/>
          <w:b w:val="1"/>
          <w:bCs w:val="1"/>
          <w:u w:val="single" w:color="auto"/>
          <w:color w:val="auto"/>
        </w:rPr>
        <w:t>Permitted Free Writing Prospectus</w:t>
      </w:r>
      <w:r>
        <w:rPr>
          <w:rFonts w:ascii="Times New Roman" w:cs="Times New Roman" w:eastAsia="Times New Roman" w:hAnsi="Times New Roman"/>
          <w:sz w:val="17"/>
          <w:szCs w:val="17"/>
          <w:color w:val="auto"/>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7"/>
          <w:szCs w:val="17"/>
          <w:b w:val="1"/>
          <w:bCs w:val="1"/>
          <w:u w:val="single" w:color="auto"/>
          <w:color w:val="auto"/>
        </w:rPr>
        <w:t>Prospectus</w:t>
      </w:r>
      <w:r>
        <w:rPr>
          <w:rFonts w:ascii="Times New Roman" w:cs="Times New Roman" w:eastAsia="Times New Roman" w:hAnsi="Times New Roman"/>
          <w:sz w:val="17"/>
          <w:szCs w:val="17"/>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cs="Times New Roman" w:eastAsia="Times New Roman" w:hAnsi="Times New Roman"/>
          <w:sz w:val="17"/>
          <w:szCs w:val="17"/>
          <w:b w:val="1"/>
          <w:bCs w:val="1"/>
          <w:u w:val="single" w:color="auto"/>
          <w:color w:val="auto"/>
        </w:rPr>
        <w:t>EDGAR</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jc w:val="both"/>
        <w:ind w:firstLine="508"/>
        <w:spacing w:after="0" w:line="212" w:lineRule="auto"/>
        <w:tabs>
          <w:tab w:leader="none" w:pos="101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Placements</w:t>
      </w:r>
      <w:r>
        <w:rPr>
          <w:rFonts w:ascii="Times New Roman" w:cs="Times New Roman" w:eastAsia="Times New Roman" w:hAnsi="Times New Roman"/>
          <w:sz w:val="17"/>
          <w:szCs w:val="17"/>
          <w:color w:val="auto"/>
        </w:rPr>
        <w:t>. Each time that the Company wishes to issue and sell the Placement Shares hereunder (each, a “</w:t>
      </w:r>
      <w:r>
        <w:rPr>
          <w:rFonts w:ascii="Times New Roman" w:cs="Times New Roman" w:eastAsia="Times New Roman" w:hAnsi="Times New Roman"/>
          <w:sz w:val="17"/>
          <w:szCs w:val="17"/>
          <w:b w:val="1"/>
          <w:bCs w:val="1"/>
          <w:u w:val="single" w:color="auto"/>
          <w:color w:val="auto"/>
        </w:rPr>
        <w:t>Placement</w:t>
      </w:r>
      <w:r>
        <w:rPr>
          <w:rFonts w:ascii="Times New Roman" w:cs="Times New Roman" w:eastAsia="Times New Roman" w:hAnsi="Times New Roman"/>
          <w:sz w:val="17"/>
          <w:szCs w:val="17"/>
          <w:color w:val="auto"/>
        </w:rPr>
        <w:t>”), it will notify TD Cowen by email notice (or other method mutually agreed to in writing by the parties) (a “</w:t>
      </w:r>
      <w:r>
        <w:rPr>
          <w:rFonts w:ascii="Times New Roman" w:cs="Times New Roman" w:eastAsia="Times New Roman" w:hAnsi="Times New Roman"/>
          <w:sz w:val="17"/>
          <w:szCs w:val="17"/>
          <w:b w:val="1"/>
          <w:bCs w:val="1"/>
          <w:u w:val="single" w:color="auto"/>
          <w:color w:val="auto"/>
        </w:rPr>
        <w:t>Placement Notice</w:t>
      </w:r>
      <w:r>
        <w:rPr>
          <w:rFonts w:ascii="Times New Roman" w:cs="Times New Roman" w:eastAsia="Times New Roman" w:hAnsi="Times New Roman"/>
          <w:sz w:val="17"/>
          <w:szCs w:val="17"/>
          <w:color w:val="auto"/>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and any minimum price below which sales may not be made, a form of which containing such minimum sales parameters necessary is attached hereto as </w:t>
      </w:r>
      <w:r>
        <w:rPr>
          <w:rFonts w:ascii="Times New Roman" w:cs="Times New Roman" w:eastAsia="Times New Roman" w:hAnsi="Times New Roman"/>
          <w:sz w:val="17"/>
          <w:szCs w:val="17"/>
          <w:b w:val="1"/>
          <w:bCs w:val="1"/>
          <w:u w:val="single" w:color="auto"/>
          <w:color w:val="auto"/>
        </w:rPr>
        <w:t>Schedule 1</w:t>
      </w:r>
      <w:r>
        <w:rPr>
          <w:rFonts w:ascii="Times New Roman" w:cs="Times New Roman" w:eastAsia="Times New Roman" w:hAnsi="Times New Roman"/>
          <w:sz w:val="17"/>
          <w:szCs w:val="17"/>
          <w:color w:val="auto"/>
        </w:rPr>
        <w:t xml:space="preserve">. The Placement Notice shall originate from any of the individuals from the Company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(with a copy to each of the other individuals from the Company listed on such schedule), and shall be addressed to each of the individuals from TD Cowen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as such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may be amended from time to time. The Placement Notice shall be effective upon receipt by TD Cowen unless and until (i) in accordance with the notice requirements set forth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TD Cowen declines to accept the terms contained therein for any reason, in its sole discretion, (ii) the entire amount of the Placement Shares have been sold, (iii) in accordance with the notice requirements set forth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37" w:right="319" w:bottom="1440" w:gutter="0" w:footer="0" w:header="0"/>
        </w:sectPr>
      </w:pPr>
    </w:p>
    <w:bookmarkStart w:id="68" w:name="page69"/>
    <w:bookmarkEnd w:id="68"/>
    <w:p>
      <w:pPr>
        <w:jc w:val="both"/>
        <w:spacing w:after="0" w:line="214" w:lineRule="auto"/>
        <w:rPr>
          <w:sz w:val="20"/>
          <w:szCs w:val="20"/>
          <w:color w:val="auto"/>
        </w:rPr>
      </w:pPr>
      <w:r>
        <w:rPr>
          <w:rFonts w:ascii="Times New Roman" w:cs="Times New Roman" w:eastAsia="Times New Roman" w:hAnsi="Times New Roman"/>
          <w:sz w:val="17"/>
          <w:szCs w:val="17"/>
          <w:color w:val="auto"/>
        </w:rPr>
        <w:t xml:space="preserve">Company suspends or terminates the Placement Notice for any reason, in its sole discretion, (iv) the Company issues a subsequent Placement Notice with parameters superseding those on the earlier dated Placement Notice, or (v) this Agreement has been terminated under the provisions of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cs="Times New Roman" w:eastAsia="Times New Roman" w:hAnsi="Times New Roman"/>
          <w:sz w:val="17"/>
          <w:szCs w:val="17"/>
          <w:b w:val="1"/>
          <w:bCs w:val="1"/>
          <w:u w:val="single" w:color="auto"/>
          <w:color w:val="auto"/>
        </w:rPr>
        <w:t>Schedule 3</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23" w:lineRule="exact"/>
        <w:rPr>
          <w:sz w:val="20"/>
          <w:szCs w:val="20"/>
          <w:color w:val="auto"/>
        </w:rPr>
      </w:pPr>
    </w:p>
    <w:p>
      <w:pPr>
        <w:jc w:val="both"/>
        <w:ind w:firstLine="508"/>
        <w:spacing w:after="0" w:line="209" w:lineRule="auto"/>
        <w:tabs>
          <w:tab w:leader="none" w:pos="1018"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Sale of Placement Shares by TD Cowen.</w:t>
      </w:r>
      <w:r>
        <w:rPr>
          <w:rFonts w:ascii="Times New Roman" w:cs="Times New Roman" w:eastAsia="Times New Roman" w:hAnsi="Times New Roman"/>
          <w:sz w:val="17"/>
          <w:szCs w:val="17"/>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TD Cowen or its affiliate,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Times New Roman" w:cs="Times New Roman" w:eastAsia="Times New Roman" w:hAnsi="Times New Roman"/>
          <w:sz w:val="17"/>
          <w:szCs w:val="17"/>
          <w:b w:val="1"/>
          <w:bCs w:val="1"/>
          <w:u w:val="single" w:color="auto"/>
          <w:color w:val="auto"/>
        </w:rPr>
        <w:t>Nasdaq</w:t>
      </w:r>
      <w:r>
        <w:rPr>
          <w:rFonts w:ascii="Times New Roman" w:cs="Times New Roman" w:eastAsia="Times New Roman" w:hAnsi="Times New Roman"/>
          <w:sz w:val="17"/>
          <w:szCs w:val="17"/>
          <w:color w:val="auto"/>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cs="Times New Roman" w:eastAsia="Times New Roman" w:hAnsi="Times New Roman"/>
          <w:sz w:val="17"/>
          <w:szCs w:val="17"/>
          <w:b w:val="1"/>
          <w:bCs w:val="1"/>
          <w:u w:val="single" w:color="auto"/>
          <w:color w:val="auto"/>
        </w:rPr>
        <w:t>Block Sale</w:t>
      </w:r>
      <w:r>
        <w:rPr>
          <w:rFonts w:ascii="Times New Roman" w:cs="Times New Roman" w:eastAsia="Times New Roman" w:hAnsi="Times New Roman"/>
          <w:sz w:val="17"/>
          <w:szCs w:val="17"/>
          <w:color w:val="auto"/>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hereof, each dated the Settlement Date, and such other documents and information as TD Cowen shall reasonably request. TD Cowen may sell Placement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Common Stock, or by any other method permitted by law.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For the purposes hereof, “</w:t>
      </w:r>
      <w:r>
        <w:rPr>
          <w:rFonts w:ascii="Times New Roman" w:cs="Times New Roman" w:eastAsia="Times New Roman" w:hAnsi="Times New Roman"/>
          <w:sz w:val="17"/>
          <w:szCs w:val="17"/>
          <w:b w:val="1"/>
          <w:bCs w:val="1"/>
          <w:u w:val="single" w:color="auto"/>
          <w:color w:val="auto"/>
        </w:rPr>
        <w:t>Trading Day</w:t>
      </w:r>
      <w:r>
        <w:rPr>
          <w:rFonts w:ascii="Times New Roman" w:cs="Times New Roman" w:eastAsia="Times New Roman" w:hAnsi="Times New Roman"/>
          <w:sz w:val="17"/>
          <w:szCs w:val="17"/>
          <w:color w:val="auto"/>
        </w:rPr>
        <w:t>” means any day on which the Company’s Common Stock is purchased and sold on the principal market on which the Common Stock is listed or quoted.</w:t>
      </w:r>
    </w:p>
    <w:p>
      <w:pPr>
        <w:spacing w:after="0" w:line="142" w:lineRule="exact"/>
        <w:rPr>
          <w:rFonts w:ascii="Times New Roman" w:cs="Times New Roman" w:eastAsia="Times New Roman" w:hAnsi="Times New Roman"/>
          <w:sz w:val="17"/>
          <w:szCs w:val="17"/>
          <w:color w:val="auto"/>
        </w:rPr>
      </w:pPr>
    </w:p>
    <w:p>
      <w:pPr>
        <w:jc w:val="both"/>
        <w:ind w:firstLine="4"/>
        <w:spacing w:after="0" w:line="258" w:lineRule="auto"/>
        <w:tabs>
          <w:tab w:leader="none" w:pos="5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be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16" w:right="319" w:bottom="144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17"/>
          <w:szCs w:val="17"/>
          <w:color w:val="auto"/>
        </w:rPr>
        <w:t>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7"/>
          <w:szCs w:val="17"/>
          <w:b w:val="1"/>
          <w:bCs w:val="1"/>
          <w:u w:val="single" w:color="auto"/>
          <w:color w:val="auto"/>
        </w:rPr>
        <w:t>Earnings Announcement</w:t>
      </w:r>
      <w:r>
        <w:rPr>
          <w:rFonts w:ascii="Times New Roman" w:cs="Times New Roman" w:eastAsia="Times New Roman" w:hAnsi="Times New Roman"/>
          <w:sz w:val="17"/>
          <w:szCs w:val="17"/>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114" w:lineRule="exact"/>
        <w:rPr>
          <w:sz w:val="20"/>
          <w:szCs w:val="20"/>
          <w:color w:val="auto"/>
        </w:rPr>
      </w:pPr>
    </w:p>
    <w:p>
      <w:pPr>
        <w:ind w:left="1020" w:hanging="512"/>
        <w:spacing w:after="0"/>
        <w:tabs>
          <w:tab w:leader="none" w:pos="102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Suspension of Sales</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jc w:val="both"/>
        <w:ind w:firstLine="508"/>
        <w:spacing w:after="0" w:line="251" w:lineRule="auto"/>
        <w:tabs>
          <w:tab w:leader="none" w:pos="1018"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The Company or TD Cowen may, upon notice to the other party in writing (including by email correspondence to each of the individuals of the other party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suspend any sale of Placement Shares;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such suspension shall not affect or impair either party’s obligations with respect to any Placement Shares sold hereunder prior to the receipt of such notice. While a suspension is in effect, any obligation under Sections 7(m), 7(n), 7(o) and 7(p) with respect to the delivery of certificates, opinions or comfort letter to TD Cowen shall be waived. Each of the parties agrees that no such notice under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shall be effective against the other unless it is made to one of the individuals named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hereto, as such schedule may be amended from time to time.</w:t>
      </w:r>
    </w:p>
    <w:p>
      <w:pPr>
        <w:spacing w:after="0" w:line="142" w:lineRule="exact"/>
        <w:rPr>
          <w:rFonts w:ascii="Times New Roman" w:cs="Times New Roman" w:eastAsia="Times New Roman" w:hAnsi="Times New Roman"/>
          <w:sz w:val="17"/>
          <w:szCs w:val="17"/>
          <w:color w:val="auto"/>
        </w:rPr>
      </w:pPr>
    </w:p>
    <w:p>
      <w:pPr>
        <w:jc w:val="both"/>
        <w:ind w:firstLine="198"/>
        <w:spacing w:after="0" w:line="258" w:lineRule="auto"/>
        <w:tabs>
          <w:tab w:leader="none" w:pos="58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either TD Cowen or the Company has reason to believe that the exemptive provisions set forth in Rule 101(c)(1) of Regulation M under the Exchange Act are not satisfied with respect to the Common Stock, it shall promptly notify the other party, and TD Cowen may, at its sole discretion, suspend sales of the Placement Shares under this Agreement.</w:t>
      </w:r>
    </w:p>
    <w:p>
      <w:pPr>
        <w:spacing w:after="0" w:line="167" w:lineRule="exact"/>
        <w:rPr>
          <w:rFonts w:ascii="Times New Roman" w:cs="Times New Roman" w:eastAsia="Times New Roman" w:hAnsi="Times New Roman"/>
          <w:sz w:val="17"/>
          <w:szCs w:val="17"/>
          <w:color w:val="auto"/>
        </w:rPr>
      </w:pPr>
    </w:p>
    <w:p>
      <w:pPr>
        <w:jc w:val="both"/>
        <w:ind w:firstLine="191"/>
        <w:spacing w:after="0" w:line="258" w:lineRule="auto"/>
        <w:tabs>
          <w:tab w:leader="none" w:pos="56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w:t>
      </w:r>
    </w:p>
    <w:p>
      <w:pPr>
        <w:spacing w:after="0" w:line="135" w:lineRule="exact"/>
        <w:rPr>
          <w:rFonts w:ascii="Times New Roman" w:cs="Times New Roman" w:eastAsia="Times New Roman" w:hAnsi="Times New Roman"/>
          <w:sz w:val="17"/>
          <w:szCs w:val="17"/>
          <w:color w:val="auto"/>
        </w:rPr>
      </w:pPr>
    </w:p>
    <w:p>
      <w:pPr>
        <w:ind w:left="1020" w:hanging="512"/>
        <w:spacing w:after="0"/>
        <w:tabs>
          <w:tab w:leader="none" w:pos="102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w:t>
      </w:r>
    </w:p>
    <w:p>
      <w:pPr>
        <w:spacing w:after="0" w:line="140" w:lineRule="exact"/>
        <w:rPr>
          <w:sz w:val="20"/>
          <w:szCs w:val="20"/>
          <w:color w:val="auto"/>
        </w:rPr>
      </w:pPr>
    </w:p>
    <w:p>
      <w:pPr>
        <w:jc w:val="both"/>
        <w:ind w:firstLine="508"/>
        <w:spacing w:after="0" w:line="220" w:lineRule="auto"/>
        <w:tabs>
          <w:tab w:leader="none" w:pos="120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Settlement of Placement Shares</w:t>
      </w:r>
      <w:r>
        <w:rPr>
          <w:rFonts w:ascii="Times New Roman" w:cs="Times New Roman" w:eastAsia="Times New Roman" w:hAnsi="Times New Roman"/>
          <w:sz w:val="16"/>
          <w:szCs w:val="16"/>
          <w:color w:val="auto"/>
        </w:rPr>
        <w:t>. Unless otherwise specified in the applicable Placement Notice, settlement for sales of Placement Shares will occur on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Trading Day following the date on which such sales are made (each, a “</w:t>
      </w:r>
      <w:r>
        <w:rPr>
          <w:rFonts w:ascii="Times New Roman" w:cs="Times New Roman" w:eastAsia="Times New Roman" w:hAnsi="Times New Roman"/>
          <w:sz w:val="16"/>
          <w:szCs w:val="16"/>
          <w:b w:val="1"/>
          <w:bCs w:val="1"/>
          <w:u w:val="single" w:color="auto"/>
          <w:color w:val="auto"/>
        </w:rPr>
        <w:t>Settlement Date</w:t>
      </w:r>
      <w:r>
        <w:rPr>
          <w:rFonts w:ascii="Times New Roman" w:cs="Times New Roman" w:eastAsia="Times New Roman" w:hAnsi="Times New Roman"/>
          <w:sz w:val="16"/>
          <w:szCs w:val="16"/>
          <w:color w:val="auto"/>
        </w:rPr>
        <w:t>” and the first such settlement date, the “</w:t>
      </w:r>
      <w:r>
        <w:rPr>
          <w:rFonts w:ascii="Times New Roman" w:cs="Times New Roman" w:eastAsia="Times New Roman" w:hAnsi="Times New Roman"/>
          <w:sz w:val="16"/>
          <w:szCs w:val="16"/>
          <w:b w:val="1"/>
          <w:bCs w:val="1"/>
          <w:u w:val="single" w:color="auto"/>
          <w:color w:val="auto"/>
        </w:rPr>
        <w:t>First Delivery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Date</w:t>
      </w:r>
      <w:r>
        <w:rPr>
          <w:rFonts w:ascii="Times New Roman" w:cs="Times New Roman" w:eastAsia="Times New Roman" w:hAnsi="Times New Roman"/>
          <w:sz w:val="16"/>
          <w:szCs w:val="16"/>
          <w:color w:val="auto"/>
        </w:rPr>
        <w:t>”). The amount of proceeds to be delivered to the Company on a Settlement Date against receipt of the Placement Shares sold (the “</w:t>
      </w:r>
      <w:r>
        <w:rPr>
          <w:rFonts w:ascii="Times New Roman" w:cs="Times New Roman" w:eastAsia="Times New Roman" w:hAnsi="Times New Roman"/>
          <w:sz w:val="16"/>
          <w:szCs w:val="16"/>
          <w:b w:val="1"/>
          <w:bCs w:val="1"/>
          <w:u w:val="single" w:color="auto"/>
          <w:color w:val="auto"/>
        </w:rPr>
        <w:t>Net Proceeds</w:t>
      </w:r>
      <w:r>
        <w:rPr>
          <w:rFonts w:ascii="Times New Roman" w:cs="Times New Roman" w:eastAsia="Times New Roman" w:hAnsi="Times New Roman"/>
          <w:sz w:val="16"/>
          <w:szCs w:val="16"/>
          <w:color w:val="auto"/>
        </w:rPr>
        <w:t>”) will be equal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the aggregate sales price received by TD Cowen at which such Placement Shares were sold, after deduction for (i) TD Cowen’s commission, discount or other compensation for such sales payable by the Company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hereof, (ii) any other amounts due and payable by the Company to TD Cowen hereunder pursuant to </w:t>
      </w:r>
      <w:r>
        <w:rPr>
          <w:rFonts w:ascii="Times New Roman" w:cs="Times New Roman" w:eastAsia="Times New Roman" w:hAnsi="Times New Roman"/>
          <w:sz w:val="16"/>
          <w:szCs w:val="16"/>
          <w:u w:val="single" w:color="auto"/>
          <w:color w:val="auto"/>
        </w:rPr>
        <w:t>Section 7(g)</w:t>
      </w:r>
      <w:r>
        <w:rPr>
          <w:rFonts w:ascii="Times New Roman" w:cs="Times New Roman" w:eastAsia="Times New Roman" w:hAnsi="Times New Roman"/>
          <w:sz w:val="16"/>
          <w:szCs w:val="16"/>
          <w:color w:val="auto"/>
        </w:rPr>
        <w:t xml:space="preserve"> (Expenses) hereof, and (iii) any transaction fees imposed by any governmental or self-regulatory organization in respect of such sales.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37" w:right="319" w:bottom="1440" w:gutter="0" w:footer="0" w:header="0"/>
        </w:sectPr>
      </w:pPr>
    </w:p>
    <w:bookmarkStart w:id="70" w:name="page71"/>
    <w:bookmarkEnd w:id="70"/>
    <w:p>
      <w:pPr>
        <w:jc w:val="both"/>
        <w:ind w:firstLine="508"/>
        <w:spacing w:after="0" w:line="212" w:lineRule="auto"/>
        <w:tabs>
          <w:tab w:leader="none" w:pos="122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Placement Shares</w:t>
      </w:r>
      <w:r>
        <w:rPr>
          <w:rFonts w:ascii="Times New Roman" w:cs="Times New Roman" w:eastAsia="Times New Roman" w:hAnsi="Times New Roman"/>
          <w:sz w:val="17"/>
          <w:szCs w:val="17"/>
          <w:color w:val="auto"/>
        </w:rPr>
        <w:t xml:space="preserve">. On or before each Settlement Date, the Company will, or will cause its transfer agent to, electronically transfer the Placement Shares being sold by crediting TD Cowen’s or its designee’s account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the Company agrees that in addition to and in no way limiting the rights and obligations set forth in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xml:space="preserve"> (Indemnification and Contribution) hereto, it will (i) hold TD Cowen harmless against any loss, claim, damage, or reasonable and documented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w:t>
      </w:r>
    </w:p>
    <w:p>
      <w:pPr>
        <w:spacing w:after="0" w:line="120" w:lineRule="exact"/>
        <w:rPr>
          <w:sz w:val="20"/>
          <w:szCs w:val="20"/>
          <w:color w:val="auto"/>
        </w:rPr>
      </w:pPr>
    </w:p>
    <w:p>
      <w:pPr>
        <w:jc w:val="both"/>
        <w:ind w:firstLine="508"/>
        <w:spacing w:after="0" w:line="226" w:lineRule="auto"/>
        <w:tabs>
          <w:tab w:leader="none" w:pos="104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Except as disclosed in the Registration Statement or the Prospectus, the Company represents and warrants to, and agrees with, TD Cowen that as of (i) the date of this Agreement, (ii) each Time of Sale (as defined below), (iii) each Settlement Date, and (iv) each Bring-Down Date (as defined below) (each date included in (i) through (iv), a “</w:t>
      </w:r>
      <w:r>
        <w:rPr>
          <w:rFonts w:ascii="Times New Roman" w:cs="Times New Roman" w:eastAsia="Times New Roman" w:hAnsi="Times New Roman"/>
          <w:sz w:val="17"/>
          <w:szCs w:val="17"/>
          <w:b w:val="1"/>
          <w:bCs w:val="1"/>
          <w:u w:val="single" w:color="auto"/>
          <w:color w:val="auto"/>
        </w:rPr>
        <w:t>Representation Date</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jc w:val="both"/>
        <w:ind w:firstLine="508"/>
        <w:spacing w:after="0" w:line="216" w:lineRule="auto"/>
        <w:tabs>
          <w:tab w:leader="none" w:pos="127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Registration Requirements</w:t>
      </w:r>
      <w:r>
        <w:rPr>
          <w:rFonts w:ascii="Times New Roman" w:cs="Times New Roman" w:eastAsia="Times New Roman" w:hAnsi="Times New Roman"/>
          <w:sz w:val="17"/>
          <w:szCs w:val="17"/>
          <w:color w:val="auto"/>
        </w:rPr>
        <w:t>. The Registration Statement automatically became effective upon filing with the Commission. The Company has complied, or will comply, to the Commission’s satisfaction with all requests of the Commission for additional or supplemental information with respect to the Registration Statement. No stop order suspending the effectiveness of the Registration Statement or any Rule 462(b) Registration Statement is in effect and no proceedings for such purpose have been instituted or are pending or, to the best knowledge of the Company, contemplated or threatened by the Commission. The Company meets the requirements for use of Form S-3ASR under the Securities Act. The sale of the Placement Shares hereunder meets the requirements of General Instruction I.D of Form S-3.</w:t>
      </w:r>
    </w:p>
    <w:p>
      <w:pPr>
        <w:spacing w:after="0" w:line="119" w:lineRule="exact"/>
        <w:rPr>
          <w:rFonts w:ascii="Times New Roman" w:cs="Times New Roman" w:eastAsia="Times New Roman" w:hAnsi="Times New Roman"/>
          <w:sz w:val="17"/>
          <w:szCs w:val="17"/>
          <w:color w:val="auto"/>
        </w:rPr>
      </w:pPr>
    </w:p>
    <w:p>
      <w:pPr>
        <w:jc w:val="both"/>
        <w:ind w:firstLine="508"/>
        <w:spacing w:after="0" w:line="211" w:lineRule="auto"/>
        <w:tabs>
          <w:tab w:leader="none" w:pos="129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Misstatement or Omission</w:t>
      </w:r>
      <w:r>
        <w:rPr>
          <w:rFonts w:ascii="Times New Roman" w:cs="Times New Roman" w:eastAsia="Times New Roman" w:hAnsi="Times New Roman"/>
          <w:sz w:val="17"/>
          <w:szCs w:val="17"/>
          <w:color w:val="auto"/>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cs="Times New Roman" w:eastAsia="Times New Roman" w:hAnsi="Times New Roman"/>
          <w:sz w:val="17"/>
          <w:szCs w:val="17"/>
          <w:b w:val="1"/>
          <w:bCs w:val="1"/>
          <w:u w:val="single" w:color="auto"/>
          <w:color w:val="auto"/>
        </w:rPr>
        <w:t>Time of Sale</w:t>
      </w:r>
      <w:r>
        <w:rPr>
          <w:rFonts w:ascii="Times New Roman" w:cs="Times New Roman" w:eastAsia="Times New Roman" w:hAnsi="Times New Roman"/>
          <w:sz w:val="17"/>
          <w:szCs w:val="17"/>
          <w:color w:val="auto"/>
        </w:rPr>
        <w:t>” means with respect to each offering of Placement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16"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color w:val="auto"/>
        </w:rPr>
        <w:t>Shares pursuant to this Agreement, the time of TD Cowen’s initial entry into contracts with purchasers for the sale of such Placement Shares.</w:t>
      </w:r>
    </w:p>
    <w:p>
      <w:pPr>
        <w:spacing w:after="0" w:line="140" w:lineRule="exact"/>
        <w:rPr>
          <w:sz w:val="20"/>
          <w:szCs w:val="20"/>
          <w:color w:val="auto"/>
        </w:rPr>
      </w:pPr>
    </w:p>
    <w:p>
      <w:pPr>
        <w:jc w:val="both"/>
        <w:ind w:firstLine="508"/>
        <w:spacing w:after="0" w:line="216" w:lineRule="auto"/>
        <w:tabs>
          <w:tab w:leader="none" w:pos="119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Offering Materials Furnished to TD Cowen</w:t>
      </w:r>
      <w:r>
        <w:rPr>
          <w:rFonts w:ascii="Times New Roman" w:cs="Times New Roman" w:eastAsia="Times New Roman" w:hAnsi="Times New Roman"/>
          <w:sz w:val="17"/>
          <w:szCs w:val="17"/>
          <w:color w:val="auto"/>
        </w:rPr>
        <w:t>.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19" w:lineRule="exact"/>
        <w:rPr>
          <w:rFonts w:ascii="Times New Roman" w:cs="Times New Roman" w:eastAsia="Times New Roman" w:hAnsi="Times New Roman"/>
          <w:sz w:val="17"/>
          <w:szCs w:val="17"/>
          <w:color w:val="auto"/>
        </w:rPr>
      </w:pPr>
    </w:p>
    <w:p>
      <w:pPr>
        <w:jc w:val="both"/>
        <w:ind w:firstLine="508"/>
        <w:spacing w:after="0" w:line="221" w:lineRule="auto"/>
        <w:tabs>
          <w:tab w:leader="none" w:pos="118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Emerging Growth Company</w:t>
      </w:r>
      <w:r>
        <w:rPr>
          <w:rFonts w:ascii="Times New Roman" w:cs="Times New Roman" w:eastAsia="Times New Roman" w:hAnsi="Times New Roman"/>
          <w:sz w:val="17"/>
          <w:szCs w:val="17"/>
          <w:color w:val="auto"/>
        </w:rPr>
        <w:t xml:space="preserve">. The Company is an “emerging growth company,” as defined in Section 2(a) of the Securities Act. The Company agrees to notify TD Cowen promptly upon the Company ceasing to be an emerging growth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Company shall not be required to notify TD Cowen when it ceases to be an emerging growth company on December 31, 2025 (i.e., the last day of the fiscal year of the Company following the fifth anniversary of the date of the first sale of common equity securities of the Company pursuant to an effective registration statement under the Securities Act).</w:t>
      </w:r>
    </w:p>
    <w:p>
      <w:pPr>
        <w:spacing w:after="0" w:line="119" w:lineRule="exact"/>
        <w:rPr>
          <w:rFonts w:ascii="Times New Roman" w:cs="Times New Roman" w:eastAsia="Times New Roman" w:hAnsi="Times New Roman"/>
          <w:sz w:val="17"/>
          <w:szCs w:val="17"/>
          <w:color w:val="auto"/>
        </w:rPr>
      </w:pPr>
    </w:p>
    <w:p>
      <w:pPr>
        <w:ind w:firstLine="508"/>
        <w:spacing w:after="0" w:line="236" w:lineRule="auto"/>
        <w:tabs>
          <w:tab w:leader="none" w:pos="120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Ineligible Issuer</w:t>
      </w:r>
      <w:r>
        <w:rPr>
          <w:rFonts w:ascii="Times New Roman" w:cs="Times New Roman" w:eastAsia="Times New Roman" w:hAnsi="Times New Roman"/>
          <w:sz w:val="17"/>
          <w:szCs w:val="17"/>
          <w:color w:val="auto"/>
        </w:rPr>
        <w:t>. As of the date of this Agreement, the Company currently is not an “ineligible issuer,” as defined in Rule 405 under the Securities Act. The Company agrees to notify TD Cowen promptly upon the Company becoming an “ineligible issuer.”</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19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Distribution of Offering Material By the Company</w:t>
      </w:r>
      <w:r>
        <w:rPr>
          <w:rFonts w:ascii="Times New Roman" w:cs="Times New Roman" w:eastAsia="Times New Roman" w:hAnsi="Times New Roman"/>
          <w:sz w:val="17"/>
          <w:szCs w:val="17"/>
          <w:color w:val="auto"/>
        </w:rPr>
        <w:t>. The Company has not distributed and will not distribute, prior to the completion of TD Cowen’s distribution of the Placement Shares, any offering material in connection with the offering and sale of the Placement Shares other than the Prospectus or the Registration Statement.</w:t>
      </w:r>
    </w:p>
    <w:p>
      <w:pPr>
        <w:spacing w:after="0" w:line="119" w:lineRule="exact"/>
        <w:rPr>
          <w:rFonts w:ascii="Times New Roman" w:cs="Times New Roman" w:eastAsia="Times New Roman" w:hAnsi="Times New Roman"/>
          <w:sz w:val="17"/>
          <w:szCs w:val="17"/>
          <w:color w:val="auto"/>
        </w:rPr>
      </w:pPr>
    </w:p>
    <w:p>
      <w:pPr>
        <w:jc w:val="both"/>
        <w:ind w:firstLine="508"/>
        <w:spacing w:after="0" w:line="221" w:lineRule="auto"/>
        <w:tabs>
          <w:tab w:leader="none" w:pos="1193"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Sales Agreement</w:t>
      </w:r>
      <w:r>
        <w:rPr>
          <w:rFonts w:ascii="Times New Roman" w:cs="Times New Roman" w:eastAsia="Times New Roman" w:hAnsi="Times New Roman"/>
          <w:sz w:val="17"/>
          <w:szCs w:val="17"/>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19" w:lineRule="exact"/>
        <w:rPr>
          <w:rFonts w:ascii="Times New Roman" w:cs="Times New Roman" w:eastAsia="Times New Roman" w:hAnsi="Times New Roman"/>
          <w:sz w:val="17"/>
          <w:szCs w:val="17"/>
          <w:color w:val="auto"/>
        </w:rPr>
      </w:pPr>
    </w:p>
    <w:p>
      <w:pPr>
        <w:jc w:val="both"/>
        <w:ind w:firstLine="508"/>
        <w:spacing w:after="0" w:line="218" w:lineRule="auto"/>
        <w:tabs>
          <w:tab w:leader="none" w:pos="118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of the Common Stock</w:t>
      </w:r>
      <w:r>
        <w:rPr>
          <w:rFonts w:ascii="Times New Roman" w:cs="Times New Roman" w:eastAsia="Times New Roman" w:hAnsi="Times New Roman"/>
          <w:sz w:val="17"/>
          <w:szCs w:val="17"/>
          <w:color w:val="auto"/>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free and clear of any pledge, lien, encumbrance, security interest or other claim, and the issuance and sale of the Placement Shares by the Company is not subject to preemptive or other similar rights arising by operation of law, under the organizational documents of the Company or under any agreement to which the Company or any Subsidiary (as defined below) is a party or otherwise, except as have been validly waived or complied with.</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16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Applicable Registration or Other Similar Rights</w:t>
      </w:r>
      <w:r>
        <w:rPr>
          <w:rFonts w:ascii="Times New Roman" w:cs="Times New Roman" w:eastAsia="Times New Roman" w:hAnsi="Times New Roman"/>
          <w:sz w:val="17"/>
          <w:szCs w:val="17"/>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 or complied with.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16" w:right="319" w:bottom="1440" w:gutter="0" w:footer="0" w:header="0"/>
        </w:sectPr>
      </w:pPr>
    </w:p>
    <w:bookmarkStart w:id="72" w:name="page73"/>
    <w:bookmarkEnd w:id="72"/>
    <w:p>
      <w:pPr>
        <w:ind w:left="1180" w:hanging="672"/>
        <w:spacing w:after="0"/>
        <w:tabs>
          <w:tab w:leader="none" w:pos="11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Change</w:t>
      </w:r>
      <w:r>
        <w:rPr>
          <w:rFonts w:ascii="Times New Roman" w:cs="Times New Roman" w:eastAsia="Times New Roman" w:hAnsi="Times New Roman"/>
          <w:sz w:val="16"/>
          <w:szCs w:val="16"/>
          <w:color w:val="auto"/>
        </w:rPr>
        <w:t>. Except as otherwise disclosed in the Prospectus, subsequent to the respective dates as of which information is given in</w:t>
      </w:r>
    </w:p>
    <w:p>
      <w:pPr>
        <w:spacing w:after="0" w:line="1" w:lineRule="exact"/>
        <w:rPr>
          <w:rFonts w:ascii="Times New Roman" w:cs="Times New Roman" w:eastAsia="Times New Roman" w:hAnsi="Times New Roman"/>
          <w:sz w:val="16"/>
          <w:szCs w:val="16"/>
          <w:color w:val="auto"/>
        </w:rPr>
      </w:pPr>
    </w:p>
    <w:p>
      <w:pPr>
        <w:jc w:val="both"/>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 w:cs="Times New Roman" w:eastAsia="Times New Roman" w:hAnsi="Times New Roman"/>
          <w:sz w:val="17"/>
          <w:szCs w:val="17"/>
          <w:b w:val="1"/>
          <w:bCs w:val="1"/>
          <w:u w:val="single" w:color="auto"/>
          <w:color w:val="auto"/>
        </w:rPr>
        <w:t>Material Adverse Change</w:t>
      </w:r>
      <w:r>
        <w:rPr>
          <w:rFonts w:ascii="Times New Roman" w:cs="Times New Roman" w:eastAsia="Times New Roman" w:hAnsi="Times New Roman"/>
          <w:sz w:val="17"/>
          <w:szCs w:val="17"/>
          <w:color w:val="auto"/>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w:t>
      </w:r>
    </w:p>
    <w:p>
      <w:pPr>
        <w:spacing w:after="0" w:line="122" w:lineRule="exact"/>
        <w:rPr>
          <w:rFonts w:ascii="Times New Roman" w:cs="Times New Roman" w:eastAsia="Times New Roman" w:hAnsi="Times New Roman"/>
          <w:sz w:val="16"/>
          <w:szCs w:val="16"/>
          <w:color w:val="auto"/>
        </w:rPr>
      </w:pPr>
    </w:p>
    <w:p>
      <w:pPr>
        <w:jc w:val="both"/>
        <w:ind w:firstLine="508"/>
        <w:spacing w:after="0" w:line="226" w:lineRule="auto"/>
        <w:tabs>
          <w:tab w:leader="none" w:pos="123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Independent Accountants</w:t>
      </w:r>
      <w:r>
        <w:rPr>
          <w:rFonts w:ascii="Times New Roman" w:cs="Times New Roman" w:eastAsia="Times New Roman" w:hAnsi="Times New Roman"/>
          <w:sz w:val="17"/>
          <w:szCs w:val="17"/>
          <w:color w:val="auto"/>
        </w:rPr>
        <w:t>. Ernst &amp; Young LLP, who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w:t>
      </w:r>
    </w:p>
    <w:p>
      <w:pPr>
        <w:spacing w:after="0" w:line="119" w:lineRule="exact"/>
        <w:rPr>
          <w:rFonts w:ascii="Times New Roman" w:cs="Times New Roman" w:eastAsia="Times New Roman" w:hAnsi="Times New Roman"/>
          <w:sz w:val="17"/>
          <w:szCs w:val="17"/>
          <w:color w:val="auto"/>
        </w:rPr>
      </w:pPr>
    </w:p>
    <w:p>
      <w:pPr>
        <w:jc w:val="both"/>
        <w:ind w:firstLine="508"/>
        <w:spacing w:after="0" w:line="214" w:lineRule="auto"/>
        <w:tabs>
          <w:tab w:leader="none" w:pos="1302"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Preparation of the Financial Statements</w:t>
      </w:r>
      <w:r>
        <w:rPr>
          <w:rFonts w:ascii="Times New Roman" w:cs="Times New Roman" w:eastAsia="Times New Roman" w:hAnsi="Times New Roman"/>
          <w:sz w:val="17"/>
          <w:szCs w:val="17"/>
          <w:color w:val="auto"/>
        </w:rPr>
        <w:t>. The financial statements filed with the Commission as a part of or incorporated by reference in the Registration Statement and included in the Prospectus present fairly, in all material respects, the consolidated financial position of the Company and its subsidiaries as of and at the dates indicated and the results of their operations and cash flows for the periods specified. The supporting schedules included in or incorporated in the Registration Statement present fairly, in all material respects,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or incorporated in the Registration Statement.</w:t>
      </w:r>
    </w:p>
    <w:p>
      <w:pPr>
        <w:spacing w:after="0" w:line="122" w:lineRule="exact"/>
        <w:rPr>
          <w:rFonts w:ascii="Times New Roman" w:cs="Times New Roman" w:eastAsia="Times New Roman" w:hAnsi="Times New Roman"/>
          <w:sz w:val="17"/>
          <w:szCs w:val="17"/>
          <w:color w:val="auto"/>
        </w:rPr>
      </w:pPr>
    </w:p>
    <w:p>
      <w:pPr>
        <w:jc w:val="both"/>
        <w:ind w:firstLine="508"/>
        <w:spacing w:after="0" w:line="226" w:lineRule="auto"/>
        <w:tabs>
          <w:tab w:leader="none" w:pos="119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XBRL</w:t>
      </w:r>
      <w:r>
        <w:rPr>
          <w:rFonts w:ascii="Times New Roman" w:cs="Times New Roman" w:eastAsia="Times New Roman" w:hAnsi="Times New Roman"/>
          <w:sz w:val="17"/>
          <w:szCs w:val="17"/>
          <w:color w:val="auto"/>
        </w:rPr>
        <w:t>. The interactive data in eXtensible Business Reporting Language included or incorporated by reference in each Registration Statement fairly presents the information called for in all material respects and has been prepared in all material respects in accordance with the Commission’s rules and guidelines applicable thereto.</w:t>
      </w:r>
    </w:p>
    <w:p>
      <w:pPr>
        <w:spacing w:after="0" w:line="119" w:lineRule="exact"/>
        <w:rPr>
          <w:rFonts w:ascii="Times New Roman" w:cs="Times New Roman" w:eastAsia="Times New Roman" w:hAnsi="Times New Roman"/>
          <w:sz w:val="17"/>
          <w:szCs w:val="17"/>
          <w:color w:val="auto"/>
        </w:rPr>
      </w:pPr>
    </w:p>
    <w:p>
      <w:pPr>
        <w:jc w:val="both"/>
        <w:ind w:firstLine="508"/>
        <w:spacing w:after="0" w:line="212" w:lineRule="auto"/>
        <w:tabs>
          <w:tab w:leader="none" w:pos="100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and Good Standing of the Company and its Subsidiaries</w:t>
      </w:r>
      <w:r>
        <w:rPr>
          <w:rFonts w:ascii="Times New Roman" w:cs="Times New Roman" w:eastAsia="Times New Roman" w:hAnsi="Times New Roman"/>
          <w:sz w:val="17"/>
          <w:szCs w:val="17"/>
          <w:color w:val="auto"/>
        </w:rPr>
        <w:t>. The Company has been duly incorporated and is validly existing as a corporation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to consummate the transactions contemplated herein and therein, except where the failure to be in good standing or have such power or authority would not, individually or in the aggregate, result in a Material Adverse Change. Each subsidiary of the Company (each a “</w:t>
      </w:r>
      <w:r>
        <w:rPr>
          <w:rFonts w:ascii="Times New Roman" w:cs="Times New Roman" w:eastAsia="Times New Roman" w:hAnsi="Times New Roman"/>
          <w:sz w:val="17"/>
          <w:szCs w:val="17"/>
          <w:b w:val="1"/>
          <w:bCs w:val="1"/>
          <w:u w:val="single" w:color="auto"/>
          <w:color w:val="auto"/>
        </w:rPr>
        <w:t>Subsidiary</w:t>
      </w:r>
      <w:r>
        <w:rPr>
          <w:rFonts w:ascii="Times New Roman" w:cs="Times New Roman" w:eastAsia="Times New Roman" w:hAnsi="Times New Roman"/>
          <w:sz w:val="17"/>
          <w:szCs w:val="17"/>
          <w:color w:val="auto"/>
        </w:rPr>
        <w:t>” has been duly organized and is validly existing as a corporation or limited liability company in good standing under the laws of the jurisdiction of its organization and has the requisite power and authority to own, lease and operate its properties and to conduct its business as described in the Prospectus, except where the failure to be in good standing or have such power or authority would not, individually or in the aggregate, result in a Material Adverse Change. Each of the Company and its Subsidiaries is duly qualified as a foreign corporation or foreign partnership to transact business and is in good standing under the laws of the jurisdiction of its incorporation 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16" w:right="319" w:bottom="1440" w:gutter="0" w:footer="0" w:header="0"/>
        </w:sectPr>
      </w:pPr>
    </w:p>
    <w:bookmarkStart w:id="73" w:name="page74"/>
    <w:bookmarkEnd w:id="73"/>
    <w:p>
      <w:pPr>
        <w:jc w:val="both"/>
        <w:spacing w:after="0" w:line="214" w:lineRule="auto"/>
        <w:rPr>
          <w:sz w:val="20"/>
          <w:szCs w:val="20"/>
          <w:color w:val="auto"/>
        </w:rPr>
      </w:pPr>
      <w:r>
        <w:rPr>
          <w:rFonts w:ascii="Times New Roman" w:cs="Times New Roman" w:eastAsia="Times New Roman" w:hAnsi="Times New Roman"/>
          <w:sz w:val="17"/>
          <w:szCs w:val="17"/>
          <w:color w:val="auto"/>
        </w:rPr>
        <w:t>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Except as described in the Prospectus, all of the issued and outstanding equity interests of the Subsidiaries have been duly authorized and validly issued, are fully paid and nonassessable and are owned by the Company free and clear of any security interest, mortgage, pledge, lien, encumbrance or claim.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123" w:lineRule="exact"/>
        <w:rPr>
          <w:sz w:val="20"/>
          <w:szCs w:val="20"/>
          <w:color w:val="auto"/>
        </w:rPr>
      </w:pPr>
    </w:p>
    <w:p>
      <w:pPr>
        <w:jc w:val="both"/>
        <w:ind w:firstLine="508"/>
        <w:spacing w:after="0" w:line="213" w:lineRule="auto"/>
        <w:tabs>
          <w:tab w:leader="none" w:pos="1193"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Stock Matters</w:t>
      </w:r>
      <w:r>
        <w:rPr>
          <w:rFonts w:ascii="Times New Roman" w:cs="Times New Roman" w:eastAsia="Times New Roman" w:hAnsi="Times New Roman"/>
          <w:sz w:val="17"/>
          <w:szCs w:val="17"/>
          <w:color w:val="auto"/>
        </w:rPr>
        <w:t>. The Common Stock conforms in all material respects to the description thereof contained in the Prospectus. All of the issued and outstanding shares of Common Stock have been duly authorized and validly issued, are fully paid and nonassessable and have been issued in compliance in all material respects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w:t>
      </w:r>
    </w:p>
    <w:p>
      <w:pPr>
        <w:spacing w:after="0" w:line="123" w:lineRule="exact"/>
        <w:rPr>
          <w:rFonts w:ascii="Times New Roman" w:cs="Times New Roman" w:eastAsia="Times New Roman" w:hAnsi="Times New Roman"/>
          <w:sz w:val="17"/>
          <w:szCs w:val="17"/>
          <w:color w:val="auto"/>
        </w:rPr>
      </w:pPr>
    </w:p>
    <w:p>
      <w:pPr>
        <w:jc w:val="both"/>
        <w:ind w:firstLine="508"/>
        <w:spacing w:after="0" w:line="210" w:lineRule="auto"/>
        <w:tabs>
          <w:tab w:leader="none" w:pos="1182"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Non-Contravention of Existing Instruments; No Further Authorizations or Approvals Required</w:t>
      </w:r>
      <w:r>
        <w:rPr>
          <w:rFonts w:ascii="Times New Roman" w:cs="Times New Roman" w:eastAsia="Times New Roman" w:hAnsi="Times New Roman"/>
          <w:sz w:val="17"/>
          <w:szCs w:val="17"/>
          <w:color w:val="auto"/>
        </w:rPr>
        <w:t>. Neither the Company nor any of its subsidiaries is in violation of its charter or by-laws or is in default (or, with the giving of notice or lapse of time, would be in default) (“</w:t>
      </w:r>
      <w:r>
        <w:rPr>
          <w:rFonts w:ascii="Times New Roman" w:cs="Times New Roman" w:eastAsia="Times New Roman" w:hAnsi="Times New Roman"/>
          <w:sz w:val="17"/>
          <w:szCs w:val="17"/>
          <w:b w:val="1"/>
          <w:bCs w:val="1"/>
          <w:u w:val="single" w:color="auto"/>
          <w:color w:val="auto"/>
        </w:rPr>
        <w:t>Default</w:t>
      </w:r>
      <w:r>
        <w:rPr>
          <w:rFonts w:ascii="Times New Roman" w:cs="Times New Roman" w:eastAsia="Times New Roman" w:hAnsi="Times New Roman"/>
          <w:sz w:val="17"/>
          <w:szCs w:val="17"/>
          <w:color w:val="auto"/>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 w:cs="Times New Roman" w:eastAsia="Times New Roman" w:hAnsi="Times New Roman"/>
          <w:sz w:val="17"/>
          <w:szCs w:val="17"/>
          <w:b w:val="1"/>
          <w:bCs w:val="1"/>
          <w:u w:val="single" w:color="auto"/>
          <w:color w:val="auto"/>
        </w:rPr>
        <w:t>Existing Instrument</w:t>
      </w:r>
      <w:r>
        <w:rPr>
          <w:rFonts w:ascii="Times New Roman" w:cs="Times New Roman" w:eastAsia="Times New Roman" w:hAnsi="Times New Roman"/>
          <w:sz w:val="17"/>
          <w:szCs w:val="17"/>
          <w:color w:val="auto"/>
        </w:rPr>
        <w:t>”), except for such Defaults as would not, individually or in the aggregate, result in a Material Adverse Change. The Company’s execution, delivery and performance of this Agreement and consummation of the transactions contemplated hereby and by the Prospectus (i) have been duly authorized by all necessary corporate action and will not result in any violation of the provisions of the charter or by-laws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except, in the case of clauses (ii) and (iii) above, for any such violations as would not, individually or in the aggregate,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w:t>
      </w:r>
      <w:r>
        <w:rPr>
          <w:rFonts w:ascii="Times New Roman" w:cs="Times New Roman" w:eastAsia="Times New Roman" w:hAnsi="Times New Roman"/>
          <w:sz w:val="17"/>
          <w:szCs w:val="17"/>
          <w:b w:val="1"/>
          <w:bCs w:val="1"/>
          <w:u w:val="single" w:color="auto"/>
          <w:color w:val="auto"/>
        </w:rPr>
        <w:t>FINRA</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16" w:right="319" w:bottom="1440" w:gutter="0" w:footer="0" w:header="0"/>
        </w:sectPr>
      </w:pPr>
    </w:p>
    <w:bookmarkStart w:id="74" w:name="page75"/>
    <w:bookmarkEnd w:id="74"/>
    <w:p>
      <w:pPr>
        <w:jc w:val="both"/>
        <w:ind w:firstLine="508"/>
        <w:spacing w:after="0" w:line="214" w:lineRule="auto"/>
        <w:tabs>
          <w:tab w:leader="none" w:pos="119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Actions or Proceedings</w:t>
      </w:r>
      <w:r>
        <w:rPr>
          <w:rFonts w:ascii="Times New Roman" w:cs="Times New Roman" w:eastAsia="Times New Roman" w:hAnsi="Times New Roman"/>
          <w:sz w:val="17"/>
          <w:szCs w:val="17"/>
          <w:color w:val="auto"/>
        </w:rPr>
        <w:t>. Except as disclosed in the Prospectus, there are no legal or governmental actions, suits or proceedings pending or, to the best of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such Subsidiary and (B) any such action, suit or proceeding, if so determined adversely, would reasonably be expected to result in a Material Adverse Change or adversely affect the consummation of the transactions contemplated by this Agreement. No material labor dispute with the employees of the Company or any of its subsidiaries exists or, to the Company’s knowledge, is threatened or imminent.</w:t>
      </w:r>
    </w:p>
    <w:p>
      <w:pPr>
        <w:spacing w:after="0" w:line="122" w:lineRule="exact"/>
        <w:rPr>
          <w:rFonts w:ascii="Times New Roman" w:cs="Times New Roman" w:eastAsia="Times New Roman" w:hAnsi="Times New Roman"/>
          <w:sz w:val="17"/>
          <w:szCs w:val="17"/>
          <w:color w:val="auto"/>
        </w:rPr>
      </w:pPr>
    </w:p>
    <w:p>
      <w:pPr>
        <w:jc w:val="both"/>
        <w:ind w:firstLine="508"/>
        <w:spacing w:after="0" w:line="218" w:lineRule="auto"/>
        <w:tabs>
          <w:tab w:leader="none" w:pos="123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 Necessary Permits, etc</w:t>
      </w:r>
      <w:r>
        <w:rPr>
          <w:rFonts w:ascii="Times New Roman" w:cs="Times New Roman" w:eastAsia="Times New Roman" w:hAnsi="Times New Roman"/>
          <w:sz w:val="17"/>
          <w:szCs w:val="17"/>
          <w:color w:val="auto"/>
        </w:rPr>
        <w:t>. The Company and each Subsidiary possess such valid and current certificates, authorizations or permits issued by the appropriate state, federal or foreign regulatory agencies or bodies necessary to conduct their respective businesses, other than those the failure to possess or own would not result in a Material Adverse Change,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could result in a Material Adverse Change.</w:t>
      </w:r>
    </w:p>
    <w:p>
      <w:pPr>
        <w:spacing w:after="0" w:line="119" w:lineRule="exact"/>
        <w:rPr>
          <w:rFonts w:ascii="Times New Roman" w:cs="Times New Roman" w:eastAsia="Times New Roman" w:hAnsi="Times New Roman"/>
          <w:sz w:val="17"/>
          <w:szCs w:val="17"/>
          <w:color w:val="auto"/>
        </w:rPr>
      </w:pPr>
    </w:p>
    <w:p>
      <w:pPr>
        <w:jc w:val="both"/>
        <w:ind w:firstLine="508"/>
        <w:spacing w:after="0" w:line="216" w:lineRule="auto"/>
        <w:tabs>
          <w:tab w:leader="none" w:pos="128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Law Compliance</w:t>
      </w:r>
      <w:r>
        <w:rPr>
          <w:rFonts w:ascii="Times New Roman" w:cs="Times New Roman" w:eastAsia="Times New Roman" w:hAnsi="Times New Roman"/>
          <w:sz w:val="17"/>
          <w:szCs w:val="17"/>
          <w:color w:val="auto"/>
        </w:rPr>
        <w:t xml:space="preserve">. The Company and its consolidated subsidiaries have filed all necessary federal, state and foreign income, property and franchise tax returns other than those where the failure to file would not result in a Material Adverse Change, and have paid all taxes required to be paid by any of them and, if due and payable, any related or similar assessment, fine or penalty levied against any of them except as may be being contested in good faith and by appropriate proceedings or such amounts where the failure to pay would not result in a Material Adverse Change. The Company has made adequate charges, accruals and reserves in the applicable financial statements referred to in </w:t>
      </w:r>
      <w:r>
        <w:rPr>
          <w:rFonts w:ascii="Times New Roman" w:cs="Times New Roman" w:eastAsia="Times New Roman" w:hAnsi="Times New Roman"/>
          <w:sz w:val="17"/>
          <w:szCs w:val="17"/>
          <w:u w:val="single" w:color="auto"/>
          <w:color w:val="auto"/>
        </w:rPr>
        <w:t>Section 1(l)</w:t>
      </w:r>
      <w:r>
        <w:rPr>
          <w:rFonts w:ascii="Times New Roman" w:cs="Times New Roman" w:eastAsia="Times New Roman" w:hAnsi="Times New Roman"/>
          <w:sz w:val="17"/>
          <w:szCs w:val="17"/>
          <w:color w:val="auto"/>
        </w:rPr>
        <w:t xml:space="preserve"> above in respect of all material federal, state and foreign income, property and franchise taxes for all periods as to which the tax liability of the Company or any of its consolidated subsidiaries has not been finally determined.</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17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Not an “Investment Company</w:t>
      </w:r>
      <w:r>
        <w:rPr>
          <w:rFonts w:ascii="Times New Roman" w:cs="Times New Roman" w:eastAsia="Times New Roman" w:hAnsi="Times New Roman"/>
          <w:sz w:val="17"/>
          <w:szCs w:val="17"/>
          <w:color w:val="auto"/>
        </w:rPr>
        <w:t>”. The Company has been advised of the rules and requirements under the Investment Company Act of 1940, as amended (the “</w:t>
      </w:r>
      <w:r>
        <w:rPr>
          <w:rFonts w:ascii="Times New Roman" w:cs="Times New Roman" w:eastAsia="Times New Roman" w:hAnsi="Times New Roman"/>
          <w:sz w:val="17"/>
          <w:szCs w:val="17"/>
          <w:b w:val="1"/>
          <w:bCs w:val="1"/>
          <w:u w:val="single" w:color="auto"/>
          <w:color w:val="auto"/>
        </w:rPr>
        <w:t>Investment Company Act</w:t>
      </w:r>
      <w:r>
        <w:rPr>
          <w:rFonts w:ascii="Times New Roman" w:cs="Times New Roman" w:eastAsia="Times New Roman" w:hAnsi="Times New Roman"/>
          <w:sz w:val="17"/>
          <w:szCs w:val="17"/>
          <w:color w:val="auto"/>
        </w:rPr>
        <w:t>”). The Company is not, and after receipt of payment for the Common Stock will not be required to register as, an “investment company” within the meaning of Investment Company Act.</w:t>
      </w:r>
    </w:p>
    <w:p>
      <w:pPr>
        <w:spacing w:after="0" w:line="119" w:lineRule="exact"/>
        <w:rPr>
          <w:rFonts w:ascii="Times New Roman" w:cs="Times New Roman" w:eastAsia="Times New Roman" w:hAnsi="Times New Roman"/>
          <w:sz w:val="17"/>
          <w:szCs w:val="17"/>
          <w:color w:val="auto"/>
        </w:rPr>
      </w:pPr>
    </w:p>
    <w:p>
      <w:pPr>
        <w:jc w:val="both"/>
        <w:ind w:firstLine="508"/>
        <w:spacing w:after="0" w:line="216" w:lineRule="auto"/>
        <w:tabs>
          <w:tab w:leader="none" w:pos="119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Except as otherwise described in the Prospectus, each of the Company and its subsidiaries are insured by insurers of recognized financial responsibility with policies in such amounts and with such deductibles and covering such risks as are generally deemed prudent and customary for the business for which it is engaged including, but not limited to, policies covering real and personal property owned or leased by the Company and its subsidiaries against theft, damage, destruction, acts of vandalism and earthquakes.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spacing w:after="0" w:line="119" w:lineRule="exact"/>
        <w:rPr>
          <w:rFonts w:ascii="Times New Roman" w:cs="Times New Roman" w:eastAsia="Times New Roman" w:hAnsi="Times New Roman"/>
          <w:sz w:val="17"/>
          <w:szCs w:val="17"/>
          <w:color w:val="auto"/>
        </w:rPr>
      </w:pPr>
    </w:p>
    <w:p>
      <w:pPr>
        <w:ind w:firstLine="508"/>
        <w:spacing w:after="0" w:line="236" w:lineRule="auto"/>
        <w:tabs>
          <w:tab w:leader="none" w:pos="119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Price Stabilization or Manipulation</w:t>
      </w:r>
      <w:r>
        <w:rPr>
          <w:rFonts w:ascii="Times New Roman" w:cs="Times New Roman" w:eastAsia="Times New Roman" w:hAnsi="Times New Roman"/>
          <w:sz w:val="17"/>
          <w:szCs w:val="17"/>
          <w:color w:val="auto"/>
        </w:rPr>
        <w:t>. The Company has not taken and will not take, directly or indirectly, any action designed to or that might be reasonably expected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16"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color w:val="auto"/>
        </w:rPr>
        <w:t>to cause or result in stabilization or manipulation of the price of any security of the Company to facilitate the sale or resale of the Placement Shares.</w:t>
      </w:r>
    </w:p>
    <w:p>
      <w:pPr>
        <w:spacing w:after="0" w:line="140" w:lineRule="exact"/>
        <w:rPr>
          <w:sz w:val="20"/>
          <w:szCs w:val="20"/>
          <w:color w:val="auto"/>
        </w:rPr>
      </w:pPr>
    </w:p>
    <w:p>
      <w:pPr>
        <w:ind w:firstLine="508"/>
        <w:spacing w:after="0" w:line="236" w:lineRule="auto"/>
        <w:tabs>
          <w:tab w:leader="none" w:pos="119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Related Party Transactions</w:t>
      </w:r>
      <w:r>
        <w:rPr>
          <w:rFonts w:ascii="Times New Roman" w:cs="Times New Roman" w:eastAsia="Times New Roman" w:hAnsi="Times New Roman"/>
          <w:sz w:val="17"/>
          <w:szCs w:val="17"/>
          <w:color w:val="auto"/>
        </w:rPr>
        <w:t>. There are no business relationships or related-party transactions involving the Company or any Subsidiary or any other person required to be described in the Prospectus which have not been described as required.</w:t>
      </w:r>
    </w:p>
    <w:p>
      <w:pPr>
        <w:spacing w:after="0" w:line="119" w:lineRule="exact"/>
        <w:rPr>
          <w:rFonts w:ascii="Times New Roman" w:cs="Times New Roman" w:eastAsia="Times New Roman" w:hAnsi="Times New Roman"/>
          <w:sz w:val="17"/>
          <w:szCs w:val="17"/>
          <w:color w:val="auto"/>
        </w:rPr>
      </w:pPr>
    </w:p>
    <w:p>
      <w:pPr>
        <w:jc w:val="both"/>
        <w:ind w:firstLine="508"/>
        <w:spacing w:after="0" w:line="218" w:lineRule="auto"/>
        <w:tabs>
          <w:tab w:leader="none" w:pos="12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Act Compliance</w:t>
      </w:r>
      <w:r>
        <w:rPr>
          <w:rFonts w:ascii="Times New Roman" w:cs="Times New Roman" w:eastAsia="Times New Roman" w:hAnsi="Times New Roman"/>
          <w:sz w:val="17"/>
          <w:szCs w:val="17"/>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19" w:lineRule="exact"/>
        <w:rPr>
          <w:rFonts w:ascii="Times New Roman" w:cs="Times New Roman" w:eastAsia="Times New Roman" w:hAnsi="Times New Roman"/>
          <w:sz w:val="17"/>
          <w:szCs w:val="17"/>
          <w:color w:val="auto"/>
        </w:rPr>
      </w:pPr>
    </w:p>
    <w:p>
      <w:pPr>
        <w:jc w:val="both"/>
        <w:ind w:firstLine="508"/>
        <w:spacing w:after="0" w:line="214" w:lineRule="auto"/>
        <w:tabs>
          <w:tab w:leader="none" w:pos="124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Unlawful Contributions or Other Payments</w:t>
      </w:r>
      <w:r>
        <w:rPr>
          <w:rFonts w:ascii="Times New Roman" w:cs="Times New Roman" w:eastAsia="Times New Roman" w:hAnsi="Times New Roman"/>
          <w:sz w:val="17"/>
          <w:szCs w:val="17"/>
          <w:color w:val="auto"/>
        </w:rPr>
        <w:t>. Neither the Company nor any of its subsidiaries nor, to the Company’s knowledge, any director, officer, employee, agent, affiliate or other person acting on behalf of the Company or any Subsidiary has (i) used any corporate funds for any unlawful contribution, gift, entertainment or other unlawful expense relating to political activity; (ii) made any direct or indirect unlawful payment to any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regulations of any other jurisdiction in which the Company or any Subsidiary conducts business; or (iv) made any other unlawful bribe, rebate, payoff, influence payment, kickback or other unlawful payment to any person.</w:t>
      </w:r>
    </w:p>
    <w:p>
      <w:pPr>
        <w:spacing w:after="0" w:line="122" w:lineRule="exact"/>
        <w:rPr>
          <w:rFonts w:ascii="Times New Roman" w:cs="Times New Roman" w:eastAsia="Times New Roman" w:hAnsi="Times New Roman"/>
          <w:sz w:val="17"/>
          <w:szCs w:val="17"/>
          <w:color w:val="auto"/>
        </w:rPr>
      </w:pPr>
    </w:p>
    <w:p>
      <w:pPr>
        <w:jc w:val="both"/>
        <w:ind w:firstLine="508"/>
        <w:spacing w:after="0" w:line="214" w:lineRule="auto"/>
        <w:tabs>
          <w:tab w:leader="none" w:pos="130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Money Laundering Laws</w:t>
      </w:r>
      <w:r>
        <w:rPr>
          <w:rFonts w:ascii="Times New Roman" w:cs="Times New Roman" w:eastAsia="Times New Roman" w:hAnsi="Times New Roman"/>
          <w:sz w:val="17"/>
          <w:szCs w:val="17"/>
          <w:color w:val="auto"/>
        </w:rPr>
        <w:t>. The operations of the Company and its subsidiaries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7"/>
          <w:szCs w:val="17"/>
          <w:b w:val="1"/>
          <w:bCs w:val="1"/>
          <w:u w:val="single" w:color="auto"/>
          <w:color w:val="auto"/>
        </w:rPr>
        <w:t>Anti-Money Laundering Laws</w:t>
      </w:r>
      <w:r>
        <w:rPr>
          <w:rFonts w:ascii="Times New Roman" w:cs="Times New Roman" w:eastAsia="Times New Roman" w:hAnsi="Times New Roman"/>
          <w:sz w:val="17"/>
          <w:szCs w:val="17"/>
          <w:color w:val="auto"/>
        </w:rPr>
        <w:t>”), and no action, suit or proceeding by or before any court or governmental agency, authority, body or any arbitrator involving the Company or any of its subsidiaries with respect to Anti-Money Laundering Laws is pending, or to the knowledge of the Company, threatened.</w:t>
      </w:r>
    </w:p>
    <w:p>
      <w:pPr>
        <w:spacing w:after="0" w:line="123" w:lineRule="exact"/>
        <w:rPr>
          <w:sz w:val="20"/>
          <w:szCs w:val="20"/>
          <w:color w:val="auto"/>
        </w:rPr>
      </w:pPr>
    </w:p>
    <w:p>
      <w:pPr>
        <w:ind w:left="1180" w:hanging="672"/>
        <w:spacing w:after="0"/>
        <w:tabs>
          <w:tab w:leader="none" w:pos="11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OFAC</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both"/>
        <w:ind w:left="1260" w:hanging="251"/>
        <w:spacing w:after="0" w:line="252" w:lineRule="auto"/>
        <w:rPr>
          <w:sz w:val="20"/>
          <w:szCs w:val="20"/>
          <w:color w:val="auto"/>
        </w:rPr>
      </w:pPr>
      <w:r>
        <w:rPr>
          <w:rFonts w:ascii="Times New Roman" w:cs="Times New Roman" w:eastAsia="Times New Roman" w:hAnsi="Times New Roman"/>
          <w:sz w:val="17"/>
          <w:szCs w:val="17"/>
          <w:color w:val="auto"/>
        </w:rPr>
        <w:t>(A)Neither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 w:cs="Times New Roman" w:eastAsia="Times New Roman" w:hAnsi="Times New Roman"/>
          <w:sz w:val="17"/>
          <w:szCs w:val="17"/>
          <w:b w:val="1"/>
          <w:bCs w:val="1"/>
          <w:u w:val="single" w:color="auto"/>
          <w:color w:val="auto"/>
        </w:rPr>
        <w:t>Person</w:t>
      </w:r>
      <w:r>
        <w:rPr>
          <w:rFonts w:ascii="Times New Roman" w:cs="Times New Roman" w:eastAsia="Times New Roman" w:hAnsi="Times New Roman"/>
          <w:sz w:val="17"/>
          <w:szCs w:val="17"/>
          <w:color w:val="auto"/>
        </w:rPr>
        <w:t>”) that is, or is owned or controlled by a Person that is: (i) the subject of any economic, financial or trade sanctions administered or enforced by the U.S. Department of Treasury’s Office of Foreign Assets Control (“</w:t>
      </w:r>
      <w:r>
        <w:rPr>
          <w:rFonts w:ascii="Times New Roman" w:cs="Times New Roman" w:eastAsia="Times New Roman" w:hAnsi="Times New Roman"/>
          <w:sz w:val="17"/>
          <w:szCs w:val="17"/>
          <w:b w:val="1"/>
          <w:bCs w:val="1"/>
          <w:u w:val="single" w:color="auto"/>
          <w:color w:val="auto"/>
        </w:rPr>
        <w:t>OFAC</w:t>
      </w:r>
      <w:r>
        <w:rPr>
          <w:rFonts w:ascii="Times New Roman" w:cs="Times New Roman" w:eastAsia="Times New Roman" w:hAnsi="Times New Roman"/>
          <w:sz w:val="17"/>
          <w:szCs w:val="17"/>
          <w:color w:val="auto"/>
        </w:rPr>
        <w:t>”), the United Nations Security Council, the European Union (“</w:t>
      </w:r>
      <w:r>
        <w:rPr>
          <w:rFonts w:ascii="Times New Roman" w:cs="Times New Roman" w:eastAsia="Times New Roman" w:hAnsi="Times New Roman"/>
          <w:sz w:val="17"/>
          <w:szCs w:val="17"/>
          <w:b w:val="1"/>
          <w:bCs w:val="1"/>
          <w:u w:val="single" w:color="auto"/>
          <w:color w:val="auto"/>
        </w:rPr>
        <w:t>EU</w:t>
      </w:r>
      <w:r>
        <w:rPr>
          <w:rFonts w:ascii="Times New Roman" w:cs="Times New Roman" w:eastAsia="Times New Roman" w:hAnsi="Times New Roman"/>
          <w:sz w:val="17"/>
          <w:szCs w:val="17"/>
          <w:color w:val="auto"/>
        </w:rPr>
        <w:t>”), His Majesty’s Treasury, the Swiss Secretariat of Economic Affairs, or other relevant sanctions authority (collectively, “</w:t>
      </w:r>
      <w:r>
        <w:rPr>
          <w:rFonts w:ascii="Times New Roman" w:cs="Times New Roman" w:eastAsia="Times New Roman" w:hAnsi="Times New Roman"/>
          <w:sz w:val="17"/>
          <w:szCs w:val="17"/>
          <w:b w:val="1"/>
          <w:bCs w:val="1"/>
          <w:u w:val="single" w:color="auto"/>
          <w:color w:val="auto"/>
        </w:rPr>
        <w:t>Sanctions</w:t>
      </w:r>
      <w:r>
        <w:rPr>
          <w:rFonts w:ascii="Times New Roman" w:cs="Times New Roman" w:eastAsia="Times New Roman" w:hAnsi="Times New Roman"/>
          <w:sz w:val="17"/>
          <w:szCs w:val="17"/>
          <w:color w:val="auto"/>
        </w:rPr>
        <w:t>”), nor (ii) located, organized, or resident in a country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16" w:right="319" w:bottom="1440" w:gutter="0" w:footer="0" w:header="0"/>
        </w:sectPr>
      </w:pPr>
    </w:p>
    <w:bookmarkStart w:id="76" w:name="page77"/>
    <w:bookmarkEnd w:id="76"/>
    <w:p>
      <w:pPr>
        <w:jc w:val="both"/>
        <w:ind w:left="1260"/>
        <w:spacing w:after="0" w:line="258" w:lineRule="auto"/>
        <w:rPr>
          <w:sz w:val="20"/>
          <w:szCs w:val="20"/>
          <w:color w:val="auto"/>
        </w:rPr>
      </w:pPr>
      <w:r>
        <w:rPr>
          <w:rFonts w:ascii="Times New Roman" w:cs="Times New Roman" w:eastAsia="Times New Roman" w:hAnsi="Times New Roman"/>
          <w:sz w:val="17"/>
          <w:szCs w:val="17"/>
          <w:color w:val="auto"/>
        </w:rPr>
        <w:t>or territory that is the subject of a U.S. government embargo (including, without limitation, the so-called Donetsk People’s Republic, the so-called Luhansk People’s Republic, the Crimea Region of Ukraine, the non-government controlled areas of the Zaporizhzhia and Kherson Regions, Cuba, Iran, North Korea and Syria).</w:t>
      </w:r>
    </w:p>
    <w:p>
      <w:pPr>
        <w:spacing w:after="0" w:line="146" w:lineRule="exact"/>
        <w:rPr>
          <w:sz w:val="20"/>
          <w:szCs w:val="20"/>
          <w:color w:val="auto"/>
        </w:rPr>
      </w:pPr>
    </w:p>
    <w:p>
      <w:pPr>
        <w:jc w:val="both"/>
        <w:ind w:left="1260" w:hanging="251"/>
        <w:spacing w:after="0" w:line="253" w:lineRule="auto"/>
        <w:rPr>
          <w:sz w:val="20"/>
          <w:szCs w:val="20"/>
          <w:color w:val="auto"/>
        </w:rPr>
      </w:pPr>
      <w:r>
        <w:rPr>
          <w:rFonts w:ascii="Times New Roman" w:cs="Times New Roman" w:eastAsia="Times New Roman" w:hAnsi="Times New Roman"/>
          <w:sz w:val="17"/>
          <w:szCs w:val="17"/>
          <w:color w:val="auto"/>
        </w:rPr>
        <w:t>(B)The Company will not, directly or indirectly, use the Net Proceeds, or lend, contribute or otherwise make available such Net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 other manner that will result in a violation of Sanctions by any Person (including TD Cowen)</w:t>
      </w:r>
    </w:p>
    <w:p>
      <w:pPr>
        <w:spacing w:after="0" w:line="162" w:lineRule="exact"/>
        <w:rPr>
          <w:sz w:val="20"/>
          <w:szCs w:val="20"/>
          <w:color w:val="auto"/>
        </w:rPr>
      </w:pPr>
    </w:p>
    <w:p>
      <w:pPr>
        <w:jc w:val="both"/>
        <w:ind w:left="1260" w:hanging="251"/>
        <w:spacing w:after="0" w:line="264" w:lineRule="auto"/>
        <w:rPr>
          <w:sz w:val="20"/>
          <w:szCs w:val="20"/>
          <w:color w:val="auto"/>
        </w:rPr>
      </w:pPr>
      <w:r>
        <w:rPr>
          <w:rFonts w:ascii="Times New Roman" w:cs="Times New Roman" w:eastAsia="Times New Roman" w:hAnsi="Times New Roman"/>
          <w:sz w:val="17"/>
          <w:szCs w:val="17"/>
          <w:color w:val="auto"/>
        </w:rPr>
        <w:t>(C)For the past ten (10) years,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w:t>
      </w:r>
    </w:p>
    <w:p>
      <w:pPr>
        <w:spacing w:after="0" w:line="131" w:lineRule="exact"/>
        <w:rPr>
          <w:sz w:val="20"/>
          <w:szCs w:val="20"/>
          <w:color w:val="auto"/>
        </w:rPr>
      </w:pPr>
    </w:p>
    <w:p>
      <w:pPr>
        <w:jc w:val="both"/>
        <w:ind w:firstLine="504"/>
        <w:spacing w:after="0" w:line="212" w:lineRule="auto"/>
        <w:rPr>
          <w:sz w:val="20"/>
          <w:szCs w:val="20"/>
          <w:color w:val="auto"/>
        </w:rPr>
      </w:pPr>
      <w:r>
        <w:rPr>
          <w:rFonts w:ascii="Times New Roman" w:cs="Times New Roman" w:eastAsia="Times New Roman" w:hAnsi="Times New Roman"/>
          <w:sz w:val="17"/>
          <w:szCs w:val="17"/>
          <w:color w:val="auto"/>
        </w:rPr>
        <w:t xml:space="preserve">(ab) </w:t>
      </w:r>
      <w:r>
        <w:rPr>
          <w:rFonts w:ascii="Times New Roman" w:cs="Times New Roman" w:eastAsia="Times New Roman" w:hAnsi="Times New Roman"/>
          <w:sz w:val="17"/>
          <w:szCs w:val="17"/>
          <w:u w:val="single" w:color="auto"/>
          <w:color w:val="auto"/>
        </w:rPr>
        <w:t>Company’s Accounting System</w:t>
      </w:r>
      <w:r>
        <w:rPr>
          <w:rFonts w:ascii="Times New Roman" w:cs="Times New Roman" w:eastAsia="Times New Roman" w:hAnsi="Times New Roman"/>
          <w:sz w:val="17"/>
          <w:szCs w:val="17"/>
          <w:color w:val="auto"/>
        </w:rPr>
        <w:t>. The Company maintains a system of “internal control over financial reporting” (as such term is defined in Rule 13a-15(f) of the General Rules and Regulations under the Exchange Act (the “</w:t>
      </w:r>
      <w:r>
        <w:rPr>
          <w:rFonts w:ascii="Times New Roman" w:cs="Times New Roman" w:eastAsia="Times New Roman" w:hAnsi="Times New Roman"/>
          <w:sz w:val="17"/>
          <w:szCs w:val="17"/>
          <w:b w:val="1"/>
          <w:bCs w:val="1"/>
          <w:u w:val="single" w:color="auto"/>
          <w:color w:val="auto"/>
        </w:rPr>
        <w:t>Exchange Act Rules</w:t>
      </w:r>
      <w:r>
        <w:rPr>
          <w:rFonts w:ascii="Times New Roman" w:cs="Times New Roman" w:eastAsia="Times New Roman" w:hAnsi="Times New Roman"/>
          <w:sz w:val="17"/>
          <w:szCs w:val="17"/>
          <w:color w:val="auto"/>
        </w:rPr>
        <w:t>”)) that complies in all material respects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described in the Prospectus, the Company’s internal control over financial reporting is effective.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120" w:lineRule="exact"/>
        <w:rPr>
          <w:sz w:val="20"/>
          <w:szCs w:val="20"/>
          <w:color w:val="auto"/>
        </w:rPr>
      </w:pPr>
    </w:p>
    <w:p>
      <w:pPr>
        <w:jc w:val="both"/>
        <w:ind w:firstLine="504"/>
        <w:spacing w:after="0" w:line="216" w:lineRule="auto"/>
        <w:rPr>
          <w:sz w:val="20"/>
          <w:szCs w:val="20"/>
          <w:color w:val="auto"/>
        </w:rPr>
      </w:pPr>
      <w:r>
        <w:rPr>
          <w:rFonts w:ascii="Times New Roman" w:cs="Times New Roman" w:eastAsia="Times New Roman" w:hAnsi="Times New Roman"/>
          <w:sz w:val="17"/>
          <w:szCs w:val="17"/>
          <w:color w:val="auto"/>
        </w:rPr>
        <w:t xml:space="preserve">(ac) </w:t>
      </w:r>
      <w:r>
        <w:rPr>
          <w:rFonts w:ascii="Times New Roman" w:cs="Times New Roman" w:eastAsia="Times New Roman" w:hAnsi="Times New Roman"/>
          <w:sz w:val="17"/>
          <w:szCs w:val="17"/>
          <w:u w:val="single" w:color="auto"/>
          <w:color w:val="auto"/>
        </w:rPr>
        <w:t>Disclosure Controls</w:t>
      </w:r>
      <w:r>
        <w:rPr>
          <w:rFonts w:ascii="Times New Roman" w:cs="Times New Roman" w:eastAsia="Times New Roman" w:hAnsi="Times New Roman"/>
          <w:sz w:val="17"/>
          <w:szCs w:val="17"/>
          <w:color w:val="auto"/>
        </w:rPr>
        <w:t>. The Company maintains disclosure controls and procedures (as such is defined in Rule 13a-15(e) of the Exchange Act Rules) that comply in all material respects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137" w:right="319" w:bottom="1440" w:gutter="0" w:footer="0" w:header="0"/>
        </w:sectPr>
      </w:pPr>
    </w:p>
    <w:bookmarkStart w:id="77" w:name="page78"/>
    <w:bookmarkEnd w:id="77"/>
    <w:p>
      <w:pPr>
        <w:jc w:val="both"/>
        <w:ind w:firstLine="504"/>
        <w:spacing w:after="0" w:line="209" w:lineRule="auto"/>
        <w:rPr>
          <w:sz w:val="20"/>
          <w:szCs w:val="20"/>
          <w:color w:val="auto"/>
        </w:rPr>
      </w:pPr>
      <w:r>
        <w:rPr>
          <w:rFonts w:ascii="Times New Roman" w:cs="Times New Roman" w:eastAsia="Times New Roman" w:hAnsi="Times New Roman"/>
          <w:sz w:val="17"/>
          <w:szCs w:val="17"/>
          <w:color w:val="auto"/>
        </w:rPr>
        <w:t xml:space="preserve">(ad) </w:t>
      </w:r>
      <w:r>
        <w:rPr>
          <w:rFonts w:ascii="Times New Roman" w:cs="Times New Roman" w:eastAsia="Times New Roman" w:hAnsi="Times New Roman"/>
          <w:sz w:val="17"/>
          <w:szCs w:val="17"/>
          <w:u w:val="single" w:color="auto"/>
          <w:color w:val="auto"/>
        </w:rPr>
        <w:t>Compliance with Environmental Laws</w:t>
      </w:r>
      <w:r>
        <w:rPr>
          <w:rFonts w:ascii="Times New Roman" w:cs="Times New Roman" w:eastAsia="Times New Roman" w:hAnsi="Times New Roman"/>
          <w:sz w:val="17"/>
          <w:szCs w:val="17"/>
          <w:color w:val="auto"/>
        </w:rPr>
        <w:t>. Except as otherwise described in the Prospectus, and except as would not, individually or in the aggregate, result in a Material Adverse Change, (i) neither the Company nor any of its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cs="Times New Roman" w:eastAsia="Times New Roman" w:hAnsi="Times New Roman"/>
          <w:sz w:val="17"/>
          <w:szCs w:val="17"/>
          <w:b w:val="1"/>
          <w:bCs w:val="1"/>
          <w:u w:val="single" w:color="auto"/>
          <w:color w:val="auto"/>
        </w:rPr>
        <w:t>Materials of Environmental Concern</w:t>
      </w:r>
      <w:r>
        <w:rPr>
          <w:rFonts w:ascii="Times New Roman" w:cs="Times New Roman" w:eastAsia="Times New Roman" w:hAnsi="Times New Roman"/>
          <w:sz w:val="17"/>
          <w:szCs w:val="17"/>
          <w:color w:val="auto"/>
        </w:rPr>
        <w:t>”), or otherwise relating to the manufacture, processing, distribution, use, treatment, storage, disposal, transport or handling of Materials of Environmental Concern (collectively, “</w:t>
      </w:r>
      <w:r>
        <w:rPr>
          <w:rFonts w:ascii="Times New Roman" w:cs="Times New Roman" w:eastAsia="Times New Roman" w:hAnsi="Times New Roman"/>
          <w:sz w:val="17"/>
          <w:szCs w:val="17"/>
          <w:b w:val="1"/>
          <w:bCs w:val="1"/>
          <w:u w:val="single" w:color="auto"/>
          <w:color w:val="auto"/>
        </w:rPr>
        <w:t>Environmental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Laws</w:t>
      </w:r>
      <w:r>
        <w:rPr>
          <w:rFonts w:ascii="Times New Roman" w:cs="Times New Roman" w:eastAsia="Times New Roman" w:hAnsi="Times New Roman"/>
          <w:sz w:val="17"/>
          <w:szCs w:val="17"/>
          <w:color w:val="auto"/>
        </w:rPr>
        <w:t>”), which violation includes, but is not limited to, noncompliance with any permits or other governmental authorizations required for the operation of the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 w:cs="Times New Roman" w:eastAsia="Times New Roman" w:hAnsi="Times New Roman"/>
          <w:sz w:val="17"/>
          <w:szCs w:val="17"/>
          <w:b w:val="1"/>
          <w:bCs w:val="1"/>
          <w:u w:val="single" w:color="auto"/>
          <w:color w:val="auto"/>
        </w:rPr>
        <w:t>Environmental Claims</w:t>
      </w:r>
      <w:r>
        <w:rPr>
          <w:rFonts w:ascii="Times New Roman" w:cs="Times New Roman" w:eastAsia="Times New Roman" w:hAnsi="Times New Roman"/>
          <w:sz w:val="17"/>
          <w:szCs w:val="17"/>
          <w:color w:val="auto"/>
        </w:rPr>
        <w:t>”), pending or, to the Company’s knowledge, threatened against the Company or any of its subsidiaries or any person or entity whose liability for any Environmental Claim the Company or any of its subsidiaries has retained or assumed either contractually or by operation of law; and (iii) to the best of the Company’s knowledge, there are no past or present actions,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w:t>
      </w:r>
    </w:p>
    <w:p>
      <w:pPr>
        <w:spacing w:after="0" w:line="121" w:lineRule="exact"/>
        <w:rPr>
          <w:sz w:val="20"/>
          <w:szCs w:val="20"/>
          <w:color w:val="auto"/>
        </w:rPr>
      </w:pPr>
    </w:p>
    <w:p>
      <w:pPr>
        <w:jc w:val="both"/>
        <w:ind w:firstLine="504"/>
        <w:spacing w:after="0" w:line="212" w:lineRule="auto"/>
        <w:rPr>
          <w:sz w:val="20"/>
          <w:szCs w:val="20"/>
          <w:color w:val="auto"/>
        </w:rPr>
      </w:pPr>
      <w:r>
        <w:rPr>
          <w:rFonts w:ascii="Times New Roman" w:cs="Times New Roman" w:eastAsia="Times New Roman" w:hAnsi="Times New Roman"/>
          <w:sz w:val="17"/>
          <w:szCs w:val="17"/>
          <w:color w:val="auto"/>
        </w:rPr>
        <w:t xml:space="preserve">(ae) </w:t>
      </w:r>
      <w:r>
        <w:rPr>
          <w:rFonts w:ascii="Times New Roman" w:cs="Times New Roman" w:eastAsia="Times New Roman" w:hAnsi="Times New Roman"/>
          <w:sz w:val="17"/>
          <w:szCs w:val="17"/>
          <w:u w:val="single" w:color="auto"/>
          <w:color w:val="auto"/>
        </w:rPr>
        <w:t>Property</w:t>
      </w:r>
      <w:r>
        <w:rPr>
          <w:rFonts w:ascii="Times New Roman" w:cs="Times New Roman" w:eastAsia="Times New Roman" w:hAnsi="Times New Roman"/>
          <w:sz w:val="17"/>
          <w:szCs w:val="17"/>
          <w:color w:val="auto"/>
        </w:rPr>
        <w:t>. The Company and its subsidiaries have good and marketable title in fee simple to all real property and good and marketable title to all personal property (other than with respect to Intellectual Property (as defined below), which is addressed exclusively in subsection (ff) below) owned by them, in each case free and clear of all liens, encumbrances and defects except such as described in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and except that enforcement of such leases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 (collectively, the “</w:t>
      </w:r>
      <w:r>
        <w:rPr>
          <w:rFonts w:ascii="Times New Roman" w:cs="Times New Roman" w:eastAsia="Times New Roman" w:hAnsi="Times New Roman"/>
          <w:sz w:val="17"/>
          <w:szCs w:val="17"/>
          <w:b w:val="1"/>
          <w:bCs w:val="1"/>
          <w:u w:val="single" w:color="auto"/>
          <w:color w:val="auto"/>
        </w:rPr>
        <w:t>Enforceability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Exceptions</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firstLine="504"/>
        <w:spacing w:after="0" w:line="236" w:lineRule="auto"/>
        <w:rPr>
          <w:sz w:val="20"/>
          <w:szCs w:val="20"/>
          <w:color w:val="auto"/>
        </w:rPr>
      </w:pPr>
      <w:r>
        <w:rPr>
          <w:rFonts w:ascii="Times New Roman" w:cs="Times New Roman" w:eastAsia="Times New Roman" w:hAnsi="Times New Roman"/>
          <w:sz w:val="17"/>
          <w:szCs w:val="17"/>
          <w:color w:val="auto"/>
        </w:rPr>
        <w:t xml:space="preserve">(af)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The Company and each of its subsidiaries (i) own or otherwise possess adequate, valid, legal and, subject to the Enforceability Exceptions, enforceable rights to use all patents, patent applications, trademarks, service marks, trade names,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16" w:right="319" w:bottom="1440" w:gutter="0" w:footer="0" w:header="0"/>
        </w:sectPr>
      </w:pPr>
    </w:p>
    <w:bookmarkStart w:id="78" w:name="page79"/>
    <w:bookmarkEnd w:id="78"/>
    <w:p>
      <w:pPr>
        <w:jc w:val="both"/>
        <w:spacing w:after="0" w:line="209" w:lineRule="auto"/>
        <w:rPr>
          <w:sz w:val="20"/>
          <w:szCs w:val="20"/>
          <w:color w:val="auto"/>
        </w:rPr>
      </w:pPr>
      <w:r>
        <w:rPr>
          <w:rFonts w:ascii="Times New Roman" w:cs="Times New Roman" w:eastAsia="Times New Roman" w:hAnsi="Times New Roman"/>
          <w:sz w:val="17"/>
          <w:szCs w:val="17"/>
          <w:color w:val="auto"/>
        </w:rPr>
        <w:t>domain names, copyrights and registrations and applications thereof, licenses, know-how, software, systems and technology (including trade secrets and other unpatented and/or unpatentable proprietary or confidential information, systems or procedures and other forms of intellectual property or similar proprietary right of any kind, whether registrable or unregistrable, anywhere in the world) (“</w:t>
      </w:r>
      <w:r>
        <w:rPr>
          <w:rFonts w:ascii="Times New Roman" w:cs="Times New Roman" w:eastAsia="Times New Roman" w:hAnsi="Times New Roman"/>
          <w:sz w:val="17"/>
          <w:szCs w:val="17"/>
          <w:b w:val="1"/>
          <w:bCs w:val="1"/>
          <w:u w:val="single" w:color="auto"/>
          <w:color w:val="auto"/>
        </w:rPr>
        <w:t>Intellectual Property</w:t>
      </w:r>
      <w:r>
        <w:rPr>
          <w:rFonts w:ascii="Times New Roman" w:cs="Times New Roman" w:eastAsia="Times New Roman" w:hAnsi="Times New Roman"/>
          <w:sz w:val="17"/>
          <w:szCs w:val="17"/>
          <w:color w:val="auto"/>
        </w:rPr>
        <w:t>”) owned, purported to be owned, necessary or useful for the conduct of their respective businesses, (ii) to the knowledge of the Company and each of its subsidiaries, have not, through the conduct of their respective businesses, infringed, violated or conflicted with any Intellectual Property of others, (iii) to the knowledge of the Company and each of its subsidiaries, is not, through the conduct of their respective businesses, infringing, violating, or conflicting with any Intellectual Property of others, and (iv) have not received any written notice of any claim of infringement, violation or conflict with, any Intellectual Property of others. There is no pending or, to the knowledge of the Company, threatened action, suit, proceeding or claim by others: (A) challenging the Company or any of its subsidiaries’ rights in or to any Intellectual Property, to the knowledge of the Company and each of its subsidiaries, and the Company is unaware of any facts which would form a reasonable basis for any such action, suit, proceeding or claim; (B) challenging the validity, enforceability or scope of any Intellectual Property; or (C) asserting that the Company infringes, misappropriates, or otherwise violates, or would, upon the commercialization of any product or service described in any Preliminary Prospectus, Registration Statement, Pricing Disclosure Package, or the Prospectus as under development, infringe, misappropriate or violate, any patent, trademark, trade name, service name, copyright, trade secret or other proprietary rights of others, to the knowledge of the Company and each of its subsidiaries, and the Company is unaware of any facts which would form a reasonable basis for any such action, suit, proceeding or claim. Other than as disclosed in the Prospectus, the Company is not obligated to pay a material royalty, grant a license to, or provide other material consideration to any third party in connection with any Intellectual Property owned by or licensed to the Company. The Company has taken commercially reasonable steps to protect, maintain and safeguard its Intellectual Property, including the execution of appropriate nondisclosure, confidentiality agreements and invention assignment agreements and invention assignments with its employees or consultants. To the knowledge of the Company and each of its subsidiaries, no employee, consultant or independent contractor of the Company or its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w:t>
      </w:r>
    </w:p>
    <w:p>
      <w:pPr>
        <w:spacing w:after="0" w:line="119" w:lineRule="exact"/>
        <w:rPr>
          <w:sz w:val="20"/>
          <w:szCs w:val="20"/>
          <w:color w:val="auto"/>
        </w:rPr>
      </w:pPr>
    </w:p>
    <w:p>
      <w:pPr>
        <w:jc w:val="both"/>
        <w:ind w:firstLine="504"/>
        <w:spacing w:after="0" w:line="212" w:lineRule="auto"/>
        <w:rPr>
          <w:sz w:val="20"/>
          <w:szCs w:val="20"/>
          <w:color w:val="auto"/>
        </w:rPr>
      </w:pPr>
      <w:r>
        <w:rPr>
          <w:rFonts w:ascii="Times New Roman" w:cs="Times New Roman" w:eastAsia="Times New Roman" w:hAnsi="Times New Roman"/>
          <w:sz w:val="17"/>
          <w:szCs w:val="17"/>
          <w:color w:val="auto"/>
        </w:rPr>
        <w:t xml:space="preserve">(ag) </w:t>
      </w:r>
      <w:r>
        <w:rPr>
          <w:rFonts w:ascii="Times New Roman" w:cs="Times New Roman" w:eastAsia="Times New Roman" w:hAnsi="Times New Roman"/>
          <w:sz w:val="17"/>
          <w:szCs w:val="17"/>
          <w:u w:val="single" w:color="auto"/>
          <w:color w:val="auto"/>
        </w:rPr>
        <w:t>Compliance with Healthcare Laws</w:t>
      </w:r>
      <w:r>
        <w:rPr>
          <w:rFonts w:ascii="Times New Roman" w:cs="Times New Roman" w:eastAsia="Times New Roman" w:hAnsi="Times New Roman"/>
          <w:sz w:val="17"/>
          <w:szCs w:val="17"/>
          <w:color w:val="auto"/>
        </w:rPr>
        <w:t>. Except as disclosed in the Prospectus, the Company and each of its subsidiaries have operated and currently are in material compliance with all applicable health care laws, rules, regulations, accreditations and ethical standards, including, without limitation, (i) the Federal, Food, Drug and Cosmetic Act (21 U.S.C. § 301 et seq.); (ii) the Public Health Service Act (42 U.S.C. § 201 et seq.); (iii) all applicable rules and regulations of the U.S. Food and Drug Administration (“</w:t>
      </w:r>
      <w:r>
        <w:rPr>
          <w:rFonts w:ascii="Times New Roman" w:cs="Times New Roman" w:eastAsia="Times New Roman" w:hAnsi="Times New Roman"/>
          <w:sz w:val="17"/>
          <w:szCs w:val="17"/>
          <w:b w:val="1"/>
          <w:bCs w:val="1"/>
          <w:u w:val="single" w:color="auto"/>
          <w:color w:val="auto"/>
        </w:rPr>
        <w:t>FDA</w:t>
      </w:r>
      <w:r>
        <w:rPr>
          <w:rFonts w:ascii="Times New Roman" w:cs="Times New Roman" w:eastAsia="Times New Roman" w:hAnsi="Times New Roman"/>
          <w:sz w:val="17"/>
          <w:szCs w:val="17"/>
          <w:color w:val="auto"/>
        </w:rPr>
        <w:t>”), including, to the extent applicable, those requirements relating to investigational use, premarket notification and premarket approval, establishment registration and device listing, complaint handling, medical device reporting, reporting of corrections and removals, and FDA’s Quality System Regulation at 21 C.F.R. Part 820; (iv) all applicable laws governing licensure, accreditation, certification and operation of clinical laboratories and the performance of laboratory-developed tests, including but not limited to the U.S. Clinical Laboratory Improvement Amendments of 1988, 42 U.S.C. § 263a, and its implemental regulations at 42 C.F.R. Part 493 (“</w:t>
      </w:r>
      <w:r>
        <w:rPr>
          <w:rFonts w:ascii="Times New Roman" w:cs="Times New Roman" w:eastAsia="Times New Roman" w:hAnsi="Times New Roman"/>
          <w:sz w:val="17"/>
          <w:szCs w:val="17"/>
          <w:b w:val="1"/>
          <w:bCs w:val="1"/>
          <w:u w:val="single" w:color="auto"/>
          <w:color w:val="auto"/>
        </w:rPr>
        <w:t>CLIA</w:t>
      </w:r>
      <w:r>
        <w:rPr>
          <w:rFonts w:ascii="Times New Roman" w:cs="Times New Roman" w:eastAsia="Times New Roman" w:hAnsi="Times New Roman"/>
          <w:sz w:val="17"/>
          <w:szCs w:val="17"/>
          <w:color w:val="auto"/>
        </w:rPr>
        <w:t>”), and state laws governing the operation of clinical laboratories; (v) all applicable federal, state, local and all applicable foreign healthcare related fraud and abuse laws, including, without limitation, the federal Anti-kickback Statute (42 U.S.C. § 1320a-7b(b)), the federal Ethics in Patient Referrals or the “Stark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16" w:right="319" w:bottom="1440" w:gutter="0" w:footer="0" w:header="0"/>
        </w:sectPr>
      </w:pPr>
    </w:p>
    <w:bookmarkStart w:id="79" w:name="page80"/>
    <w:bookmarkEnd w:id="79"/>
    <w:p>
      <w:pPr>
        <w:jc w:val="both"/>
        <w:spacing w:after="0" w:line="228" w:lineRule="auto"/>
        <w:rPr>
          <w:sz w:val="20"/>
          <w:szCs w:val="20"/>
          <w:color w:val="auto"/>
        </w:rPr>
      </w:pPr>
      <w:r>
        <w:rPr>
          <w:rFonts w:ascii="Times New Roman" w:cs="Times New Roman" w:eastAsia="Times New Roman" w:hAnsi="Times New Roman"/>
          <w:sz w:val="16"/>
          <w:szCs w:val="16"/>
          <w:color w:val="auto"/>
        </w:rPr>
        <w:t>Law” (42 U.S.C. §1395nn), the U.S. Physician Payments Sunshine Act (42 U.S.C. § 1320a-7h), as well as any corollary state statutes governing disclosure of payments by manufacturers or suppliers to healthcare professionals, the Eliminating Kickbacks in Recovery Act (18 U.S.C. §220), the civil False Claims Act (31 U.S.C. §§ 3729 et seq.), the Program Fraud Civil Remedies Act of 1986 (31 U.S.C. §§ 3891 et seq.), the criminal False Claims Law (42 U.S.C. § 1320a-7b(a)), all applicable criminal laws relating to healthcare fraud and abuse, including but not limited to 18 U.S.C. Sections 286 and 287, the healthcare fraud criminal provisions under the U.S. Health Insurance Portability and Accountability Act of 1996 (“</w:t>
      </w:r>
      <w:r>
        <w:rPr>
          <w:rFonts w:ascii="Times New Roman" w:cs="Times New Roman" w:eastAsia="Times New Roman" w:hAnsi="Times New Roman"/>
          <w:sz w:val="16"/>
          <w:szCs w:val="16"/>
          <w:b w:val="1"/>
          <w:bCs w:val="1"/>
          <w:u w:val="single" w:color="auto"/>
          <w:color w:val="auto"/>
        </w:rPr>
        <w:t>HIPAA</w:t>
      </w:r>
      <w:r>
        <w:rPr>
          <w:rFonts w:ascii="Times New Roman" w:cs="Times New Roman" w:eastAsia="Times New Roman" w:hAnsi="Times New Roman"/>
          <w:sz w:val="16"/>
          <w:szCs w:val="16"/>
          <w:color w:val="auto"/>
        </w:rPr>
        <w:t>”) (42 U.S.C. Section 1320d et seq.), the exclusion laws (42 U.S.C. § 1320a-7), and the civil monetary penalties law (42 U.S.C. § 1320a-7a); (vi) HIPAA, as amended by the Health Information Technology for Economic Clinical Health Act (42 U.S.C. Section 17921 et seq.) and any other applicable federal or corollary state laws pertaining to the privacy and security of patient information, including laws pertaining to the protection of genetic data or biospecimens; (vii) the Medicare program (Title XVIII of the Social Security Act, including the amendments implemented by the Medicare Prescription Drug, Improvement, and Modernization Act of 2003 and the Medicare Improvements for Patients and Providers Act of 2008), (viii) the Medicaid program (Title XIX of the Social Security Act), (viii) the Patient Protection and Affordable Care Act (“</w:t>
      </w:r>
      <w:r>
        <w:rPr>
          <w:rFonts w:ascii="Times New Roman" w:cs="Times New Roman" w:eastAsia="Times New Roman" w:hAnsi="Times New Roman"/>
          <w:sz w:val="16"/>
          <w:szCs w:val="16"/>
          <w:b w:val="1"/>
          <w:bCs w:val="1"/>
          <w:u w:val="single" w:color="auto"/>
          <w:color w:val="auto"/>
        </w:rPr>
        <w:t>ACA</w:t>
      </w:r>
      <w:r>
        <w:rPr>
          <w:rFonts w:ascii="Times New Roman" w:cs="Times New Roman" w:eastAsia="Times New Roman" w:hAnsi="Times New Roman"/>
          <w:sz w:val="16"/>
          <w:szCs w:val="16"/>
          <w:color w:val="auto"/>
        </w:rPr>
        <w:t>”) (Pub. L. 111-148) as amended by the Health Care and Education Reconciliation Act of 2010 (Pub. L. 111-152), (ix), laws applicable to clinical research, including but not limited to the federal Policy for Protection of Human Subjects (42 C.F.R. Part 46), the FDCA and its applicable implementing regulations at 21 C.F.R. Parts 50, 54, 56, 58 and 312, the United States Animal Welfare Act, the International Conference on Harmonization’s (ICH) Guideline on Nonclinical Safety Studies for the Conduct of Human Clinical Trials for Pharmaceuticals and the ICH Guideline on Safety Pharmacology Studies for Human Pharmaceuticals, and all equivalent legal requirements in other jurisdictions; (x) all applicable federal or state laws pertaining to genetic counseling and telehealth services (including but not limited to federal and state licensure requirements and informed consent requirements (collectively (i)-(x), the “</w:t>
      </w:r>
      <w:r>
        <w:rPr>
          <w:rFonts w:ascii="Times New Roman" w:cs="Times New Roman" w:eastAsia="Times New Roman" w:hAnsi="Times New Roman"/>
          <w:sz w:val="16"/>
          <w:szCs w:val="16"/>
          <w:b w:val="1"/>
          <w:bCs w:val="1"/>
          <w:u w:val="single" w:color="auto"/>
          <w:color w:val="auto"/>
        </w:rPr>
        <w:t>Health Care Laws</w:t>
      </w:r>
      <w:r>
        <w:rPr>
          <w:rFonts w:ascii="Times New Roman" w:cs="Times New Roman" w:eastAsia="Times New Roman" w:hAnsi="Times New Roman"/>
          <w:sz w:val="16"/>
          <w:szCs w:val="16"/>
          <w:color w:val="auto"/>
        </w:rPr>
        <w:t>”). The Company and each of its subsidiaries have timely filed all material reports, applications, statements, documents, registrations, filings, corrections, updates, amendments, supplements, and submissions required to be filed by them under applicable Health Care Laws. Each such filing was true and correct in all material respects as of the date of submission, or was corrected in or supplemented by a subsequent filing, and any material and legally necessary or required updates, changes, corrections, amendments, supplements, or modifications to such filings have been submitted to the applicable governmental or regulatory authorities. The Company and each of its subsidiaries maintains an operational healthcare compliance program that governs all employees and contractors and is consistent with guidance by the U.S. Department of Health and Human Services Office of Inspector General for effective compliance programs. The Company and its subsidiaries further operates in material compliance with such healthcare compliance program. Except as disclosed in the Prospectus, the Company and each of its subsidiaries have not received written notice or other correspondence of any claim, action, suit, audit, or survey finding, proceeding, hearing, enforcement, investigation, arbitration or other action (“</w:t>
      </w:r>
      <w:r>
        <w:rPr>
          <w:rFonts w:ascii="Times New Roman" w:cs="Times New Roman" w:eastAsia="Times New Roman" w:hAnsi="Times New Roman"/>
          <w:sz w:val="16"/>
          <w:szCs w:val="16"/>
          <w:b w:val="1"/>
          <w:bCs w:val="1"/>
          <w:u w:val="single" w:color="auto"/>
          <w:color w:val="auto"/>
        </w:rPr>
        <w:t>Health Care Action</w:t>
      </w:r>
      <w:r>
        <w:rPr>
          <w:rFonts w:ascii="Times New Roman" w:cs="Times New Roman" w:eastAsia="Times New Roman" w:hAnsi="Times New Roman"/>
          <w:sz w:val="16"/>
          <w:szCs w:val="16"/>
          <w:color w:val="auto"/>
        </w:rPr>
        <w:t>”) from any court or arbitrator or governmental or regulatory authority or third party alleging that any of their product, operation or activity is in material violation of any Health Care Laws, and, to the Company’s knowledge, no such Health Care Action is threatened. Neither the Company nor any of its subsidiaries are a party to or have any ongoing reporting obligations pursuant to any corporate integrity agreement, deferred prosecution agreement, monitoring agreement, consent decree, settlement order, plan of correction or similar agreement imposed by any governmental or regulatory authority except as disclosed in the Registration Statement, the Pricing Disclosure Package and the Prospectus. Neither the Company nor any of its subsidiaries have received any FDA Form 483, notice of adverse finding, warning letter, untitled letter or other correspondence or notice from the FDA or any other governmental or regulatory authority alleging or asserting any material noncompliance with any Healthcare Laws. Additionally, neither the Company nor any of its subsidiaries, nor to the Company’s knowledge, any of its employees, officers or directors, has been excluded, suspended or debarred from participation 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116" w:right="319" w:bottom="1440" w:gutter="0" w:footer="0" w:header="0"/>
        </w:sectPr>
      </w:pPr>
    </w:p>
    <w:bookmarkStart w:id="80" w:name="page81"/>
    <w:bookmarkEnd w:id="80"/>
    <w:p>
      <w:pPr>
        <w:jc w:val="both"/>
        <w:spacing w:after="0" w:line="236" w:lineRule="auto"/>
        <w:rPr>
          <w:sz w:val="20"/>
          <w:szCs w:val="20"/>
          <w:color w:val="auto"/>
        </w:rPr>
      </w:pPr>
      <w:r>
        <w:rPr>
          <w:rFonts w:ascii="Times New Roman" w:cs="Times New Roman" w:eastAsia="Times New Roman" w:hAnsi="Times New Roman"/>
          <w:sz w:val="17"/>
          <w:szCs w:val="17"/>
          <w:color w:val="auto"/>
        </w:rPr>
        <w:t>any U.S. state or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19" w:lineRule="exact"/>
        <w:rPr>
          <w:sz w:val="20"/>
          <w:szCs w:val="20"/>
          <w:color w:val="auto"/>
        </w:rPr>
      </w:pPr>
    </w:p>
    <w:p>
      <w:pPr>
        <w:jc w:val="both"/>
        <w:ind w:firstLine="504"/>
        <w:spacing w:after="0" w:line="212" w:lineRule="auto"/>
        <w:rPr>
          <w:sz w:val="20"/>
          <w:szCs w:val="20"/>
          <w:color w:val="auto"/>
        </w:rPr>
      </w:pPr>
      <w:r>
        <w:rPr>
          <w:rFonts w:ascii="Times New Roman" w:cs="Times New Roman" w:eastAsia="Times New Roman" w:hAnsi="Times New Roman"/>
          <w:sz w:val="17"/>
          <w:szCs w:val="17"/>
          <w:color w:val="auto"/>
        </w:rPr>
        <w:t xml:space="preserve">(ah) </w:t>
      </w:r>
      <w:r>
        <w:rPr>
          <w:rFonts w:ascii="Times New Roman" w:cs="Times New Roman" w:eastAsia="Times New Roman" w:hAnsi="Times New Roman"/>
          <w:sz w:val="17"/>
          <w:szCs w:val="17"/>
          <w:u w:val="single" w:color="auto"/>
          <w:color w:val="auto"/>
        </w:rPr>
        <w:t>Studies and Tests.</w:t>
      </w:r>
      <w:r>
        <w:rPr>
          <w:rFonts w:ascii="Times New Roman" w:cs="Times New Roman" w:eastAsia="Times New Roman" w:hAnsi="Times New Roman"/>
          <w:sz w:val="17"/>
          <w:szCs w:val="17"/>
          <w:color w:val="auto"/>
        </w:rPr>
        <w:t xml:space="preserve"> The studies and tests conducted by or, to the Company’s knowledge, on behalf of the Company were and, if still ongoing, are being conducted in all material respects in accordance with all Permits (as defined below) and applicable laws, including, without limitation, the Federal Food, Drug and Cosmetic Act and the rules and regulations promulgated thereunder; the descriptions, if any, of the results of such studies and tests contained in the Registration Statement and the Prospectus are, to the Company’s knowledge, accurate in all material respects and fairly present, in all material aspects, the data derived from such studies and tests; except to the extent disclosed in the Registration Statement and the Prospectus, the Company is not aware of any studies or tests, the results of which the Company believes reasonably call into question the study, test, or trial results described or referred to in the Registration Statement and the Prospectus when viewed in the context in which such results are described and the clinical state of development; and, except to the extent disclosed in the Registration Statement or the Prospectus, the Company has not received any written notices or correspondence from the FDA or any governmental entity requiring the termination or suspension of any studies or tests conducted by or on behalf of the Company, other than ordinary course communications with respect to modifications in connection with the design and implementation of such studies or tests.</w:t>
      </w:r>
    </w:p>
    <w:p>
      <w:pPr>
        <w:spacing w:after="0" w:line="120" w:lineRule="exact"/>
        <w:rPr>
          <w:sz w:val="20"/>
          <w:szCs w:val="20"/>
          <w:color w:val="auto"/>
        </w:rPr>
      </w:pPr>
    </w:p>
    <w:p>
      <w:pPr>
        <w:jc w:val="both"/>
        <w:ind w:firstLine="504"/>
        <w:spacing w:after="0" w:line="214" w:lineRule="auto"/>
        <w:rPr>
          <w:sz w:val="20"/>
          <w:szCs w:val="20"/>
          <w:color w:val="auto"/>
        </w:rPr>
      </w:pPr>
      <w:r>
        <w:rPr>
          <w:rFonts w:ascii="Times New Roman" w:cs="Times New Roman" w:eastAsia="Times New Roman" w:hAnsi="Times New Roman"/>
          <w:sz w:val="17"/>
          <w:szCs w:val="17"/>
          <w:color w:val="auto"/>
        </w:rPr>
        <w:t xml:space="preserve">(ai) </w:t>
      </w:r>
      <w:r>
        <w:rPr>
          <w:rFonts w:ascii="Times New Roman" w:cs="Times New Roman" w:eastAsia="Times New Roman" w:hAnsi="Times New Roman"/>
          <w:sz w:val="17"/>
          <w:szCs w:val="17"/>
          <w:u w:val="single" w:color="auto"/>
          <w:color w:val="auto"/>
        </w:rPr>
        <w:t>Listing</w:t>
      </w:r>
      <w:r>
        <w:rPr>
          <w:rFonts w:ascii="Times New Roman" w:cs="Times New Roman" w:eastAsia="Times New Roman" w:hAnsi="Times New Roman"/>
          <w:sz w:val="17"/>
          <w:szCs w:val="17"/>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in all material respects with all applicable corporate governance requirements set forth in the Nasdaq’s listing rules that are then in effect.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(aj)</w:t>
            </w:r>
          </w:p>
        </w:tc>
        <w:tc>
          <w:tcPr>
            <w:tcW w:w="10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Brokers. Except for TD Cowen, there is no broker, finder or other party that is entitled to receive from the Company any brokerage or finder’s fee or</w:t>
            </w:r>
          </w:p>
        </w:tc>
      </w:tr>
      <w:tr>
        <w:trPr>
          <w:trHeight w:val="20"/>
        </w:trPr>
        <w:tc>
          <w:tcPr>
            <w:tcW w:w="1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r>
      <w:tr>
        <w:trPr>
          <w:trHeight w:val="208"/>
        </w:trPr>
        <w:tc>
          <w:tcPr>
            <w:tcW w:w="11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fee or commission as a result of any transactions contemplated by this Agreement.</w:t>
            </w:r>
          </w:p>
        </w:tc>
      </w:tr>
      <w:tr>
        <w:trPr>
          <w:trHeight w:val="283"/>
        </w:trPr>
        <w:tc>
          <w:tcPr>
            <w:tcW w:w="11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(ak)</w:t>
            </w:r>
          </w:p>
        </w:tc>
        <w:tc>
          <w:tcPr>
            <w:tcW w:w="10100" w:type="dxa"/>
            <w:vAlign w:val="bottom"/>
            <w:gridSpan w:val="2"/>
          </w:tcPr>
          <w:p>
            <w:pPr>
              <w:jc w:val="right"/>
              <w:spacing w:after="0"/>
              <w:rPr>
                <w:sz w:val="20"/>
                <w:szCs w:val="20"/>
                <w:color w:val="auto"/>
              </w:rPr>
            </w:pPr>
            <w:r>
              <w:rPr>
                <w:rFonts w:ascii="Times New Roman" w:cs="Times New Roman" w:eastAsia="Times New Roman" w:hAnsi="Times New Roman"/>
                <w:sz w:val="17"/>
                <w:szCs w:val="17"/>
                <w:u w:val="single" w:color="auto"/>
                <w:color w:val="auto"/>
              </w:rPr>
              <w:t>No Outstanding Loans or Other Indebtedness</w:t>
            </w:r>
            <w:r>
              <w:rPr>
                <w:rFonts w:ascii="Times New Roman" w:cs="Times New Roman" w:eastAsia="Times New Roman" w:hAnsi="Times New Roman"/>
                <w:sz w:val="17"/>
                <w:szCs w:val="17"/>
                <w:color w:val="auto"/>
              </w:rPr>
              <w:t>. Except as described in the Prospectus, there are no outstanding loans, advances (except normal</w:t>
            </w:r>
          </w:p>
        </w:tc>
      </w:tr>
    </w:tbl>
    <w:p>
      <w:pPr>
        <w:jc w:val="both"/>
        <w:spacing w:after="0" w:line="225" w:lineRule="auto"/>
        <w:rPr>
          <w:sz w:val="20"/>
          <w:szCs w:val="20"/>
          <w:color w:val="auto"/>
        </w:rPr>
      </w:pPr>
      <w:r>
        <w:rPr>
          <w:rFonts w:ascii="Times New Roman" w:cs="Times New Roman" w:eastAsia="Times New Roman" w:hAnsi="Times New Roman"/>
          <w:sz w:val="17"/>
          <w:szCs w:val="17"/>
          <w:color w:val="auto"/>
        </w:rPr>
        <w:t>advances for business expenses in the ordinary course of business) or guarantees or indebtedness by the Company to or for the benefit of any of the officers or directors of the Company or any of the members of any of them.</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(al)</w:t>
            </w:r>
          </w:p>
        </w:tc>
        <w:tc>
          <w:tcPr>
            <w:tcW w:w="10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No Reliance. The Company has not relied upon TD Cowen or legal counsel for TD Cowen for any legal, tax or accounting advice in connection with</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60" w:type="dxa"/>
            <w:vAlign w:val="bottom"/>
            <w:vMerge w:val="restart"/>
          </w:tcPr>
          <w:p>
            <w:pPr>
              <w:jc w:val="right"/>
              <w:ind w:right="8116"/>
              <w:spacing w:after="0"/>
              <w:rPr>
                <w:sz w:val="20"/>
                <w:szCs w:val="20"/>
                <w:color w:val="auto"/>
              </w:rPr>
            </w:pPr>
            <w:r>
              <w:rPr>
                <w:rFonts w:ascii="Times New Roman" w:cs="Times New Roman" w:eastAsia="Times New Roman" w:hAnsi="Times New Roman"/>
                <w:sz w:val="17"/>
                <w:szCs w:val="17"/>
                <w:color w:val="auto"/>
                <w:w w:val="83"/>
              </w:rPr>
              <w:t>Placement Shares.</w:t>
            </w:r>
          </w:p>
        </w:tc>
        <w:tc>
          <w:tcPr>
            <w:tcW w:w="0" w:type="dxa"/>
            <w:vAlign w:val="bottom"/>
          </w:tcPr>
          <w:p>
            <w:pPr>
              <w:spacing w:after="0" w:line="20" w:lineRule="exact"/>
              <w:rPr>
                <w:sz w:val="1"/>
                <w:szCs w:val="1"/>
                <w:color w:val="auto"/>
              </w:rPr>
            </w:pPr>
          </w:p>
        </w:tc>
      </w:tr>
      <w:tr>
        <w:trPr>
          <w:trHeight w:val="208"/>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offering and sale of the</w:t>
            </w:r>
          </w:p>
        </w:tc>
        <w:tc>
          <w:tcPr>
            <w:tcW w:w="9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w:t>
            </w:r>
          </w:p>
        </w:tc>
        <w:tc>
          <w:tcPr>
            <w:tcW w:w="10100" w:type="dxa"/>
            <w:vAlign w:val="bottom"/>
            <w:gridSpan w:val="2"/>
          </w:tcPr>
          <w:p>
            <w:pPr>
              <w:jc w:val="right"/>
              <w:spacing w:after="0"/>
              <w:rPr>
                <w:sz w:val="20"/>
                <w:szCs w:val="20"/>
                <w:color w:val="auto"/>
              </w:rPr>
            </w:pP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Company has not been advised, and has no reason to believe, that it and each of its subsidiaries are not conducting</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7"/>
          <w:szCs w:val="17"/>
          <w:color w:val="auto"/>
        </w:rPr>
        <w:t>business in compliance with all applicable laws, rules and regulations of the jurisdictions in which it is conducting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80"/>
          </w:cols>
          <w:pgMar w:left="300" w:top="1116"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business, except where failure to be so in compliance would not result in a Material Adverse Change.</w:t>
      </w:r>
    </w:p>
    <w:p>
      <w:pPr>
        <w:spacing w:after="0" w:line="140" w:lineRule="exact"/>
        <w:rPr>
          <w:sz w:val="20"/>
          <w:szCs w:val="20"/>
          <w:color w:val="auto"/>
        </w:rPr>
      </w:pPr>
    </w:p>
    <w:p>
      <w:pPr>
        <w:jc w:val="both"/>
        <w:ind w:firstLine="504"/>
        <w:spacing w:after="0" w:line="228" w:lineRule="auto"/>
        <w:rPr>
          <w:sz w:val="20"/>
          <w:szCs w:val="20"/>
          <w:color w:val="auto"/>
        </w:rPr>
      </w:pPr>
      <w:r>
        <w:rPr>
          <w:rFonts w:ascii="Times New Roman" w:cs="Times New Roman" w:eastAsia="Times New Roman" w:hAnsi="Times New Roman"/>
          <w:sz w:val="16"/>
          <w:szCs w:val="16"/>
          <w:color w:val="auto"/>
        </w:rPr>
        <w:t xml:space="preserve">(an) </w:t>
      </w:r>
      <w:r>
        <w:rPr>
          <w:rFonts w:ascii="Times New Roman" w:cs="Times New Roman" w:eastAsia="Times New Roman" w:hAnsi="Times New Roman"/>
          <w:sz w:val="16"/>
          <w:szCs w:val="16"/>
          <w:u w:val="single" w:color="auto"/>
          <w:color w:val="auto"/>
        </w:rPr>
        <w:t>Permits.</w:t>
      </w:r>
      <w:r>
        <w:rPr>
          <w:rFonts w:ascii="Times New Roman" w:cs="Times New Roman" w:eastAsia="Times New Roman" w:hAnsi="Times New Roman"/>
          <w:sz w:val="16"/>
          <w:szCs w:val="16"/>
          <w:color w:val="auto"/>
        </w:rPr>
        <w:t xml:space="preserve"> The Company and each of its subsidiaries have all material registrations, listings, permits, licenses, accreditations, clearances, approvals, consents, franchises, certificates of need and other approvals or authorizations of governmental or regulatory authorities, administrative agencies, departments, boards, bureaus, commissions, or other bodies (“</w:t>
      </w:r>
      <w:r>
        <w:rPr>
          <w:rFonts w:ascii="Times New Roman" w:cs="Times New Roman" w:eastAsia="Times New Roman" w:hAnsi="Times New Roman"/>
          <w:sz w:val="16"/>
          <w:szCs w:val="16"/>
          <w:b w:val="1"/>
          <w:bCs w:val="1"/>
          <w:u w:val="single" w:color="auto"/>
          <w:color w:val="auto"/>
        </w:rPr>
        <w:t>Permits</w:t>
      </w:r>
      <w:r>
        <w:rPr>
          <w:rFonts w:ascii="Times New Roman" w:cs="Times New Roman" w:eastAsia="Times New Roman" w:hAnsi="Times New Roman"/>
          <w:sz w:val="16"/>
          <w:szCs w:val="16"/>
          <w:color w:val="auto"/>
        </w:rPr>
        <w:t>”), including without limitation all Permits required under CLIA and the equivalent applicable requirements of any state or local law or any foreign jurisdiction for laboratories generating results used for the diagnosis, prevention or treatment or assessment of the health of a human being, that are necessary under applicable law to own their respective properties and conduct their respective businesses in the manner described in the Registration Statement and the Prospectus. The Company and each of its subsidiaries have fulfilled and performed all of their obligations with respect to the Permits in all material aspects, and neither the Company nor any of its subsidiaries has received notice of any proceedings related to the revocation or modification of any such Permits.</w:t>
      </w:r>
    </w:p>
    <w:p>
      <w:pPr>
        <w:spacing w:after="0" w:line="120" w:lineRule="exact"/>
        <w:rPr>
          <w:sz w:val="20"/>
          <w:szCs w:val="20"/>
          <w:color w:val="auto"/>
        </w:rPr>
      </w:pPr>
    </w:p>
    <w:p>
      <w:pPr>
        <w:jc w:val="both"/>
        <w:ind w:firstLine="504"/>
        <w:spacing w:after="0" w:line="208" w:lineRule="auto"/>
        <w:rPr>
          <w:sz w:val="20"/>
          <w:szCs w:val="20"/>
          <w:color w:val="auto"/>
        </w:rPr>
      </w:pPr>
      <w:r>
        <w:rPr>
          <w:rFonts w:ascii="Times New Roman" w:cs="Times New Roman" w:eastAsia="Times New Roman" w:hAnsi="Times New Roman"/>
          <w:sz w:val="17"/>
          <w:szCs w:val="17"/>
          <w:color w:val="auto"/>
        </w:rPr>
        <w:t xml:space="preserve">(ao) </w:t>
      </w:r>
      <w:r>
        <w:rPr>
          <w:rFonts w:ascii="Times New Roman" w:cs="Times New Roman" w:eastAsia="Times New Roman" w:hAnsi="Times New Roman"/>
          <w:sz w:val="17"/>
          <w:szCs w:val="17"/>
          <w:u w:val="single" w:color="auto"/>
          <w:color w:val="auto"/>
        </w:rPr>
        <w:t>Privacy Laws</w:t>
      </w:r>
      <w:r>
        <w:rPr>
          <w:rFonts w:ascii="Times New Roman" w:cs="Times New Roman" w:eastAsia="Times New Roman" w:hAnsi="Times New Roman"/>
          <w:sz w:val="17"/>
          <w:szCs w:val="17"/>
          <w:color w:val="auto"/>
        </w:rPr>
        <w:t>. Except as disclosed in the Registration Statement and the Prospectus, (i) the Company and its subsidiaries are presently, and since the Company’s and its subsidiaries’ inception have been, in material compliance with all privacy policies, published privacy notices, informed consent agreements, HIPAA authorizations, Business Associate Agreements required by applicable laws, contractual obligations, applicable state, federal and international laws and regulations (including without limitation, if and to the extent applicable, the Health Insurance Portability and Accountability Act of 1996, as amended by the Health Information Technology for Economic and Clinical Health Act, the European Union General Data Protection Regulation, and the California Consumer Privacy Act of 2018, as amended by the California Privacy Rights Act of 2020 (the “</w:t>
      </w:r>
      <w:r>
        <w:rPr>
          <w:rFonts w:ascii="Times New Roman" w:cs="Times New Roman" w:eastAsia="Times New Roman" w:hAnsi="Times New Roman"/>
          <w:sz w:val="17"/>
          <w:szCs w:val="17"/>
          <w:b w:val="1"/>
          <w:bCs w:val="1"/>
          <w:u w:val="single" w:color="auto"/>
          <w:color w:val="auto"/>
        </w:rPr>
        <w:t>CCPA</w:t>
      </w:r>
      <w:r>
        <w:rPr>
          <w:rFonts w:ascii="Times New Roman" w:cs="Times New Roman" w:eastAsia="Times New Roman" w:hAnsi="Times New Roman"/>
          <w:sz w:val="17"/>
          <w:szCs w:val="17"/>
          <w:color w:val="auto"/>
        </w:rPr>
        <w:t>”), and applicable laws governing the collection, use and storage of genetic material), other statutes and judgments, orders, rules and regulations of any court or arbitrator or other governmental or regulatory authority, in each case that relate to privacy, data protection or information security (“</w:t>
      </w:r>
      <w:r>
        <w:rPr>
          <w:rFonts w:ascii="Times New Roman" w:cs="Times New Roman" w:eastAsia="Times New Roman" w:hAnsi="Times New Roman"/>
          <w:sz w:val="17"/>
          <w:szCs w:val="17"/>
          <w:b w:val="1"/>
          <w:bCs w:val="1"/>
          <w:u w:val="single" w:color="auto"/>
          <w:color w:val="auto"/>
        </w:rPr>
        <w:t>Data Protection Obligations</w:t>
      </w:r>
      <w:r>
        <w:rPr>
          <w:rFonts w:ascii="Times New Roman" w:cs="Times New Roman" w:eastAsia="Times New Roman" w:hAnsi="Times New Roman"/>
          <w:sz w:val="17"/>
          <w:szCs w:val="17"/>
          <w:color w:val="auto"/>
        </w:rPr>
        <w:t>”); (ii) the Company and each of its subsidiaries has implemented a HIPAA compliance program and has reasonable security safeguards in place to protect Protected Health Information in material compliance with HIPAA and any contractual obligations; (iii) the Company’s and each of its subsidiaries’ collection, access, maintenance, transmission, use and disclosure of Protected Health Information is and at all times has been in material compliance with HIPAA and any contractual obligations and has taken all reasonable actions to comply with Data Protection Obligations in all material respects; (iv) the Company and its subsidiaries have current and valid Business Associate Agreements with each (a) Covered Entity for whom the Company or its subsidiaries provides functions or activities that render it a Business Associate (as such terms are defined under HIPAA), and (b) Subcontractor of the Company that is a Business Associate (as such terms are defined in HIPAA); (v) neither the Company nor its subsidiaries has breached any Business Associate Agreements in effect or other data privacy or data security contractual obligations and, to the Company’s knowledge, no Covered Entity, Business Associate or Subcontractor has breached any Business Associate Agreement or similar privacy provision; (vi) there is no pending, or to the knowledge of the Company, threatened, action, suit or proceeding by or before any court or governmental agency, authority or body pending or threatened alleging non-compliance with any Data Protection Obligation; (vii) the Company and its subsidiaries have established and maintained reasonable data privacy incident response plans consistent with industry standard practices, which are designed to reasonably respond data security incidents in accordance with the Data Protection Obligations; (viii) the Company is taking commercially reasonable steps to comply with the CCPA and other applicable state comprehensive privacy laws, as applicable, such as the Virginia Consumer Data Protection Act (VCDPA), the Colorado Privacy Act (CPA), the Connecticut Act Concerning Personal Data Privacy and Online Monitoring, and the Utah Consumer Privacy Act (UCPA) with respect to the Company and its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80"/>
          </w:cols>
          <w:pgMar w:left="300" w:top="1116" w:right="319" w:bottom="1440" w:gutter="0" w:footer="0" w:header="0"/>
        </w:sectPr>
      </w:pPr>
    </w:p>
    <w:bookmarkStart w:id="82" w:name="page83"/>
    <w:bookmarkEnd w:id="82"/>
    <w:p>
      <w:pPr>
        <w:jc w:val="both"/>
        <w:spacing w:after="0" w:line="226" w:lineRule="auto"/>
        <w:rPr>
          <w:sz w:val="20"/>
          <w:szCs w:val="20"/>
          <w:color w:val="auto"/>
        </w:rPr>
      </w:pPr>
      <w:r>
        <w:rPr>
          <w:rFonts w:ascii="Times New Roman" w:cs="Times New Roman" w:eastAsia="Times New Roman" w:hAnsi="Times New Roman"/>
          <w:sz w:val="17"/>
          <w:szCs w:val="17"/>
          <w:color w:val="auto"/>
        </w:rPr>
        <w:t>subsidiaries, including by adopting appropriate policies and procedures; and (ix) the Company and its subsidiaries have at all times made all disclosures to users or customers through privacy policies or notices as required by Data Protection Obligations, and have fully and accurately described the Company’s privacy practices in all material respects.</w:t>
      </w:r>
    </w:p>
    <w:p>
      <w:pPr>
        <w:spacing w:after="0" w:line="119" w:lineRule="exact"/>
        <w:rPr>
          <w:sz w:val="20"/>
          <w:szCs w:val="20"/>
          <w:color w:val="auto"/>
        </w:rPr>
      </w:pPr>
    </w:p>
    <w:p>
      <w:pPr>
        <w:jc w:val="both"/>
        <w:ind w:firstLine="504"/>
        <w:spacing w:after="0" w:line="210" w:lineRule="auto"/>
        <w:rPr>
          <w:sz w:val="20"/>
          <w:szCs w:val="20"/>
          <w:color w:val="auto"/>
        </w:rPr>
      </w:pPr>
      <w:r>
        <w:rPr>
          <w:rFonts w:ascii="Times New Roman" w:cs="Times New Roman" w:eastAsia="Times New Roman" w:hAnsi="Times New Roman"/>
          <w:sz w:val="17"/>
          <w:szCs w:val="17"/>
          <w:color w:val="auto"/>
        </w:rPr>
        <w:t xml:space="preserve">(ap) </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Except as disclosed in the Prospectus,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7"/>
          <w:szCs w:val="17"/>
          <w:b w:val="1"/>
          <w:bCs w:val="1"/>
          <w:u w:val="single" w:color="auto"/>
          <w:color w:val="auto"/>
        </w:rPr>
        <w:t>IT Systems</w:t>
      </w:r>
      <w:r>
        <w:rPr>
          <w:rFonts w:ascii="Times New Roman" w:cs="Times New Roman" w:eastAsia="Times New Roman" w:hAnsi="Times New Roman"/>
          <w:sz w:val="17"/>
          <w:szCs w:val="17"/>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administrative, technical, and physical controls, policies, procedures, and other safeguards to protect the security, confidentiality, integrity and availability of</w:t>
      </w:r>
    </w:p>
    <w:p>
      <w:pPr>
        <w:spacing w:after="0" w:line="2" w:lineRule="exact"/>
        <w:rPr>
          <w:sz w:val="20"/>
          <w:szCs w:val="20"/>
          <w:color w:val="auto"/>
        </w:rPr>
      </w:pPr>
    </w:p>
    <w:p>
      <w:pPr>
        <w:jc w:val="both"/>
        <w:ind w:firstLine="4"/>
        <w:spacing w:after="0" w:line="208" w:lineRule="auto"/>
        <w:tabs>
          <w:tab w:leader="none" w:pos="21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their material confidential information; data used in connection with their businesses (“</w:t>
      </w:r>
      <w:r>
        <w:rPr>
          <w:rFonts w:ascii="Times New Roman" w:cs="Times New Roman" w:eastAsia="Times New Roman" w:hAnsi="Times New Roman"/>
          <w:sz w:val="17"/>
          <w:szCs w:val="17"/>
          <w:b w:val="1"/>
          <w:bCs w:val="1"/>
          <w:u w:val="single" w:color="auto"/>
          <w:color w:val="auto"/>
        </w:rPr>
        <w:t>Business Data</w:t>
      </w:r>
      <w:r>
        <w:rPr>
          <w:rFonts w:ascii="Times New Roman" w:cs="Times New Roman" w:eastAsia="Times New Roman" w:hAnsi="Times New Roman"/>
          <w:sz w:val="17"/>
          <w:szCs w:val="17"/>
          <w:color w:val="auto"/>
        </w:rPr>
        <w:t>”), including all personal, personally identifiable, sensitive, confidential or regulated data, including Protected Health Information as defined under HIPAA, and all data derived from biospecimens or other genetic material (together “</w:t>
      </w:r>
      <w:r>
        <w:rPr>
          <w:rFonts w:ascii="Times New Roman" w:cs="Times New Roman" w:eastAsia="Times New Roman" w:hAnsi="Times New Roman"/>
          <w:sz w:val="17"/>
          <w:szCs w:val="17"/>
          <w:b w:val="1"/>
          <w:bCs w:val="1"/>
          <w:u w:val="single" w:color="auto"/>
          <w:color w:val="auto"/>
        </w:rPr>
        <w:t>Personal Data</w:t>
      </w:r>
      <w:r>
        <w:rPr>
          <w:rFonts w:ascii="Times New Roman" w:cs="Times New Roman" w:eastAsia="Times New Roman" w:hAnsi="Times New Roman"/>
          <w:sz w:val="17"/>
          <w:szCs w:val="17"/>
          <w:color w:val="auto"/>
        </w:rPr>
        <w:t>”), and (iii) the IT Systems; there have been no (i) unauthorized or unlawful acquisition of, access to, loss of, or misuse (by any means) of confidential information, Business Data including Personal Data, or the IT Systems; (ii) ransomware, phishing or other cyberattack that resulted in a monetary loss or a disruption to the IT Systems; (iii) “Breach” of Unsecured Protected Health Information or “Security Incident” (as those terms are defined in HIPAA); or (iv) other act or omission that compromises the security, confidentiality, integrity or availability of confidential information, Business Data including Personal Data or the IT Systems, in each case except for those that are described in the Prospectus or those that have been remedied without material cost or liability or the duty to notify any other person, nor any incidents under internal review or investigations relating to the same;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(“Open Source Software”) in material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128" w:lineRule="exact"/>
        <w:rPr>
          <w:sz w:val="20"/>
          <w:szCs w:val="20"/>
          <w:color w:val="auto"/>
        </w:rPr>
      </w:pPr>
    </w:p>
    <w:p>
      <w:pPr>
        <w:jc w:val="both"/>
        <w:ind w:firstLine="504"/>
        <w:spacing w:after="0" w:line="227" w:lineRule="auto"/>
        <w:rPr>
          <w:sz w:val="20"/>
          <w:szCs w:val="20"/>
          <w:color w:val="auto"/>
        </w:rPr>
      </w:pPr>
      <w:r>
        <w:rPr>
          <w:rFonts w:ascii="Times New Roman" w:cs="Times New Roman" w:eastAsia="Times New Roman" w:hAnsi="Times New Roman"/>
          <w:sz w:val="16"/>
          <w:szCs w:val="16"/>
          <w:color w:val="auto"/>
        </w:rPr>
        <w:t xml:space="preserve">(aq) </w:t>
      </w:r>
      <w:r>
        <w:rPr>
          <w:rFonts w:ascii="Times New Roman" w:cs="Times New Roman" w:eastAsia="Times New Roman" w:hAnsi="Times New Roman"/>
          <w:sz w:val="16"/>
          <w:szCs w:val="16"/>
          <w:u w:val="single" w:color="auto"/>
          <w:color w:val="auto"/>
        </w:rPr>
        <w:t>Export and Import Laws</w:t>
      </w:r>
      <w:r>
        <w:rPr>
          <w:rFonts w:ascii="Times New Roman" w:cs="Times New Roman" w:eastAsia="Times New Roman" w:hAnsi="Times New Roman"/>
          <w:sz w:val="16"/>
          <w:szCs w:val="16"/>
          <w:color w:val="auto"/>
        </w:rPr>
        <w:t>. 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cs="Times New Roman" w:eastAsia="Times New Roman" w:hAnsi="Times New Roman"/>
          <w:sz w:val="16"/>
          <w:szCs w:val="16"/>
          <w:b w:val="1"/>
          <w:bCs w:val="1"/>
          <w:u w:val="single" w:color="auto"/>
          <w:color w:val="auto"/>
        </w:rPr>
        <w:t>Export and Import Laws</w:t>
      </w:r>
      <w:r>
        <w:rPr>
          <w:rFonts w:ascii="Times New Roman" w:cs="Times New Roman" w:eastAsia="Times New Roman" w:hAnsi="Times New Roman"/>
          <w:sz w:val="16"/>
          <w:szCs w:val="16"/>
          <w:color w:val="auto"/>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80"/>
          </w:cols>
          <w:pgMar w:left="300" w:top="1116"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8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9"/>
              </w:rPr>
              <w:t>Lending Relationship. Except as disclosed in the Prospectus, the Company does not intend to use any of the proceeds from the sale of the Placement</w:t>
            </w: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08"/>
        </w:trPr>
        <w:tc>
          <w:tcPr>
            <w:tcW w:w="112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Shares to repay any outstanding debt owed to TD Cowen or any affiliate of TD Cowen.</w:t>
            </w:r>
          </w:p>
        </w:tc>
      </w:tr>
      <w:tr>
        <w:trPr>
          <w:trHeight w:val="276"/>
        </w:trPr>
        <w:tc>
          <w:tcPr>
            <w:tcW w:w="8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(as)</w:t>
            </w:r>
          </w:p>
        </w:tc>
        <w:tc>
          <w:tcPr>
            <w:tcW w:w="1040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Other At The Market Sales Agreements. The Company is not a party to any agreement with an agent or underwriter for any other “at the market”</w:t>
            </w:r>
          </w:p>
        </w:tc>
      </w:tr>
      <w:tr>
        <w:trPr>
          <w:trHeight w:val="198"/>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offering.</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500" w:type="dxa"/>
            <w:vAlign w:val="bottom"/>
          </w:tcPr>
          <w:p>
            <w:pPr>
              <w:spacing w:after="0"/>
              <w:rPr>
                <w:sz w:val="17"/>
                <w:szCs w:val="17"/>
                <w:color w:val="auto"/>
              </w:rPr>
            </w:pPr>
          </w:p>
        </w:tc>
      </w:tr>
      <w:tr>
        <w:trPr>
          <w:trHeight w:val="294"/>
        </w:trPr>
        <w:tc>
          <w:tcPr>
            <w:tcW w:w="8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(at)</w:t>
            </w:r>
          </w:p>
        </w:tc>
        <w:tc>
          <w:tcPr>
            <w:tcW w:w="10400" w:type="dxa"/>
            <w:vAlign w:val="bottom"/>
            <w:gridSpan w:val="5"/>
          </w:tcPr>
          <w:p>
            <w:pPr>
              <w:jc w:val="right"/>
              <w:spacing w:after="0"/>
              <w:rPr>
                <w:sz w:val="20"/>
                <w:szCs w:val="20"/>
                <w:color w:val="auto"/>
              </w:rPr>
            </w:pPr>
            <w:r>
              <w:rPr>
                <w:rFonts w:ascii="Times New Roman" w:cs="Times New Roman" w:eastAsia="Times New Roman" w:hAnsi="Times New Roman"/>
                <w:sz w:val="17"/>
                <w:szCs w:val="17"/>
                <w:u w:val="single" w:color="auto"/>
                <w:color w:val="auto"/>
              </w:rPr>
              <w:t>Outbound Investment Security Program</w:t>
            </w:r>
            <w:r>
              <w:rPr>
                <w:rFonts w:ascii="Times New Roman" w:cs="Times New Roman" w:eastAsia="Times New Roman" w:hAnsi="Times New Roman"/>
                <w:sz w:val="17"/>
                <w:szCs w:val="17"/>
                <w:color w:val="auto"/>
              </w:rPr>
              <w:t>. Neither the Company nor any of its subsidiaries is a “covered foreign person”, as that term is defined in 31</w:t>
            </w:r>
          </w:p>
        </w:tc>
      </w:tr>
    </w:tbl>
    <w:p>
      <w:pPr>
        <w:jc w:val="both"/>
        <w:spacing w:after="0" w:line="215" w:lineRule="auto"/>
        <w:rPr>
          <w:sz w:val="20"/>
          <w:szCs w:val="20"/>
          <w:color w:val="auto"/>
        </w:rPr>
      </w:pPr>
      <w:r>
        <w:rPr>
          <w:rFonts w:ascii="Times New Roman" w:cs="Times New Roman" w:eastAsia="Times New Roman" w:hAnsi="Times New Roman"/>
          <w:sz w:val="17"/>
          <w:szCs w:val="17"/>
          <w:color w:val="auto"/>
        </w:rPr>
        <w:t>C.F.R. §850.209. Neither the Company nor any of its subsidiaries currently engages, or has plans to engage, directly or indirectly, in a “covered activity”, as that term is defined in 31 C.F.R. §850.208 (“</w:t>
      </w:r>
      <w:r>
        <w:rPr>
          <w:rFonts w:ascii="Times New Roman" w:cs="Times New Roman" w:eastAsia="Times New Roman" w:hAnsi="Times New Roman"/>
          <w:sz w:val="17"/>
          <w:szCs w:val="17"/>
          <w:b w:val="1"/>
          <w:bCs w:val="1"/>
          <w:color w:val="auto"/>
        </w:rPr>
        <w:t>Covered Activity</w:t>
      </w:r>
      <w:r>
        <w:rPr>
          <w:rFonts w:ascii="Times New Roman" w:cs="Times New Roman" w:eastAsia="Times New Roman" w:hAnsi="Times New Roman"/>
          <w:sz w:val="17"/>
          <w:szCs w:val="17"/>
          <w:color w:val="auto"/>
        </w:rPr>
        <w:t>”). The Company does not have any joint ventures that engages in or plans to engage in any Covered Activity. The Company also does not, directly or indirectly, hold a boards seat on, have a voting or equity interest in, or have any contractual power to direct or cause the direction of the management or policies of any person or persons that engages or plans to engage in any Covered Activity.</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Any certificate signed by an officer of the Company and delivered to TD Cowen or to counsel for TD Cowen pursuant to or in connection with this Agreement shall be deemed to be a representation and warranty by the Company to TD Cowen as to the matters set forth therein.</w:t>
      </w:r>
    </w:p>
    <w:p>
      <w:pPr>
        <w:spacing w:after="0" w:line="1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The Company acknowledges that TD Cowen and, for purposes of the opinions to be delivered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hereof, counsel to the Company and counsel to TD Cowen, will rely upon the accuracy and truthfulness of the foregoing representations and hereby consents to such reliance.</w:t>
      </w:r>
    </w:p>
    <w:p>
      <w:pPr>
        <w:spacing w:after="0" w:line="93" w:lineRule="exact"/>
        <w:rPr>
          <w:sz w:val="20"/>
          <w:szCs w:val="20"/>
          <w:color w:val="auto"/>
        </w:rPr>
      </w:pPr>
    </w:p>
    <w:p>
      <w:pPr>
        <w:ind w:left="1020" w:hanging="512"/>
        <w:spacing w:after="0"/>
        <w:tabs>
          <w:tab w:leader="none" w:pos="10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 of the Company</w:t>
      </w:r>
      <w:r>
        <w:rPr>
          <w:rFonts w:ascii="Times New Roman" w:cs="Times New Roman" w:eastAsia="Times New Roman" w:hAnsi="Times New Roman"/>
          <w:sz w:val="17"/>
          <w:szCs w:val="17"/>
          <w:color w:val="auto"/>
        </w:rPr>
        <w:t>. The Company covenants and agrees with TD Cowen that:</w:t>
      </w:r>
    </w:p>
    <w:p>
      <w:pPr>
        <w:spacing w:after="0" w:line="140" w:lineRule="exact"/>
        <w:rPr>
          <w:sz w:val="20"/>
          <w:szCs w:val="20"/>
          <w:color w:val="auto"/>
        </w:rPr>
      </w:pPr>
    </w:p>
    <w:p>
      <w:pPr>
        <w:jc w:val="both"/>
        <w:ind w:firstLine="508"/>
        <w:spacing w:after="0" w:line="210" w:lineRule="auto"/>
        <w:tabs>
          <w:tab w:leader="none" w:pos="118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Statement Amendments</w:t>
      </w:r>
      <w:r>
        <w:rPr>
          <w:rFonts w:ascii="Times New Roman" w:cs="Times New Roman" w:eastAsia="Times New Roman" w:hAnsi="Times New Roman"/>
          <w:sz w:val="17"/>
          <w:szCs w:val="17"/>
          <w:color w:val="auto"/>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(insofar as it relates to the transactions contemplated hereby), (ii) the Company will prepare and file with the Commission, promptly upon TD Cowen’s reasonable request, any amendments or supplements to the Registration Statement or Prospectus that, in TD Cowen’s reasonable opinion, may be necessary or advisable in connection with the distribution of the Placement Shares by TD Cowen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failure of TD Cowen to make such request shall not relieve the Company of any obligation or liability hereunder, or affect TD Cowen’s right to rely on the representations and warranties made by the Company in this Agreement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the only remedy TD Cowen shall have with respect to the failure by the Company to obtain such consent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failure of TD Cowen to make such objection shall not relieve the Company of any obligation or liability hereunder, or affect TD Cowen’s right to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80"/>
          </w:cols>
          <w:pgMar w:left="300" w:top="1098" w:right="319" w:bottom="1440" w:gutter="0" w:footer="0" w:header="0"/>
        </w:sectPr>
      </w:pPr>
    </w:p>
    <w:bookmarkStart w:id="84" w:name="page85"/>
    <w:bookmarkEnd w:id="84"/>
    <w:p>
      <w:pPr>
        <w:jc w:val="both"/>
        <w:spacing w:after="0" w:line="215" w:lineRule="auto"/>
        <w:rPr>
          <w:sz w:val="20"/>
          <w:szCs w:val="20"/>
          <w:color w:val="auto"/>
        </w:rPr>
      </w:pPr>
      <w:r>
        <w:rPr>
          <w:rFonts w:ascii="Times New Roman" w:cs="Times New Roman" w:eastAsia="Times New Roman" w:hAnsi="Times New Roman"/>
          <w:sz w:val="17"/>
          <w:szCs w:val="17"/>
          <w:color w:val="auto"/>
        </w:rPr>
        <w:t xml:space="preserve">rely on the representations and warranties made by the Company in this Agreement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the only remedy TD Cowen shall have with respect to the failure by the Company to obtain such consent shall be to cease making sales under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w:t>
      </w:r>
    </w:p>
    <w:p>
      <w:pPr>
        <w:spacing w:after="0" w:line="121" w:lineRule="exact"/>
        <w:rPr>
          <w:sz w:val="20"/>
          <w:szCs w:val="20"/>
          <w:color w:val="auto"/>
        </w:rPr>
      </w:pPr>
    </w:p>
    <w:p>
      <w:pPr>
        <w:jc w:val="both"/>
        <w:ind w:firstLine="508"/>
        <w:spacing w:after="0" w:line="221" w:lineRule="auto"/>
        <w:tabs>
          <w:tab w:leader="none" w:pos="124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Commission Stop Orders</w:t>
      </w:r>
      <w:r>
        <w:rPr>
          <w:rFonts w:ascii="Times New Roman" w:cs="Times New Roman" w:eastAsia="Times New Roman" w:hAnsi="Times New Roman"/>
          <w:sz w:val="17"/>
          <w:szCs w:val="17"/>
          <w:color w:val="auto"/>
        </w:rPr>
        <w:t>.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19" w:lineRule="exact"/>
        <w:rPr>
          <w:rFonts w:ascii="Times New Roman" w:cs="Times New Roman" w:eastAsia="Times New Roman" w:hAnsi="Times New Roman"/>
          <w:sz w:val="17"/>
          <w:szCs w:val="17"/>
          <w:color w:val="auto"/>
        </w:rPr>
      </w:pPr>
    </w:p>
    <w:p>
      <w:pPr>
        <w:jc w:val="both"/>
        <w:ind w:firstLine="508"/>
        <w:spacing w:after="0" w:line="211" w:lineRule="auto"/>
        <w:tabs>
          <w:tab w:leader="none" w:pos="1173"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Prospectus; Subsequent Changes</w:t>
      </w:r>
      <w:r>
        <w:rPr>
          <w:rFonts w:ascii="Times New Roman" w:cs="Times New Roman" w:eastAsia="Times New Roman" w:hAnsi="Times New Roman"/>
          <w:sz w:val="17"/>
          <w:szCs w:val="17"/>
          <w:color w:val="auto"/>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may delay the filing of any amendment or supplement if, in the judgment of the Company, it is in the its best interests to do so.</w:t>
      </w:r>
    </w:p>
    <w:p>
      <w:pPr>
        <w:spacing w:after="0" w:line="124" w:lineRule="exact"/>
        <w:rPr>
          <w:rFonts w:ascii="Times New Roman" w:cs="Times New Roman" w:eastAsia="Times New Roman" w:hAnsi="Times New Roman"/>
          <w:sz w:val="17"/>
          <w:szCs w:val="17"/>
          <w:color w:val="auto"/>
        </w:rPr>
      </w:pPr>
    </w:p>
    <w:p>
      <w:pPr>
        <w:jc w:val="both"/>
        <w:ind w:firstLine="508"/>
        <w:spacing w:after="0" w:line="229" w:lineRule="auto"/>
        <w:tabs>
          <w:tab w:leader="none" w:pos="120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Listing of Placement Shares</w:t>
      </w:r>
      <w:r>
        <w:rPr>
          <w:rFonts w:ascii="Times New Roman" w:cs="Times New Roman" w:eastAsia="Times New Roman" w:hAnsi="Times New Roman"/>
          <w:sz w:val="16"/>
          <w:szCs w:val="16"/>
          <w:color w:val="auto"/>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Company shall not be required in connection therewith to qualify as a foreign corporation or dealer in securities or file a general consent to service of process in any jurisdiction or be subject to taxation as a foreign corporation in any jurisdiction.</w:t>
      </w:r>
    </w:p>
    <w:p>
      <w:pPr>
        <w:spacing w:after="0" w:line="121" w:lineRule="exact"/>
        <w:rPr>
          <w:rFonts w:ascii="Times New Roman" w:cs="Times New Roman" w:eastAsia="Times New Roman" w:hAnsi="Times New Roman"/>
          <w:sz w:val="16"/>
          <w:szCs w:val="16"/>
          <w:color w:val="auto"/>
        </w:rPr>
      </w:pPr>
    </w:p>
    <w:p>
      <w:pPr>
        <w:ind w:firstLine="508"/>
        <w:spacing w:after="0" w:line="236" w:lineRule="auto"/>
        <w:tabs>
          <w:tab w:leader="none" w:pos="119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Registration Statement and Prospectus</w:t>
      </w:r>
      <w:r>
        <w:rPr>
          <w:rFonts w:ascii="Times New Roman" w:cs="Times New Roman" w:eastAsia="Times New Roman" w:hAnsi="Times New Roman"/>
          <w:sz w:val="17"/>
          <w:szCs w:val="17"/>
          <w:color w:val="auto"/>
        </w:rPr>
        <w:t>. The Company will furnish to TD Cowen and its counsel (at the expense of the Company) copies of the Registration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80"/>
          </w:cols>
          <w:pgMar w:left="300" w:top="1112" w:right="319" w:bottom="1440" w:gutter="0" w:footer="0" w:header="0"/>
        </w:sectPr>
      </w:pPr>
    </w:p>
    <w:bookmarkStart w:id="85" w:name="page86"/>
    <w:bookmarkEnd w:id="85"/>
    <w:p>
      <w:pPr>
        <w:jc w:val="both"/>
        <w:spacing w:after="0" w:line="216" w:lineRule="auto"/>
        <w:rPr>
          <w:sz w:val="20"/>
          <w:szCs w:val="20"/>
          <w:color w:val="auto"/>
        </w:rPr>
      </w:pPr>
      <w:r>
        <w:rPr>
          <w:rFonts w:ascii="Times New Roman" w:cs="Times New Roman" w:eastAsia="Times New Roman" w:hAnsi="Times New Roman"/>
          <w:sz w:val="17"/>
          <w:szCs w:val="17"/>
          <w:color w:val="auto"/>
        </w:rPr>
        <w:t xml:space="preserve">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Company shall not be required to furnish any document (other than the Prospectus) to TD Cowen to the extent such document is available on EDGAR.</w:t>
      </w:r>
    </w:p>
    <w:p>
      <w:pPr>
        <w:spacing w:after="0" w:line="120" w:lineRule="exact"/>
        <w:rPr>
          <w:sz w:val="20"/>
          <w:szCs w:val="20"/>
          <w:color w:val="auto"/>
        </w:rPr>
      </w:pPr>
    </w:p>
    <w:p>
      <w:pPr>
        <w:jc w:val="both"/>
        <w:ind w:firstLine="508"/>
        <w:spacing w:after="0" w:line="221" w:lineRule="auto"/>
        <w:tabs>
          <w:tab w:leader="none" w:pos="124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Earnings Statement</w:t>
      </w:r>
      <w:r>
        <w:rPr>
          <w:rFonts w:ascii="Times New Roman" w:cs="Times New Roman" w:eastAsia="Times New Roman" w:hAnsi="Times New Roman"/>
          <w:sz w:val="17"/>
          <w:szCs w:val="17"/>
          <w:color w:val="auto"/>
        </w:rPr>
        <w:t xml:space="preserve">.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Company will be deemed to have furnished such statement to its security holders to the extent they are filed on EDGAR or any successor system.</w:t>
      </w:r>
    </w:p>
    <w:p>
      <w:pPr>
        <w:spacing w:after="0" w:line="119" w:lineRule="exact"/>
        <w:rPr>
          <w:rFonts w:ascii="Times New Roman" w:cs="Times New Roman" w:eastAsia="Times New Roman" w:hAnsi="Times New Roman"/>
          <w:sz w:val="17"/>
          <w:szCs w:val="17"/>
          <w:color w:val="auto"/>
        </w:rPr>
      </w:pPr>
    </w:p>
    <w:p>
      <w:pPr>
        <w:jc w:val="both"/>
        <w:ind w:firstLine="508"/>
        <w:spacing w:after="0" w:line="212" w:lineRule="auto"/>
        <w:tabs>
          <w:tab w:leader="none" w:pos="121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cs="Times New Roman" w:eastAsia="Times New Roman" w:hAnsi="Times New Roman"/>
          <w:sz w:val="17"/>
          <w:szCs w:val="17"/>
          <w:u w:val="single" w:color="auto"/>
          <w:color w:val="auto"/>
        </w:rPr>
        <w:t>Section 7(d)</w:t>
      </w:r>
      <w:r>
        <w:rPr>
          <w:rFonts w:ascii="Times New Roman" w:cs="Times New Roman" w:eastAsia="Times New Roman" w:hAnsi="Times New Roman"/>
          <w:sz w:val="17"/>
          <w:szCs w:val="17"/>
          <w:color w:val="auto"/>
        </w:rPr>
        <w:t xml:space="preserve"> of this Agreement, including filing fees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and (vii) the reasonable and documented fees and disbursements of TD Cowen’s counsel in amounts not to exceed (A) $75,000 in connection with execution of this Agreement and (B) $25,000 in connection with each Bring-Down Date with respect to which the Company is obligated to deliver a certificate pursuant to </w:t>
      </w:r>
      <w:r>
        <w:rPr>
          <w:rFonts w:ascii="Times New Roman" w:cs="Times New Roman" w:eastAsia="Times New Roman" w:hAnsi="Times New Roman"/>
          <w:sz w:val="17"/>
          <w:szCs w:val="17"/>
          <w:u w:val="single" w:color="auto"/>
          <w:color w:val="auto"/>
        </w:rPr>
        <w:t>Section 7(m)</w:t>
      </w:r>
      <w:r>
        <w:rPr>
          <w:rFonts w:ascii="Times New Roman" w:cs="Times New Roman" w:eastAsia="Times New Roman" w:hAnsi="Times New Roman"/>
          <w:sz w:val="17"/>
          <w:szCs w:val="17"/>
          <w:color w:val="auto"/>
        </w:rPr>
        <w:t>, for which no waiver is applicable.</w:t>
      </w:r>
    </w:p>
    <w:p>
      <w:pPr>
        <w:spacing w:after="0" w:line="120" w:lineRule="exact"/>
        <w:rPr>
          <w:rFonts w:ascii="Times New Roman" w:cs="Times New Roman" w:eastAsia="Times New Roman" w:hAnsi="Times New Roman"/>
          <w:sz w:val="17"/>
          <w:szCs w:val="17"/>
          <w:color w:val="auto"/>
        </w:rPr>
      </w:pPr>
    </w:p>
    <w:p>
      <w:pPr>
        <w:ind w:left="1000" w:hanging="492"/>
        <w:spacing w:after="0"/>
        <w:tabs>
          <w:tab w:leader="none" w:pos="10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Company will use the Net Proceeds as described in the Prospectus in the section entitled “Use of Proceeds.”</w:t>
      </w:r>
    </w:p>
    <w:p>
      <w:pPr>
        <w:spacing w:after="0" w:line="140" w:lineRule="exact"/>
        <w:rPr>
          <w:rFonts w:ascii="Times New Roman" w:cs="Times New Roman" w:eastAsia="Times New Roman" w:hAnsi="Times New Roman"/>
          <w:sz w:val="17"/>
          <w:szCs w:val="17"/>
          <w:color w:val="auto"/>
        </w:rPr>
      </w:pPr>
    </w:p>
    <w:p>
      <w:pPr>
        <w:jc w:val="both"/>
        <w:ind w:firstLine="508"/>
        <w:spacing w:after="0" w:line="212" w:lineRule="auto"/>
        <w:tabs>
          <w:tab w:leader="none" w:pos="100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Other Sales</w:t>
      </w:r>
      <w:r>
        <w:rPr>
          <w:rFonts w:ascii="Times New Roman" w:cs="Times New Roman" w:eastAsia="Times New Roman" w:hAnsi="Times New Roman"/>
          <w:sz w:val="17"/>
          <w:szCs w:val="17"/>
          <w:color w:val="auto"/>
        </w:rPr>
        <w:t xml:space="preserve">. During the pendency of any Placement Notice given hereunder, and for five (5)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notice shall not be required in connection with the (i) issuance, grant or sale of Common Stock, options to purchase shares of Common Stock, restricted stock units, stock awards, warrants, rights or other equity awards or Common Stock issuable upon the exercise, conversion, settlement, exchange, redemption or vesting of options, restricted stock units, stock awards, warrants, rights or other equity awards pursuant to any stock option, stock bonus or other equity incentive or stock purchase plan or arrangement described in the Prospectus or pursuant to any inducement awards in accordance with Nasdaq rules, (ii) the issuance of securities in connection with an acquisition, merger or sale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80"/>
          </w:cols>
          <w:pgMar w:left="300" w:top="1116" w:right="319" w:bottom="1440" w:gutter="0" w:footer="0" w:header="0"/>
        </w:sectPr>
      </w:pPr>
    </w:p>
    <w:bookmarkStart w:id="86" w:name="page87"/>
    <w:bookmarkEnd w:id="86"/>
    <w:p>
      <w:pPr>
        <w:jc w:val="both"/>
        <w:spacing w:after="0" w:line="218" w:lineRule="auto"/>
        <w:rPr>
          <w:sz w:val="20"/>
          <w:szCs w:val="20"/>
          <w:color w:val="auto"/>
        </w:rPr>
      </w:pPr>
      <w:r>
        <w:rPr>
          <w:rFonts w:ascii="Times New Roman" w:cs="Times New Roman" w:eastAsia="Times New Roman" w:hAnsi="Times New Roman"/>
          <w:sz w:val="17"/>
          <w:szCs w:val="17"/>
          <w:color w:val="auto"/>
        </w:rPr>
        <w:t>or purchase of assets, (iii) the issuance or sale of Common Stock pursuant to any dividend reinvestment plan that the Company may adopt from time to time provided the implementation of such is disclosed to TD Cowen in advance, (iv) the issuance or sale of any shares of Common Stock issuable upon the exchange, conversion or redemption of securities or the exercise of warrants, options or other rights in effect or outstanding, or (v) the issuance or sale of any shares of Common Stock, or securities convertible into or exercisable for Common Stock, offered and sold in a privately negotiated transaction to vendors, customers, strategic partners or potential strategic partners conducted in a manner so as not to be integrated with the offering of Common Stock hereby.</w:t>
      </w:r>
    </w:p>
    <w:p>
      <w:pPr>
        <w:spacing w:after="0" w:line="120" w:lineRule="exact"/>
        <w:rPr>
          <w:sz w:val="20"/>
          <w:szCs w:val="20"/>
          <w:color w:val="auto"/>
        </w:rPr>
      </w:pPr>
    </w:p>
    <w:p>
      <w:pPr>
        <w:jc w:val="both"/>
        <w:ind w:firstLine="508"/>
        <w:spacing w:after="0" w:line="226" w:lineRule="auto"/>
        <w:tabs>
          <w:tab w:leader="none" w:pos="118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Circumstances</w:t>
      </w:r>
      <w:r>
        <w:rPr>
          <w:rFonts w:ascii="Times New Roman" w:cs="Times New Roman" w:eastAsia="Times New Roman" w:hAnsi="Times New Roman"/>
          <w:sz w:val="17"/>
          <w:szCs w:val="17"/>
          <w:color w:val="auto"/>
        </w:rPr>
        <w:t>.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18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Diligence Cooperation</w:t>
      </w:r>
      <w:r>
        <w:rPr>
          <w:rFonts w:ascii="Times New Roman" w:cs="Times New Roman" w:eastAsia="Times New Roman" w:hAnsi="Times New Roman"/>
          <w:sz w:val="17"/>
          <w:szCs w:val="17"/>
          <w:color w:val="auto"/>
        </w:rPr>
        <w:t>. During the term of this Agreement,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w:t>
      </w:r>
    </w:p>
    <w:p>
      <w:pPr>
        <w:spacing w:after="0" w:line="119" w:lineRule="exact"/>
        <w:rPr>
          <w:rFonts w:ascii="Times New Roman" w:cs="Times New Roman" w:eastAsia="Times New Roman" w:hAnsi="Times New Roman"/>
          <w:sz w:val="17"/>
          <w:szCs w:val="17"/>
          <w:color w:val="auto"/>
        </w:rPr>
      </w:pPr>
    </w:p>
    <w:p>
      <w:pPr>
        <w:jc w:val="both"/>
        <w:ind w:firstLine="508"/>
        <w:spacing w:after="0" w:line="214" w:lineRule="auto"/>
        <w:tabs>
          <w:tab w:leader="none" w:pos="116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Filings Relating to Placement of Placement Shares</w:t>
      </w:r>
      <w:r>
        <w:rPr>
          <w:rFonts w:ascii="Times New Roman" w:cs="Times New Roman" w:eastAsia="Times New Roman" w:hAnsi="Times New Roman"/>
          <w:sz w:val="17"/>
          <w:szCs w:val="17"/>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cs="Times New Roman" w:eastAsia="Times New Roman" w:hAnsi="Times New Roman"/>
          <w:sz w:val="17"/>
          <w:szCs w:val="17"/>
          <w:b w:val="1"/>
          <w:bCs w:val="1"/>
          <w:u w:val="single" w:color="auto"/>
          <w:color w:val="auto"/>
        </w:rPr>
        <w:t>Filing Date</w:t>
      </w:r>
      <w:r>
        <w:rPr>
          <w:rFonts w:ascii="Times New Roman" w:cs="Times New Roman" w:eastAsia="Times New Roman" w:hAnsi="Times New Roman"/>
          <w:sz w:val="17"/>
          <w:szCs w:val="17"/>
          <w:color w:val="auto"/>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net proceeds to the Company from the sale of the Placement Shares during the relevant quarter or, in the case of an Annual Report on Form 10-K, during the fiscal year covered by such Annual Report and the fourth quarter of such fiscal year.</w:t>
      </w:r>
    </w:p>
    <w:p>
      <w:pPr>
        <w:spacing w:after="0" w:line="122" w:lineRule="exact"/>
        <w:rPr>
          <w:rFonts w:ascii="Times New Roman" w:cs="Times New Roman" w:eastAsia="Times New Roman" w:hAnsi="Times New Roman"/>
          <w:sz w:val="17"/>
          <w:szCs w:val="17"/>
          <w:color w:val="auto"/>
        </w:rPr>
      </w:pPr>
    </w:p>
    <w:p>
      <w:pPr>
        <w:jc w:val="both"/>
        <w:ind w:firstLine="508"/>
        <w:spacing w:after="0" w:line="224" w:lineRule="auto"/>
        <w:tabs>
          <w:tab w:leader="none" w:pos="119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Bring-Down Dates; Certificate</w:t>
      </w:r>
      <w:r>
        <w:rPr>
          <w:rFonts w:ascii="Times New Roman" w:cs="Times New Roman" w:eastAsia="Times New Roman" w:hAnsi="Times New Roman"/>
          <w:sz w:val="16"/>
          <w:szCs w:val="16"/>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16"/>
          <w:szCs w:val="16"/>
          <w:u w:val="single" w:color="auto"/>
          <w:color w:val="auto"/>
        </w:rPr>
        <w:t>Section 7(l)</w:t>
      </w:r>
      <w:r>
        <w:rPr>
          <w:rFonts w:ascii="Times New Roman" w:cs="Times New Roman" w:eastAsia="Times New Roman" w:hAnsi="Times New Roman"/>
          <w:sz w:val="16"/>
          <w:szCs w:val="16"/>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or other financial information “furnished” pursuant to Items 2.02 or 7.01 of Form 8-K) under the Exchange Act (each date of filing of one or more of the documents referred to in clauses (i) through (iv) shall be a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u w:val="single" w:color="auto"/>
          <w:color w:val="auto"/>
        </w:rPr>
        <w:t>Bring-Down Date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Company shall furnish TD Cowen with a certificate, in the form attached hereto as </w:t>
      </w:r>
      <w:r>
        <w:rPr>
          <w:rFonts w:ascii="Times New Roman" w:cs="Times New Roman" w:eastAsia="Times New Roman" w:hAnsi="Times New Roman"/>
          <w:sz w:val="16"/>
          <w:szCs w:val="16"/>
          <w:u w:val="single" w:color="auto"/>
          <w:color w:val="auto"/>
        </w:rPr>
        <w:t>Exhibit 7(m)</w:t>
      </w:r>
      <w:r>
        <w:rPr>
          <w:rFonts w:ascii="Times New Roman" w:cs="Times New Roman" w:eastAsia="Times New Roman" w:hAnsi="Times New Roman"/>
          <w:sz w:val="16"/>
          <w:szCs w:val="16"/>
          <w:color w:val="auto"/>
        </w:rPr>
        <w:t xml:space="preserve"> within one (1) Trading Day of any Bring-Down Date if requested by TD Cowen. The requirement to provide a certificate under this </w:t>
      </w:r>
      <w:r>
        <w:rPr>
          <w:rFonts w:ascii="Times New Roman" w:cs="Times New Roman" w:eastAsia="Times New Roman" w:hAnsi="Times New Roman"/>
          <w:sz w:val="16"/>
          <w:szCs w:val="16"/>
          <w:u w:val="single" w:color="auto"/>
          <w:color w:val="auto"/>
        </w:rPr>
        <w:t>Section 7(m)</w:t>
      </w:r>
      <w:r>
        <w:rPr>
          <w:rFonts w:ascii="Times New Roman" w:cs="Times New Roman" w:eastAsia="Times New Roman" w:hAnsi="Times New Roman"/>
          <w:sz w:val="16"/>
          <w:szCs w:val="16"/>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such waiver shall not apply for any Bring-Down Date on which the Company files its annual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80"/>
          </w:cols>
          <w:pgMar w:left="300" w:top="1116" w:right="319" w:bottom="1440" w:gutter="0" w:footer="0" w:header="0"/>
        </w:sectPr>
      </w:pPr>
    </w:p>
    <w:bookmarkStart w:id="87" w:name="page88"/>
    <w:bookmarkEnd w:id="87"/>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report on Form 10-K. Notwithstanding the foregoing, if the Company subsequently decides to sell Placement Shares following a Bring-Down Date when the Company relied on such waiver and did not provide TD Cowen with a certificate under this </w:t>
      </w:r>
      <w:r>
        <w:rPr>
          <w:rFonts w:ascii="Times New Roman" w:cs="Times New Roman" w:eastAsia="Times New Roman" w:hAnsi="Times New Roman"/>
          <w:sz w:val="17"/>
          <w:szCs w:val="17"/>
          <w:u w:val="single" w:color="auto"/>
          <w:color w:val="auto"/>
        </w:rPr>
        <w:t>Section 7(m)</w:t>
      </w:r>
      <w:r>
        <w:rPr>
          <w:rFonts w:ascii="Times New Roman" w:cs="Times New Roman" w:eastAsia="Times New Roman" w:hAnsi="Times New Roman"/>
          <w:sz w:val="17"/>
          <w:szCs w:val="17"/>
          <w:color w:val="auto"/>
        </w:rPr>
        <w:t xml:space="preserve">, then before the Company delivers the Placement Notice or TD Cowen sells any Placement Shares, the Company shall provide TD Cowen with a certificate, in the form attached hereto as </w:t>
      </w:r>
      <w:r>
        <w:rPr>
          <w:rFonts w:ascii="Times New Roman" w:cs="Times New Roman" w:eastAsia="Times New Roman" w:hAnsi="Times New Roman"/>
          <w:sz w:val="17"/>
          <w:szCs w:val="17"/>
          <w:u w:val="single" w:color="auto"/>
          <w:color w:val="auto"/>
        </w:rPr>
        <w:t>Exhibit 7(m)</w:t>
      </w:r>
      <w:r>
        <w:rPr>
          <w:rFonts w:ascii="Times New Roman" w:cs="Times New Roman" w:eastAsia="Times New Roman" w:hAnsi="Times New Roman"/>
          <w:sz w:val="17"/>
          <w:szCs w:val="17"/>
          <w:color w:val="auto"/>
        </w:rPr>
        <w:t>, dated the date of the Placement Notice.</w:t>
      </w:r>
    </w:p>
    <w:p>
      <w:pPr>
        <w:spacing w:after="0" w:line="119" w:lineRule="exact"/>
        <w:rPr>
          <w:sz w:val="20"/>
          <w:szCs w:val="20"/>
          <w:color w:val="auto"/>
        </w:rPr>
      </w:pPr>
    </w:p>
    <w:p>
      <w:pPr>
        <w:jc w:val="both"/>
        <w:ind w:firstLine="508"/>
        <w:spacing w:after="0" w:line="213" w:lineRule="auto"/>
        <w:tabs>
          <w:tab w:leader="none" w:pos="1172"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Legal Opinion</w:t>
      </w:r>
      <w:r>
        <w:rPr>
          <w:rFonts w:ascii="Times New Roman" w:cs="Times New Roman" w:eastAsia="Times New Roman" w:hAnsi="Times New Roman"/>
          <w:sz w:val="17"/>
          <w:szCs w:val="17"/>
          <w:color w:val="auto"/>
        </w:rPr>
        <w:t xml:space="preserve">. On or prior to the First Delivery Date and within one (1) Trading Day of each Bring-Down Date with respect to which the Company is obligated to deliver a certificate in the form attached hereto as </w:t>
      </w:r>
      <w:r>
        <w:rPr>
          <w:rFonts w:ascii="Times New Roman" w:cs="Times New Roman" w:eastAsia="Times New Roman" w:hAnsi="Times New Roman"/>
          <w:sz w:val="17"/>
          <w:szCs w:val="17"/>
          <w:u w:val="single" w:color="auto"/>
          <w:color w:val="auto"/>
        </w:rPr>
        <w:t>Exhibit 7(m)</w:t>
      </w:r>
      <w:r>
        <w:rPr>
          <w:rFonts w:ascii="Times New Roman" w:cs="Times New Roman" w:eastAsia="Times New Roman" w:hAnsi="Times New Roman"/>
          <w:sz w:val="17"/>
          <w:szCs w:val="17"/>
          <w:color w:val="auto"/>
        </w:rPr>
        <w:t xml:space="preserve"> for which no waiver is applicable, the Company shall cause to be furnished to TD Cowen a written opinion of (i) Fenwick &amp; West LLP (“</w:t>
      </w:r>
      <w:r>
        <w:rPr>
          <w:rFonts w:ascii="Times New Roman" w:cs="Times New Roman" w:eastAsia="Times New Roman" w:hAnsi="Times New Roman"/>
          <w:sz w:val="17"/>
          <w:szCs w:val="17"/>
          <w:b w:val="1"/>
          <w:bCs w:val="1"/>
          <w:u w:val="single" w:color="auto"/>
          <w:color w:val="auto"/>
        </w:rPr>
        <w:t>Company Counsel</w:t>
      </w:r>
      <w:r>
        <w:rPr>
          <w:rFonts w:ascii="Times New Roman" w:cs="Times New Roman" w:eastAsia="Times New Roman" w:hAnsi="Times New Roman"/>
          <w:sz w:val="17"/>
          <w:szCs w:val="17"/>
          <w:color w:val="auto"/>
        </w:rPr>
        <w:t>”), (ii) Wilson Sonsini Goodrich &amp; Rosati, Intellectual Property counsel for the Company (“</w:t>
      </w:r>
      <w:r>
        <w:rPr>
          <w:rFonts w:ascii="Times New Roman" w:cs="Times New Roman" w:eastAsia="Times New Roman" w:hAnsi="Times New Roman"/>
          <w:sz w:val="17"/>
          <w:szCs w:val="17"/>
          <w:b w:val="1"/>
          <w:bCs w:val="1"/>
          <w:u w:val="single" w:color="auto"/>
          <w:color w:val="auto"/>
        </w:rPr>
        <w:t>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Counsel</w:t>
      </w:r>
      <w:r>
        <w:rPr>
          <w:rFonts w:ascii="Times New Roman" w:cs="Times New Roman" w:eastAsia="Times New Roman" w:hAnsi="Times New Roman"/>
          <w:sz w:val="17"/>
          <w:szCs w:val="17"/>
          <w:color w:val="auto"/>
        </w:rPr>
        <w:t>”), (iii) McDermott Will &amp; Schulte LLP, Regulatory counsel for the Company (“</w:t>
      </w:r>
      <w:r>
        <w:rPr>
          <w:rFonts w:ascii="Times New Roman" w:cs="Times New Roman" w:eastAsia="Times New Roman" w:hAnsi="Times New Roman"/>
          <w:sz w:val="17"/>
          <w:szCs w:val="17"/>
          <w:b w:val="1"/>
          <w:bCs w:val="1"/>
          <w:u w:val="single" w:color="auto"/>
          <w:color w:val="auto"/>
        </w:rPr>
        <w:t>Regulatory Counsel</w:t>
      </w:r>
      <w:r>
        <w:rPr>
          <w:rFonts w:ascii="Times New Roman" w:cs="Times New Roman" w:eastAsia="Times New Roman" w:hAnsi="Times New Roman"/>
          <w:sz w:val="17"/>
          <w:szCs w:val="17"/>
          <w:color w:val="auto"/>
        </w:rPr>
        <w:t>”), in form and substance reasonably satisfactory to TD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Cowen and its counsel, dated the date that the opinion is required to be delivered;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lieu of such opinions for subsequent Bring-Down Dates, counsel may furnish TD Cowen with a letter (a “</w:t>
      </w:r>
      <w:r>
        <w:rPr>
          <w:rFonts w:ascii="Times New Roman" w:cs="Times New Roman" w:eastAsia="Times New Roman" w:hAnsi="Times New Roman"/>
          <w:sz w:val="17"/>
          <w:szCs w:val="17"/>
          <w:b w:val="1"/>
          <w:bCs w:val="1"/>
          <w:u w:val="single" w:color="auto"/>
          <w:color w:val="auto"/>
        </w:rPr>
        <w:t>Reliance Letter</w:t>
      </w:r>
      <w:r>
        <w:rPr>
          <w:rFonts w:ascii="Times New Roman" w:cs="Times New Roman" w:eastAsia="Times New Roman" w:hAnsi="Times New Roman"/>
          <w:sz w:val="17"/>
          <w:szCs w:val="17"/>
          <w:color w:val="auto"/>
        </w:rPr>
        <w:t xml:space="preserve">”) to the effect that TD Cowen may rely on a prior opinion delivered under this </w:t>
      </w:r>
      <w:r>
        <w:rPr>
          <w:rFonts w:ascii="Times New Roman" w:cs="Times New Roman" w:eastAsia="Times New Roman" w:hAnsi="Times New Roman"/>
          <w:sz w:val="17"/>
          <w:szCs w:val="17"/>
          <w:u w:val="single" w:color="auto"/>
          <w:color w:val="auto"/>
        </w:rPr>
        <w:t>Section 7(n)</w:t>
      </w:r>
      <w:r>
        <w:rPr>
          <w:rFonts w:ascii="Times New Roman" w:cs="Times New Roman" w:eastAsia="Times New Roman" w:hAnsi="Times New Roman"/>
          <w:sz w:val="17"/>
          <w:szCs w:val="17"/>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23" w:lineRule="exact"/>
        <w:rPr>
          <w:rFonts w:ascii="Times New Roman" w:cs="Times New Roman" w:eastAsia="Times New Roman" w:hAnsi="Times New Roman"/>
          <w:sz w:val="17"/>
          <w:szCs w:val="17"/>
          <w:color w:val="auto"/>
        </w:rPr>
      </w:pPr>
    </w:p>
    <w:p>
      <w:pPr>
        <w:jc w:val="both"/>
        <w:ind w:firstLine="508"/>
        <w:spacing w:after="0" w:line="211" w:lineRule="auto"/>
        <w:tabs>
          <w:tab w:leader="none" w:pos="1182"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Comfort Letter</w:t>
      </w:r>
      <w:r>
        <w:rPr>
          <w:rFonts w:ascii="Times New Roman" w:cs="Times New Roman" w:eastAsia="Times New Roman" w:hAnsi="Times New Roman"/>
          <w:sz w:val="17"/>
          <w:szCs w:val="17"/>
          <w:color w:val="auto"/>
        </w:rPr>
        <w:t xml:space="preserve">. On or prior to the First Delivery Date and within one (1) Trading Day of each Bring-Down Date with respect to which the Company is obligated to deliver a certificate in the form attached hereto as </w:t>
      </w:r>
      <w:r>
        <w:rPr>
          <w:rFonts w:ascii="Times New Roman" w:cs="Times New Roman" w:eastAsia="Times New Roman" w:hAnsi="Times New Roman"/>
          <w:sz w:val="17"/>
          <w:szCs w:val="17"/>
          <w:u w:val="single" w:color="auto"/>
          <w:color w:val="auto"/>
        </w:rPr>
        <w:t>Exhibit 7(m)</w:t>
      </w:r>
      <w:r>
        <w:rPr>
          <w:rFonts w:ascii="Times New Roman" w:cs="Times New Roman" w:eastAsia="Times New Roman" w:hAnsi="Times New Roman"/>
          <w:sz w:val="17"/>
          <w:szCs w:val="17"/>
          <w:color w:val="auto"/>
        </w:rPr>
        <w:t xml:space="preserve"> for which no waiver is applicable, the Company shall cause its independent accountants to furnish TD Cowen letters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Comfort Letters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dated the date the Comfort Letter is delivered, in form and substance satisfactory to TD Cowen,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Initial Comfort Letter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Company shall not be required to furnish more than one Comfort Letter hereunder in connection with each filing of an annual report on Form 10-K or a quarterly report on Form 10-Q unless such Comfort Letter relates to the filing of a current report on Form 8-K with respect to amended financial information or any entity or business acquired by the Company after the date of this Agreement or a Block Sale.</w:t>
      </w:r>
    </w:p>
    <w:p>
      <w:pPr>
        <w:spacing w:after="0" w:line="124" w:lineRule="exact"/>
        <w:rPr>
          <w:rFonts w:ascii="Times New Roman" w:cs="Times New Roman" w:eastAsia="Times New Roman" w:hAnsi="Times New Roman"/>
          <w:sz w:val="17"/>
          <w:szCs w:val="17"/>
          <w:color w:val="auto"/>
        </w:rPr>
      </w:pPr>
    </w:p>
    <w:p>
      <w:pPr>
        <w:jc w:val="both"/>
        <w:ind w:firstLine="508"/>
        <w:spacing w:after="0" w:line="221" w:lineRule="auto"/>
        <w:tabs>
          <w:tab w:leader="none" w:pos="1182"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Chief Financial Officer’s Certificate</w:t>
      </w:r>
      <w:r>
        <w:rPr>
          <w:rFonts w:ascii="Times New Roman" w:cs="Times New Roman" w:eastAsia="Times New Roman" w:hAnsi="Times New Roman"/>
          <w:sz w:val="17"/>
          <w:szCs w:val="17"/>
          <w:color w:val="auto"/>
        </w:rPr>
        <w:t>. If requested by TD Cowen or its counsel, on or prior to the First Delivery Date and within one (1) Trading Day of each Bring-Down Date with respect to which the Company is obligated to deliver a certificate in the form attached hereto as Exhibit 7(p) for which no waiver is applicable, the Company shall have delivered to TD Cowen a certificate executed by the Chief Financial Officer of the Company (“</w:t>
      </w:r>
      <w:r>
        <w:rPr>
          <w:rFonts w:ascii="Times New Roman" w:cs="Times New Roman" w:eastAsia="Times New Roman" w:hAnsi="Times New Roman"/>
          <w:sz w:val="17"/>
          <w:szCs w:val="17"/>
          <w:b w:val="1"/>
          <w:bCs w:val="1"/>
          <w:u w:val="single" w:color="auto"/>
          <w:color w:val="auto"/>
        </w:rPr>
        <w:t>CFO Certificate</w:t>
      </w:r>
      <w:r>
        <w:rPr>
          <w:rFonts w:ascii="Times New Roman" w:cs="Times New Roman" w:eastAsia="Times New Roman" w:hAnsi="Times New Roman"/>
          <w:sz w:val="17"/>
          <w:szCs w:val="17"/>
          <w:color w:val="auto"/>
        </w:rPr>
        <w:t>”), dated as of such date, in form and substance satisfactory to TD Cowen.</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00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Market Activities</w:t>
      </w:r>
      <w:r>
        <w:rPr>
          <w:rFonts w:ascii="Times New Roman" w:cs="Times New Roman" w:eastAsia="Times New Roman" w:hAnsi="Times New Roman"/>
          <w:sz w:val="17"/>
          <w:szCs w:val="17"/>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80"/>
          </w:cols>
          <w:pgMar w:left="300" w:top="1116" w:right="319" w:bottom="1440" w:gutter="0" w:footer="0" w:header="0"/>
        </w:sectPr>
      </w:pPr>
    </w:p>
    <w:bookmarkStart w:id="88" w:name="page89"/>
    <w:bookmarkEnd w:id="88"/>
    <w:p>
      <w:pPr>
        <w:spacing w:after="0" w:line="239" w:lineRule="auto"/>
        <w:rPr>
          <w:sz w:val="20"/>
          <w:szCs w:val="20"/>
          <w:color w:val="auto"/>
        </w:rPr>
      </w:pPr>
      <w:r>
        <w:rPr>
          <w:rFonts w:ascii="Times New Roman" w:cs="Times New Roman" w:eastAsia="Times New Roman" w:hAnsi="Times New Roman"/>
          <w:sz w:val="17"/>
          <w:szCs w:val="17"/>
          <w:color w:val="auto"/>
        </w:rPr>
        <w:t xml:space="preserve">soliciting purchases of the Placement Shares other than TD Cowen;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may bid for and purchase shares of its common stock in accordance with Rule 10b-18 under the Exchange Act.</w:t>
      </w:r>
    </w:p>
    <w:p>
      <w:pPr>
        <w:spacing w:after="0" w:line="118" w:lineRule="exact"/>
        <w:rPr>
          <w:sz w:val="20"/>
          <w:szCs w:val="20"/>
          <w:color w:val="auto"/>
        </w:rPr>
      </w:pPr>
    </w:p>
    <w:p>
      <w:pPr>
        <w:ind w:firstLine="508"/>
        <w:spacing w:after="0" w:line="236" w:lineRule="auto"/>
        <w:tabs>
          <w:tab w:leader="none" w:pos="124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and its subsidiaries shall maintain, or cause to be maintained, insurance in such amounts and covering such risks as is reasonable and customary for the business for which it is engaged.</w:t>
      </w:r>
    </w:p>
    <w:p>
      <w:pPr>
        <w:spacing w:after="0" w:line="119" w:lineRule="exact"/>
        <w:rPr>
          <w:rFonts w:ascii="Times New Roman" w:cs="Times New Roman" w:eastAsia="Times New Roman" w:hAnsi="Times New Roman"/>
          <w:sz w:val="17"/>
          <w:szCs w:val="17"/>
          <w:color w:val="auto"/>
        </w:rPr>
      </w:pPr>
    </w:p>
    <w:p>
      <w:pPr>
        <w:jc w:val="both"/>
        <w:ind w:firstLine="508"/>
        <w:spacing w:after="0" w:line="218" w:lineRule="auto"/>
        <w:tabs>
          <w:tab w:leader="none" w:pos="1237"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17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Company Act</w:t>
      </w:r>
      <w:r>
        <w:rPr>
          <w:rFonts w:ascii="Times New Roman" w:cs="Times New Roman" w:eastAsia="Times New Roman" w:hAnsi="Times New Roman"/>
          <w:sz w:val="17"/>
          <w:szCs w:val="17"/>
          <w:color w:val="auto"/>
        </w:rPr>
        <w:t>. The Company will conduct its affairs in such a manner so as to reasonably ensure that neither it nor its subsidiaries 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18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Act and Exchange Act</w:t>
      </w:r>
      <w:r>
        <w:rPr>
          <w:rFonts w:ascii="Times New Roman" w:cs="Times New Roman" w:eastAsia="Times New Roman" w:hAnsi="Times New Roman"/>
          <w:sz w:val="17"/>
          <w:szCs w:val="17"/>
          <w:color w:val="auto"/>
        </w:rPr>
        <w:t>. The Company will use its commercially reasonable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22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Offer to Sell</w:t>
      </w:r>
      <w:r>
        <w:rPr>
          <w:rFonts w:ascii="Times New Roman" w:cs="Times New Roman" w:eastAsia="Times New Roman" w:hAnsi="Times New Roman"/>
          <w:sz w:val="17"/>
          <w:szCs w:val="17"/>
          <w:color w:val="auto"/>
        </w:rPr>
        <w:t>. Other than the Prospectus or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119" w:lineRule="exact"/>
        <w:rPr>
          <w:rFonts w:ascii="Times New Roman" w:cs="Times New Roman" w:eastAsia="Times New Roman" w:hAnsi="Times New Roman"/>
          <w:sz w:val="17"/>
          <w:szCs w:val="17"/>
          <w:color w:val="auto"/>
        </w:rPr>
      </w:pPr>
    </w:p>
    <w:p>
      <w:pPr>
        <w:ind w:firstLine="508"/>
        <w:spacing w:after="0" w:line="236" w:lineRule="auto"/>
        <w:tabs>
          <w:tab w:leader="none" w:pos="129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Sarbanes-Oxley Act</w:t>
      </w:r>
      <w:r>
        <w:rPr>
          <w:rFonts w:ascii="Times New Roman" w:cs="Times New Roman" w:eastAsia="Times New Roman" w:hAnsi="Times New Roman"/>
          <w:sz w:val="17"/>
          <w:szCs w:val="17"/>
          <w:color w:val="auto"/>
        </w:rPr>
        <w:t>. The Company and its subsidiaries will use their commercially reasonable efforts to comply with all effective applicable provisions of the Sarbanes-Oxley Act.</w:t>
      </w:r>
    </w:p>
    <w:p>
      <w:pPr>
        <w:spacing w:after="0" w:line="119" w:lineRule="exact"/>
        <w:rPr>
          <w:rFonts w:ascii="Times New Roman" w:cs="Times New Roman" w:eastAsia="Times New Roman" w:hAnsi="Times New Roman"/>
          <w:sz w:val="17"/>
          <w:szCs w:val="17"/>
          <w:color w:val="auto"/>
        </w:rPr>
      </w:pPr>
    </w:p>
    <w:p>
      <w:pPr>
        <w:jc w:val="both"/>
        <w:ind w:firstLine="508"/>
        <w:spacing w:after="0" w:line="218" w:lineRule="auto"/>
        <w:tabs>
          <w:tab w:leader="none" w:pos="127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Affirmation</w:t>
      </w:r>
      <w:r>
        <w:rPr>
          <w:rFonts w:ascii="Times New Roman" w:cs="Times New Roman" w:eastAsia="Times New Roman" w:hAnsi="Times New Roman"/>
          <w:sz w:val="17"/>
          <w:szCs w:val="17"/>
          <w:color w:val="auto"/>
        </w:rPr>
        <w:t>.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15" w:lineRule="exact"/>
        <w:rPr>
          <w:rFonts w:ascii="Times New Roman" w:cs="Times New Roman" w:eastAsia="Times New Roman" w:hAnsi="Times New Roman"/>
          <w:sz w:val="17"/>
          <w:szCs w:val="17"/>
          <w:color w:val="auto"/>
        </w:rPr>
      </w:pPr>
    </w:p>
    <w:p>
      <w:pPr>
        <w:ind w:firstLine="508"/>
        <w:spacing w:after="0" w:line="239" w:lineRule="auto"/>
        <w:tabs>
          <w:tab w:leader="none" w:pos="127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Renewal</w:t>
      </w:r>
      <w:r>
        <w:rPr>
          <w:rFonts w:ascii="Times New Roman" w:cs="Times New Roman" w:eastAsia="Times New Roman" w:hAnsi="Times New Roman"/>
          <w:sz w:val="17"/>
          <w:szCs w:val="17"/>
          <w:color w:val="auto"/>
        </w:rPr>
        <w:t>. If immediately prior to the third anniversary (the “</w:t>
      </w:r>
      <w:r>
        <w:rPr>
          <w:rFonts w:ascii="Times New Roman" w:cs="Times New Roman" w:eastAsia="Times New Roman" w:hAnsi="Times New Roman"/>
          <w:sz w:val="17"/>
          <w:szCs w:val="17"/>
          <w:b w:val="1"/>
          <w:bCs w:val="1"/>
          <w:u w:val="single" w:color="auto"/>
          <w:color w:val="auto"/>
        </w:rPr>
        <w:t>Renewal Deadline</w:t>
      </w:r>
      <w:r>
        <w:rPr>
          <w:rFonts w:ascii="Times New Roman" w:cs="Times New Roman" w:eastAsia="Times New Roman" w:hAnsi="Times New Roman"/>
          <w:sz w:val="17"/>
          <w:szCs w:val="17"/>
          <w:color w:val="auto"/>
        </w:rPr>
        <w:t>”) of the initial effective date of the Registration Statement, the aggregate gross sales price of Placement Shares sold by the Company is less than the Maximum Amount and this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80"/>
          </w:cols>
          <w:pgMar w:left="300" w:top="1112" w:right="319" w:bottom="1440" w:gutter="0" w:footer="0" w:header="0"/>
        </w:sectPr>
      </w:pPr>
    </w:p>
    <w:bookmarkStart w:id="89" w:name="page90"/>
    <w:bookmarkEnd w:id="89"/>
    <w:p>
      <w:pPr>
        <w:jc w:val="both"/>
        <w:spacing w:after="0" w:line="218" w:lineRule="auto"/>
        <w:rPr>
          <w:sz w:val="20"/>
          <w:szCs w:val="20"/>
          <w:color w:val="auto"/>
        </w:rPr>
      </w:pPr>
      <w:r>
        <w:rPr>
          <w:rFonts w:ascii="Times New Roman" w:cs="Times New Roman" w:eastAsia="Times New Roman" w:hAnsi="Times New Roman"/>
          <w:sz w:val="17"/>
          <w:szCs w:val="17"/>
          <w:color w:val="auto"/>
        </w:rPr>
        <w:t>Agreement has not expired or been terminated, the Company will, prior to the Renewal Deadline, file, if it has not already done so and is eligible to do so, a new shelf registration statement relating to the Placement Shares, in a form satisfactory to TD Cowen, and, if not automatically effective, will use its best efforts to cause such registration statement to be declared effective within 90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120" w:lineRule="exact"/>
        <w:rPr>
          <w:sz w:val="20"/>
          <w:szCs w:val="20"/>
          <w:color w:val="auto"/>
        </w:rPr>
      </w:pPr>
    </w:p>
    <w:p>
      <w:pPr>
        <w:jc w:val="both"/>
        <w:ind w:firstLine="508"/>
        <w:spacing w:after="0" w:line="221" w:lineRule="auto"/>
        <w:tabs>
          <w:tab w:leader="none" w:pos="1022"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to TD Cowen’s Obligations</w:t>
      </w:r>
      <w:r>
        <w:rPr>
          <w:rFonts w:ascii="Times New Roman" w:cs="Times New Roman" w:eastAsia="Times New Roman" w:hAnsi="Times New Roman"/>
          <w:sz w:val="17"/>
          <w:szCs w:val="17"/>
          <w:color w:val="auto"/>
        </w:rPr>
        <w:t>.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w:t>
      </w:r>
    </w:p>
    <w:p>
      <w:pPr>
        <w:spacing w:after="0" w:line="119" w:lineRule="exact"/>
        <w:rPr>
          <w:sz w:val="20"/>
          <w:szCs w:val="20"/>
          <w:color w:val="auto"/>
        </w:rPr>
      </w:pPr>
    </w:p>
    <w:p>
      <w:pPr>
        <w:ind w:firstLine="508"/>
        <w:spacing w:after="0" w:line="236" w:lineRule="auto"/>
        <w:tabs>
          <w:tab w:leader="none" w:pos="124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Statement Effective</w:t>
      </w:r>
      <w:r>
        <w:rPr>
          <w:rFonts w:ascii="Times New Roman" w:cs="Times New Roman" w:eastAsia="Times New Roman" w:hAnsi="Times New Roman"/>
          <w:sz w:val="17"/>
          <w:szCs w:val="17"/>
          <w:color w:val="auto"/>
        </w:rPr>
        <w:t>. The Registration Statement shall be effective and shall be available for (i) all sales of Placement Shares issued pursuant to all prior Placement Notices and (ii) the sale of all Placement Shares contemplated to be issued pursuant to any Placement Notice.</w:t>
      </w:r>
    </w:p>
    <w:p>
      <w:pPr>
        <w:spacing w:after="0" w:line="119" w:lineRule="exact"/>
        <w:rPr>
          <w:rFonts w:ascii="Times New Roman" w:cs="Times New Roman" w:eastAsia="Times New Roman" w:hAnsi="Times New Roman"/>
          <w:sz w:val="17"/>
          <w:szCs w:val="17"/>
          <w:color w:val="auto"/>
        </w:rPr>
      </w:pPr>
    </w:p>
    <w:p>
      <w:pPr>
        <w:jc w:val="both"/>
        <w:ind w:firstLine="508"/>
        <w:spacing w:after="0" w:line="211" w:lineRule="auto"/>
        <w:tabs>
          <w:tab w:leader="none" w:pos="117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Notices</w:t>
      </w:r>
      <w:r>
        <w:rPr>
          <w:rFonts w:ascii="Times New Roman" w:cs="Times New Roman" w:eastAsia="Times New Roman" w:hAnsi="Times New Roman"/>
          <w:sz w:val="17"/>
          <w:szCs w:val="17"/>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20" w:lineRule="exact"/>
        <w:rPr>
          <w:rFonts w:ascii="Times New Roman" w:cs="Times New Roman" w:eastAsia="Times New Roman" w:hAnsi="Times New Roman"/>
          <w:sz w:val="17"/>
          <w:szCs w:val="17"/>
          <w:color w:val="auto"/>
        </w:rPr>
      </w:pPr>
    </w:p>
    <w:p>
      <w:pPr>
        <w:jc w:val="both"/>
        <w:ind w:firstLine="508"/>
        <w:spacing w:after="0" w:line="226" w:lineRule="auto"/>
        <w:tabs>
          <w:tab w:leader="none" w:pos="128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Misstatement or Material Omission</w:t>
      </w:r>
      <w:r>
        <w:rPr>
          <w:rFonts w:ascii="Times New Roman" w:cs="Times New Roman" w:eastAsia="Times New Roman" w:hAnsi="Times New Roman"/>
          <w:sz w:val="17"/>
          <w:szCs w:val="17"/>
          <w:color w:val="auto"/>
        </w:rPr>
        <w:t>. TD Cowen shall not have advised the Company that the Registration Statement or Prospectus, or any amendment or supplement thereto, contains an untrue statement of fact that in TD Cowen’s reasonable opinion is material, or omits to state a fact that in TD Cowen’s reasonable opinion is material and is required to be stated therein or is necessary to make the statements therein not misleading.</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203"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w:t>
      </w:r>
      <w:r>
        <w:rPr>
          <w:rFonts w:ascii="Times New Roman" w:cs="Times New Roman" w:eastAsia="Times New Roman" w:hAnsi="Times New Roman"/>
          <w:sz w:val="17"/>
          <w:szCs w:val="17"/>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80"/>
          </w:cols>
          <w:pgMar w:left="300" w:top="1116" w:right="319" w:bottom="1440" w:gutter="0" w:footer="0" w:header="0"/>
        </w:sectPr>
      </w:pPr>
    </w:p>
    <w:bookmarkStart w:id="90" w:name="page91"/>
    <w:bookmarkEnd w:id="90"/>
    <w:p>
      <w:pPr>
        <w:jc w:val="both"/>
        <w:spacing w:after="0" w:line="235" w:lineRule="auto"/>
        <w:rPr>
          <w:sz w:val="20"/>
          <w:szCs w:val="20"/>
          <w:color w:val="auto"/>
        </w:rPr>
      </w:pPr>
      <w:r>
        <w:rPr>
          <w:rFonts w:ascii="Times New Roman" w:cs="Times New Roman" w:eastAsia="Times New Roman" w:hAnsi="Times New Roman"/>
          <w:sz w:val="16"/>
          <w:szCs w:val="16"/>
          <w:color w:val="auto"/>
        </w:rPr>
        <w:t>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19" w:lineRule="exact"/>
        <w:rPr>
          <w:sz w:val="20"/>
          <w:szCs w:val="20"/>
          <w:color w:val="auto"/>
        </w:rPr>
      </w:pPr>
    </w:p>
    <w:p>
      <w:pPr>
        <w:ind w:firstLine="508"/>
        <w:spacing w:after="0" w:line="236" w:lineRule="auto"/>
        <w:tabs>
          <w:tab w:leader="none" w:pos="118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Counsel Legal Opinion</w:t>
      </w:r>
      <w:r>
        <w:rPr>
          <w:rFonts w:ascii="Times New Roman" w:cs="Times New Roman" w:eastAsia="Times New Roman" w:hAnsi="Times New Roman"/>
          <w:sz w:val="17"/>
          <w:szCs w:val="17"/>
          <w:color w:val="auto"/>
        </w:rPr>
        <w:t xml:space="preserve">. TD Cowen shall have received the opinions of Company Counsel, IP Counsel and Regulatory Counsel required to be delivered pursuant to </w:t>
      </w:r>
      <w:r>
        <w:rPr>
          <w:rFonts w:ascii="Times New Roman" w:cs="Times New Roman" w:eastAsia="Times New Roman" w:hAnsi="Times New Roman"/>
          <w:sz w:val="17"/>
          <w:szCs w:val="17"/>
          <w:u w:val="single" w:color="auto"/>
          <w:color w:val="auto"/>
        </w:rPr>
        <w:t>Section 7(n)</w:t>
      </w:r>
      <w:r>
        <w:rPr>
          <w:rFonts w:ascii="Times New Roman" w:cs="Times New Roman" w:eastAsia="Times New Roman" w:hAnsi="Times New Roman"/>
          <w:sz w:val="17"/>
          <w:szCs w:val="17"/>
          <w:color w:val="auto"/>
        </w:rPr>
        <w:t xml:space="preserve"> on or before the date on which such delivery of such opinion is required pursuant to </w:t>
      </w:r>
      <w:r>
        <w:rPr>
          <w:rFonts w:ascii="Times New Roman" w:cs="Times New Roman" w:eastAsia="Times New Roman" w:hAnsi="Times New Roman"/>
          <w:sz w:val="17"/>
          <w:szCs w:val="17"/>
          <w:u w:val="single" w:color="auto"/>
          <w:color w:val="auto"/>
        </w:rPr>
        <w:t>Section 7(n)</w:t>
      </w:r>
      <w:r>
        <w:rPr>
          <w:rFonts w:ascii="Times New Roman" w:cs="Times New Roman" w:eastAsia="Times New Roman" w:hAnsi="Times New Roman"/>
          <w:sz w:val="17"/>
          <w:szCs w:val="17"/>
          <w:color w:val="auto"/>
        </w:rPr>
        <w:t>.</w:t>
      </w:r>
    </w:p>
    <w:p>
      <w:pPr>
        <w:spacing w:after="0" w:line="119" w:lineRule="exact"/>
        <w:rPr>
          <w:rFonts w:ascii="Times New Roman" w:cs="Times New Roman" w:eastAsia="Times New Roman" w:hAnsi="Times New Roman"/>
          <w:sz w:val="17"/>
          <w:szCs w:val="17"/>
          <w:color w:val="auto"/>
        </w:rPr>
      </w:pPr>
    </w:p>
    <w:p>
      <w:pPr>
        <w:jc w:val="both"/>
        <w:ind w:firstLine="508"/>
        <w:spacing w:after="0" w:line="221" w:lineRule="auto"/>
        <w:tabs>
          <w:tab w:leader="none" w:pos="118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TD Cowen Counsel Legal Opinion</w:t>
      </w:r>
      <w:r>
        <w:rPr>
          <w:rFonts w:ascii="Times New Roman" w:cs="Times New Roman" w:eastAsia="Times New Roman" w:hAnsi="Times New Roman"/>
          <w:sz w:val="17"/>
          <w:szCs w:val="17"/>
          <w:color w:val="auto"/>
        </w:rPr>
        <w:t xml:space="preserve">. TD Cowen shall have received from DLA Piper LLP (US), counsel for TD Cowen, such opinion or opinions, on or before the date on which the delivery of the Company Counsel, IP Counsel and Regulatory Counsel legal opinions are required pursuant to </w:t>
      </w:r>
      <w:r>
        <w:rPr>
          <w:rFonts w:ascii="Times New Roman" w:cs="Times New Roman" w:eastAsia="Times New Roman" w:hAnsi="Times New Roman"/>
          <w:sz w:val="17"/>
          <w:szCs w:val="17"/>
          <w:u w:val="single" w:color="auto"/>
          <w:color w:val="auto"/>
        </w:rPr>
        <w:t>Section 7(n)</w:t>
      </w:r>
      <w:r>
        <w:rPr>
          <w:rFonts w:ascii="Times New Roman" w:cs="Times New Roman" w:eastAsia="Times New Roman" w:hAnsi="Times New Roman"/>
          <w:sz w:val="17"/>
          <w:szCs w:val="17"/>
          <w:color w:val="auto"/>
        </w:rPr>
        <w:t>, with respect to such matters as TD Cowen may reasonably require, and the Company shall have furnished to such counsel such documents as they request for enabling them to pass upon such matters.</w:t>
      </w:r>
    </w:p>
    <w:p>
      <w:pPr>
        <w:spacing w:after="0" w:line="119" w:lineRule="exact"/>
        <w:rPr>
          <w:rFonts w:ascii="Times New Roman" w:cs="Times New Roman" w:eastAsia="Times New Roman" w:hAnsi="Times New Roman"/>
          <w:sz w:val="17"/>
          <w:szCs w:val="17"/>
          <w:color w:val="auto"/>
        </w:rPr>
      </w:pPr>
    </w:p>
    <w:p>
      <w:pPr>
        <w:ind w:firstLine="508"/>
        <w:spacing w:after="0" w:line="236" w:lineRule="auto"/>
        <w:tabs>
          <w:tab w:leader="none" w:pos="120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Comfort Letter</w:t>
      </w:r>
      <w:r>
        <w:rPr>
          <w:rFonts w:ascii="Times New Roman" w:cs="Times New Roman" w:eastAsia="Times New Roman" w:hAnsi="Times New Roman"/>
          <w:sz w:val="17"/>
          <w:szCs w:val="17"/>
          <w:color w:val="auto"/>
        </w:rPr>
        <w:t xml:space="preserve">. TD Cowen shall have received the Comfort Letter required to be delivered pursuant to </w:t>
      </w:r>
      <w:r>
        <w:rPr>
          <w:rFonts w:ascii="Times New Roman" w:cs="Times New Roman" w:eastAsia="Times New Roman" w:hAnsi="Times New Roman"/>
          <w:sz w:val="17"/>
          <w:szCs w:val="17"/>
          <w:u w:val="single" w:color="auto"/>
          <w:color w:val="auto"/>
        </w:rPr>
        <w:t>Section 7(o)</w:t>
      </w:r>
      <w:r>
        <w:rPr>
          <w:rFonts w:ascii="Times New Roman" w:cs="Times New Roman" w:eastAsia="Times New Roman" w:hAnsi="Times New Roman"/>
          <w:sz w:val="17"/>
          <w:szCs w:val="17"/>
          <w:color w:val="auto"/>
        </w:rPr>
        <w:t xml:space="preserve"> on or before the date on which such delivery of such Comfort Letter is required pursuant to </w:t>
      </w:r>
      <w:r>
        <w:rPr>
          <w:rFonts w:ascii="Times New Roman" w:cs="Times New Roman" w:eastAsia="Times New Roman" w:hAnsi="Times New Roman"/>
          <w:sz w:val="17"/>
          <w:szCs w:val="17"/>
          <w:u w:val="single" w:color="auto"/>
          <w:color w:val="auto"/>
        </w:rPr>
        <w:t>Section 7(o)</w:t>
      </w:r>
      <w:r>
        <w:rPr>
          <w:rFonts w:ascii="Times New Roman" w:cs="Times New Roman" w:eastAsia="Times New Roman" w:hAnsi="Times New Roman"/>
          <w:sz w:val="17"/>
          <w:szCs w:val="17"/>
          <w:color w:val="auto"/>
        </w:rPr>
        <w:t>.</w:t>
      </w:r>
    </w:p>
    <w:p>
      <w:pPr>
        <w:spacing w:after="0" w:line="119" w:lineRule="exact"/>
        <w:rPr>
          <w:rFonts w:ascii="Times New Roman" w:cs="Times New Roman" w:eastAsia="Times New Roman" w:hAnsi="Times New Roman"/>
          <w:sz w:val="17"/>
          <w:szCs w:val="17"/>
          <w:color w:val="auto"/>
        </w:rPr>
      </w:pPr>
    </w:p>
    <w:p>
      <w:pPr>
        <w:ind w:firstLine="508"/>
        <w:spacing w:after="0" w:line="236" w:lineRule="auto"/>
        <w:tabs>
          <w:tab w:leader="none" w:pos="120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 Certificate</w:t>
      </w:r>
      <w:r>
        <w:rPr>
          <w:rFonts w:ascii="Times New Roman" w:cs="Times New Roman" w:eastAsia="Times New Roman" w:hAnsi="Times New Roman"/>
          <w:sz w:val="17"/>
          <w:szCs w:val="17"/>
          <w:color w:val="auto"/>
        </w:rPr>
        <w:t xml:space="preserve">. TD Cowen shall have received the certificate required to be delivered pursuant to </w:t>
      </w:r>
      <w:r>
        <w:rPr>
          <w:rFonts w:ascii="Times New Roman" w:cs="Times New Roman" w:eastAsia="Times New Roman" w:hAnsi="Times New Roman"/>
          <w:sz w:val="17"/>
          <w:szCs w:val="17"/>
          <w:u w:val="single" w:color="auto"/>
          <w:color w:val="auto"/>
        </w:rPr>
        <w:t>Section 7(m)</w:t>
      </w:r>
      <w:r>
        <w:rPr>
          <w:rFonts w:ascii="Times New Roman" w:cs="Times New Roman" w:eastAsia="Times New Roman" w:hAnsi="Times New Roman"/>
          <w:sz w:val="17"/>
          <w:szCs w:val="17"/>
          <w:color w:val="auto"/>
        </w:rPr>
        <w:t xml:space="preserve"> on or before the date on which delivery of such certificate is required pursuant to </w:t>
      </w:r>
      <w:r>
        <w:rPr>
          <w:rFonts w:ascii="Times New Roman" w:cs="Times New Roman" w:eastAsia="Times New Roman" w:hAnsi="Times New Roman"/>
          <w:sz w:val="17"/>
          <w:szCs w:val="17"/>
          <w:u w:val="single" w:color="auto"/>
          <w:color w:val="auto"/>
        </w:rPr>
        <w:t>Section 7(m)</w:t>
      </w:r>
      <w:r>
        <w:rPr>
          <w:rFonts w:ascii="Times New Roman" w:cs="Times New Roman" w:eastAsia="Times New Roman" w:hAnsi="Times New Roman"/>
          <w:sz w:val="17"/>
          <w:szCs w:val="17"/>
          <w:color w:val="auto"/>
        </w:rPr>
        <w:t>.</w:t>
      </w:r>
    </w:p>
    <w:p>
      <w:pPr>
        <w:spacing w:after="0" w:line="119" w:lineRule="exact"/>
        <w:rPr>
          <w:rFonts w:ascii="Times New Roman" w:cs="Times New Roman" w:eastAsia="Times New Roman" w:hAnsi="Times New Roman"/>
          <w:sz w:val="17"/>
          <w:szCs w:val="17"/>
          <w:color w:val="auto"/>
        </w:rPr>
      </w:pPr>
    </w:p>
    <w:p>
      <w:pPr>
        <w:ind w:firstLine="508"/>
        <w:spacing w:after="0" w:line="236" w:lineRule="auto"/>
        <w:tabs>
          <w:tab w:leader="none" w:pos="121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Secretary’s Certificate</w:t>
      </w:r>
      <w:r>
        <w:rPr>
          <w:rFonts w:ascii="Times New Roman" w:cs="Times New Roman" w:eastAsia="Times New Roman" w:hAnsi="Times New Roman"/>
          <w:sz w:val="17"/>
          <w:szCs w:val="17"/>
          <w:color w:val="auto"/>
        </w:rPr>
        <w:t>. On or prior to the First Delivery Date, TD Cowen shall have received a certificate, signed on behalf of the Company by its corporate secretary, in form and substance satisfactory to TD Cowen and its counsel.</w:t>
      </w:r>
    </w:p>
    <w:p>
      <w:pPr>
        <w:spacing w:after="0" w:line="119" w:lineRule="exact"/>
        <w:rPr>
          <w:rFonts w:ascii="Times New Roman" w:cs="Times New Roman" w:eastAsia="Times New Roman" w:hAnsi="Times New Roman"/>
          <w:sz w:val="17"/>
          <w:szCs w:val="17"/>
          <w:color w:val="auto"/>
        </w:rPr>
      </w:pPr>
    </w:p>
    <w:p>
      <w:pPr>
        <w:ind w:firstLine="508"/>
        <w:spacing w:after="0" w:line="236" w:lineRule="auto"/>
        <w:tabs>
          <w:tab w:leader="none" w:pos="1197"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CFO Certificate</w:t>
      </w:r>
      <w:r>
        <w:rPr>
          <w:rFonts w:ascii="Times New Roman" w:cs="Times New Roman" w:eastAsia="Times New Roman" w:hAnsi="Times New Roman"/>
          <w:sz w:val="17"/>
          <w:szCs w:val="17"/>
          <w:color w:val="auto"/>
        </w:rPr>
        <w:t>. If requested by TD Cowen or its counsel, TD Cowen shall have received the CFO Certificate required to be delivered pursuant to Section 7(p) on or before the date on which delivery of such certificate is required pursuant to Section 7(p).</w:t>
      </w:r>
    </w:p>
    <w:p>
      <w:pPr>
        <w:spacing w:after="0" w:line="119" w:lineRule="exact"/>
        <w:rPr>
          <w:rFonts w:ascii="Times New Roman" w:cs="Times New Roman" w:eastAsia="Times New Roman" w:hAnsi="Times New Roman"/>
          <w:sz w:val="17"/>
          <w:szCs w:val="17"/>
          <w:color w:val="auto"/>
        </w:rPr>
      </w:pPr>
    </w:p>
    <w:p>
      <w:pPr>
        <w:ind w:left="1180" w:hanging="672"/>
        <w:spacing w:after="0"/>
        <w:tabs>
          <w:tab w:leader="none" w:pos="11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Suspension</w:t>
      </w:r>
      <w:r>
        <w:rPr>
          <w:rFonts w:ascii="Times New Roman" w:cs="Times New Roman" w:eastAsia="Times New Roman" w:hAnsi="Times New Roman"/>
          <w:sz w:val="17"/>
          <w:szCs w:val="17"/>
          <w:color w:val="auto"/>
        </w:rPr>
        <w:t>. Trading in the Common Stock shall not have been suspended on Nasdaq.</w:t>
      </w:r>
    </w:p>
    <w:p>
      <w:pPr>
        <w:spacing w:after="0" w:line="140" w:lineRule="exact"/>
        <w:rPr>
          <w:rFonts w:ascii="Times New Roman" w:cs="Times New Roman" w:eastAsia="Times New Roman" w:hAnsi="Times New Roman"/>
          <w:sz w:val="17"/>
          <w:szCs w:val="17"/>
          <w:color w:val="auto"/>
        </w:rPr>
      </w:pPr>
    </w:p>
    <w:p>
      <w:pPr>
        <w:jc w:val="both"/>
        <w:ind w:firstLine="508"/>
        <w:spacing w:after="0" w:line="221" w:lineRule="auto"/>
        <w:tabs>
          <w:tab w:leader="none" w:pos="1187"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Materials</w:t>
      </w:r>
      <w:r>
        <w:rPr>
          <w:rFonts w:ascii="Times New Roman" w:cs="Times New Roman" w:eastAsia="Times New Roman" w:hAnsi="Times New Roman"/>
          <w:sz w:val="17"/>
          <w:szCs w:val="17"/>
          <w:color w:val="auto"/>
        </w:rPr>
        <w:t xml:space="preserve">. On each date on which the Company is required to deliver a certificate pursuant to </w:t>
      </w:r>
      <w:r>
        <w:rPr>
          <w:rFonts w:ascii="Times New Roman" w:cs="Times New Roman" w:eastAsia="Times New Roman" w:hAnsi="Times New Roman"/>
          <w:sz w:val="17"/>
          <w:szCs w:val="17"/>
          <w:u w:val="single" w:color="auto"/>
          <w:color w:val="auto"/>
        </w:rPr>
        <w:t>Section 7(m)</w:t>
      </w:r>
      <w:r>
        <w:rPr>
          <w:rFonts w:ascii="Times New Roman" w:cs="Times New Roman" w:eastAsia="Times New Roman" w:hAnsi="Times New Roman"/>
          <w:sz w:val="17"/>
          <w:szCs w:val="17"/>
          <w:color w:val="auto"/>
        </w:rPr>
        <w:t>,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spacing w:after="0" w:line="119" w:lineRule="exact"/>
        <w:rPr>
          <w:rFonts w:ascii="Times New Roman" w:cs="Times New Roman" w:eastAsia="Times New Roman" w:hAnsi="Times New Roman"/>
          <w:sz w:val="17"/>
          <w:szCs w:val="17"/>
          <w:color w:val="auto"/>
        </w:rPr>
      </w:pPr>
    </w:p>
    <w:p>
      <w:pPr>
        <w:ind w:firstLine="508"/>
        <w:spacing w:after="0" w:line="236" w:lineRule="auto"/>
        <w:tabs>
          <w:tab w:leader="none" w:pos="116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Act Filings Made</w:t>
      </w:r>
      <w:r>
        <w:rPr>
          <w:rFonts w:ascii="Times New Roman" w:cs="Times New Roman" w:eastAsia="Times New Roman" w:hAnsi="Times New Roman"/>
          <w:sz w:val="17"/>
          <w:szCs w:val="17"/>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19" w:lineRule="exact"/>
        <w:rPr>
          <w:rFonts w:ascii="Times New Roman" w:cs="Times New Roman" w:eastAsia="Times New Roman" w:hAnsi="Times New Roman"/>
          <w:sz w:val="17"/>
          <w:szCs w:val="17"/>
          <w:color w:val="auto"/>
        </w:rPr>
      </w:pPr>
    </w:p>
    <w:p>
      <w:pPr>
        <w:ind w:firstLine="508"/>
        <w:spacing w:after="0" w:line="236" w:lineRule="auto"/>
        <w:tabs>
          <w:tab w:leader="none" w:pos="120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Approval for Listing</w:t>
      </w:r>
      <w:r>
        <w:rPr>
          <w:rFonts w:ascii="Times New Roman" w:cs="Times New Roman" w:eastAsia="Times New Roman" w:hAnsi="Times New Roman"/>
          <w:sz w:val="17"/>
          <w:szCs w:val="17"/>
          <w:color w:val="auto"/>
        </w:rPr>
        <w:t>. The Placement Shares shall either have been (i) approved for listing on Nasdaq, subject only to notice of issuance, or (ii) the Company shall have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80"/>
          </w:cols>
          <w:pgMar w:left="300" w:top="1116"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filed an application for listing of the Placement Shares on Nasdaq at, or prior to, the issuance of any Placement Notice.</w:t>
      </w:r>
    </w:p>
    <w:p>
      <w:pPr>
        <w:spacing w:after="0" w:line="140" w:lineRule="exact"/>
        <w:rPr>
          <w:sz w:val="20"/>
          <w:szCs w:val="20"/>
          <w:color w:val="auto"/>
        </w:rPr>
      </w:pPr>
    </w:p>
    <w:p>
      <w:pPr>
        <w:ind w:left="1180" w:hanging="672"/>
        <w:spacing w:after="0"/>
        <w:tabs>
          <w:tab w:leader="none" w:pos="11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Termination Event</w:t>
      </w:r>
      <w:r>
        <w:rPr>
          <w:rFonts w:ascii="Times New Roman" w:cs="Times New Roman" w:eastAsia="Times New Roman" w:hAnsi="Times New Roman"/>
          <w:sz w:val="16"/>
          <w:szCs w:val="16"/>
          <w:color w:val="auto"/>
        </w:rPr>
        <w:t xml:space="preserve">. There shall not have occurred any event that would permit TD Cowen to terminate this Agreement pursuant to </w:t>
      </w:r>
      <w:r>
        <w:rPr>
          <w:rFonts w:ascii="Times New Roman" w:cs="Times New Roman" w:eastAsia="Times New Roman" w:hAnsi="Times New Roman"/>
          <w:sz w:val="16"/>
          <w:szCs w:val="16"/>
          <w:u w:val="single" w:color="auto"/>
          <w:color w:val="auto"/>
        </w:rPr>
        <w:t>Section 11(a)</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ind w:left="1020" w:hanging="512"/>
        <w:spacing w:after="0"/>
        <w:tabs>
          <w:tab w:leader="none" w:pos="10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and Contribution</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508"/>
        <w:spacing w:after="0" w:line="209" w:lineRule="auto"/>
        <w:tabs>
          <w:tab w:leader="none" w:pos="127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Indemnification</w:t>
      </w:r>
      <w:r>
        <w:rPr>
          <w:rFonts w:ascii="Times New Roman" w:cs="Times New Roman" w:eastAsia="Times New Roman" w:hAnsi="Times New Roman"/>
          <w:sz w:val="17"/>
          <w:szCs w:val="17"/>
          <w:color w:val="auto"/>
        </w:rPr>
        <w:t xml:space="preserve">. The Company agrees to indemnify and hold harmless TD Cowen, its affiliates, and each of their directors, officers, partners, employees and agents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 w:cs="Times New Roman" w:eastAsia="Times New Roman" w:hAnsi="Times New Roman"/>
          <w:sz w:val="17"/>
          <w:szCs w:val="17"/>
          <w:u w:val="single" w:color="auto"/>
          <w:color w:val="auto"/>
        </w:rPr>
        <w:t>Section 9(c)</w:t>
      </w:r>
      <w:r>
        <w:rPr>
          <w:rFonts w:ascii="Times New Roman" w:cs="Times New Roman" w:eastAsia="Times New Roman" w:hAnsi="Times New Roman"/>
          <w:sz w:val="17"/>
          <w:szCs w:val="17"/>
          <w:color w:val="auto"/>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(x) the third sentence of the eighth paragraph and (y) the tenth paragraph under the caption “Plan of Distribution” in the Prospectus. This indemnity agreement will be in addition to any liability that the Company might otherwise have.</w:t>
      </w:r>
    </w:p>
    <w:p>
      <w:pPr>
        <w:spacing w:after="0" w:line="128" w:lineRule="exact"/>
        <w:rPr>
          <w:rFonts w:ascii="Times New Roman" w:cs="Times New Roman" w:eastAsia="Times New Roman" w:hAnsi="Times New Roman"/>
          <w:sz w:val="17"/>
          <w:szCs w:val="17"/>
          <w:color w:val="auto"/>
        </w:rPr>
      </w:pPr>
    </w:p>
    <w:p>
      <w:pPr>
        <w:jc w:val="both"/>
        <w:ind w:firstLine="508"/>
        <w:spacing w:after="0" w:line="216" w:lineRule="auto"/>
        <w:tabs>
          <w:tab w:leader="none" w:pos="1193"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TD Cowen Indemnification</w:t>
      </w:r>
      <w:r>
        <w:rPr>
          <w:rFonts w:ascii="Times New Roman" w:cs="Times New Roman" w:eastAsia="Times New Roman" w:hAnsi="Times New Roman"/>
          <w:sz w:val="17"/>
          <w:szCs w:val="17"/>
          <w:color w:val="auto"/>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19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w:t>
      </w:r>
      <w:r>
        <w:rPr>
          <w:rFonts w:ascii="Times New Roman" w:cs="Times New Roman" w:eastAsia="Times New Roman" w:hAnsi="Times New Roman"/>
          <w:sz w:val="17"/>
          <w:szCs w:val="17"/>
          <w:color w:val="auto"/>
        </w:rPr>
        <w:t xml:space="preserve">. Any party that proposes to assert the right to be indemnified under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notify each such indemnifying party of the commencement of such action, enclosing a copy of all papers served, but the omission so to notify such indemnifying party will</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80"/>
          </w:cols>
          <w:pgMar w:left="300" w:top="1116" w:right="319" w:bottom="1440" w:gutter="0" w:footer="0" w:header="0"/>
        </w:sectPr>
      </w:pPr>
    </w:p>
    <w:bookmarkStart w:id="92" w:name="page93"/>
    <w:bookmarkEnd w:id="92"/>
    <w:p>
      <w:pPr>
        <w:jc w:val="both"/>
        <w:spacing w:after="0" w:line="208" w:lineRule="auto"/>
        <w:rPr>
          <w:sz w:val="20"/>
          <w:szCs w:val="20"/>
          <w:color w:val="auto"/>
        </w:rPr>
      </w:pPr>
      <w:r>
        <w:rPr>
          <w:rFonts w:ascii="Times New Roman" w:cs="Times New Roman" w:eastAsia="Times New Roman" w:hAnsi="Times New Roman"/>
          <w:sz w:val="17"/>
          <w:szCs w:val="17"/>
          <w:color w:val="auto"/>
        </w:rPr>
        <w:t xml:space="preserve">not relieve the indemnifying party from (i) any liability that it might have to any indemnified party otherwise than under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and (ii) any liability that it may have to any indemnified party under the foregoing provision of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133" w:lineRule="exact"/>
        <w:rPr>
          <w:sz w:val="20"/>
          <w:szCs w:val="20"/>
          <w:color w:val="auto"/>
        </w:rPr>
      </w:pPr>
    </w:p>
    <w:p>
      <w:pPr>
        <w:jc w:val="both"/>
        <w:ind w:firstLine="508"/>
        <w:spacing w:after="0" w:line="213" w:lineRule="auto"/>
        <w:tabs>
          <w:tab w:leader="none" w:pos="124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is applicable in accordance with its terms but for any reason is held to be unavailable from the Company or TD Cowen, the Company and TD Cowen will contribute to the total losses, claims, liabilities, expenses and damages (including any reasonable and documented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80"/>
          </w:cols>
          <w:pgMar w:left="300" w:top="1116" w:right="319" w:bottom="1440" w:gutter="0" w:footer="0" w:header="0"/>
        </w:sectPr>
      </w:pPr>
    </w:p>
    <w:bookmarkStart w:id="93" w:name="page94"/>
    <w:bookmarkEnd w:id="93"/>
    <w:p>
      <w:pPr>
        <w:jc w:val="both"/>
        <w:spacing w:after="0" w:line="208" w:lineRule="auto"/>
        <w:rPr>
          <w:sz w:val="20"/>
          <w:szCs w:val="20"/>
          <w:color w:val="auto"/>
        </w:rPr>
      </w:pPr>
      <w:r>
        <w:rPr>
          <w:rFonts w:ascii="Times New Roman" w:cs="Times New Roman" w:eastAsia="Times New Roman" w:hAnsi="Times New Roman"/>
          <w:sz w:val="17"/>
          <w:szCs w:val="17"/>
          <w:color w:val="auto"/>
        </w:rPr>
        <w:t xml:space="preserve">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shall be deemed to include, for the purpose of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any reasonable and documented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7"/>
          <w:szCs w:val="17"/>
          <w:u w:val="single" w:color="auto"/>
          <w:color w:val="auto"/>
        </w:rPr>
        <w:t>Section 9(c)</w:t>
      </w:r>
      <w:r>
        <w:rPr>
          <w:rFonts w:ascii="Times New Roman" w:cs="Times New Roman" w:eastAsia="Times New Roman" w:hAnsi="Times New Roman"/>
          <w:sz w:val="17"/>
          <w:szCs w:val="17"/>
          <w:color w:val="auto"/>
        </w:rPr>
        <w:t xml:space="preserve"> hereof. Notwithstanding the foregoing provisions of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any person who controls a party to this Agreement within the meaning of the Securities Act, and any officers, directors, partners, employees or agents of TD Cowen,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7"/>
          <w:szCs w:val="17"/>
          <w:u w:val="single" w:color="auto"/>
          <w:color w:val="auto"/>
        </w:rPr>
        <w:t>Section 9(c)</w:t>
      </w:r>
      <w:r>
        <w:rPr>
          <w:rFonts w:ascii="Times New Roman" w:cs="Times New Roman" w:eastAsia="Times New Roman" w:hAnsi="Times New Roman"/>
          <w:sz w:val="17"/>
          <w:szCs w:val="17"/>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7"/>
          <w:szCs w:val="17"/>
          <w:u w:val="single" w:color="auto"/>
          <w:color w:val="auto"/>
        </w:rPr>
        <w:t>Section 9(c)</w:t>
      </w:r>
      <w:r>
        <w:rPr>
          <w:rFonts w:ascii="Times New Roman" w:cs="Times New Roman" w:eastAsia="Times New Roman" w:hAnsi="Times New Roman"/>
          <w:sz w:val="17"/>
          <w:szCs w:val="17"/>
          <w:color w:val="auto"/>
        </w:rPr>
        <w:t xml:space="preserve"> hereof.</w:t>
      </w:r>
    </w:p>
    <w:p>
      <w:pPr>
        <w:spacing w:after="0" w:line="133" w:lineRule="exact"/>
        <w:rPr>
          <w:sz w:val="20"/>
          <w:szCs w:val="20"/>
          <w:color w:val="auto"/>
        </w:rPr>
      </w:pPr>
    </w:p>
    <w:p>
      <w:pPr>
        <w:jc w:val="both"/>
        <w:ind w:firstLine="508"/>
        <w:spacing w:after="0" w:line="221" w:lineRule="auto"/>
        <w:tabs>
          <w:tab w:leader="none" w:pos="103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Agreements to Survive Delivery</w:t>
      </w:r>
      <w:r>
        <w:rPr>
          <w:rFonts w:ascii="Times New Roman" w:cs="Times New Roman" w:eastAsia="Times New Roman" w:hAnsi="Times New Roman"/>
          <w:sz w:val="17"/>
          <w:szCs w:val="17"/>
          <w:color w:val="auto"/>
        </w:rPr>
        <w:t xml:space="preserve">. The indemnity and contribution agreements contained in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w:t>
      </w:r>
    </w:p>
    <w:p>
      <w:pPr>
        <w:spacing w:after="0" w:line="119" w:lineRule="exact"/>
        <w:rPr>
          <w:rFonts w:ascii="Times New Roman" w:cs="Times New Roman" w:eastAsia="Times New Roman" w:hAnsi="Times New Roman"/>
          <w:sz w:val="17"/>
          <w:szCs w:val="17"/>
          <w:color w:val="auto"/>
        </w:rPr>
      </w:pPr>
    </w:p>
    <w:p>
      <w:pPr>
        <w:ind w:left="1020" w:hanging="512"/>
        <w:spacing w:after="0"/>
        <w:tabs>
          <w:tab w:leader="none" w:pos="10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p>
    <w:p>
      <w:pPr>
        <w:spacing w:after="0" w:line="140" w:lineRule="exact"/>
        <w:rPr>
          <w:sz w:val="20"/>
          <w:szCs w:val="20"/>
          <w:color w:val="auto"/>
        </w:rPr>
      </w:pPr>
    </w:p>
    <w:p>
      <w:pPr>
        <w:ind w:firstLine="508"/>
        <w:spacing w:after="0" w:line="236" w:lineRule="auto"/>
        <w:tabs>
          <w:tab w:leader="none" w:pos="119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TD Cowen shall have the right by giving notice as hereinafter specified at any time to terminate this Agreement if (i) any Material Adverse Change, or any development that could reasonably be expected to result in a Material Adverse Change has occurred that, 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80"/>
          </w:cols>
          <w:pgMar w:left="300" w:top="1116" w:right="319" w:bottom="1440" w:gutter="0" w:footer="0" w:header="0"/>
        </w:sectPr>
      </w:pPr>
    </w:p>
    <w:bookmarkStart w:id="94" w:name="page95"/>
    <w:bookmarkEnd w:id="94"/>
    <w:p>
      <w:pPr>
        <w:jc w:val="both"/>
        <w:spacing w:after="0" w:line="212" w:lineRule="auto"/>
        <w:rPr>
          <w:sz w:val="20"/>
          <w:szCs w:val="20"/>
          <w:color w:val="auto"/>
        </w:rPr>
      </w:pPr>
      <w:r>
        <w:rPr>
          <w:rFonts w:ascii="Times New Roman" w:cs="Times New Roman" w:eastAsia="Times New Roman" w:hAnsi="Times New Roman"/>
          <w:sz w:val="17"/>
          <w:szCs w:val="17"/>
          <w:color w:val="auto"/>
        </w:rPr>
        <w:t xml:space="preserve">the reasonable judgment of TD Cowen, may materially impair the ability of TD Cowen to sell the Placement Shares hereunder, (ii) the Company shall have failed, refused or been unable to perform any agreement on its part to be performed hereunder;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in the case of any failure of the Company to deliver (or cause another person to deliver) any certification, opinion, or letter required under Sections 7(m), 7(n), 7(o) or 7(p), TD Cowen’s right to terminate shall not arise unless such failure to deliver (or cause to be delivered) continues for more than thirty (30) days from the date such delivery was required,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17"/>
          <w:szCs w:val="17"/>
          <w:u w:val="single" w:color="auto"/>
          <w:color w:val="auto"/>
        </w:rPr>
        <w:t>Section 7(g)</w:t>
      </w:r>
      <w:r>
        <w:rPr>
          <w:rFonts w:ascii="Times New Roman" w:cs="Times New Roman" w:eastAsia="Times New Roman" w:hAnsi="Times New Roman"/>
          <w:sz w:val="17"/>
          <w:szCs w:val="17"/>
          <w:color w:val="auto"/>
        </w:rPr>
        <w:t xml:space="preserve"> (Expenses),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(Indemnification and Contribution),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(Representations and Agreements to Survive Delivery),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(Applicable Law; Consent to Jurisdiction) and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(Waiver of Jury Trial) hereof shall remain in full force and effect notwithstanding such termination. If TD Cowen elects to terminate this Agreement as provided in this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xml:space="preserve">, TD Cowen shall provide the required notice as specified in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(Notices).</w:t>
      </w:r>
    </w:p>
    <w:p>
      <w:pPr>
        <w:spacing w:after="0" w:line="125" w:lineRule="exact"/>
        <w:rPr>
          <w:sz w:val="20"/>
          <w:szCs w:val="20"/>
          <w:color w:val="auto"/>
        </w:rPr>
      </w:pPr>
    </w:p>
    <w:p>
      <w:pPr>
        <w:jc w:val="both"/>
        <w:ind w:firstLine="508"/>
        <w:spacing w:after="0" w:line="226" w:lineRule="auto"/>
        <w:tabs>
          <w:tab w:leader="none" w:pos="122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7"/>
          <w:szCs w:val="17"/>
          <w:u w:val="single" w:color="auto"/>
          <w:color w:val="auto"/>
        </w:rPr>
        <w:t>Section 7(g)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hereof shall remain in full force and effect notwithstanding such termination.</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19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7"/>
          <w:szCs w:val="17"/>
          <w:u w:val="single" w:color="auto"/>
          <w:color w:val="auto"/>
        </w:rPr>
        <w:t>Section 7(g)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hereof shall remain in full force and effect notwithstanding such termination.</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18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earlier terminated pursuant to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this Agreement shall automatically terminate upon the issuance and sale of all of the Placement Shares through TD Cowen on the terms and subject to the conditions set forth herein;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provisions of </w:t>
      </w:r>
      <w:r>
        <w:rPr>
          <w:rFonts w:ascii="Times New Roman" w:cs="Times New Roman" w:eastAsia="Times New Roman" w:hAnsi="Times New Roman"/>
          <w:sz w:val="17"/>
          <w:szCs w:val="17"/>
          <w:u w:val="single" w:color="auto"/>
          <w:color w:val="auto"/>
        </w:rPr>
        <w:t>Section 7(g)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hereof shall remain in full force and effect notwithstanding such termination.</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25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shall remain in full force and effect unless terminated pursuant to </w:t>
      </w:r>
      <w:r>
        <w:rPr>
          <w:rFonts w:ascii="Times New Roman" w:cs="Times New Roman" w:eastAsia="Times New Roman" w:hAnsi="Times New Roman"/>
          <w:sz w:val="17"/>
          <w:szCs w:val="17"/>
          <w:u w:val="single" w:color="auto"/>
          <w:color w:val="auto"/>
        </w:rPr>
        <w:t>Sections 11(a)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 or (d)</w:t>
      </w:r>
      <w:r>
        <w:rPr>
          <w:rFonts w:ascii="Times New Roman" w:cs="Times New Roman" w:eastAsia="Times New Roman" w:hAnsi="Times New Roman"/>
          <w:sz w:val="17"/>
          <w:szCs w:val="17"/>
          <w:color w:val="auto"/>
        </w:rPr>
        <w:t xml:space="preserve"> above or otherwise by mutual agreement of the parties;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any such termination by mutual agreement shall in all cases be deemed to provide that </w:t>
      </w:r>
      <w:r>
        <w:rPr>
          <w:rFonts w:ascii="Times New Roman" w:cs="Times New Roman" w:eastAsia="Times New Roman" w:hAnsi="Times New Roman"/>
          <w:sz w:val="17"/>
          <w:szCs w:val="17"/>
          <w:u w:val="single" w:color="auto"/>
          <w:color w:val="auto"/>
        </w:rPr>
        <w:t>Section 7(g)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shall remain in full force and effect.</w:t>
      </w:r>
    </w:p>
    <w:p>
      <w:pPr>
        <w:spacing w:after="0" w:line="115" w:lineRule="exact"/>
        <w:rPr>
          <w:rFonts w:ascii="Times New Roman" w:cs="Times New Roman" w:eastAsia="Times New Roman" w:hAnsi="Times New Roman"/>
          <w:sz w:val="17"/>
          <w:szCs w:val="17"/>
          <w:color w:val="auto"/>
        </w:rPr>
      </w:pPr>
    </w:p>
    <w:p>
      <w:pPr>
        <w:jc w:val="both"/>
        <w:ind w:firstLine="508"/>
        <w:spacing w:after="0" w:line="228" w:lineRule="auto"/>
        <w:tabs>
          <w:tab w:leader="none" w:pos="123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termination of this Agreement shall be effective on the date specified in such notice of termination;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such termination shall not be effective 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w:t>
      </w:r>
    </w:p>
    <w:p>
      <w:pPr>
        <w:spacing w:after="0" w:line="118" w:lineRule="exact"/>
        <w:rPr>
          <w:sz w:val="20"/>
          <w:szCs w:val="20"/>
          <w:color w:val="auto"/>
        </w:rPr>
      </w:pPr>
    </w:p>
    <w:p>
      <w:pPr>
        <w:jc w:val="both"/>
        <w:ind w:firstLine="508"/>
        <w:spacing w:after="0" w:line="221" w:lineRule="auto"/>
        <w:tabs>
          <w:tab w:leader="none" w:pos="101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fax no. 646-562-1130, Attention: Head of Equity Capital Markets, email: CIBLegal@tdsecurities.com, with a copy to DLA Piper LLP (US), 701 Fifth Avenue, Suite 6900, Seattle. Washington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80"/>
          </w:cols>
          <w:pgMar w:left="300" w:top="1116" w:right="319" w:bottom="1440" w:gutter="0" w:footer="0" w:header="0"/>
        </w:sectPr>
      </w:pPr>
    </w:p>
    <w:bookmarkStart w:id="95" w:name="page96"/>
    <w:bookmarkEnd w:id="95"/>
    <w:p>
      <w:pPr>
        <w:jc w:val="both"/>
        <w:spacing w:after="0" w:line="213" w:lineRule="auto"/>
        <w:rPr>
          <w:sz w:val="20"/>
          <w:szCs w:val="20"/>
          <w:color w:val="auto"/>
        </w:rPr>
      </w:pPr>
      <w:r>
        <w:rPr>
          <w:rFonts w:ascii="Times New Roman" w:cs="Times New Roman" w:eastAsia="Times New Roman" w:hAnsi="Times New Roman"/>
          <w:sz w:val="17"/>
          <w:szCs w:val="17"/>
          <w:color w:val="auto"/>
        </w:rPr>
        <w:t>98104-7029, Attention: Patrick J. O’Malley; or if sent to the Company, shall be delivered to the Company at 333 Ludlow Street, North Tower, 6th Floor, Stamford, Connecticut 06902, Attention: Secretary, with a copy to Fenwick &amp; West LLP, 902 Broadway, New York, NY 10010, Attention: Ethan Skerry and Per Chilstrom.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7"/>
          <w:szCs w:val="17"/>
          <w:b w:val="1"/>
          <w:bCs w:val="1"/>
          <w:u w:val="single" w:color="auto"/>
          <w:color w:val="auto"/>
        </w:rPr>
        <w:t>Business Day</w:t>
      </w:r>
      <w:r>
        <w:rPr>
          <w:rFonts w:ascii="Times New Roman" w:cs="Times New Roman" w:eastAsia="Times New Roman" w:hAnsi="Times New Roman"/>
          <w:sz w:val="17"/>
          <w:szCs w:val="17"/>
          <w:color w:val="auto"/>
        </w:rPr>
        <w:t>” shall mean any day on which the Nasdaq and commercial banks in the City of New York are open for business.</w:t>
      </w:r>
    </w:p>
    <w:p>
      <w:pPr>
        <w:spacing w:after="0" w:line="123" w:lineRule="exact"/>
        <w:rPr>
          <w:sz w:val="20"/>
          <w:szCs w:val="20"/>
          <w:color w:val="auto"/>
        </w:rPr>
      </w:pPr>
    </w:p>
    <w:p>
      <w:pPr>
        <w:jc w:val="both"/>
        <w:ind w:firstLine="508"/>
        <w:spacing w:after="0" w:line="216" w:lineRule="auto"/>
        <w:tabs>
          <w:tab w:leader="none" w:pos="1007"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This Agreement shall inure to the benefit of and be binding upon the Company and TD Cowen and their respective successors and the affiliates, controlling persons, officers and directors referred to in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TD Cowen may assign its rights and obligations hereunder to an affiliate of TD Cowen without obtaining the Company’s consent.</w:t>
      </w:r>
    </w:p>
    <w:p>
      <w:pPr>
        <w:spacing w:after="0" w:line="119" w:lineRule="exact"/>
        <w:rPr>
          <w:rFonts w:ascii="Times New Roman" w:cs="Times New Roman" w:eastAsia="Times New Roman" w:hAnsi="Times New Roman"/>
          <w:sz w:val="17"/>
          <w:szCs w:val="17"/>
          <w:color w:val="auto"/>
        </w:rPr>
      </w:pPr>
    </w:p>
    <w:p>
      <w:pPr>
        <w:ind w:firstLine="508"/>
        <w:spacing w:after="0" w:line="236" w:lineRule="auto"/>
        <w:tabs>
          <w:tab w:leader="none" w:pos="102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for Share Splits</w:t>
      </w:r>
      <w:r>
        <w:rPr>
          <w:rFonts w:ascii="Times New Roman" w:cs="Times New Roman" w:eastAsia="Times New Roman" w:hAnsi="Times New Roman"/>
          <w:sz w:val="17"/>
          <w:szCs w:val="17"/>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19" w:lineRule="exact"/>
        <w:rPr>
          <w:rFonts w:ascii="Times New Roman" w:cs="Times New Roman" w:eastAsia="Times New Roman" w:hAnsi="Times New Roman"/>
          <w:sz w:val="17"/>
          <w:szCs w:val="17"/>
          <w:color w:val="auto"/>
        </w:rPr>
      </w:pPr>
    </w:p>
    <w:p>
      <w:pPr>
        <w:jc w:val="both"/>
        <w:ind w:firstLine="508"/>
        <w:spacing w:after="0" w:line="212" w:lineRule="auto"/>
        <w:tabs>
          <w:tab w:leader="none" w:pos="10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Amendment; Severability</w:t>
      </w:r>
      <w:r>
        <w:rPr>
          <w:rFonts w:ascii="Times New Roman" w:cs="Times New Roman" w:eastAsia="Times New Roman" w:hAnsi="Times New Roman"/>
          <w:sz w:val="17"/>
          <w:szCs w:val="17"/>
          <w:color w:val="auto"/>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TD Cowen;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each party hereto may amend the list of individuals appearing under such party’s name on Schedule 2 by giving notice to the other party hereto.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24" w:lineRule="exact"/>
        <w:rPr>
          <w:rFonts w:ascii="Times New Roman" w:cs="Times New Roman" w:eastAsia="Times New Roman" w:hAnsi="Times New Roman"/>
          <w:sz w:val="17"/>
          <w:szCs w:val="17"/>
          <w:color w:val="auto"/>
        </w:rPr>
      </w:pPr>
    </w:p>
    <w:p>
      <w:pPr>
        <w:jc w:val="both"/>
        <w:ind w:firstLine="508"/>
        <w:spacing w:after="0" w:line="218" w:lineRule="auto"/>
        <w:tabs>
          <w:tab w:leader="none" w:pos="1007"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Applicable Law; Consent to Jurisdiction</w:t>
      </w:r>
      <w:r>
        <w:rPr>
          <w:rFonts w:ascii="Times New Roman" w:cs="Times New Roman" w:eastAsia="Times New Roman" w:hAnsi="Times New Roman"/>
          <w:sz w:val="17"/>
          <w:szCs w:val="17"/>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80"/>
          </w:cols>
          <w:pgMar w:left="300" w:top="1116" w:right="319" w:bottom="1440" w:gutter="0" w:footer="0" w:header="0"/>
        </w:sectPr>
      </w:pPr>
    </w:p>
    <w:bookmarkStart w:id="96" w:name="page97"/>
    <w:bookmarkEnd w:id="96"/>
    <w:p>
      <w:pPr>
        <w:jc w:val="both"/>
        <w:spacing w:after="0" w:line="221" w:lineRule="auto"/>
        <w:rPr>
          <w:sz w:val="20"/>
          <w:szCs w:val="20"/>
          <w:color w:val="auto"/>
        </w:rPr>
      </w:pPr>
      <w:r>
        <w:rPr>
          <w:rFonts w:ascii="Times New Roman" w:cs="Times New Roman" w:eastAsia="Times New Roman" w:hAnsi="Times New Roman"/>
          <w:sz w:val="17"/>
          <w:szCs w:val="17"/>
          <w:color w:val="auto"/>
        </w:rPr>
        <w:t>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19" w:lineRule="exact"/>
        <w:rPr>
          <w:sz w:val="20"/>
          <w:szCs w:val="20"/>
          <w:color w:val="auto"/>
        </w:rPr>
      </w:pPr>
    </w:p>
    <w:p>
      <w:pPr>
        <w:ind w:firstLine="508"/>
        <w:spacing w:after="0" w:line="236" w:lineRule="auto"/>
        <w:tabs>
          <w:tab w:leader="none" w:pos="1007"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Company and TD Cowen each hereby irrevocably waives any right it may have to a trial by jury in respect of any claim based upon or arising out of this Agreement or any transaction contemplated hereby.</w:t>
      </w:r>
    </w:p>
    <w:p>
      <w:pPr>
        <w:spacing w:after="0" w:line="115" w:lineRule="exact"/>
        <w:rPr>
          <w:rFonts w:ascii="Times New Roman" w:cs="Times New Roman" w:eastAsia="Times New Roman" w:hAnsi="Times New Roman"/>
          <w:sz w:val="17"/>
          <w:szCs w:val="17"/>
          <w:color w:val="auto"/>
        </w:rPr>
      </w:pPr>
    </w:p>
    <w:p>
      <w:pPr>
        <w:ind w:left="1020" w:hanging="512"/>
        <w:spacing w:after="0"/>
        <w:tabs>
          <w:tab w:leader="none" w:pos="10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Fiduciary Relationship</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Company acknowledges and agrees that:</w:t>
      </w:r>
    </w:p>
    <w:p>
      <w:pPr>
        <w:spacing w:after="0" w:line="144" w:lineRule="exact"/>
        <w:rPr>
          <w:sz w:val="20"/>
          <w:szCs w:val="20"/>
          <w:color w:val="auto"/>
        </w:rPr>
      </w:pPr>
    </w:p>
    <w:p>
      <w:pPr>
        <w:jc w:val="both"/>
        <w:ind w:firstLine="508"/>
        <w:spacing w:after="0" w:line="226" w:lineRule="auto"/>
        <w:tabs>
          <w:tab w:leader="none" w:pos="120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w:t>
      </w:r>
    </w:p>
    <w:p>
      <w:pPr>
        <w:spacing w:after="0" w:line="119" w:lineRule="exact"/>
        <w:rPr>
          <w:rFonts w:ascii="Times New Roman" w:cs="Times New Roman" w:eastAsia="Times New Roman" w:hAnsi="Times New Roman"/>
          <w:sz w:val="17"/>
          <w:szCs w:val="17"/>
          <w:color w:val="auto"/>
        </w:rPr>
      </w:pPr>
    </w:p>
    <w:p>
      <w:pPr>
        <w:ind w:firstLine="508"/>
        <w:spacing w:after="0" w:line="236" w:lineRule="auto"/>
        <w:tabs>
          <w:tab w:leader="none" w:pos="117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capable of evaluating and understanding and understands and accepts the terms, risks and conditions of the transactions contemplated by this Agreement;</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20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spacing w:after="0" w:line="119" w:lineRule="exact"/>
        <w:rPr>
          <w:rFonts w:ascii="Times New Roman" w:cs="Times New Roman" w:eastAsia="Times New Roman" w:hAnsi="Times New Roman"/>
          <w:sz w:val="17"/>
          <w:szCs w:val="17"/>
          <w:color w:val="auto"/>
        </w:rPr>
      </w:pPr>
    </w:p>
    <w:p>
      <w:pPr>
        <w:jc w:val="both"/>
        <w:ind w:firstLine="508"/>
        <w:spacing w:after="0" w:line="226" w:lineRule="auto"/>
        <w:tabs>
          <w:tab w:leader="none" w:pos="118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19" w:lineRule="exact"/>
        <w:rPr>
          <w:sz w:val="20"/>
          <w:szCs w:val="20"/>
          <w:color w:val="auto"/>
        </w:rPr>
      </w:pPr>
    </w:p>
    <w:p>
      <w:pPr>
        <w:jc w:val="both"/>
        <w:ind w:firstLine="508"/>
        <w:spacing w:after="0" w:line="221" w:lineRule="auto"/>
        <w:tabs>
          <w:tab w:leader="none" w:pos="101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19" w:lineRule="exact"/>
        <w:rPr>
          <w:rFonts w:ascii="Times New Roman" w:cs="Times New Roman" w:eastAsia="Times New Roman" w:hAnsi="Times New Roman"/>
          <w:sz w:val="17"/>
          <w:szCs w:val="17"/>
          <w:color w:val="auto"/>
        </w:rPr>
      </w:pPr>
    </w:p>
    <w:p>
      <w:pPr>
        <w:ind w:left="1020" w:hanging="512"/>
        <w:spacing w:after="0"/>
        <w:tabs>
          <w:tab w:leader="none" w:pos="10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Recognition of the U.S. Special Resolution Regimes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508"/>
        <w:spacing w:after="0"/>
        <w:tabs>
          <w:tab w:leader="none" w:pos="119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9" w:lineRule="exact"/>
        <w:rPr>
          <w:rFonts w:ascii="Times New Roman" w:cs="Times New Roman" w:eastAsia="Times New Roman" w:hAnsi="Times New Roman"/>
          <w:sz w:val="16"/>
          <w:szCs w:val="16"/>
          <w:color w:val="auto"/>
        </w:rPr>
      </w:pPr>
    </w:p>
    <w:p>
      <w:pPr>
        <w:ind w:firstLine="508"/>
        <w:spacing w:after="0" w:line="236" w:lineRule="auto"/>
        <w:tabs>
          <w:tab w:leader="none" w:pos="119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TD Cowen is a Covered Entity and TD Cowen or a BHC Act Affiliate of TD Cowen becomes subject to a proceeding under a U.S. Special Resolution Regime, Default Rights under this Agreement that may be exercised against TD Cowen are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80"/>
          </w:cols>
          <w:pgMar w:left="300" w:top="1116" w:right="319" w:bottom="1440" w:gutter="0" w:footer="0" w:header="0"/>
        </w:sectPr>
      </w:pPr>
    </w:p>
    <w:bookmarkStart w:id="97" w:name="page98"/>
    <w:bookmarkEnd w:id="97"/>
    <w:p>
      <w:pPr>
        <w:spacing w:after="0" w:line="236" w:lineRule="auto"/>
        <w:rPr>
          <w:sz w:val="20"/>
          <w:szCs w:val="20"/>
          <w:color w:val="auto"/>
        </w:rPr>
      </w:pPr>
      <w:r>
        <w:rPr>
          <w:rFonts w:ascii="Times New Roman" w:cs="Times New Roman" w:eastAsia="Times New Roman" w:hAnsi="Times New Roman"/>
          <w:sz w:val="17"/>
          <w:szCs w:val="17"/>
          <w:color w:val="auto"/>
        </w:rPr>
        <w:t>permitted to be exercised to no greater extent than such Default Rights could be exercised under the U.S. Special Resolution Regime if this Agreement were governed by the laws of the United States or a state of the United States.</w:t>
      </w:r>
    </w:p>
    <w:p>
      <w:pPr>
        <w:spacing w:after="0" w:line="115" w:lineRule="exact"/>
        <w:rPr>
          <w:sz w:val="20"/>
          <w:szCs w:val="20"/>
          <w:color w:val="auto"/>
        </w:rPr>
      </w:pPr>
    </w:p>
    <w:p>
      <w:pPr>
        <w:jc w:val="both"/>
        <w:ind w:firstLine="508"/>
        <w:spacing w:after="0" w:line="215" w:lineRule="auto"/>
        <w:tabs>
          <w:tab w:leader="none" w:pos="120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20; (a) “</w:t>
      </w:r>
      <w:r>
        <w:rPr>
          <w:rFonts w:ascii="Times New Roman" w:cs="Times New Roman" w:eastAsia="Times New Roman" w:hAnsi="Times New Roman"/>
          <w:sz w:val="17"/>
          <w:szCs w:val="17"/>
          <w:b w:val="1"/>
          <w:bCs w:val="1"/>
          <w:u w:val="single" w:color="auto"/>
          <w:color w:val="auto"/>
        </w:rPr>
        <w:t>BHC Act Affiliate</w:t>
      </w:r>
      <w:r>
        <w:rPr>
          <w:rFonts w:ascii="Times New Roman" w:cs="Times New Roman" w:eastAsia="Times New Roman" w:hAnsi="Times New Roman"/>
          <w:sz w:val="17"/>
          <w:szCs w:val="17"/>
          <w:color w:val="auto"/>
        </w:rPr>
        <w:t>” has the meaning assigned to the term “affiliate” in, and shall be interpreted in accordance with, 12 U.S.C. § 1841(k), (b) “</w:t>
      </w:r>
      <w:r>
        <w:rPr>
          <w:rFonts w:ascii="Times New Roman" w:cs="Times New Roman" w:eastAsia="Times New Roman" w:hAnsi="Times New Roman"/>
          <w:sz w:val="17"/>
          <w:szCs w:val="17"/>
          <w:b w:val="1"/>
          <w:bCs w:val="1"/>
          <w:u w:val="single" w:color="auto"/>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7"/>
          <w:szCs w:val="17"/>
          <w:b w:val="1"/>
          <w:bCs w:val="1"/>
          <w:u w:val="single" w:color="auto"/>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 as applicable, and (d) “</w:t>
      </w:r>
      <w:r>
        <w:rPr>
          <w:rFonts w:ascii="Times New Roman" w:cs="Times New Roman" w:eastAsia="Times New Roman" w:hAnsi="Times New Roman"/>
          <w:sz w:val="17"/>
          <w:szCs w:val="17"/>
          <w:b w:val="1"/>
          <w:bCs w:val="1"/>
          <w:u w:val="single" w:color="auto"/>
          <w:color w:val="auto"/>
        </w:rPr>
        <w:t>U.S. Special Resolution Regime</w:t>
      </w:r>
      <w:r>
        <w:rPr>
          <w:rFonts w:ascii="Times New Roman" w:cs="Times New Roman" w:eastAsia="Times New Roman" w:hAnsi="Times New Roman"/>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[Remainder of Page Intentionally Blank]</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80"/>
          </w:cols>
          <w:pgMar w:left="300" w:top="1116" w:right="319" w:bottom="1440" w:gutter="0" w:footer="0" w:header="0"/>
        </w:sectPr>
      </w:pPr>
    </w:p>
    <w:bookmarkStart w:id="98" w:name="page99"/>
    <w:bookmarkEnd w:id="98"/>
    <w:p>
      <w:pPr>
        <w:ind w:firstLine="504"/>
        <w:spacing w:after="0" w:line="271" w:lineRule="auto"/>
        <w:rPr>
          <w:sz w:val="20"/>
          <w:szCs w:val="20"/>
          <w:color w:val="auto"/>
        </w:rPr>
      </w:pPr>
      <w:r>
        <w:rPr>
          <w:rFonts w:ascii="Times New Roman" w:cs="Times New Roman" w:eastAsia="Times New Roman" w:hAnsi="Times New Roman"/>
          <w:sz w:val="17"/>
          <w:szCs w:val="17"/>
          <w:color w:val="auto"/>
        </w:rPr>
        <w:t>If the foregoing correctly sets forth the understanding between the Company and TD Cowen, please so indicate in the space provided below for that purpose, whereupon this letter shall constitute a binding agreement between the Company and TD Cowen.</w:t>
      </w:r>
    </w:p>
    <w:p>
      <w:pPr>
        <w:spacing w:after="0" w:line="1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19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TD SECURITIES (USA) LLC</w:t>
      </w:r>
    </w:p>
    <w:p>
      <w:pPr>
        <w:spacing w:after="0" w:line="38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Michael J. Murphy</w:t>
      </w:r>
    </w:p>
    <w:p>
      <w:pPr>
        <w:ind w:left="3020"/>
        <w:spacing w:after="0" w:line="232" w:lineRule="auto"/>
        <w:rPr>
          <w:sz w:val="20"/>
          <w:szCs w:val="20"/>
          <w:color w:val="auto"/>
        </w:rPr>
      </w:pPr>
      <w:r>
        <w:rPr>
          <w:rFonts w:ascii="Times New Roman" w:cs="Times New Roman" w:eastAsia="Times New Roman" w:hAnsi="Times New Roman"/>
          <w:sz w:val="17"/>
          <w:szCs w:val="17"/>
          <w:color w:val="auto"/>
        </w:rPr>
        <w:t>Name: Michael J. Murphy</w:t>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200" w:lineRule="exact"/>
        <w:rPr>
          <w:sz w:val="20"/>
          <w:szCs w:val="20"/>
          <w:color w:val="auto"/>
        </w:rPr>
      </w:pPr>
    </w:p>
    <w:p>
      <w:pPr>
        <w:spacing w:after="0" w:line="34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ACCEPTED as of the date</w:t>
      </w:r>
    </w:p>
    <w:p>
      <w:pPr>
        <w:spacing w:after="0" w:line="2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first-above written:</w:t>
      </w:r>
    </w:p>
    <w:p>
      <w:pPr>
        <w:spacing w:after="0" w:line="18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GENEDX HOLDINGS CORP.</w:t>
      </w:r>
    </w:p>
    <w:p>
      <w:pPr>
        <w:spacing w:after="0" w:line="38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Kevin Feeley</w:t>
      </w:r>
    </w:p>
    <w:p>
      <w:pPr>
        <w:spacing w:after="0" w:line="2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Kevin Feeley</w:t>
      </w:r>
    </w:p>
    <w:p>
      <w:pPr>
        <w:ind w:left="3020"/>
        <w:spacing w:after="0" w:line="223" w:lineRule="auto"/>
        <w:rPr>
          <w:sz w:val="20"/>
          <w:szCs w:val="20"/>
          <w:color w:val="auto"/>
        </w:rPr>
      </w:pPr>
      <w:r>
        <w:rPr>
          <w:rFonts w:ascii="Times New Roman" w:cs="Times New Roman" w:eastAsia="Times New Roman" w:hAnsi="Times New Roman"/>
          <w:sz w:val="17"/>
          <w:szCs w:val="17"/>
          <w:color w:val="auto"/>
        </w:rPr>
        <w:t>Title: Chief Financial Officer</w:t>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80"/>
          </w:cols>
          <w:pgMar w:left="300" w:top="1137"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SCHEDULE 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7"/>
              </w:rPr>
              <w:t>FORM OF PLACEMENT NOTICE</w:t>
            </w:r>
          </w:p>
        </w:tc>
      </w:tr>
      <w:tr>
        <w:trPr>
          <w:trHeight w:val="736"/>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w w:val="96"/>
              </w:rPr>
              <w:t>From:</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40" w:type="dxa"/>
            <w:vAlign w:val="bottom"/>
          </w:tcPr>
          <w:p>
            <w:pPr>
              <w:jc w:val="right"/>
              <w:ind w:right="2136"/>
              <w:spacing w:after="0"/>
              <w:rPr>
                <w:sz w:val="20"/>
                <w:szCs w:val="20"/>
                <w:color w:val="auto"/>
              </w:rPr>
            </w:pPr>
            <w:r>
              <w:rPr>
                <w:rFonts w:ascii="Times New Roman" w:cs="Times New Roman" w:eastAsia="Times New Roman" w:hAnsi="Times New Roman"/>
                <w:sz w:val="17"/>
                <w:szCs w:val="17"/>
                <w:color w:val="auto"/>
              </w:rPr>
              <w:t>]</w:t>
            </w:r>
          </w:p>
        </w:tc>
        <w:tc>
          <w:tcPr>
            <w:tcW w:w="2600" w:type="dxa"/>
            <w:vAlign w:val="bottom"/>
          </w:tcPr>
          <w:p>
            <w:pPr>
              <w:spacing w:after="0"/>
              <w:rPr>
                <w:sz w:val="24"/>
                <w:szCs w:val="24"/>
                <w:color w:val="auto"/>
              </w:rPr>
            </w:pPr>
          </w:p>
        </w:tc>
      </w:tr>
      <w:tr>
        <w:trPr>
          <w:trHeight w:val="199"/>
        </w:trPr>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Cc:  [</w:t>
            </w:r>
          </w:p>
        </w:tc>
        <w:tc>
          <w:tcPr>
            <w:tcW w:w="3640" w:type="dxa"/>
            <w:vAlign w:val="bottom"/>
          </w:tcPr>
          <w:p>
            <w:pPr>
              <w:jc w:val="right"/>
              <w:ind w:right="2316"/>
              <w:spacing w:after="0"/>
              <w:rPr>
                <w:sz w:val="20"/>
                <w:szCs w:val="20"/>
                <w:color w:val="auto"/>
              </w:rPr>
            </w:pPr>
            <w:r>
              <w:rPr>
                <w:rFonts w:ascii="Times New Roman" w:cs="Times New Roman" w:eastAsia="Times New Roman" w:hAnsi="Times New Roman"/>
                <w:sz w:val="17"/>
                <w:szCs w:val="17"/>
                <w:color w:val="auto"/>
              </w:rPr>
              <w:t>]</w:t>
            </w:r>
          </w:p>
        </w:tc>
        <w:tc>
          <w:tcPr>
            <w:tcW w:w="2600" w:type="dxa"/>
            <w:vAlign w:val="bottom"/>
          </w:tcPr>
          <w:p>
            <w:pPr>
              <w:spacing w:after="0"/>
              <w:rPr>
                <w:sz w:val="17"/>
                <w:szCs w:val="17"/>
                <w:color w:val="auto"/>
              </w:rPr>
            </w:pPr>
          </w:p>
        </w:tc>
      </w:tr>
      <w:tr>
        <w:trPr>
          <w:trHeight w:val="199"/>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To:</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3640" w:type="dxa"/>
            <w:vAlign w:val="bottom"/>
          </w:tcPr>
          <w:p>
            <w:pPr>
              <w:jc w:val="right"/>
              <w:ind w:right="3156"/>
              <w:spacing w:after="0"/>
              <w:rPr>
                <w:sz w:val="20"/>
                <w:szCs w:val="20"/>
                <w:color w:val="auto"/>
              </w:rPr>
            </w:pPr>
            <w:r>
              <w:rPr>
                <w:rFonts w:ascii="Times New Roman" w:cs="Times New Roman" w:eastAsia="Times New Roman" w:hAnsi="Times New Roman"/>
                <w:sz w:val="17"/>
                <w:szCs w:val="17"/>
                <w:color w:val="auto"/>
              </w:rPr>
              <w:t>]</w:t>
            </w:r>
          </w:p>
        </w:tc>
        <w:tc>
          <w:tcPr>
            <w:tcW w:w="2600" w:type="dxa"/>
            <w:vAlign w:val="bottom"/>
          </w:tcPr>
          <w:p>
            <w:pPr>
              <w:spacing w:after="0"/>
              <w:rPr>
                <w:sz w:val="17"/>
                <w:szCs w:val="17"/>
                <w:color w:val="auto"/>
              </w:rPr>
            </w:pPr>
          </w:p>
        </w:tc>
      </w:tr>
      <w:tr>
        <w:trPr>
          <w:trHeight w:val="218"/>
        </w:trPr>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Subject:</w:t>
            </w:r>
          </w:p>
        </w:tc>
        <w:tc>
          <w:tcPr>
            <w:tcW w:w="6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TD Cowen At the Market Offering—Placement Notice</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Gentlemen:</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Pursuant to the terms and subject to the conditions contained in the Sales Agreement between GeneDx Holdings Corp., a Delaware corporation, and TD Securities (USA) LLC (“</w:t>
      </w:r>
      <w:r>
        <w:rPr>
          <w:rFonts w:ascii="Times New Roman" w:cs="Times New Roman" w:eastAsia="Times New Roman" w:hAnsi="Times New Roman"/>
          <w:sz w:val="17"/>
          <w:szCs w:val="17"/>
          <w:b w:val="1"/>
          <w:bCs w:val="1"/>
          <w:u w:val="single" w:color="auto"/>
          <w:color w:val="auto"/>
        </w:rPr>
        <w:t>TD Cowen</w:t>
      </w:r>
      <w:r>
        <w:rPr>
          <w:rFonts w:ascii="Times New Roman" w:cs="Times New Roman" w:eastAsia="Times New Roman" w:hAnsi="Times New Roman"/>
          <w:sz w:val="17"/>
          <w:szCs w:val="17"/>
          <w:color w:val="auto"/>
        </w:rPr>
        <w:t>”) dated October 28, 2025 (the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I hereby request on behalf of the Company that TD Cowen sell up to [ ] shares of the Company’s Class A common stock, par value $0.0001 per share, at a minimum market price of $_______ per share. Sales should begin on the date of this Notice and shall continue until [DATE] [all shares are sold].</w:t>
      </w:r>
    </w:p>
    <w:p>
      <w:pPr>
        <w:sectPr>
          <w:pgSz w:w="11900" w:h="16838" w:orient="portrait"/>
          <w:cols w:equalWidth="0" w:num="1">
            <w:col w:w="11280"/>
          </w:cols>
          <w:pgMar w:left="300" w:top="1133"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SCHEDULE 2</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Notice Parties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1960" w:type="dxa"/>
            <w:vAlign w:val="bottom"/>
          </w:tcPr>
          <w:p>
            <w:pPr>
              <w:spacing w:after="0"/>
              <w:rPr>
                <w:sz w:val="17"/>
                <w:szCs w:val="17"/>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97"/>
        </w:trPr>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Feeley</w:t>
            </w:r>
          </w:p>
        </w:tc>
        <w:tc>
          <w:tcPr>
            <w:tcW w:w="1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367"/>
        </w:trPr>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Victor Karim</w:t>
            </w:r>
          </w:p>
        </w:tc>
        <w:tc>
          <w:tcPr>
            <w:tcW w:w="196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5"/>
              </w:rPr>
              <w:t>SVP, Corporate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TD Cowen</w:t>
      </w:r>
    </w:p>
    <w:p>
      <w:pPr>
        <w:spacing w:after="0" w:line="17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7"/>
          <w:szCs w:val="17"/>
          <w:color w:val="auto"/>
        </w:rPr>
        <w:t>Michael J. Murphy</w:t>
      </w:r>
      <w:r>
        <w:rPr>
          <w:sz w:val="20"/>
          <w:szCs w:val="20"/>
          <w:color w:val="auto"/>
        </w:rPr>
        <w:tab/>
      </w:r>
      <w:r>
        <w:rPr>
          <w:rFonts w:ascii="Times New Roman" w:cs="Times New Roman" w:eastAsia="Times New Roman" w:hAnsi="Times New Roman"/>
          <w:sz w:val="16"/>
          <w:szCs w:val="16"/>
          <w:color w:val="auto"/>
        </w:rPr>
        <w:t>Managing Director</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7"/>
          <w:szCs w:val="17"/>
          <w:color w:val="auto"/>
        </w:rPr>
        <w:t>William Follis</w:t>
      </w:r>
      <w:r>
        <w:rPr>
          <w:sz w:val="20"/>
          <w:szCs w:val="20"/>
          <w:color w:val="auto"/>
        </w:rPr>
        <w:tab/>
      </w:r>
      <w:r>
        <w:rPr>
          <w:rFonts w:ascii="Times New Roman" w:cs="Times New Roman" w:eastAsia="Times New Roman" w:hAnsi="Times New Roman"/>
          <w:sz w:val="17"/>
          <w:szCs w:val="17"/>
          <w:color w:val="auto"/>
        </w:rPr>
        <w:t>Managing Director</w:t>
      </w:r>
    </w:p>
    <w:p>
      <w:pPr>
        <w:spacing w:after="0" w:line="18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color w:val="auto"/>
        </w:rPr>
        <w:t>Adriano Pierroz</w:t>
      </w:r>
      <w:r>
        <w:rPr>
          <w:sz w:val="20"/>
          <w:szCs w:val="20"/>
          <w:color w:val="auto"/>
        </w:rPr>
        <w:tab/>
      </w:r>
      <w:r>
        <w:rPr>
          <w:rFonts w:ascii="Times New Roman" w:cs="Times New Roman" w:eastAsia="Times New Roman" w:hAnsi="Times New Roman"/>
          <w:sz w:val="16"/>
          <w:szCs w:val="16"/>
          <w:color w:val="auto"/>
        </w:rPr>
        <w:t>Director</w:t>
      </w:r>
    </w:p>
    <w:p>
      <w:pPr>
        <w:spacing w:after="0" w:line="19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7"/>
          <w:szCs w:val="17"/>
          <w:color w:val="auto"/>
        </w:rPr>
        <w:t>Megan Sanford</w:t>
      </w:r>
      <w:r>
        <w:rPr>
          <w:sz w:val="20"/>
          <w:szCs w:val="20"/>
          <w:color w:val="auto"/>
        </w:rPr>
        <w:tab/>
      </w:r>
      <w:r>
        <w:rPr>
          <w:rFonts w:ascii="Times New Roman" w:cs="Times New Roman" w:eastAsia="Times New Roman" w:hAnsi="Times New Roman"/>
          <w:sz w:val="16"/>
          <w:szCs w:val="16"/>
          <w:color w:val="auto"/>
        </w:rPr>
        <w:t>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133"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SCHEDULE 3</w:t>
      </w:r>
    </w:p>
    <w:p>
      <w:pPr>
        <w:spacing w:after="0" w:line="200" w:lineRule="exact"/>
        <w:rPr>
          <w:sz w:val="20"/>
          <w:szCs w:val="20"/>
          <w:color w:val="auto"/>
        </w:rPr>
      </w:pPr>
    </w:p>
    <w:p>
      <w:pPr>
        <w:spacing w:after="0" w:line="3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b w:val="1"/>
          <w:bCs w:val="1"/>
          <w:u w:val="single" w:color="auto"/>
          <w:color w:val="auto"/>
        </w:rPr>
        <w:t>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TD Cowen shall be paid compensation up to 3.0% of the gross proceeds from the sales of Common Stock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1623036937.4</w:t>
      </w:r>
    </w:p>
    <w:p>
      <w:pPr>
        <w:sectPr>
          <w:pgSz w:w="11900" w:h="16838" w:orient="portrait"/>
          <w:cols w:equalWidth="0" w:num="1">
            <w:col w:w="11280"/>
          </w:cols>
          <w:pgMar w:left="300" w:top="1133" w:right="319" w:bottom="1440" w:gutter="0" w:footer="0" w:header="0"/>
        </w:sectPr>
      </w:pPr>
    </w:p>
    <w:bookmarkStart w:id="102" w:name="page103"/>
    <w:bookmarkEnd w:id="102"/>
    <w:p>
      <w:pPr>
        <w:spacing w:after="0" w:line="50"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6"/>
          <w:szCs w:val="16"/>
          <w:b w:val="1"/>
          <w:bCs w:val="1"/>
          <w:u w:val="single" w:color="auto"/>
          <w:color w:val="auto"/>
        </w:rPr>
        <w:t>Exhibit 7(m)</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OFFICER CERTIFICATE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the duly qualified and elected _______________________, of GeneDx Holdings Corp. (“</w:t>
      </w:r>
      <w:r>
        <w:rPr>
          <w:rFonts w:ascii="Times New Roman" w:cs="Times New Roman" w:eastAsia="Times New Roman" w:hAnsi="Times New Roman"/>
          <w:sz w:val="16"/>
          <w:szCs w:val="16"/>
          <w:b w:val="1"/>
          <w:bCs w:val="1"/>
          <w:u w:val="single" w:color="auto"/>
          <w:color w:val="auto"/>
        </w:rPr>
        <w:t>Company</w:t>
      </w:r>
      <w:r>
        <w:rPr>
          <w:rFonts w:ascii="Times New Roman" w:cs="Times New Roman" w:eastAsia="Times New Roman" w:hAnsi="Times New Roman"/>
          <w:sz w:val="16"/>
          <w:szCs w:val="16"/>
          <w:color w:val="auto"/>
        </w:rPr>
        <w:t>”), a Delaware corporation, does hereby certify in</w:t>
      </w:r>
    </w:p>
    <w:p>
      <w:pPr>
        <w:spacing w:after="0" w:line="3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such capacity and on behalf of the Company, pursuant to </w:t>
      </w:r>
      <w:r>
        <w:rPr>
          <w:rFonts w:ascii="Times New Roman" w:cs="Times New Roman" w:eastAsia="Times New Roman" w:hAnsi="Times New Roman"/>
          <w:sz w:val="17"/>
          <w:szCs w:val="17"/>
          <w:u w:val="single" w:color="auto"/>
          <w:color w:val="auto"/>
        </w:rPr>
        <w:t>Section 7(m)</w:t>
      </w:r>
      <w:r>
        <w:rPr>
          <w:rFonts w:ascii="Times New Roman" w:cs="Times New Roman" w:eastAsia="Times New Roman" w:hAnsi="Times New Roman"/>
          <w:sz w:val="17"/>
          <w:szCs w:val="17"/>
          <w:color w:val="auto"/>
        </w:rPr>
        <w:t xml:space="preserve"> of the Sales Agreement dated October 28</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2025 (the “</w:t>
      </w:r>
      <w:r>
        <w:rPr>
          <w:rFonts w:ascii="Times New Roman" w:cs="Times New Roman" w:eastAsia="Times New Roman" w:hAnsi="Times New Roman"/>
          <w:sz w:val="17"/>
          <w:szCs w:val="17"/>
          <w:b w:val="1"/>
          <w:bCs w:val="1"/>
          <w:u w:val="single" w:color="auto"/>
          <w:color w:val="auto"/>
        </w:rPr>
        <w:t>Sales Agreement</w:t>
      </w:r>
      <w:r>
        <w:rPr>
          <w:rFonts w:ascii="Times New Roman" w:cs="Times New Roman" w:eastAsia="Times New Roman" w:hAnsi="Times New Roman"/>
          <w:sz w:val="17"/>
          <w:szCs w:val="17"/>
          <w:color w:val="auto"/>
        </w:rPr>
        <w:t>”) between the Company and TD Securities (USA) LLC, that to the best of the knowledge of the undersigned.</w:t>
      </w:r>
    </w:p>
    <w:p>
      <w:pPr>
        <w:spacing w:after="0" w:line="153" w:lineRule="exact"/>
        <w:rPr>
          <w:sz w:val="20"/>
          <w:szCs w:val="20"/>
          <w:color w:val="auto"/>
        </w:rPr>
      </w:pPr>
    </w:p>
    <w:p>
      <w:pPr>
        <w:jc w:val="both"/>
        <w:ind w:firstLine="508"/>
        <w:spacing w:after="0" w:line="252" w:lineRule="auto"/>
        <w:tabs>
          <w:tab w:leader="none" w:pos="82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of the Company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43" w:lineRule="exact"/>
        <w:rPr>
          <w:rFonts w:ascii="Times New Roman" w:cs="Times New Roman" w:eastAsia="Times New Roman" w:hAnsi="Times New Roman"/>
          <w:sz w:val="17"/>
          <w:szCs w:val="17"/>
          <w:color w:val="auto"/>
        </w:rPr>
      </w:pPr>
    </w:p>
    <w:p>
      <w:pPr>
        <w:ind w:firstLine="508"/>
        <w:spacing w:after="0" w:line="271" w:lineRule="auto"/>
        <w:tabs>
          <w:tab w:leader="none" w:pos="89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complied with all agreements and satisfied all conditions on its part to be performed or satisfied pursuant to the Sales Agreement at or prior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-10160</wp:posOffset>
            </wp:positionV>
            <wp:extent cx="63944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639445" cy="6350"/>
                    </a:xfrm>
                    <a:prstGeom prst="rect">
                      <a:avLst/>
                    </a:prstGeom>
                    <a:noFill/>
                  </pic:spPr>
                </pic:pic>
              </a:graphicData>
            </a:graphic>
          </wp:anchor>
        </w:drawing>
      </w:r>
    </w:p>
    <w:p>
      <w:pPr>
        <w:spacing w:after="0" w:line="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Name:</w:t>
      </w:r>
    </w:p>
    <w:p>
      <w:pPr>
        <w:spacing w:after="0" w:line="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Title: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-10160</wp:posOffset>
            </wp:positionV>
            <wp:extent cx="42672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426720" cy="6350"/>
                    </a:xfrm>
                    <a:prstGeom prst="rect">
                      <a:avLst/>
                    </a:prstGeom>
                    <a:noFill/>
                  </pic:spPr>
                </pic:pic>
              </a:graphicData>
            </a:graphic>
          </wp:anchor>
        </w:drawing>
      </w:r>
    </w:p>
    <w:p>
      <w:pPr>
        <w:spacing w:after="0" w:line="337" w:lineRule="exact"/>
        <w:rPr>
          <w:sz w:val="20"/>
          <w:szCs w:val="20"/>
          <w:color w:val="auto"/>
        </w:rPr>
      </w:pPr>
    </w:p>
    <w:p>
      <w:pPr>
        <w:ind w:left="11200"/>
        <w:spacing w:after="0"/>
        <w:rPr>
          <w:sz w:val="20"/>
          <w:szCs w:val="20"/>
          <w:color w:val="auto"/>
        </w:rPr>
      </w:pPr>
      <w:r>
        <w:rPr>
          <w:rFonts w:ascii="Times New Roman" w:cs="Times New Roman" w:eastAsia="Times New Roman" w:hAnsi="Times New Roman"/>
          <w:sz w:val="16"/>
          <w:szCs w:val="16"/>
          <w:b w:val="1"/>
          <w:bCs w:val="1"/>
          <w:u w:val="single" w:color="auto"/>
          <w:color w:val="auto"/>
        </w:rPr>
        <w:t>8</w:t>
      </w:r>
    </w:p>
    <w:p>
      <w:pPr>
        <w:sectPr>
          <w:pgSz w:w="11900" w:h="16838" w:orient="portrait"/>
          <w:cols w:equalWidth="0" w:num="1">
            <w:col w:w="11280"/>
          </w:cols>
          <w:pgMar w:left="300" w:top="1440" w:right="31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7(p)</w:t>
      </w:r>
    </w:p>
    <w:p>
      <w:pPr>
        <w:spacing w:after="0" w:line="17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u w:val="single" w:color="auto"/>
          <w:color w:val="auto"/>
        </w:rPr>
        <w:t>CFO Certificate</w:t>
      </w:r>
    </w:p>
    <w:p>
      <w:pPr>
        <w:sectPr>
          <w:pgSz w:w="11900" w:h="16838" w:orient="portrait"/>
          <w:cols w:equalWidth="0" w:num="1">
            <w:col w:w="10140"/>
          </w:cols>
          <w:pgMar w:left="1440" w:top="1133"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4157980" cy="333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4157980" cy="333375"/>
                    </a:xfrm>
                    <a:prstGeom prst="rect">
                      <a:avLst/>
                    </a:prstGeom>
                    <a:noFill/>
                  </pic:spPr>
                </pic:pic>
              </a:graphicData>
            </a:graphic>
          </wp:anchor>
        </w:drawing>
        <w:t>Exhibit 5.1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2025</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GeneDx Holdings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 Ludlow Street,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Tower, 6th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Stamford, Connecticut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Registration Statement on Form S-3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68" w:lineRule="exact"/>
        <w:rPr>
          <w:sz w:val="20"/>
          <w:szCs w:val="20"/>
          <w:color w:val="auto"/>
        </w:rPr>
      </w:pPr>
    </w:p>
    <w:p>
      <w:pPr>
        <w:jc w:val="both"/>
        <w:ind w:firstLine="504"/>
        <w:spacing w:after="0" w:line="270" w:lineRule="auto"/>
        <w:rPr>
          <w:sz w:val="20"/>
          <w:szCs w:val="20"/>
          <w:color w:val="auto"/>
        </w:rPr>
      </w:pPr>
      <w:r>
        <w:rPr>
          <w:rFonts w:ascii="Times New Roman" w:cs="Times New Roman" w:eastAsia="Times New Roman" w:hAnsi="Times New Roman"/>
          <w:sz w:val="16"/>
          <w:szCs w:val="16"/>
          <w:color w:val="auto"/>
        </w:rPr>
        <w:t>As counsel to GeneDx Holdings Corp.,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we have examined the Registration Statement on Form S-3ASR to be filed by the Company with the Securities and Exchange Commission (the “</w:t>
      </w:r>
      <w:r>
        <w:rPr>
          <w:rFonts w:ascii="Times New Roman" w:cs="Times New Roman" w:eastAsia="Times New Roman" w:hAnsi="Times New Roman"/>
          <w:sz w:val="16"/>
          <w:szCs w:val="16"/>
          <w:b w:val="1"/>
          <w:bCs w:val="1"/>
          <w:i w:val="1"/>
          <w:iCs w:val="1"/>
          <w:color w:val="auto"/>
        </w:rPr>
        <w:t>Commission</w:t>
      </w:r>
      <w:r>
        <w:rPr>
          <w:rFonts w:ascii="Times New Roman" w:cs="Times New Roman" w:eastAsia="Times New Roman" w:hAnsi="Times New Roman"/>
          <w:sz w:val="16"/>
          <w:szCs w:val="16"/>
          <w:color w:val="auto"/>
        </w:rPr>
        <w:t>”) on or about October 28, 2025 (the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in connection with the registration under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of the offering and sale from time to time of (i) shares of the Company’s Class A common stock, $0.0001 par value per share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(ii) shares of the Company’s preferred stock, $0.0001 par value per share (the “</w:t>
      </w:r>
      <w:r>
        <w:rPr>
          <w:rFonts w:ascii="Times New Roman" w:cs="Times New Roman" w:eastAsia="Times New Roman" w:hAnsi="Times New Roman"/>
          <w:sz w:val="16"/>
          <w:szCs w:val="16"/>
          <w:b w:val="1"/>
          <w:bCs w:val="1"/>
          <w:i w:val="1"/>
          <w:iCs w:val="1"/>
          <w:color w:val="auto"/>
        </w:rPr>
        <w:t>Preferred Stock</w:t>
      </w:r>
      <w:r>
        <w:rPr>
          <w:rFonts w:ascii="Times New Roman" w:cs="Times New Roman" w:eastAsia="Times New Roman" w:hAnsi="Times New Roman"/>
          <w:sz w:val="16"/>
          <w:szCs w:val="16"/>
          <w:color w:val="auto"/>
        </w:rPr>
        <w:t>”),</w:t>
      </w:r>
    </w:p>
    <w:p>
      <w:pPr>
        <w:spacing w:after="0" w:line="2" w:lineRule="exact"/>
        <w:rPr>
          <w:sz w:val="20"/>
          <w:szCs w:val="20"/>
          <w:color w:val="auto"/>
        </w:rPr>
      </w:pPr>
    </w:p>
    <w:p>
      <w:pPr>
        <w:jc w:val="both"/>
        <w:ind w:firstLine="4"/>
        <w:spacing w:after="0" w:line="247" w:lineRule="auto"/>
        <w:tabs>
          <w:tab w:leader="none" w:pos="30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series of debt securities (the “</w:t>
      </w:r>
      <w:r>
        <w:rPr>
          <w:rFonts w:ascii="Times New Roman" w:cs="Times New Roman" w:eastAsia="Times New Roman" w:hAnsi="Times New Roman"/>
          <w:sz w:val="17"/>
          <w:szCs w:val="17"/>
          <w:b w:val="1"/>
          <w:bCs w:val="1"/>
          <w:i w:val="1"/>
          <w:iCs w:val="1"/>
          <w:color w:val="auto"/>
        </w:rPr>
        <w:t>Debt Securities</w:t>
      </w:r>
      <w:r>
        <w:rPr>
          <w:rFonts w:ascii="Times New Roman" w:cs="Times New Roman" w:eastAsia="Times New Roman" w:hAnsi="Times New Roman"/>
          <w:sz w:val="17"/>
          <w:szCs w:val="17"/>
          <w:color w:val="auto"/>
        </w:rPr>
        <w:t>”) issuable pursuant to an indenture (the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by and between the Company and a financial institution to be identified therein as trustee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(iv) warrants to purchase Common Stock, Preferred Stock and/or Debt Securities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(v) subscription rights to purchase Common Stock, Preferred Stock and/or Debt Securities (the “</w:t>
      </w:r>
      <w:r>
        <w:rPr>
          <w:rFonts w:ascii="Times New Roman" w:cs="Times New Roman" w:eastAsia="Times New Roman" w:hAnsi="Times New Roman"/>
          <w:sz w:val="17"/>
          <w:szCs w:val="17"/>
          <w:b w:val="1"/>
          <w:bCs w:val="1"/>
          <w:i w:val="1"/>
          <w:iCs w:val="1"/>
          <w:color w:val="auto"/>
        </w:rPr>
        <w:t>Subscription Rights</w:t>
      </w:r>
      <w:r>
        <w:rPr>
          <w:rFonts w:ascii="Times New Roman" w:cs="Times New Roman" w:eastAsia="Times New Roman" w:hAnsi="Times New Roman"/>
          <w:sz w:val="17"/>
          <w:szCs w:val="17"/>
          <w:color w:val="auto"/>
        </w:rPr>
        <w:t>”), and/or (vi) units consisting of any combination of such foregoing securities described in clauses (i) through (v) above (the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 The Common Stock, the Preferred Stock, the Debt Securities, the Warrants, the Subscription Rights and the Units are collectively referred to herein as the “</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The Securities may be sold from time to time by the Company as set forth in the Registration Statement, the base prospectus contained within the Registration Statement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and supplements to the Prospectus. The Company has informed us that the Company intends to issue the Securities from time to time on a delayed or continuous basis pursuant to Rule 415 under the Securities Act.</w:t>
      </w:r>
    </w:p>
    <w:p>
      <w:pPr>
        <w:spacing w:after="0" w:line="158" w:lineRule="exact"/>
        <w:rPr>
          <w:sz w:val="20"/>
          <w:szCs w:val="20"/>
          <w:color w:val="auto"/>
        </w:rPr>
      </w:pPr>
    </w:p>
    <w:p>
      <w:pPr>
        <w:jc w:val="both"/>
        <w:ind w:firstLine="504"/>
        <w:spacing w:after="0" w:line="271" w:lineRule="auto"/>
        <w:rPr>
          <w:sz w:val="20"/>
          <w:szCs w:val="20"/>
          <w:color w:val="auto"/>
        </w:rPr>
      </w:pPr>
      <w:r>
        <w:rPr>
          <w:rFonts w:ascii="Times New Roman" w:cs="Times New Roman" w:eastAsia="Times New Roman" w:hAnsi="Times New Roman"/>
          <w:sz w:val="16"/>
          <w:szCs w:val="16"/>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Times New Roman" w:cs="Times New Roman" w:eastAsia="Times New Roman" w:hAnsi="Times New Roman"/>
          <w:sz w:val="16"/>
          <w:szCs w:val="16"/>
          <w:b w:val="1"/>
          <w:bCs w:val="1"/>
          <w:i w:val="1"/>
          <w:iCs w:val="1"/>
          <w:color w:val="auto"/>
        </w:rPr>
        <w:t>Opinion Certificate</w:t>
      </w:r>
      <w:r>
        <w:rPr>
          <w:rFonts w:ascii="Times New Roman" w:cs="Times New Roman" w:eastAsia="Times New Roman" w:hAnsi="Times New Roman"/>
          <w:sz w:val="16"/>
          <w:szCs w:val="16"/>
          <w:color w:val="auto"/>
        </w:rPr>
        <w:t>”).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w:t>
      </w:r>
    </w:p>
    <w:p>
      <w:pPr>
        <w:sectPr>
          <w:pgSz w:w="11900" w:h="16838" w:orient="portrait"/>
          <w:cols w:equalWidth="0" w:num="1">
            <w:col w:w="11280"/>
          </w:cols>
          <w:pgMar w:left="300" w:top="891"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color w:val="auto"/>
        </w:rPr>
        <w:t>GeneDx Holdings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504"/>
        <w:spacing w:after="0" w:line="251" w:lineRule="auto"/>
        <w:rPr>
          <w:sz w:val="20"/>
          <w:szCs w:val="20"/>
          <w:color w:val="auto"/>
        </w:rPr>
      </w:pPr>
      <w:r>
        <w:rPr>
          <w:rFonts w:ascii="Times New Roman" w:cs="Times New Roman" w:eastAsia="Times New Roman" w:hAnsi="Times New Roman"/>
          <w:sz w:val="17"/>
          <w:szCs w:val="17"/>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17"/>
          <w:szCs w:val="17"/>
          <w:b w:val="1"/>
          <w:bCs w:val="1"/>
          <w:i w:val="1"/>
          <w:iCs w:val="1"/>
          <w:color w:val="auto"/>
        </w:rPr>
        <w:t>EDGAR</w:t>
      </w:r>
      <w:r>
        <w:rPr>
          <w:rFonts w:ascii="Times New Roman" w:cs="Times New Roman" w:eastAsia="Times New Roman" w:hAnsi="Times New Roman"/>
          <w:sz w:val="17"/>
          <w:szCs w:val="17"/>
          <w:color w:val="auto"/>
        </w:rPr>
        <w:t>”), except for required EDGAR formatting changes, to physical copies submitted for our examination.</w:t>
      </w:r>
    </w:p>
    <w:p>
      <w:pPr>
        <w:spacing w:after="0" w:line="143"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7"/>
          <w:szCs w:val="17"/>
          <w:color w:val="auto"/>
        </w:rPr>
        <w:t>We advise you that we have also examined (i) the sales agreement prospectus supplement contained within the Registration Statement (together with the Prospectus, the “</w:t>
      </w:r>
      <w:r>
        <w:rPr>
          <w:rFonts w:ascii="Times New Roman" w:cs="Times New Roman" w:eastAsia="Times New Roman" w:hAnsi="Times New Roman"/>
          <w:sz w:val="17"/>
          <w:szCs w:val="17"/>
          <w:b w:val="1"/>
          <w:bCs w:val="1"/>
          <w:i w:val="1"/>
          <w:iCs w:val="1"/>
          <w:color w:val="auto"/>
        </w:rPr>
        <w:t>Sales Agreement Prospectus</w:t>
      </w:r>
      <w:r>
        <w:rPr>
          <w:rFonts w:ascii="Times New Roman" w:cs="Times New Roman" w:eastAsia="Times New Roman" w:hAnsi="Times New Roman"/>
          <w:sz w:val="17"/>
          <w:szCs w:val="17"/>
          <w:color w:val="auto"/>
        </w:rPr>
        <w:t>”) relating to the sale by the Company through TD Securities (USA) LLC, as the sales agent (the “</w:t>
      </w:r>
      <w:r>
        <w:rPr>
          <w:rFonts w:ascii="Times New Roman" w:cs="Times New Roman" w:eastAsia="Times New Roman" w:hAnsi="Times New Roman"/>
          <w:sz w:val="17"/>
          <w:szCs w:val="17"/>
          <w:b w:val="1"/>
          <w:bCs w:val="1"/>
          <w:i w:val="1"/>
          <w:iCs w:val="1"/>
          <w:color w:val="auto"/>
        </w:rPr>
        <w:t>Sales Agent</w:t>
      </w:r>
      <w:r>
        <w:rPr>
          <w:rFonts w:ascii="Times New Roman" w:cs="Times New Roman" w:eastAsia="Times New Roman" w:hAnsi="Times New Roman"/>
          <w:sz w:val="17"/>
          <w:szCs w:val="17"/>
          <w:color w:val="auto"/>
        </w:rPr>
        <w:t>”), from time to time of shares of Common Stock (the “</w:t>
      </w:r>
      <w:r>
        <w:rPr>
          <w:rFonts w:ascii="Times New Roman" w:cs="Times New Roman" w:eastAsia="Times New Roman" w:hAnsi="Times New Roman"/>
          <w:sz w:val="17"/>
          <w:szCs w:val="17"/>
          <w:b w:val="1"/>
          <w:bCs w:val="1"/>
          <w:i w:val="1"/>
          <w:iCs w:val="1"/>
          <w:color w:val="auto"/>
        </w:rPr>
        <w:t>Placement Shares</w:t>
      </w:r>
      <w:r>
        <w:rPr>
          <w:rFonts w:ascii="Times New Roman" w:cs="Times New Roman" w:eastAsia="Times New Roman" w:hAnsi="Times New Roman"/>
          <w:sz w:val="17"/>
          <w:szCs w:val="17"/>
          <w:color w:val="auto"/>
        </w:rPr>
        <w:t>”) having an aggregate maximum offering price of up to $100,000,000 pursuant to the Registration Statement and the Sales Agreement Prospectus, and (ii) that certain Sales Agreement, dated as of October 28, 2025, by and between the Company and the Sales Agent (the “</w:t>
      </w:r>
      <w:r>
        <w:rPr>
          <w:rFonts w:ascii="Times New Roman" w:cs="Times New Roman" w:eastAsia="Times New Roman" w:hAnsi="Times New Roman"/>
          <w:sz w:val="17"/>
          <w:szCs w:val="17"/>
          <w:b w:val="1"/>
          <w:bCs w:val="1"/>
          <w:i w:val="1"/>
          <w:iCs w:val="1"/>
          <w:color w:val="auto"/>
        </w:rPr>
        <w:t>Sales Agreement</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firstLine="504"/>
        <w:spacing w:after="0" w:line="264" w:lineRule="auto"/>
        <w:rPr>
          <w:sz w:val="20"/>
          <w:szCs w:val="20"/>
          <w:color w:val="auto"/>
        </w:rPr>
      </w:pPr>
      <w:r>
        <w:rPr>
          <w:rFonts w:ascii="Times New Roman" w:cs="Times New Roman" w:eastAsia="Times New Roman" w:hAnsi="Times New Roman"/>
          <w:sz w:val="17"/>
          <w:szCs w:val="17"/>
          <w:color w:val="auto"/>
        </w:rPr>
        <w:t>The opinions in this letter are limited to the existing General Corporation Law of the State of Delaware now in effect and, as to the Debt Securities, Warrants, Subscription Rights and Units constituting valid and binding obligations of the Company, the existing internal laws of the State of New York now in effect (the “</w:t>
      </w:r>
      <w:r>
        <w:rPr>
          <w:rFonts w:ascii="Times New Roman" w:cs="Times New Roman" w:eastAsia="Times New Roman" w:hAnsi="Times New Roman"/>
          <w:sz w:val="17"/>
          <w:szCs w:val="17"/>
          <w:b w:val="1"/>
          <w:bCs w:val="1"/>
          <w:i w:val="1"/>
          <w:iCs w:val="1"/>
          <w:color w:val="auto"/>
        </w:rPr>
        <w:t>Applicable Laws</w:t>
      </w:r>
      <w:r>
        <w:rPr>
          <w:rFonts w:ascii="Times New Roman" w:cs="Times New Roman" w:eastAsia="Times New Roman" w:hAnsi="Times New Roman"/>
          <w:sz w:val="17"/>
          <w:szCs w:val="17"/>
          <w:color w:val="auto"/>
        </w:rPr>
        <w:t>”). We express no opinion with respect to any other laws.</w:t>
      </w:r>
    </w:p>
    <w:p>
      <w:pPr>
        <w:spacing w:after="0" w:line="131" w:lineRule="exact"/>
        <w:rPr>
          <w:sz w:val="20"/>
          <w:szCs w:val="20"/>
          <w:color w:val="auto"/>
        </w:rPr>
      </w:pPr>
    </w:p>
    <w:p>
      <w:pPr>
        <w:jc w:val="both"/>
        <w:ind w:firstLine="504"/>
        <w:spacing w:after="0" w:line="269" w:lineRule="auto"/>
        <w:rPr>
          <w:sz w:val="20"/>
          <w:szCs w:val="20"/>
          <w:color w:val="auto"/>
        </w:rPr>
      </w:pPr>
      <w:r>
        <w:rPr>
          <w:rFonts w:ascii="Times New Roman" w:cs="Times New Roman" w:eastAsia="Times New Roman" w:hAnsi="Times New Roman"/>
          <w:sz w:val="16"/>
          <w:szCs w:val="16"/>
          <w:color w:val="auto"/>
        </w:rPr>
        <w:t>In connection with our opinions expressed below, we have assumed that, (i) at or prior to the time of the delivery of any of the Securities, including the Placement Shares, there will not have occurred any change in the law or the facts affecting the validity of the Securities, (ii) the Registration Statement and any amendments (including any necessary post-effective amendments) will have been declared effective under the Securities Act, (iii) at the time of the offer, issuance and sale of any Securities, including the Placement Shares, no stop order suspending the Registration Statement’s effectiveness will have been issued and remain in effect,</w:t>
      </w:r>
    </w:p>
    <w:p>
      <w:pPr>
        <w:spacing w:after="0" w:line="1" w:lineRule="exact"/>
        <w:rPr>
          <w:sz w:val="20"/>
          <w:szCs w:val="20"/>
          <w:color w:val="auto"/>
        </w:rPr>
      </w:pPr>
    </w:p>
    <w:p>
      <w:pPr>
        <w:jc w:val="both"/>
        <w:ind w:firstLine="4"/>
        <w:spacing w:after="0" w:line="246" w:lineRule="auto"/>
        <w:tabs>
          <w:tab w:leader="none" w:pos="287"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future amendments will be made to the Company’s current amended and restated certificate of incorporation (as amended from time to time, the “</w:t>
      </w:r>
      <w:r>
        <w:rPr>
          <w:rFonts w:ascii="Times New Roman" w:cs="Times New Roman" w:eastAsia="Times New Roman" w:hAnsi="Times New Roman"/>
          <w:sz w:val="17"/>
          <w:szCs w:val="17"/>
          <w:b w:val="1"/>
          <w:bCs w:val="1"/>
          <w:i w:val="1"/>
          <w:iCs w:val="1"/>
          <w:color w:val="auto"/>
        </w:rPr>
        <w:t>Certificate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Incorporation</w:t>
      </w:r>
      <w:r>
        <w:rPr>
          <w:rFonts w:ascii="Times New Roman" w:cs="Times New Roman" w:eastAsia="Times New Roman" w:hAnsi="Times New Roman"/>
          <w:sz w:val="17"/>
          <w:szCs w:val="17"/>
          <w:color w:val="auto"/>
        </w:rPr>
        <w:t>”), or the Company’s Amended and Restated Bylaws (the “</w:t>
      </w:r>
      <w:r>
        <w:rPr>
          <w:rFonts w:ascii="Times New Roman" w:cs="Times New Roman" w:eastAsia="Times New Roman" w:hAnsi="Times New Roman"/>
          <w:sz w:val="17"/>
          <w:szCs w:val="17"/>
          <w:b w:val="1"/>
          <w:bCs w:val="1"/>
          <w:i w:val="1"/>
          <w:iCs w:val="1"/>
          <w:color w:val="auto"/>
        </w:rPr>
        <w:t>Bylaws</w:t>
      </w:r>
      <w:r>
        <w:rPr>
          <w:rFonts w:ascii="Times New Roman" w:cs="Times New Roman" w:eastAsia="Times New Roman" w:hAnsi="Times New Roman"/>
          <w:sz w:val="17"/>
          <w:szCs w:val="17"/>
          <w:color w:val="auto"/>
        </w:rPr>
        <w:t>” and, together with the Certificate of Incorporation, the “</w:t>
      </w:r>
      <w:r>
        <w:rPr>
          <w:rFonts w:ascii="Times New Roman" w:cs="Times New Roman" w:eastAsia="Times New Roman" w:hAnsi="Times New Roman"/>
          <w:sz w:val="17"/>
          <w:szCs w:val="17"/>
          <w:b w:val="1"/>
          <w:bCs w:val="1"/>
          <w:i w:val="1"/>
          <w:iCs w:val="1"/>
          <w:color w:val="auto"/>
        </w:rPr>
        <w:t>Charter Documents</w:t>
      </w:r>
      <w:r>
        <w:rPr>
          <w:rFonts w:ascii="Times New Roman" w:cs="Times New Roman" w:eastAsia="Times New Roman" w:hAnsi="Times New Roman"/>
          <w:sz w:val="17"/>
          <w:szCs w:val="17"/>
          <w:color w:val="auto"/>
        </w:rPr>
        <w:t>”)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would be in conflict with or inconsistent with the Company’s right and ability to issue the Securities, including without limitation the Placement Shares, (v) at the time of the issuance and sale of the Securities, the Company will be validly existing as a corporation and in good standing under the laws of the State of Delaware; and (vi) at the time of each offer, issuance and sale of any Securities,</w:t>
      </w:r>
    </w:p>
    <w:p>
      <w:pPr>
        <w:sectPr>
          <w:pgSz w:w="11900" w:h="16838" w:orient="portrait"/>
          <w:cols w:equalWidth="0" w:num="1">
            <w:col w:w="11280"/>
          </w:cols>
          <w:pgMar w:left="300" w:top="129"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t>GeneDx Holdings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including without limitation the Placement Shares, the Company will have a sufficient number of authorized and unissued and unreserved shares of the applicable class or series of its capital stock included in (or purchasable upon exercise or conversion of) the Securities, including without limitation the Placement Shares, so issued and sold (after taking into account all other outstanding securities of the Company which may require the Company to issue shares of such applicable class or series) to be able to issue all such shares.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This opinion is qualified by, and is subject to, and we render no opinion with respect to, the following limitations and exceptions to the enforceability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Debt Securities, the Warrants, the Subscription Rights and the Units:</w:t>
      </w:r>
    </w:p>
    <w:p>
      <w:pPr>
        <w:spacing w:after="0" w:line="133" w:lineRule="exact"/>
        <w:rPr>
          <w:sz w:val="20"/>
          <w:szCs w:val="20"/>
          <w:color w:val="auto"/>
        </w:rPr>
      </w:pPr>
    </w:p>
    <w:p>
      <w:pPr>
        <w:jc w:val="both"/>
        <w:ind w:left="760" w:hanging="252"/>
        <w:spacing w:after="0" w:line="226" w:lineRule="auto"/>
        <w:tabs>
          <w:tab w:leader="none" w:pos="756" w:val="left"/>
        </w:tabs>
        <w:numPr>
          <w:ilvl w:val="0"/>
          <w:numId w:val="10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pacing w:after="0" w:line="119" w:lineRule="exact"/>
        <w:rPr>
          <w:rFonts w:ascii="Times New Roman" w:cs="Times New Roman" w:eastAsia="Times New Roman" w:hAnsi="Times New Roman"/>
          <w:sz w:val="17"/>
          <w:szCs w:val="17"/>
          <w:color w:val="010000"/>
        </w:rPr>
      </w:pPr>
    </w:p>
    <w:p>
      <w:pPr>
        <w:jc w:val="both"/>
        <w:ind w:left="760" w:hanging="252"/>
        <w:spacing w:after="0" w:line="226" w:lineRule="auto"/>
        <w:tabs>
          <w:tab w:leader="none" w:pos="756" w:val="left"/>
        </w:tabs>
        <w:numPr>
          <w:ilvl w:val="0"/>
          <w:numId w:val="10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119" w:lineRule="exact"/>
        <w:rPr>
          <w:rFonts w:ascii="Times New Roman" w:cs="Times New Roman" w:eastAsia="Times New Roman" w:hAnsi="Times New Roman"/>
          <w:sz w:val="17"/>
          <w:szCs w:val="17"/>
          <w:color w:val="010000"/>
        </w:rPr>
      </w:pPr>
    </w:p>
    <w:p>
      <w:pPr>
        <w:ind w:left="760" w:hanging="252"/>
        <w:spacing w:after="0"/>
        <w:tabs>
          <w:tab w:leader="none" w:pos="760" w:val="left"/>
        </w:tabs>
        <w:numPr>
          <w:ilvl w:val="0"/>
          <w:numId w:val="10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the case of the Debt Securities, the effect of laws relating to usury or permissible rates of interest for loans, forbearances or the use of money.</w:t>
      </w:r>
    </w:p>
    <w:p>
      <w:pPr>
        <w:spacing w:after="0" w:line="161" w:lineRule="exact"/>
        <w:rPr>
          <w:sz w:val="20"/>
          <w:szCs w:val="20"/>
          <w:color w:val="auto"/>
        </w:rPr>
      </w:pPr>
    </w:p>
    <w:p>
      <w:pPr>
        <w:jc w:val="both"/>
        <w:ind w:firstLine="504"/>
        <w:spacing w:after="0" w:line="264" w:lineRule="auto"/>
        <w:rPr>
          <w:sz w:val="20"/>
          <w:szCs w:val="20"/>
          <w:color w:val="auto"/>
        </w:rPr>
      </w:pPr>
      <w:r>
        <w:rPr>
          <w:rFonts w:ascii="Times New Roman" w:cs="Times New Roman" w:eastAsia="Times New Roman" w:hAnsi="Times New Roman"/>
          <w:sz w:val="17"/>
          <w:szCs w:val="17"/>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Based upon the foregoing, and subject to the qualifications and exceptions contained herein, we are of the following opinion:</w:t>
      </w:r>
    </w:p>
    <w:p>
      <w:pPr>
        <w:spacing w:after="0" w:line="151" w:lineRule="exact"/>
        <w:rPr>
          <w:sz w:val="20"/>
          <w:szCs w:val="20"/>
          <w:color w:val="auto"/>
        </w:rPr>
      </w:pPr>
    </w:p>
    <w:p>
      <w:pPr>
        <w:jc w:val="both"/>
        <w:ind w:firstLine="508"/>
        <w:spacing w:after="0" w:line="214" w:lineRule="auto"/>
        <w:tabs>
          <w:tab w:leader="none" w:pos="1007" w:val="left"/>
        </w:tabs>
        <w:numPr>
          <w:ilvl w:val="0"/>
          <w:numId w:val="10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With respect to the shares of Common Stock registered pursuant to the Registration Statement (other than the Placement Shares), when (a) the issuance of and the terms of the offering of such shares of Common Stock and related matters have been duly authorized by all required corporate action of the Company’s Board of Directors, or a duly authorized committee thereof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and, if required, of the stockholders of the Company in accordance with the Charter Documents and Applicable Laws and (b) if required, certificates representing the shares of Common Stock have been duly executed, countersigned, registered and delivered in accordance with the applicable definitive purchase, underwriting or similar agreement approved by the Board, or upon the conversion or exercise of any Security offered under the Registration Statement, and upon payment of the consideration therefor (in an amount not less than the par value of the Common Stock) provided for therein, then such shares of Common Stock will be validly issued, fully paid and nonassessable.</w:t>
      </w:r>
    </w:p>
    <w:p>
      <w:pPr>
        <w:sectPr>
          <w:pgSz w:w="11900" w:h="16838" w:orient="portrait"/>
          <w:cols w:equalWidth="0" w:num="1">
            <w:col w:w="11280"/>
          </w:cols>
          <w:pgMar w:left="300" w:top="129"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color w:val="auto"/>
        </w:rPr>
        <w:t>GeneDx Holdings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508"/>
        <w:spacing w:after="0" w:line="212" w:lineRule="auto"/>
        <w:tabs>
          <w:tab w:leader="none" w:pos="1007" w:val="left"/>
        </w:tabs>
        <w:numPr>
          <w:ilvl w:val="0"/>
          <w:numId w:val="10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With respect to any particular series of shares of Preferred Stock registered pursuant to the Registration Statement, when (a) the issuance and terms of such shares of Preferred Stock, the terms of the offering thereof and related matters, including the adoption of a certificate of designation (a “</w:t>
      </w:r>
      <w:r>
        <w:rPr>
          <w:rFonts w:ascii="Times New Roman" w:cs="Times New Roman" w:eastAsia="Times New Roman" w:hAnsi="Times New Roman"/>
          <w:sz w:val="17"/>
          <w:szCs w:val="17"/>
          <w:b w:val="1"/>
          <w:bCs w:val="1"/>
          <w:i w:val="1"/>
          <w:iCs w:val="1"/>
          <w:color w:val="auto"/>
        </w:rPr>
        <w:t>Certificate</w:t>
      </w:r>
      <w:r>
        <w:rPr>
          <w:rFonts w:ascii="Times New Roman" w:cs="Times New Roman" w:eastAsia="Times New Roman" w:hAnsi="Times New Roman"/>
          <w:sz w:val="17"/>
          <w:szCs w:val="17"/>
          <w:color w:val="auto"/>
        </w:rPr>
        <w:t>”) relating to such Preferred Stock conforming to the Charter Documents and the General Corporation Law of the State of Delaware, and the filing of such Certificate with the Secretary of State of the State of Delaware (or the filing of an amendment to the Certificate of Incorporation to similar effect), have been duly authorized by all required corporate action of the Board and, if required, of the stockholders of the Company in accordance with the Charter Documents and Applicable Laws and (b) if required, certificates representing the shares of Preferred Stock have been duly executed, countersigned, registered and delivered in accordance with the applicable definitive purchase, underwriting or similar agreement approved by the Board, or upon conversion or exercise of any other Security offered under the Registration Statement, and upon payment of the consideration therefor (in an amount not less than the par value per share of such Preferred Stock) provided for therein, then such shares of Preferred Stock will be validly issued, fully paid and nonassessable.</w:t>
      </w:r>
    </w:p>
    <w:p>
      <w:pPr>
        <w:spacing w:after="0" w:line="124" w:lineRule="exact"/>
        <w:rPr>
          <w:rFonts w:ascii="Times New Roman" w:cs="Times New Roman" w:eastAsia="Times New Roman" w:hAnsi="Times New Roman"/>
          <w:sz w:val="17"/>
          <w:szCs w:val="17"/>
          <w:color w:val="010000"/>
        </w:rPr>
      </w:pPr>
    </w:p>
    <w:p>
      <w:pPr>
        <w:jc w:val="both"/>
        <w:ind w:firstLine="508"/>
        <w:spacing w:after="0" w:line="212" w:lineRule="auto"/>
        <w:tabs>
          <w:tab w:leader="none" w:pos="1007" w:val="left"/>
        </w:tabs>
        <w:numPr>
          <w:ilvl w:val="0"/>
          <w:numId w:val="10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With respect to any Debt Securities registered pursuant to the Registration Statement, when (a) the issuance of such Debt Securities has been duly authorized by all required corporate action of the Board and, if required, of the stockholders of the Company in accordance with the Charter Documents and Applicable Laws, (b) an Indenture relating to such Debt Securities in the form filed with the Registration Statement as an exhibit has been duly authorized and validly executed and delivered by each of the Company and the Trustee, (c) the specific form and terms of the Debt Securities have been duly established in accordance with the Indenture, duly authorized pursuant to resolutions duly adopted by the Board, and validly executed, authenticated, issued, and delivered in accordance with the Indenture and the applicable definitive purchase, underwriting or similar agreement, in the manner and for the consideration approved by the Board and stated in the prospectus supplement relating thereto (as amended as of the date of such issuance, sale and delivery), or upon the exercise of Warrants to purchase Debt Securities, upon payment of the consideration therefor provided for therein, then such Debt Securities will be validly issued and will constitute valid and binding obligations of the Company.</w:t>
      </w:r>
    </w:p>
    <w:p>
      <w:pPr>
        <w:spacing w:after="0" w:line="124" w:lineRule="exact"/>
        <w:rPr>
          <w:rFonts w:ascii="Times New Roman" w:cs="Times New Roman" w:eastAsia="Times New Roman" w:hAnsi="Times New Roman"/>
          <w:sz w:val="17"/>
          <w:szCs w:val="17"/>
          <w:color w:val="010000"/>
        </w:rPr>
      </w:pPr>
    </w:p>
    <w:p>
      <w:pPr>
        <w:jc w:val="both"/>
        <w:ind w:firstLine="508"/>
        <w:spacing w:after="0" w:line="214" w:lineRule="auto"/>
        <w:tabs>
          <w:tab w:leader="none" w:pos="1007" w:val="left"/>
        </w:tabs>
        <w:numPr>
          <w:ilvl w:val="0"/>
          <w:numId w:val="10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With respect to any Warrants registered pursuant to the Registration Statement, when (a) the issuance and terms of such Warrants, the terms, execution and delivery of any warrant agreement relating to the Warrants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the terms of the offering thereof and related matters have been duly authorized by all required corporate action of the Board and, if required, of the stockholders of the Company in accordance with the Charter Documents and Applicable Laws, (b) the Warrant Agreement has been duly authorized and validly executed and delivered by the Company, and (c) such Warrants have been duly executed, issued and delivered by the Company in accordance with the provisions of the Warrant Agreement and the applicable definitive purchase, underwriting or similar agreement approved by the Board, upon payment of the consideration therefor provided for therein, then such Warrants will constitute valid and binding obligations of the Company.</w:t>
      </w:r>
    </w:p>
    <w:p>
      <w:pPr>
        <w:spacing w:after="0" w:line="122" w:lineRule="exact"/>
        <w:rPr>
          <w:rFonts w:ascii="Times New Roman" w:cs="Times New Roman" w:eastAsia="Times New Roman" w:hAnsi="Times New Roman"/>
          <w:sz w:val="17"/>
          <w:szCs w:val="17"/>
          <w:color w:val="010000"/>
        </w:rPr>
      </w:pPr>
    </w:p>
    <w:p>
      <w:pPr>
        <w:jc w:val="both"/>
        <w:ind w:firstLine="508"/>
        <w:spacing w:after="0" w:line="218" w:lineRule="auto"/>
        <w:tabs>
          <w:tab w:leader="none" w:pos="1007" w:val="left"/>
        </w:tabs>
        <w:numPr>
          <w:ilvl w:val="0"/>
          <w:numId w:val="10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With respect to any Subscription Rights registered pursuant to the Registration Statement, when (a) the issuance and terms of such Subscription Rights, the terms, execution and delivery of the subscription rights agreement relating to the Subscription Rights (“</w:t>
      </w:r>
      <w:r>
        <w:rPr>
          <w:rFonts w:ascii="Times New Roman" w:cs="Times New Roman" w:eastAsia="Times New Roman" w:hAnsi="Times New Roman"/>
          <w:sz w:val="17"/>
          <w:szCs w:val="17"/>
          <w:b w:val="1"/>
          <w:bCs w:val="1"/>
          <w:i w:val="1"/>
          <w:iCs w:val="1"/>
          <w:color w:val="auto"/>
        </w:rPr>
        <w:t>Subscription Rights Agreement</w:t>
      </w:r>
      <w:r>
        <w:rPr>
          <w:rFonts w:ascii="Times New Roman" w:cs="Times New Roman" w:eastAsia="Times New Roman" w:hAnsi="Times New Roman"/>
          <w:sz w:val="17"/>
          <w:szCs w:val="17"/>
          <w:color w:val="auto"/>
        </w:rPr>
        <w:t>”), the terms of the offering thereof and related matters have been duly authorized by all required corporate action of the Board and, if required, the stockholders of the Company in accordance with the Charter Documents and Applicable Laws, (b) the Subscription Rights Agreement has been duly authorized and validly executed and delivered by the Company,</w:t>
      </w:r>
    </w:p>
    <w:p>
      <w:pPr>
        <w:sectPr>
          <w:pgSz w:w="11900" w:h="16838" w:orient="portrait"/>
          <w:cols w:equalWidth="0" w:num="1">
            <w:col w:w="11280"/>
          </w:cols>
          <w:pgMar w:left="300" w:top="129"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color w:val="auto"/>
        </w:rPr>
        <w:t>GeneDx Holdings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7"/>
          <w:szCs w:val="17"/>
          <w:color w:val="auto"/>
        </w:rPr>
        <w:t>and (c) such Subscription Rights have been duly executed, issued and delivered by the Company in accordance with the provisions of the Subscription Rights Agreement and the applicable definitive purchase, underwriting or similar agreement approved by the Board, upon payment of the consideration therefor provided for therein, then such Subscription Rights will constitute valid and binding obligations of the Company.</w:t>
      </w:r>
    </w:p>
    <w:p>
      <w:pPr>
        <w:spacing w:after="0" w:line="110" w:lineRule="exact"/>
        <w:rPr>
          <w:sz w:val="20"/>
          <w:szCs w:val="20"/>
          <w:color w:val="auto"/>
        </w:rPr>
      </w:pPr>
    </w:p>
    <w:p>
      <w:pPr>
        <w:ind w:left="1020" w:hanging="512"/>
        <w:spacing w:after="0"/>
        <w:tabs>
          <w:tab w:leader="none" w:pos="1020" w:val="left"/>
        </w:tabs>
        <w:numPr>
          <w:ilvl w:val="1"/>
          <w:numId w:val="10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With respect to any Units registered pursuant to the Registration Statement, when (a) the conditions outlined in the immediately preceding paragraphs</w:t>
      </w:r>
    </w:p>
    <w:p>
      <w:pPr>
        <w:jc w:val="both"/>
        <w:ind w:firstLine="4"/>
        <w:spacing w:after="0" w:line="212" w:lineRule="auto"/>
        <w:tabs>
          <w:tab w:leader="none" w:pos="244"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(5) that apply to the Securities that make up such Units are all met, (b) the issuance and terms of such Units, the terms, execution and delivery of the unit purchase agreement relating to such Units (“</w:t>
      </w:r>
      <w:r>
        <w:rPr>
          <w:rFonts w:ascii="Times New Roman" w:cs="Times New Roman" w:eastAsia="Times New Roman" w:hAnsi="Times New Roman"/>
          <w:sz w:val="17"/>
          <w:szCs w:val="17"/>
          <w:b w:val="1"/>
          <w:bCs w:val="1"/>
          <w:i w:val="1"/>
          <w:iCs w:val="1"/>
          <w:color w:val="auto"/>
        </w:rPr>
        <w:t>Unit Agreement</w:t>
      </w:r>
      <w:r>
        <w:rPr>
          <w:rFonts w:ascii="Times New Roman" w:cs="Times New Roman" w:eastAsia="Times New Roman" w:hAnsi="Times New Roman"/>
          <w:sz w:val="17"/>
          <w:szCs w:val="17"/>
          <w:color w:val="auto"/>
        </w:rPr>
        <w:t>”), the terms of the offering thereof and related matters have been duly authorized by all required corporate action of the Board and, if required, of the stockholders of the Company in accordance with the Charter Documents and Applicable Laws, (c) the Unit Agreement has been duly authorized and validly executed and delivered by the Company, and (d) such Units have been duly executed, issued and delivered by the Company in accordance with the provisions of the Unit Agreement and the applicable definitive purchase, underwriting or similar agreement approved by the Board, upon payment of the consideration therefor provided for therein, then such Units will constitute valid and binding obligations of the Company.</w:t>
      </w:r>
    </w:p>
    <w:p>
      <w:pPr>
        <w:spacing w:after="0" w:line="121" w:lineRule="exact"/>
        <w:rPr>
          <w:rFonts w:ascii="Times New Roman" w:cs="Times New Roman" w:eastAsia="Times New Roman" w:hAnsi="Times New Roman"/>
          <w:sz w:val="17"/>
          <w:szCs w:val="17"/>
          <w:color w:val="auto"/>
        </w:rPr>
      </w:pPr>
    </w:p>
    <w:p>
      <w:pPr>
        <w:jc w:val="both"/>
        <w:ind w:firstLine="508"/>
        <w:spacing w:after="0" w:line="221" w:lineRule="auto"/>
        <w:tabs>
          <w:tab w:leader="none" w:pos="1007" w:val="left"/>
        </w:tabs>
        <w:numPr>
          <w:ilvl w:val="1"/>
          <w:numId w:val="10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Placement Shares, to be issued and sold by the Company, have been duly authorized for issuance and, when issued, sold and delivered for consideration (of not less than par value per share of the Common Stock) and in the manner contemplated by the Sales Agreement and the Sales Agreement Prospectus and in accordance with the resolutions duly adopted and to be duly adopted by the Board and to be duly adopted by the placement committee of the Board with respect to the offer, sale and issuance of the Placement Shares, will be validly issued, fully paid and nonassessable.</w:t>
      </w:r>
    </w:p>
    <w:p>
      <w:pPr>
        <w:spacing w:after="0" w:line="140" w:lineRule="exact"/>
        <w:rPr>
          <w:sz w:val="20"/>
          <w:szCs w:val="20"/>
          <w:color w:val="auto"/>
        </w:rPr>
      </w:pPr>
    </w:p>
    <w:p>
      <w:pPr>
        <w:jc w:val="both"/>
        <w:ind w:firstLine="504"/>
        <w:spacing w:after="0" w:line="271" w:lineRule="auto"/>
        <w:rPr>
          <w:sz w:val="20"/>
          <w:szCs w:val="20"/>
          <w:color w:val="auto"/>
        </w:rPr>
      </w:pPr>
      <w:r>
        <w:rPr>
          <w:rFonts w:ascii="Times New Roman" w:cs="Times New Roman" w:eastAsia="Times New Roman" w:hAnsi="Times New Roman"/>
          <w:sz w:val="17"/>
          <w:szCs w:val="17"/>
          <w:color w:val="auto"/>
        </w:rPr>
        <w:t>In connection with the opinions expressed above, we have assumed that each of the Debt Securities and the Indenture, Warrant Agreement, Subscription Rights Agreement and Unit Agreement governing such Securities are legally valid and binding obligations of each party thereto other than the Company.</w:t>
      </w:r>
    </w:p>
    <w:p>
      <w:pPr>
        <w:spacing w:after="0" w:line="136" w:lineRule="exact"/>
        <w:rPr>
          <w:sz w:val="20"/>
          <w:szCs w:val="20"/>
          <w:color w:val="auto"/>
        </w:rPr>
      </w:pPr>
    </w:p>
    <w:p>
      <w:pPr>
        <w:jc w:val="both"/>
        <w:ind w:firstLine="504"/>
        <w:spacing w:after="0" w:line="281" w:lineRule="auto"/>
        <w:rPr>
          <w:sz w:val="20"/>
          <w:szCs w:val="20"/>
          <w:color w:val="auto"/>
        </w:rPr>
      </w:pPr>
      <w:r>
        <w:rPr>
          <w:rFonts w:ascii="Times New Roman" w:cs="Times New Roman" w:eastAsia="Times New Roman" w:hAnsi="Times New Roman"/>
          <w:sz w:val="16"/>
          <w:szCs w:val="16"/>
          <w:color w:val="auto"/>
        </w:rPr>
        <w:t>We consent to the use of this opinion as an exhibit to the Registration Statement and further consent to all references to us, if any, in the Registration Statement, the Prospectus and Sales Agreement Prospectus constituting parts thereof and any amendments thereto. In giving this consent we do not thereby admit that we come within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[Concluding Paragraph Follows on Next Page]</w:t>
      </w:r>
    </w:p>
    <w:p>
      <w:pPr>
        <w:sectPr>
          <w:pgSz w:w="11900" w:h="16838" w:orient="portrait"/>
          <w:cols w:equalWidth="0" w:num="1">
            <w:col w:w="11280"/>
          </w:cols>
          <w:pgMar w:left="300" w:top="129"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color w:val="auto"/>
        </w:rPr>
        <w:t>GeneDx Holdings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28,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504"/>
        <w:spacing w:after="0" w:line="252" w:lineRule="auto"/>
        <w:rPr>
          <w:sz w:val="20"/>
          <w:szCs w:val="20"/>
          <w:color w:val="auto"/>
        </w:rPr>
      </w:pPr>
      <w:r>
        <w:rPr>
          <w:rFonts w:ascii="Times New Roman" w:cs="Times New Roman" w:eastAsia="Times New Roman" w:hAnsi="Times New Roman"/>
          <w:sz w:val="17"/>
          <w:szCs w:val="17"/>
          <w:color w:val="auto"/>
        </w:rPr>
        <w:t>This opinion is intended solely for use in connection with the issuance and sale of the Securities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4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/s/ Fenwick &amp; West LLP</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FENWICK &amp; WEST LLP</w:t>
      </w:r>
    </w:p>
    <w:p>
      <w:pPr>
        <w:sectPr>
          <w:pgSz w:w="11900" w:h="16838" w:orient="portrait"/>
          <w:cols w:equalWidth="0" w:num="1">
            <w:col w:w="11280"/>
          </w:cols>
          <w:pgMar w:left="300" w:top="129"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consent to the reference to our firm under the caption "Experts" in the Registration Statement (Form S-3) and related Prospectus of GeneDx Holdings Corp. for the registration of its Class A common stock, preferred stock, debt securities and warrants and to the incorporation by reference therein of our report dated February 20, 2025, with respect to the consolidated financial statements of GeneDx Holdings Corp. included in its Annual Report (Form 10-K) for the year ended December 31, 2024, filed with the Securities and Exchange Commission.</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October 28, 2025</w:t>
      </w:r>
    </w:p>
    <w:sectPr>
      <w:pgSz w:w="11900" w:h="16838" w:orient="portrait"/>
      <w:cols w:equalWidth="0" w:num="1">
        <w:col w:w="11280"/>
      </w:cols>
      <w:pgMar w:left="300" w:top="49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1)"/>
      <w:numFmt w:val="lowerRoman"/>
      <w:start w:val="1"/>
    </w:lvl>
  </w:abstractNum>
  <w:abstractNum w:abstractNumId="3">
    <w:nsid w:val="23F9C13C"/>
    <w:multiLevelType w:val="hybridMultilevel"/>
    <w:lvl w:ilvl="0">
      <w:lvlJc w:val="left"/>
      <w:lvlText w:val="(%1)"/>
      <w:numFmt w:val="lowerRoman"/>
      <w:start w:val="5"/>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1)"/>
      <w:numFmt w:val="lowerRoman"/>
      <w:start w:val="1"/>
    </w:lvl>
  </w:abstractNum>
  <w:abstractNum w:abstractNumId="9">
    <w:nsid w:val="235BA861"/>
    <w:multiLevelType w:val="hybridMultilevel"/>
    <w:lvl w:ilvl="0">
      <w:lvlJc w:val="left"/>
      <w:lvlText w:val="(%1)"/>
      <w:numFmt w:val="lowerRoman"/>
      <w:start w:val="5"/>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lvl w:ilvl="1">
      <w:lvlJc w:val="left"/>
      <w:lvlText w:val="(%2)"/>
      <w:numFmt w:val="decimal"/>
      <w:start w:val="11"/>
    </w:lvl>
  </w:abstractNum>
  <w:abstractNum w:abstractNumId="16">
    <w:nsid w:val="3F6AB60F"/>
    <w:multiLevelType w:val="hybridMultilevel"/>
    <w:lvl w:ilvl="0">
      <w:lvlJc w:val="left"/>
      <w:lvlText w:val="•"/>
      <w:numFmt w:val="bullet"/>
      <w:start w:val="1"/>
    </w:lvl>
    <w:lvl w:ilvl="1">
      <w:lvlJc w:val="left"/>
      <w:lvlText w:val="(%2)"/>
      <w:numFmt w:val="decimal"/>
      <w:start w:val="15"/>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lvl w:ilvl="1">
      <w:lvlJc w:val="left"/>
      <w:lvlText w:val="(%2)"/>
      <w:numFmt w:val="decimal"/>
      <w:start w:val="17"/>
    </w:lvl>
  </w:abstractNum>
  <w:abstractNum w:abstractNumId="23">
    <w:nsid w:val="2F305DEF"/>
    <w:multiLevelType w:val="hybridMultilevel"/>
    <w:lvl w:ilvl="0">
      <w:lvlJc w:val="left"/>
      <w:lvlText w:val="•"/>
      <w:numFmt w:val="bullet"/>
      <w:start w:val="1"/>
    </w:lvl>
    <w:lvl w:ilvl="1">
      <w:lvlJc w:val="left"/>
      <w:lvlText w:val="%2."/>
      <w:numFmt w:val="decimal"/>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1)"/>
      <w:numFmt w:val="decimal"/>
      <w:start w:val="1"/>
    </w:lvl>
    <w:lvl w:ilvl="1">
      <w:lvlJc w:val="left"/>
      <w:lvlText w:val="(%2)"/>
      <w:numFmt w:val="decimal"/>
      <w:start w:val="18"/>
    </w:lvl>
  </w:abstractNum>
  <w:abstractNum w:abstractNumId="26">
    <w:nsid w:val="4AD084E9"/>
    <w:multiLevelType w:val="hybridMultilevel"/>
    <w:lvl w:ilvl="0">
      <w:lvlJc w:val="left"/>
      <w:lvlText w:val="(%1)"/>
      <w:numFmt w:val="decimal"/>
      <w:start w:val="1"/>
    </w:lvl>
    <w:lvl w:ilvl="1">
      <w:lvlJc w:val="left"/>
      <w:lvlText w:val="(%2)"/>
      <w:numFmt w:val="lowerRoman"/>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1)"/>
      <w:numFmt w:val="lowerRoman"/>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o"/>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1"/>
      <w:numFmt w:val="lowerLetter"/>
      <w:start w:val="1"/>
    </w:lvl>
    <w:lvl w:ilvl="1">
      <w:lvlJc w:val="left"/>
      <w:lvlText w:val="(%2)"/>
      <w:numFmt w:val="decimal"/>
      <w:start w:val="4"/>
    </w:lvl>
  </w:abstractNum>
  <w:abstractNum w:abstractNumId="48">
    <w:nsid w:val="42963E5A"/>
    <w:multiLevelType w:val="hybridMultilevel"/>
    <w:lvl w:ilvl="0">
      <w:lvlJc w:val="left"/>
      <w:lvlText w:val="(%1)"/>
      <w:numFmt w:val="lowerLetter"/>
      <w:start w:val="1"/>
    </w:lvl>
    <w:lvl w:ilvl="1">
      <w:lvlJc w:val="left"/>
      <w:lvlText w:val="%2"/>
      <w:numFmt w:val="decimal"/>
      <w:start w:val="1"/>
    </w:lvl>
  </w:abstractNum>
  <w:abstractNum w:abstractNumId="49">
    <w:nsid w:val="A0382C5"/>
    <w:multiLevelType w:val="hybridMultilevel"/>
    <w:lvl w:ilvl="0">
      <w:lvlJc w:val="left"/>
      <w:lvlText w:val="(%1)"/>
      <w:numFmt w:val="decimal"/>
      <w:start w:val="1"/>
    </w:lvl>
    <w:lvl w:ilvl="1">
      <w:lvlJc w:val="left"/>
      <w:lvlText w:val="(%2)"/>
      <w:numFmt w:val="lowerRoman"/>
      <w:start w:val="1"/>
    </w:lvl>
  </w:abstractNum>
  <w:abstractNum w:abstractNumId="50">
    <w:nsid w:val="8F2B15E"/>
    <w:multiLevelType w:val="hybridMultilevel"/>
    <w:lvl w:ilvl="0">
      <w:lvlJc w:val="left"/>
      <w:lvlText w:val="(%1)"/>
      <w:numFmt w:val="decimal"/>
      <w:start w:val="2"/>
    </w:lvl>
    <w:lvl w:ilvl="1">
      <w:lvlJc w:val="left"/>
      <w:lvlText w:val="(%2)"/>
      <w:numFmt w:val="lowerRoman"/>
      <w:start w:val="1"/>
    </w:lvl>
  </w:abstractNum>
  <w:abstractNum w:abstractNumId="51">
    <w:nsid w:val="1A32234B"/>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52">
    <w:nsid w:val="3B0FD37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3">
    <w:nsid w:val="68EB2F63"/>
    <w:multiLevelType w:val="hybridMultilevel"/>
    <w:lvl w:ilvl="0">
      <w:lvlJc w:val="left"/>
      <w:lvlText w:val="(%1)"/>
      <w:numFmt w:val="decimal"/>
      <w:start w:val="1"/>
    </w:lvl>
  </w:abstractNum>
  <w:abstractNum w:abstractNumId="54">
    <w:nsid w:val="4962813B"/>
    <w:multiLevelType w:val="hybridMultilevel"/>
    <w:lvl w:ilvl="0">
      <w:lvlJc w:val="left"/>
      <w:lvlText w:val="(%1)"/>
      <w:numFmt w:val="decimal"/>
      <w:start w:val="1"/>
    </w:lvl>
  </w:abstractNum>
  <w:abstractNum w:abstractNumId="55">
    <w:nsid w:val="60B6DF70"/>
    <w:multiLevelType w:val="hybridMultilevel"/>
    <w:lvl w:ilvl="0">
      <w:lvlJc w:val="left"/>
      <w:lvlText w:val="(%1)"/>
      <w:numFmt w:val="decimal"/>
      <w:start w:val="1"/>
    </w:lvl>
  </w:abstractNum>
  <w:abstractNum w:abstractNumId="56">
    <w:nsid w:val="6A5EE64"/>
    <w:multiLevelType w:val="hybridMultilevel"/>
    <w:lvl w:ilvl="0">
      <w:lvlJc w:val="left"/>
      <w:lvlText w:val="(%1)"/>
      <w:numFmt w:val="decimal"/>
      <w:start w:val="1"/>
    </w:lvl>
  </w:abstractNum>
  <w:abstractNum w:abstractNumId="57">
    <w:nsid w:val="14330624"/>
    <w:multiLevelType w:val="hybridMultilevel"/>
    <w:lvl w:ilvl="0">
      <w:lvlJc w:val="left"/>
      <w:lvlText w:val="%1."/>
      <w:numFmt w:val="decimal"/>
      <w:start w:val="1"/>
    </w:lvl>
  </w:abstractNum>
  <w:abstractNum w:abstractNumId="58">
    <w:nsid w:val="7FFFCA11"/>
    <w:multiLevelType w:val="hybridMultilevel"/>
    <w:lvl w:ilvl="0">
      <w:lvlJc w:val="left"/>
      <w:lvlText w:val="%1."/>
      <w:numFmt w:val="decimal"/>
      <w:start w:val="3"/>
    </w:lvl>
  </w:abstractNum>
  <w:abstractNum w:abstractNumId="59">
    <w:nsid w:val="1A27709E"/>
    <w:multiLevelType w:val="hybridMultilevel"/>
    <w:lvl w:ilvl="0">
      <w:lvlJc w:val="left"/>
      <w:lvlText w:val="%1"/>
      <w:numFmt w:val="decimal"/>
      <w:start w:val="1"/>
    </w:lvl>
    <w:lvl w:ilvl="1">
      <w:lvlJc w:val="left"/>
      <w:lvlText w:val="%2."/>
      <w:numFmt w:val="decimal"/>
      <w:start w:val="4"/>
    </w:lvl>
  </w:abstractNum>
  <w:abstractNum w:abstractNumId="60">
    <w:nsid w:val="71EA1109"/>
    <w:multiLevelType w:val="hybridMultilevel"/>
    <w:lvl w:ilvl="0">
      <w:lvlJc w:val="left"/>
      <w:lvlText w:val="%1."/>
      <w:numFmt w:val="decimal"/>
      <w:start w:val="5"/>
    </w:lvl>
    <w:lvl w:ilvl="1">
      <w:lvlJc w:val="left"/>
      <w:lvlText w:val="%2"/>
      <w:numFmt w:val="decimal"/>
      <w:start w:val="1"/>
    </w:lvl>
  </w:abstractNum>
  <w:abstractNum w:abstractNumId="61">
    <w:nsid w:val="100F59DC"/>
    <w:multiLevelType w:val="hybridMultilevel"/>
    <w:lvl w:ilvl="0">
      <w:lvlJc w:val="left"/>
      <w:lvlText w:val="%1"/>
      <w:numFmt w:val="lowerLetter"/>
      <w:start w:val="1"/>
    </w:lvl>
    <w:lvl w:ilvl="1">
      <w:lvlJc w:val="left"/>
      <w:lvlText w:val="%2."/>
      <w:numFmt w:val="decimal"/>
      <w:start w:val="6"/>
    </w:lvl>
  </w:abstractNum>
  <w:abstractNum w:abstractNumId="62">
    <w:nsid w:val="7FB7E0AA"/>
    <w:multiLevelType w:val="hybridMultilevel"/>
    <w:lvl w:ilvl="0">
      <w:lvlJc w:val="left"/>
      <w:lvlText w:val="(%1)"/>
      <w:numFmt w:val="lowerLetter"/>
      <w:start w:val="2"/>
    </w:lvl>
    <w:lvl w:ilvl="1">
      <w:lvlJc w:val="left"/>
      <w:lvlText w:val="%2."/>
      <w:numFmt w:val="decimal"/>
      <w:start w:val="8"/>
    </w:lvl>
  </w:abstractNum>
  <w:abstractNum w:abstractNumId="63">
    <w:nsid w:val="6EB5BD4"/>
    <w:multiLevelType w:val="hybridMultilevel"/>
    <w:lvl w:ilvl="0">
      <w:lvlJc w:val="left"/>
      <w:lvlText w:val="(%1)"/>
      <w:numFmt w:val="lowerLetter"/>
      <w:start w:val="1"/>
    </w:lvl>
  </w:abstractNum>
  <w:abstractNum w:abstractNumId="64">
    <w:nsid w:val="6F6DD9AC"/>
    <w:multiLevelType w:val="hybridMultilevel"/>
    <w:lvl w:ilvl="0">
      <w:lvlJc w:val="left"/>
      <w:lvlText w:val="(%1)"/>
      <w:numFmt w:val="lowerLetter"/>
      <w:start w:val="2"/>
    </w:lvl>
  </w:abstractNum>
  <w:abstractNum w:abstractNumId="65">
    <w:nsid w:val="94211F2"/>
    <w:multiLevelType w:val="hybridMultilevel"/>
    <w:lvl w:ilvl="0">
      <w:lvlJc w:val="left"/>
      <w:lvlText w:val="%1."/>
      <w:numFmt w:val="decimal"/>
      <w:start w:val="9"/>
    </w:lvl>
  </w:abstractNum>
  <w:abstractNum w:abstractNumId="66">
    <w:nsid w:val="885E1B"/>
    <w:multiLevelType w:val="hybridMultilevel"/>
    <w:lvl w:ilvl="0">
      <w:lvlJc w:val="left"/>
      <w:lvlText w:val="(%1)"/>
      <w:numFmt w:val="lowerLetter"/>
      <w:start w:val="1"/>
    </w:lvl>
  </w:abstractNum>
  <w:abstractNum w:abstractNumId="67">
    <w:nsid w:val="76272110"/>
    <w:multiLevelType w:val="hybridMultilevel"/>
    <w:lvl w:ilvl="0">
      <w:lvlJc w:val="left"/>
      <w:lvlText w:val="(%1)"/>
      <w:numFmt w:val="lowerLetter"/>
      <w:start w:val="3"/>
    </w:lvl>
  </w:abstractNum>
  <w:abstractNum w:abstractNumId="68">
    <w:nsid w:val="4C04A8AF"/>
    <w:multiLevelType w:val="hybridMultilevel"/>
    <w:lvl w:ilvl="0">
      <w:lvlJc w:val="left"/>
      <w:lvlText w:val="(%1)"/>
      <w:numFmt w:val="lowerLetter"/>
      <w:start w:val="10"/>
    </w:lvl>
  </w:abstractNum>
  <w:abstractNum w:abstractNumId="69">
    <w:nsid w:val="1716703B"/>
    <w:multiLevelType w:val="hybridMultilevel"/>
    <w:lvl w:ilvl="0">
      <w:lvlJc w:val="left"/>
      <w:lvlText w:val="(%1)"/>
      <w:numFmt w:val="lowerLetter"/>
      <w:start w:val="15"/>
    </w:lvl>
  </w:abstractNum>
  <w:abstractNum w:abstractNumId="70">
    <w:nsid w:val="14E17E33"/>
    <w:multiLevelType w:val="hybridMultilevel"/>
    <w:lvl w:ilvl="0">
      <w:lvlJc w:val="left"/>
      <w:lvlText w:val="(%1)"/>
      <w:numFmt w:val="lowerLetter"/>
      <w:start w:val="17"/>
    </w:lvl>
  </w:abstractNum>
  <w:abstractNum w:abstractNumId="71">
    <w:nsid w:val="3222E7CD"/>
    <w:multiLevelType w:val="hybridMultilevel"/>
    <w:lvl w:ilvl="0">
      <w:lvlJc w:val="left"/>
      <w:lvlText w:val="(%1)"/>
      <w:numFmt w:val="lowerLetter"/>
      <w:start w:val="23"/>
    </w:lvl>
  </w:abstractNum>
  <w:abstractNum w:abstractNumId="72">
    <w:nsid w:val="74DE0EE3"/>
    <w:multiLevelType w:val="hybridMultilevel"/>
    <w:lvl w:ilvl="0">
      <w:lvlJc w:val="left"/>
      <w:lvlText w:val="(%1)"/>
      <w:numFmt w:val="lowerLetter"/>
      <w:start w:val="27"/>
    </w:lvl>
  </w:abstractNum>
  <w:abstractNum w:abstractNumId="73">
    <w:nsid w:val="68EBC550"/>
    <w:multiLevelType w:val="hybridMultilevel"/>
    <w:lvl w:ilvl="0">
      <w:lvlJc w:val="left"/>
      <w:lvlText w:val="(%1)"/>
      <w:numFmt w:val="lowerRoman"/>
      <w:start w:val="1"/>
    </w:lvl>
  </w:abstractNum>
  <w:abstractNum w:abstractNumId="74">
    <w:nsid w:val="2DF6D648"/>
    <w:multiLevelType w:val="hybridMultilevel"/>
    <w:lvl w:ilvl="0">
      <w:lvlJc w:val="left"/>
      <w:lvlText w:val="%1."/>
      <w:numFmt w:val="decimal"/>
      <w:start w:val="10"/>
    </w:lvl>
  </w:abstractNum>
  <w:abstractNum w:abstractNumId="75">
    <w:nsid w:val="46B7D447"/>
    <w:multiLevelType w:val="hybridMultilevel"/>
    <w:lvl w:ilvl="0">
      <w:lvlJc w:val="left"/>
      <w:lvlText w:val="(%1)"/>
      <w:numFmt w:val="lowerLetter"/>
      <w:start w:val="1"/>
    </w:lvl>
  </w:abstractNum>
  <w:abstractNum w:abstractNumId="76">
    <w:nsid w:val="4A2AC315"/>
    <w:multiLevelType w:val="hybridMultilevel"/>
    <w:lvl w:ilvl="0">
      <w:lvlJc w:val="left"/>
      <w:lvlText w:val="(%1)"/>
      <w:numFmt w:val="lowerLetter"/>
      <w:start w:val="2"/>
    </w:lvl>
  </w:abstractNum>
  <w:abstractNum w:abstractNumId="77">
    <w:nsid w:val="39EE015C"/>
    <w:multiLevelType w:val="hybridMultilevel"/>
    <w:lvl w:ilvl="0">
      <w:lvlJc w:val="left"/>
      <w:lvlText w:val="(%1)"/>
      <w:numFmt w:val="lowerLetter"/>
      <w:start w:val="6"/>
    </w:lvl>
  </w:abstractNum>
  <w:abstractNum w:abstractNumId="78">
    <w:nsid w:val="57FC4FBB"/>
    <w:multiLevelType w:val="hybridMultilevel"/>
    <w:lvl w:ilvl="0">
      <w:lvlJc w:val="left"/>
      <w:lvlText w:val="(%1)"/>
      <w:numFmt w:val="lowerLetter"/>
      <w:start w:val="10"/>
    </w:lvl>
  </w:abstractNum>
  <w:abstractNum w:abstractNumId="79">
    <w:nsid w:val="CC1016F"/>
    <w:multiLevelType w:val="hybridMultilevel"/>
    <w:lvl w:ilvl="0">
      <w:lvlJc w:val="left"/>
      <w:lvlText w:val="(%1)"/>
      <w:numFmt w:val="lowerLetter"/>
      <w:start w:val="14"/>
    </w:lvl>
  </w:abstractNum>
  <w:abstractNum w:abstractNumId="80">
    <w:nsid w:val="43F18422"/>
    <w:multiLevelType w:val="hybridMultilevel"/>
    <w:lvl w:ilvl="0">
      <w:lvlJc w:val="left"/>
      <w:lvlText w:val="(%1)"/>
      <w:numFmt w:val="lowerLetter"/>
      <w:start w:val="18"/>
    </w:lvl>
  </w:abstractNum>
  <w:abstractNum w:abstractNumId="81">
    <w:nsid w:val="60EF0119"/>
    <w:multiLevelType w:val="hybridMultilevel"/>
    <w:lvl w:ilvl="0">
      <w:lvlJc w:val="left"/>
      <w:lvlText w:val="%1."/>
      <w:numFmt w:val="decimal"/>
      <w:start w:val="11"/>
    </w:lvl>
  </w:abstractNum>
  <w:abstractNum w:abstractNumId="82">
    <w:nsid w:val="26F324BA"/>
    <w:multiLevelType w:val="hybridMultilevel"/>
    <w:lvl w:ilvl="0">
      <w:lvlJc w:val="left"/>
      <w:lvlText w:val="(%1)"/>
      <w:numFmt w:val="lowerLetter"/>
      <w:start w:val="1"/>
    </w:lvl>
  </w:abstractNum>
  <w:abstractNum w:abstractNumId="83">
    <w:nsid w:val="7F01579B"/>
    <w:multiLevelType w:val="hybridMultilevel"/>
    <w:lvl w:ilvl="0">
      <w:lvlJc w:val="left"/>
      <w:lvlText w:val="(%1)"/>
      <w:numFmt w:val="lowerLetter"/>
      <w:start w:val="5"/>
    </w:lvl>
  </w:abstractNum>
  <w:abstractNum w:abstractNumId="84">
    <w:nsid w:val="49DA307D"/>
    <w:multiLevelType w:val="hybridMultilevel"/>
    <w:lvl w:ilvl="0">
      <w:lvlJc w:val="left"/>
      <w:lvlText w:val="(%1)"/>
      <w:numFmt w:val="lowerLetter"/>
      <w:start w:val="15"/>
    </w:lvl>
  </w:abstractNum>
  <w:abstractNum w:abstractNumId="85">
    <w:nsid w:val="7055A5F5"/>
    <w:multiLevelType w:val="hybridMultilevel"/>
    <w:lvl w:ilvl="0">
      <w:lvlJc w:val="left"/>
      <w:lvlText w:val="%1."/>
      <w:numFmt w:val="decimal"/>
      <w:start w:val="12"/>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1)"/>
      <w:numFmt w:val="lowerLetter"/>
      <w:start w:val="4"/>
    </w:lvl>
  </w:abstractNum>
  <w:abstractNum w:abstractNumId="88">
    <w:nsid w:val="488AC1A"/>
    <w:multiLevelType w:val="hybridMultilevel"/>
    <w:lvl w:ilvl="0">
      <w:lvlJc w:val="left"/>
      <w:lvlText w:val="%1."/>
      <w:numFmt w:val="decimal"/>
      <w:start w:val="13"/>
    </w:lvl>
  </w:abstractNum>
  <w:abstractNum w:abstractNumId="89">
    <w:nsid w:val="5FB8011C"/>
    <w:multiLevelType w:val="hybridMultilevel"/>
    <w:lvl w:ilvl="0">
      <w:lvlJc w:val="left"/>
      <w:lvlText w:val="(%1)"/>
      <w:numFmt w:val="lowerLetter"/>
      <w:start w:val="1"/>
    </w:lvl>
  </w:abstractNum>
  <w:abstractNum w:abstractNumId="90">
    <w:nsid w:val="6AA78F7F"/>
    <w:multiLevelType w:val="hybridMultilevel"/>
    <w:lvl w:ilvl="0">
      <w:lvlJc w:val="left"/>
      <w:lvlText w:val="(%1)"/>
      <w:numFmt w:val="lowerLetter"/>
      <w:start w:val="2"/>
    </w:lvl>
  </w:abstractNum>
  <w:abstractNum w:abstractNumId="91">
    <w:nsid w:val="7672BD23"/>
    <w:multiLevelType w:val="hybridMultilevel"/>
    <w:lvl w:ilvl="0">
      <w:lvlJc w:val="left"/>
      <w:lvlText w:val="%1."/>
      <w:numFmt w:val="decimal"/>
      <w:start w:val="15"/>
    </w:lvl>
  </w:abstractNum>
  <w:abstractNum w:abstractNumId="92">
    <w:nsid w:val="6FC75AF8"/>
    <w:multiLevelType w:val="hybridMultilevel"/>
    <w:lvl w:ilvl="0">
      <w:lvlJc w:val="left"/>
      <w:lvlText w:val="%1."/>
      <w:numFmt w:val="decimal"/>
      <w:start w:val="16"/>
    </w:lvl>
  </w:abstractNum>
  <w:abstractNum w:abstractNumId="93">
    <w:nsid w:val="6A5F7029"/>
    <w:multiLevelType w:val="hybridMultilevel"/>
    <w:lvl w:ilvl="0">
      <w:lvlJc w:val="left"/>
      <w:lvlText w:val="%1."/>
      <w:numFmt w:val="decimal"/>
      <w:start w:val="20"/>
    </w:lvl>
  </w:abstractNum>
  <w:abstractNum w:abstractNumId="94">
    <w:nsid w:val="7D5E18F8"/>
    <w:multiLevelType w:val="hybridMultilevel"/>
    <w:lvl w:ilvl="0">
      <w:lvlJc w:val="left"/>
      <w:lvlText w:val="(%1)"/>
      <w:numFmt w:val="lowerLetter"/>
      <w:start w:val="1"/>
    </w:lvl>
  </w:abstractNum>
  <w:abstractNum w:abstractNumId="95">
    <w:nsid w:val="5F3534A4"/>
    <w:multiLevelType w:val="hybridMultilevel"/>
    <w:lvl w:ilvl="0">
      <w:lvlJc w:val="left"/>
      <w:lvlText w:val="%1."/>
      <w:numFmt w:val="decimal"/>
      <w:start w:val="22"/>
    </w:lvl>
  </w:abstractNum>
  <w:abstractNum w:abstractNumId="96">
    <w:nsid w:val="73A1821B"/>
    <w:multiLevelType w:val="hybridMultilevel"/>
    <w:lvl w:ilvl="0">
      <w:lvlJc w:val="left"/>
      <w:lvlText w:val="(%1)"/>
      <w:numFmt w:val="lowerLetter"/>
      <w:start w:val="1"/>
    </w:lvl>
  </w:abstractNum>
  <w:abstractNum w:abstractNumId="97">
    <w:nsid w:val="7DE67713"/>
    <w:multiLevelType w:val="hybridMultilevel"/>
    <w:lvl w:ilvl="0">
      <w:lvlJc w:val="left"/>
      <w:lvlText w:val="(%1)"/>
      <w:numFmt w:val="lowerLetter"/>
      <w:start w:val="3"/>
    </w:lvl>
  </w:abstractNum>
  <w:abstractNum w:abstractNumId="98">
    <w:nsid w:val="555C55B5"/>
    <w:multiLevelType w:val="hybridMultilevel"/>
    <w:lvl w:ilvl="0">
      <w:lvlJc w:val="left"/>
      <w:lvlText w:val="(%1)"/>
      <w:numFmt w:val="lowerRoman"/>
      <w:start w:val="1"/>
    </w:lvl>
  </w:abstractNum>
  <w:abstractNum w:abstractNumId="99">
    <w:nsid w:val="3FA62ACA"/>
    <w:multiLevelType w:val="hybridMultilevel"/>
    <w:lvl w:ilvl="0">
      <w:lvlJc w:val="left"/>
      <w:lvlText w:val="(%1)"/>
      <w:numFmt w:val="lowerRoman"/>
      <w:start w:val="3"/>
    </w:lvl>
  </w:abstractNum>
  <w:abstractNum w:abstractNumId="100">
    <w:nsid w:val="14FCE74E"/>
    <w:multiLevelType w:val="hybridMultilevel"/>
    <w:lvl w:ilvl="0">
      <w:lvlJc w:val="left"/>
      <w:lvlText w:val="(%1)"/>
      <w:numFmt w:val="lowerRoman"/>
      <w:start w:val="4"/>
    </w:lvl>
  </w:abstractNum>
  <w:abstractNum w:abstractNumId="101">
    <w:nsid w:val="6A3DD3E8"/>
    <w:multiLevelType w:val="hybridMultilevel"/>
    <w:lvl w:ilvl="0">
      <w:lvlJc w:val="left"/>
      <w:lvlText w:val="(%1)"/>
      <w:numFmt w:val="decimal"/>
      <w:start w:val="1"/>
    </w:lvl>
  </w:abstractNum>
  <w:abstractNum w:abstractNumId="102">
    <w:nsid w:val="71C91298"/>
    <w:multiLevelType w:val="hybridMultilevel"/>
    <w:lvl w:ilvl="0">
      <w:lvlJc w:val="left"/>
      <w:lvlText w:val="%1."/>
      <w:numFmt w:val="decimal"/>
      <w:start w:val="1"/>
    </w:lvl>
  </w:abstractNum>
  <w:abstractNum w:abstractNumId="103">
    <w:nsid w:val="9DAF632"/>
    <w:multiLevelType w:val="hybridMultilevel"/>
    <w:lvl w:ilvl="0">
      <w:lvlJc w:val="left"/>
      <w:lvlText w:val="%1."/>
      <w:numFmt w:val="decimal"/>
      <w:start w:val="2"/>
    </w:lvl>
  </w:abstractNum>
  <w:abstractNum w:abstractNumId="104">
    <w:nsid w:val="53299938"/>
    <w:multiLevelType w:val="hybridMultilevel"/>
    <w:lvl w:ilvl="0">
      <w:lvlJc w:val="left"/>
      <w:lvlText w:val="%1"/>
      <w:numFmt w:val="decimal"/>
      <w:start w:val="1"/>
    </w:lvl>
    <w:lvl w:ilvl="1">
      <w:lvlJc w:val="left"/>
      <w:lvlText w:val="%2."/>
      <w:numFmt w:val="decimal"/>
      <w:start w:val="6"/>
    </w:lvl>
  </w:abstractNum>
  <w:abstractNum w:abstractNumId="105">
    <w:nsid w:val="1FBFE8E0"/>
    <w:multiLevelType w:val="hybridMultilevel"/>
    <w:lvl w:ilvl="0">
      <w:lvlJc w:val="left"/>
      <w:lvlText w:val="(%1)"/>
      <w:numFmt w:val="decimal"/>
      <w:start w:val="1"/>
    </w:lvl>
    <w:lvl w:ilvl="1">
      <w:lvlJc w:val="left"/>
      <w:lvlText w:val="%2."/>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jpe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jpe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jpe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4"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jpeg"/><Relationship Id="rId16" Type="http://schemas.openxmlformats.org/officeDocument/2006/relationships/hyperlink" Target="https://www.sec.gov/Archives/edgar/data/1818331/000181833125000021/wgs-20241231.htm" TargetMode="External"/><Relationship Id="rId17" Type="http://schemas.openxmlformats.org/officeDocument/2006/relationships/hyperlink" Target="https://www.sec.gov/Archives/edgar/data/1818331/000181833125000071/wgs-20250331.htm" TargetMode="External"/><Relationship Id="rId18" Type="http://schemas.openxmlformats.org/officeDocument/2006/relationships/hyperlink" Target="https://www.sec.gov/Archives/edgar/data/1818331/000181833125000108/wgs-20250630.htm" TargetMode="External"/><Relationship Id="rId19" Type="http://schemas.openxmlformats.org/officeDocument/2006/relationships/hyperlink" Target="https://www.sec.gov/Archives/edgar/data/1818331/000181833125000130/wgs-20250930.htm" TargetMode="External"/><Relationship Id="rId20" Type="http://schemas.openxmlformats.org/officeDocument/2006/relationships/hyperlink" Target="https://www.sec.gov/Archives/edgar/data/1818331/000181833125000002/wgs-20250102.htm" TargetMode="External"/><Relationship Id="rId21" Type="http://schemas.openxmlformats.org/officeDocument/2006/relationships/hyperlink" Target="https://www.sec.gov/Archives/edgar/data/1818331/000181833125000057/wgs-20250415.htm" TargetMode="External"/><Relationship Id="rId22" Type="http://schemas.openxmlformats.org/officeDocument/2006/relationships/hyperlink" Target="https://www.sec.gov/Archives/edgar/data/1818331/000181833125000086/wgs-20250618.htm" TargetMode="External"/><Relationship Id="rId23" Type="http://schemas.openxmlformats.org/officeDocument/2006/relationships/hyperlink" Target="https://www.sec.gov/Archives/edgar/data/1818331/000181833125000121/wgs-20250917.htm" TargetMode="External"/><Relationship Id="rId24" Type="http://schemas.openxmlformats.org/officeDocument/2006/relationships/hyperlink" Target="https://www.sec.gov/Archives/edgar/data/1818331/000181833125000075/wgs-20250430.htm" TargetMode="External"/><Relationship Id="rId32" Type="http://schemas.openxmlformats.org/officeDocument/2006/relationships/hyperlink" Target="https://www.sec.gov/ix?doc=/Archives/edgar/data/0001818331/000181833125000108/wgs-20250630.htm" TargetMode="External"/><Relationship Id="rId33" Type="http://schemas.openxmlformats.org/officeDocument/2006/relationships/hyperlink" Target="https://www.sec.gov/ix?doc=/Archives/edgar/data/0001818331/000181833125000121/wgs-20250917.htm" TargetMode="External"/><Relationship Id="rId34" Type="http://schemas.openxmlformats.org/officeDocument/2006/relationships/hyperlink" Target="https://www.sec.gov/ix?doc=/Archives/edgar/data/1818331/000181833125000075/wgs-20250430.htm" TargetMode="External"/><Relationship Id="rId53" Type="http://schemas.openxmlformats.org/officeDocument/2006/relationships/hyperlink" Target="https://www.sec.gov/Archives/edgar/data/1818331/000162828021013404/sema4proxy.htm#i8b8880c1ddfa423593153735d1fc233d_1878" TargetMode="External"/><Relationship Id="rId55" Type="http://schemas.openxmlformats.org/officeDocument/2006/relationships/hyperlink" Target="https://www.sec.gov/Archives/edgar/data/1818331/000181833122000010/exhibit21-mergeragreement2.htm" TargetMode="External"/><Relationship Id="rId56" Type="http://schemas.openxmlformats.org/officeDocument/2006/relationships/hyperlink" Target="https://www.sec.gov/Archives/edgar/data/1818331/000162828022011605/exhibit992closing8-k.htm" TargetMode="External"/><Relationship Id="rId57" Type="http://schemas.openxmlformats.org/officeDocument/2006/relationships/hyperlink" Target="https://www.sec.gov/Archives/edgar/data/1818331/000181833125000057/projectflare-mergeragreeme.htm" TargetMode="External"/><Relationship Id="rId58" Type="http://schemas.openxmlformats.org/officeDocument/2006/relationships/hyperlink" Target="https://www.sec.gov/Archives/edgar/data/1818331/000181833125000108/genedx-thirdamendedandrest.htm" TargetMode="External"/><Relationship Id="rId59" Type="http://schemas.openxmlformats.org/officeDocument/2006/relationships/hyperlink" Target="https://www.sec.gov/Archives/edgar/data/1818331/000181833123000006/sema4-amendedandrestatedby.htm" TargetMode="External"/><Relationship Id="rId60" Type="http://schemas.openxmlformats.org/officeDocument/2006/relationships/hyperlink" Target="https://www.sec.gov/Archives/edgar/data/1818331/000121390020023383/fs12020a1ex4-2_cmlifesci.htm" TargetMode="External"/><Relationship Id="rId61" Type="http://schemas.openxmlformats.org/officeDocument/2006/relationships/hyperlink" Target="https://www.sec.gov/Archives/edgar/data/1818331/000121390020023383/fs12020a1ex4-3_cmlifesci.htm" TargetMode="External"/><Relationship Id="rId62" Type="http://schemas.openxmlformats.org/officeDocument/2006/relationships/hyperlink" Target="https://www.sec.gov/Archives/edgar/data/1818331/000121390020025454/ea126481ex10-1_cmlife.htm" TargetMode="External"/><Relationship Id="rId65" Type="http://schemas.openxmlformats.org/officeDocument/2006/relationships/hyperlink" Target="https://www.sec.gov/Archives/edgar/data/1818331/000162828022023787/exhibit43-shelfsx3.htm" TargetMode="External"/><Relationship Id="rId66" Type="http://schemas.openxmlformats.org/officeDocument/2006/relationships/hyperlink" Target="https://www.sec.gov/Archives/edgar/data/1818331/000162828022023787/exhibit44-shelfs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2025-10-28T06:19:42Z</dcterms:created>
  <dcterms:modified xsi:type="dcterms:W3CDTF">2025-10-28T06:19:42Z</dcterms:modified>
</cp:coreProperties>
</file>