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24130</wp:posOffset>
            </wp:positionH>
            <wp:positionV relativeFrom="paragraph">
              <wp:posOffset>-9525</wp:posOffset>
            </wp:positionV>
            <wp:extent cx="133985" cy="193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93040"/>
                    </a:xfrm>
                    <a:prstGeom prst="rect">
                      <a:avLst/>
                    </a:prstGeom>
                    <a:noFill/>
                  </pic:spPr>
                </pic:pic>
              </a:graphicData>
            </a:graphic>
          </wp:anchor>
        </w:drawing>
      </w:r>
    </w:p>
    <w:p>
      <w:pPr>
        <w:jc w:val="both"/>
        <w:ind w:left="340" w:right="360" w:hanging="255"/>
        <w:spacing w:after="0" w:line="183"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11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11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11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1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6990715" cy="5550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55053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280" w:space="22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 Isaac</w:t>
        </w:r>
      </w:hyperlink>
    </w:p>
    <w:p>
      <w:pPr>
        <w:spacing w:after="0" w:line="307"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GENEDX HOLDINGS CORP.</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6"/>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STAMFORD</w:t>
            </w:r>
          </w:p>
        </w:tc>
        <w:tc>
          <w:tcPr>
            <w:tcW w:w="960" w:type="dxa"/>
            <w:vAlign w:val="bottom"/>
          </w:tcPr>
          <w:p>
            <w:pPr>
              <w:ind w:left="140"/>
              <w:spacing w:after="0"/>
              <w:rPr>
                <w:sz w:val="20"/>
                <w:szCs w:val="20"/>
                <w:color w:val="auto"/>
              </w:rPr>
            </w:pPr>
            <w:r>
              <w:rPr>
                <w:rFonts w:ascii="Arial" w:cs="Arial" w:eastAsia="Arial" w:hAnsi="Arial"/>
                <w:sz w:val="17"/>
                <w:szCs w:val="17"/>
                <w:color w:val="0000FF"/>
              </w:rPr>
              <w:t>CT</w:t>
            </w:r>
          </w:p>
        </w:tc>
        <w:tc>
          <w:tcPr>
            <w:tcW w:w="1600" w:type="dxa"/>
            <w:vAlign w:val="bottom"/>
          </w:tcPr>
          <w:p>
            <w:pPr>
              <w:ind w:left="420"/>
              <w:spacing w:after="0"/>
              <w:rPr>
                <w:sz w:val="20"/>
                <w:szCs w:val="20"/>
                <w:color w:val="auto"/>
              </w:rPr>
            </w:pPr>
            <w:r>
              <w:rPr>
                <w:rFonts w:ascii="Arial" w:cs="Arial" w:eastAsia="Arial" w:hAnsi="Arial"/>
                <w:sz w:val="17"/>
                <w:szCs w:val="17"/>
                <w:color w:val="0000FF"/>
              </w:rPr>
              <w:t>06902</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640" w:type="dxa"/>
            <w:vAlign w:val="bottom"/>
          </w:tcPr>
          <w:p>
            <w:pPr>
              <w:ind w:left="100"/>
              <w:spacing w:after="0" w:line="128"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120" w:type="dxa"/>
            <w:vAlign w:val="bottom"/>
            <w:gridSpan w:val="3"/>
          </w:tcPr>
          <w:p>
            <w:pPr>
              <w:ind w:left="60"/>
              <w:spacing w:after="0"/>
              <w:rPr>
                <w:sz w:val="20"/>
                <w:szCs w:val="20"/>
                <w:color w:val="auto"/>
              </w:rPr>
            </w:pPr>
            <w:r>
              <w:rPr>
                <w:rFonts w:ascii="Arial" w:cs="Arial" w:eastAsia="Arial" w:hAnsi="Arial"/>
                <w:sz w:val="17"/>
                <w:szCs w:val="17"/>
                <w:color w:val="0000FF"/>
              </w:rPr>
              <w:t>07/01/2022</w:t>
            </w:r>
          </w:p>
        </w:tc>
        <w:tc>
          <w:tcPr>
            <w:tcW w:w="1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vMerge w:val="restart"/>
          </w:tcPr>
          <w:p>
            <w:pPr>
              <w:ind w:left="720"/>
              <w:spacing w:after="0"/>
              <w:rPr>
                <w:sz w:val="20"/>
                <w:szCs w:val="20"/>
                <w:color w:val="auto"/>
              </w:rPr>
            </w:pPr>
            <w:r>
              <w:rPr>
                <w:rFonts w:ascii="Arial" w:cs="Arial" w:eastAsia="Arial" w:hAnsi="Arial"/>
                <w:sz w:val="17"/>
                <w:szCs w:val="17"/>
                <w:color w:val="0000FF"/>
                <w:w w:val="94"/>
              </w:rPr>
              <w:t>Former CFO</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10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gridSpan w:val="2"/>
          </w:tcPr>
          <w:p>
            <w:pPr>
              <w:ind w:left="500"/>
              <w:spacing w:after="0" w:line="132"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ind w:left="600"/>
              <w:spacing w:after="0"/>
              <w:rPr>
                <w:sz w:val="20"/>
                <w:szCs w:val="20"/>
                <w:color w:val="auto"/>
              </w:rPr>
            </w:pPr>
            <w:r>
              <w:rPr>
                <w:rFonts w:ascii="Arial" w:cs="Arial" w:eastAsia="Arial" w:hAnsi="Arial"/>
                <w:sz w:val="17"/>
                <w:szCs w:val="17"/>
                <w:color w:val="0000FF"/>
              </w:rPr>
              <w:t>07/01/2022</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ind w:left="200"/>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15"/>
              <w:spacing w:after="0"/>
              <w:rPr>
                <w:sz w:val="20"/>
                <w:szCs w:val="20"/>
                <w:color w:val="auto"/>
              </w:rPr>
            </w:pPr>
            <w:r>
              <w:rPr>
                <w:rFonts w:ascii="Arial" w:cs="Arial" w:eastAsia="Arial" w:hAnsi="Arial"/>
                <w:sz w:val="17"/>
                <w:szCs w:val="17"/>
                <w:color w:val="0000FF"/>
              </w:rPr>
              <w:t>7,396</w:t>
            </w:r>
          </w:p>
        </w:tc>
        <w:tc>
          <w:tcPr>
            <w:tcW w:w="660" w:type="dxa"/>
            <w:vAlign w:val="bottom"/>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55"/>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7"/>
                <w:szCs w:val="17"/>
                <w:color w:val="0000FF"/>
              </w:rPr>
              <w:t>209,182</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07/05/2022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20" w:type="dxa"/>
            <w:vAlign w:val="bottom"/>
            <w:tcBorders>
              <w:bottom w:val="single" w:sz="8" w:color="2C2C2C"/>
            </w:tcBorders>
          </w:tcPr>
          <w:p>
            <w:pPr>
              <w:jc w:val="right"/>
              <w:ind w:right="15"/>
              <w:spacing w:after="0"/>
              <w:rPr>
                <w:sz w:val="20"/>
                <w:szCs w:val="20"/>
                <w:color w:val="auto"/>
              </w:rPr>
            </w:pPr>
            <w:r>
              <w:rPr>
                <w:rFonts w:ascii="Arial" w:cs="Arial" w:eastAsia="Arial" w:hAnsi="Arial"/>
                <w:sz w:val="17"/>
                <w:szCs w:val="17"/>
                <w:color w:val="0000FF"/>
              </w:rPr>
              <w:t>2,296</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1.3187</w:t>
            </w:r>
            <w:r>
              <w:rPr>
                <w:rFonts w:ascii="Arial" w:cs="Arial" w:eastAsia="Arial" w:hAnsi="Arial"/>
                <w:sz w:val="21"/>
                <w:szCs w:val="21"/>
                <w:color w:val="008000"/>
                <w:w w:val="86"/>
                <w:vertAlign w:val="superscript"/>
              </w:rPr>
              <w:t>(3)</w:t>
            </w:r>
          </w:p>
        </w:tc>
        <w:tc>
          <w:tcPr>
            <w:tcW w:w="1220" w:type="dxa"/>
            <w:vAlign w:val="bottom"/>
            <w:tcBorders>
              <w:bottom w:val="single" w:sz="8" w:color="2C2C2C"/>
            </w:tcBorders>
            <w:gridSpan w:val="3"/>
          </w:tcPr>
          <w:p>
            <w:pPr>
              <w:jc w:val="right"/>
              <w:ind w:right="280"/>
              <w:spacing w:after="0"/>
              <w:rPr>
                <w:sz w:val="20"/>
                <w:szCs w:val="20"/>
                <w:color w:val="auto"/>
              </w:rPr>
            </w:pPr>
            <w:r>
              <w:rPr>
                <w:rFonts w:ascii="Arial" w:cs="Arial" w:eastAsia="Arial" w:hAnsi="Arial"/>
                <w:sz w:val="17"/>
                <w:szCs w:val="17"/>
                <w:color w:val="0000FF"/>
              </w:rPr>
              <w:t>206,886</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9"/>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7,396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ind w:left="260"/>
              <w:spacing w:after="0" w:line="145" w:lineRule="exact"/>
              <w:rPr>
                <w:sz w:val="20"/>
                <w:szCs w:val="20"/>
                <w:color w:val="auto"/>
              </w:rPr>
            </w:pPr>
            <w:r>
              <w:rPr>
                <w:rFonts w:ascii="Arial" w:cs="Arial" w:eastAsia="Arial" w:hAnsi="Arial"/>
                <w:sz w:val="13"/>
                <w:szCs w:val="13"/>
                <w:color w:val="0000FF"/>
              </w:rPr>
              <w:t>07/01/2022</w:t>
            </w:r>
          </w:p>
        </w:tc>
        <w:tc>
          <w:tcPr>
            <w:tcW w:w="1120" w:type="dxa"/>
            <w:vAlign w:val="bottom"/>
          </w:tcPr>
          <w:p>
            <w:pPr>
              <w:spacing w:after="0"/>
              <w:rPr>
                <w:sz w:val="12"/>
                <w:szCs w:val="12"/>
                <w:color w:val="auto"/>
              </w:rPr>
            </w:pPr>
          </w:p>
        </w:tc>
        <w:tc>
          <w:tcPr>
            <w:tcW w:w="420" w:type="dxa"/>
            <w:vAlign w:val="bottom"/>
          </w:tcPr>
          <w:p>
            <w:pPr>
              <w:ind w:left="180"/>
              <w:spacing w:after="0" w:line="145"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tcPr>
          <w:p>
            <w:pPr>
              <w:ind w:left="320"/>
              <w:spacing w:after="0" w:line="145" w:lineRule="exact"/>
              <w:rPr>
                <w:sz w:val="20"/>
                <w:szCs w:val="20"/>
                <w:color w:val="auto"/>
              </w:rPr>
            </w:pPr>
            <w:r>
              <w:rPr>
                <w:rFonts w:ascii="Arial" w:cs="Arial" w:eastAsia="Arial" w:hAnsi="Arial"/>
                <w:sz w:val="13"/>
                <w:szCs w:val="13"/>
                <w:color w:val="0000FF"/>
              </w:rPr>
              <w:t>7,396</w:t>
            </w:r>
          </w:p>
        </w:tc>
        <w:tc>
          <w:tcPr>
            <w:tcW w:w="780" w:type="dxa"/>
            <w:vAlign w:val="bottom"/>
          </w:tcPr>
          <w:p>
            <w:pPr>
              <w:ind w:left="320"/>
              <w:spacing w:after="0"/>
              <w:rPr>
                <w:sz w:val="20"/>
                <w:szCs w:val="20"/>
                <w:color w:val="auto"/>
              </w:rPr>
            </w:pPr>
            <w:r>
              <w:rPr>
                <w:rFonts w:ascii="Arial" w:cs="Arial" w:eastAsia="Arial" w:hAnsi="Arial"/>
                <w:sz w:val="11"/>
                <w:szCs w:val="11"/>
                <w:color w:val="008000"/>
              </w:rPr>
              <w:t>(4)</w:t>
            </w:r>
          </w:p>
        </w:tc>
        <w:tc>
          <w:tcPr>
            <w:tcW w:w="720" w:type="dxa"/>
            <w:vAlign w:val="bottom"/>
          </w:tcPr>
          <w:p>
            <w:pPr>
              <w:jc w:val="right"/>
              <w:ind w:right="235"/>
              <w:spacing w:after="0"/>
              <w:rPr>
                <w:sz w:val="20"/>
                <w:szCs w:val="20"/>
                <w:color w:val="auto"/>
              </w:rPr>
            </w:pPr>
            <w:r>
              <w:rPr>
                <w:rFonts w:ascii="Arial" w:cs="Arial" w:eastAsia="Arial" w:hAnsi="Arial"/>
                <w:sz w:val="11"/>
                <w:szCs w:val="11"/>
                <w:color w:val="008000"/>
              </w:rPr>
              <w:t>(4)</w:t>
            </w:r>
          </w:p>
        </w:tc>
        <w:tc>
          <w:tcPr>
            <w:tcW w:w="660" w:type="dxa"/>
            <w:vAlign w:val="bottom"/>
          </w:tcPr>
          <w:p>
            <w:pPr>
              <w:ind w:left="60"/>
              <w:spacing w:after="0" w:line="145"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161"/>
              <w:spacing w:after="0" w:line="145"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80" w:type="dxa"/>
            <w:vAlign w:val="bottom"/>
          </w:tcPr>
          <w:p>
            <w:pPr>
              <w:ind w:left="240"/>
              <w:spacing w:after="0" w:line="145" w:lineRule="exact"/>
              <w:rPr>
                <w:sz w:val="20"/>
                <w:szCs w:val="20"/>
                <w:color w:val="auto"/>
              </w:rPr>
            </w:pPr>
            <w:r>
              <w:rPr>
                <w:rFonts w:ascii="Arial" w:cs="Arial" w:eastAsia="Arial" w:hAnsi="Arial"/>
                <w:sz w:val="13"/>
                <w:szCs w:val="13"/>
                <w:color w:val="0000FF"/>
                <w:w w:val="89"/>
              </w:rPr>
              <w:t>110,954</w:t>
            </w:r>
          </w:p>
        </w:tc>
        <w:tc>
          <w:tcPr>
            <w:tcW w:w="240" w:type="dxa"/>
            <w:vAlign w:val="bottom"/>
          </w:tcPr>
          <w:p>
            <w:pPr>
              <w:spacing w:after="0"/>
              <w:rPr>
                <w:sz w:val="12"/>
                <w:szCs w:val="12"/>
                <w:color w:val="auto"/>
              </w:rPr>
            </w:pPr>
          </w:p>
        </w:tc>
        <w:tc>
          <w:tcPr>
            <w:tcW w:w="68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-2138680</wp:posOffset>
            </wp:positionV>
            <wp:extent cx="29210" cy="2143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4376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8" w:lineRule="exact"/>
        <w:rPr>
          <w:rFonts w:ascii="Arial" w:cs="Arial" w:eastAsia="Arial" w:hAnsi="Arial"/>
          <w:sz w:val="13"/>
          <w:szCs w:val="13"/>
          <w:color w:val="008000"/>
        </w:rPr>
      </w:pPr>
    </w:p>
    <w:p>
      <w:pPr>
        <w:ind w:left="40" w:right="400" w:firstLine="5"/>
        <w:spacing w:after="0" w:line="25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1" w:lineRule="exact"/>
        <w:rPr>
          <w:rFonts w:ascii="Arial" w:cs="Arial" w:eastAsia="Arial" w:hAnsi="Arial"/>
          <w:sz w:val="13"/>
          <w:szCs w:val="13"/>
          <w:color w:val="008000"/>
        </w:rPr>
      </w:pPr>
    </w:p>
    <w:p>
      <w:pPr>
        <w:jc w:val="both"/>
        <w:ind w:left="40" w:right="260" w:firstLine="5"/>
        <w:spacing w:after="0" w:line="245"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$1.215 to $1.40,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p>
      <w:pPr>
        <w:spacing w:after="0" w:line="29" w:lineRule="exact"/>
        <w:rPr>
          <w:rFonts w:ascii="Arial" w:cs="Arial" w:eastAsia="Arial" w:hAnsi="Arial"/>
          <w:sz w:val="13"/>
          <w:szCs w:val="13"/>
          <w:color w:val="008000"/>
        </w:rPr>
      </w:pPr>
    </w:p>
    <w:p>
      <w:pPr>
        <w:ind w:left="40" w:right="18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6.25% of the total shares underlying the restricted stock units vest in quarterly installments beginning on July 1, 2022 until fully vested, subject to the Reporting Person's continued service to the Issuer on each vesting date.</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rPr>
              <w:t>/s/ Isaac Ro</w:t>
            </w:r>
          </w:p>
        </w:tc>
        <w:tc>
          <w:tcPr>
            <w:tcW w:w="920" w:type="dxa"/>
            <w:vAlign w:val="bottom"/>
            <w:gridSpan w:val="2"/>
          </w:tcPr>
          <w:p>
            <w:pPr>
              <w:ind w:left="140"/>
              <w:spacing w:after="0"/>
              <w:rPr>
                <w:sz w:val="20"/>
                <w:szCs w:val="20"/>
                <w:color w:val="auto"/>
              </w:rPr>
            </w:pPr>
            <w:r>
              <w:rPr>
                <w:rFonts w:ascii="Arial" w:cs="Arial" w:eastAsia="Arial" w:hAnsi="Arial"/>
                <w:sz w:val="17"/>
                <w:szCs w:val="17"/>
                <w:color w:val="0000FF"/>
                <w:w w:val="89"/>
              </w:rPr>
              <w:t>05/31/2023</w:t>
            </w:r>
          </w:p>
        </w:tc>
      </w:tr>
      <w:tr>
        <w:trPr>
          <w:trHeight w:val="20"/>
        </w:trPr>
        <w:tc>
          <w:tcPr>
            <w:tcW w:w="8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9"/>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463"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2023-05-31T15:24:21Z</dcterms:created>
  <dcterms:modified xsi:type="dcterms:W3CDTF">2023-05-31T15:24:21Z</dcterms:modified>
</cp:coreProperties>
</file>