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519"/>
        <w:spacing w:after="0"/>
        <w:rPr>
          <w:sz w:val="20"/>
          <w:szCs w:val="20"/>
          <w:color w:val="auto"/>
        </w:rPr>
      </w:pPr>
      <w:r>
        <w:rPr>
          <w:rFonts w:ascii="Arial" w:cs="Arial" w:eastAsia="Arial" w:hAnsi="Arial"/>
          <w:sz w:val="18"/>
          <w:szCs w:val="18"/>
          <w:b w:val="1"/>
          <w:bCs w:val="1"/>
          <w:color w:val="auto"/>
        </w:rPr>
        <w:t>Filed pursuant to Rule 424(b)(4)</w:t>
      </w:r>
    </w:p>
    <w:p>
      <w:pPr>
        <w:spacing w:after="0" w:line="15" w:lineRule="exact"/>
        <w:rPr>
          <w:sz w:val="24"/>
          <w:szCs w:val="24"/>
          <w:color w:val="auto"/>
        </w:rPr>
      </w:pPr>
    </w:p>
    <w:p>
      <w:pPr>
        <w:jc w:val="right"/>
        <w:ind w:right="459"/>
        <w:spacing w:after="0"/>
        <w:rPr>
          <w:sz w:val="20"/>
          <w:szCs w:val="20"/>
          <w:color w:val="auto"/>
        </w:rPr>
      </w:pPr>
      <w:r>
        <w:rPr>
          <w:rFonts w:ascii="Arial" w:cs="Arial" w:eastAsia="Arial" w:hAnsi="Arial"/>
          <w:sz w:val="18"/>
          <w:szCs w:val="18"/>
          <w:b w:val="1"/>
          <w:bCs w:val="1"/>
          <w:color w:val="auto"/>
        </w:rPr>
        <w:t>Registration No. 333-246251</w:t>
      </w:r>
    </w:p>
    <w:p>
      <w:pPr>
        <w:ind w:left="460"/>
        <w:spacing w:after="0" w:line="237" w:lineRule="auto"/>
        <w:rPr>
          <w:sz w:val="20"/>
          <w:szCs w:val="20"/>
          <w:color w:val="auto"/>
        </w:rPr>
      </w:pPr>
      <w:r>
        <w:rPr>
          <w:rFonts w:ascii="Arial" w:cs="Arial" w:eastAsia="Arial" w:hAnsi="Arial"/>
          <w:sz w:val="18"/>
          <w:szCs w:val="18"/>
          <w:b w:val="1"/>
          <w:bCs w:val="1"/>
          <w:color w:val="auto"/>
        </w:rPr>
        <w:t>PROSPECTUS</w:t>
      </w:r>
    </w:p>
    <w:p>
      <w:pPr>
        <w:jc w:val="center"/>
        <w:spacing w:after="0"/>
        <w:rPr>
          <w:sz w:val="20"/>
          <w:szCs w:val="20"/>
          <w:color w:val="auto"/>
        </w:rPr>
      </w:pPr>
      <w:r>
        <w:rPr>
          <w:rFonts w:ascii="Arial" w:cs="Arial" w:eastAsia="Arial" w:hAnsi="Arial"/>
          <w:sz w:val="25"/>
          <w:szCs w:val="25"/>
          <w:b w:val="1"/>
          <w:bCs w:val="1"/>
          <w:color w:val="auto"/>
        </w:rPr>
        <w:t>$385,000,000</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CM Life Sciences, Inc.</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38,500,000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109220</wp:posOffset>
            </wp:positionV>
            <wp:extent cx="51435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193" w:lineRule="exact"/>
        <w:rPr>
          <w:sz w:val="24"/>
          <w:szCs w:val="24"/>
          <w:color w:val="auto"/>
        </w:rPr>
      </w:pPr>
    </w:p>
    <w:p>
      <w:pPr>
        <w:ind w:left="460" w:right="619"/>
        <w:spacing w:after="0" w:line="249" w:lineRule="auto"/>
        <w:rPr>
          <w:sz w:val="20"/>
          <w:szCs w:val="20"/>
          <w:color w:val="auto"/>
        </w:rPr>
      </w:pPr>
      <w:r>
        <w:rPr>
          <w:rFonts w:ascii="Arial" w:cs="Arial" w:eastAsia="Arial" w:hAnsi="Arial"/>
          <w:sz w:val="14"/>
          <w:szCs w:val="14"/>
          <w:color w:val="auto"/>
        </w:rPr>
        <w:t>CM Life Sciences, Inc. is a blank check company formed as a Delaware corporation for the purpose of effecting a merger, capital stock exchange, asset acquisition, stock purchase, reorganization or similar business combination with one or more businesses, which we refer to as our initial business combination. We have not selected any specific business combination target and we have not, nor has anyone on our behalf, engaged in any substantive discussions, directly or indirectly, with any business combination target with respect to an initial business combination with us. While we may pursue an initial business combination target in any industry, sector or geographic region, we intend to focus our efforts on the life sciences sector.</w:t>
      </w:r>
    </w:p>
    <w:p>
      <w:pPr>
        <w:spacing w:after="0" w:line="2" w:lineRule="exact"/>
        <w:rPr>
          <w:sz w:val="24"/>
          <w:szCs w:val="24"/>
          <w:color w:val="auto"/>
        </w:rPr>
      </w:pPr>
    </w:p>
    <w:p>
      <w:pPr>
        <w:ind w:left="460" w:right="519"/>
        <w:spacing w:after="0" w:line="247" w:lineRule="auto"/>
        <w:rPr>
          <w:sz w:val="20"/>
          <w:szCs w:val="20"/>
          <w:color w:val="auto"/>
        </w:rPr>
      </w:pPr>
      <w:r>
        <w:rPr>
          <w:rFonts w:ascii="Arial" w:cs="Arial" w:eastAsia="Arial" w:hAnsi="Arial"/>
          <w:sz w:val="14"/>
          <w:szCs w:val="14"/>
          <w:color w:val="auto"/>
        </w:rPr>
        <w:t>This is an initial public offering of our securities. Each unit has an offering price of $10.00 and consists of one share of Class A common stock and one-third of one redeemable warrant. Each whole warrant entitles the holder thereof to purchase one share of Class A common stock at a price of $11.50 per share, subject to adjustment as described herein. Only whole warrants are exercisable. No fractional warrants will be issued upon separation of the units and only whole warrants will trade. The warrants will become exercisable on the later of 30 days after the completion of our initial business combination or 12 months from the closing of this offering, and will expire five years after the completion of our initial business combination or earlier upon redemption or our liquidation, as described herein. The underwriters have a 45-day option from the date of this prospectus to purchase up to 5,775,000 additional units to cover over-allotments, if any.</w:t>
      </w:r>
    </w:p>
    <w:p>
      <w:pPr>
        <w:spacing w:after="0" w:line="6" w:lineRule="exact"/>
        <w:rPr>
          <w:sz w:val="24"/>
          <w:szCs w:val="24"/>
          <w:color w:val="auto"/>
        </w:rPr>
      </w:pPr>
    </w:p>
    <w:p>
      <w:pPr>
        <w:ind w:left="460" w:right="479"/>
        <w:spacing w:after="0" w:line="246" w:lineRule="auto"/>
        <w:rPr>
          <w:sz w:val="20"/>
          <w:szCs w:val="20"/>
          <w:color w:val="auto"/>
        </w:rPr>
      </w:pPr>
      <w:r>
        <w:rPr>
          <w:rFonts w:ascii="Arial" w:cs="Arial" w:eastAsia="Arial" w:hAnsi="Arial"/>
          <w:sz w:val="14"/>
          <w:szCs w:val="14"/>
          <w:color w:val="auto"/>
        </w:rPr>
        <w:t>We will provide our public stockholders with the opportunity to redeem all or a portion of their shares of Class A common stock upon the completion of our initial business combination at a per-share price, payable in cash, equal to the aggregate amount then on deposit in the trust account described below as of two business days prior to the consummation of our initial business combination, including interest earned on the funds held in the trust account and not previously released to us to pay our taxes, divided by the number of then outstanding shares of Class A common stock that were sold as part of the units in this offering, which we refer to collectively as our public shares, subject to the limitations and on the conditions described herein. If we are unable to complete our initial business combination within 24 months from the closing of this offering, we will redeem 100% of the public shares at a per 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subject to applicable law and certain conditions as further described herein.</w:t>
      </w:r>
    </w:p>
    <w:p>
      <w:pPr>
        <w:spacing w:after="0" w:line="7" w:lineRule="exact"/>
        <w:rPr>
          <w:sz w:val="24"/>
          <w:szCs w:val="24"/>
          <w:color w:val="auto"/>
        </w:rPr>
      </w:pPr>
    </w:p>
    <w:p>
      <w:pPr>
        <w:ind w:left="460" w:right="479"/>
        <w:spacing w:after="0" w:line="248" w:lineRule="auto"/>
        <w:rPr>
          <w:sz w:val="20"/>
          <w:szCs w:val="20"/>
          <w:color w:val="auto"/>
        </w:rPr>
      </w:pPr>
      <w:r>
        <w:rPr>
          <w:rFonts w:ascii="Arial" w:cs="Arial" w:eastAsia="Arial" w:hAnsi="Arial"/>
          <w:sz w:val="14"/>
          <w:szCs w:val="14"/>
          <w:color w:val="auto"/>
        </w:rPr>
        <w:t>Our sponsor, CMLS Holdings LLC, and certain of our independent director nominees have severally committed to purchase an aggregate of 6,466,667 private placement warrants (or 7,236,667 warrants if the underwriters’ over-allotment option is exercised in full), each exercisable to purchase one share of Class A common stock at $11.50 per share, at a price of $1.50 per warrant, or $9,700,000 in the aggregate (or $10,855,000 if the underwriters’ over-allotment option is exercised in full), in a private placement that will close simultaneously with the closing of this offering. Our sponsor has committed to purchase 6,133,335 private placement warrants (or 6,903,335 warrants if the underwriters’ over-allotment option is exercised in full), and each of Mr. Islam and Dr. Leproust (and/or one or more entities controlled by them) has committed to purchase 166,666 private placement warrants.</w:t>
      </w:r>
    </w:p>
    <w:p>
      <w:pPr>
        <w:spacing w:after="0" w:line="164" w:lineRule="exact"/>
        <w:rPr>
          <w:sz w:val="24"/>
          <w:szCs w:val="24"/>
          <w:color w:val="auto"/>
        </w:rPr>
      </w:pPr>
    </w:p>
    <w:p>
      <w:pPr>
        <w:ind w:left="460" w:right="499"/>
        <w:spacing w:after="0" w:line="254" w:lineRule="auto"/>
        <w:rPr>
          <w:sz w:val="20"/>
          <w:szCs w:val="20"/>
          <w:color w:val="auto"/>
        </w:rPr>
      </w:pPr>
      <w:r>
        <w:rPr>
          <w:rFonts w:ascii="Arial" w:cs="Arial" w:eastAsia="Arial" w:hAnsi="Arial"/>
          <w:sz w:val="14"/>
          <w:szCs w:val="14"/>
          <w:color w:val="auto"/>
        </w:rPr>
        <w:t>Our initial stockholders currently own an aggregate of 11,068,750 shares of Class B common stock (up to 1,443,750 shares of which are subject to forfeiture by our sponsor depending on the extent to which the underwriters’ over-allotment option is exercised), which will automatically convert into shares of Class A common stock concurrently with or immediately following the consummation of our initial business combination on a one-for-one basis, subject to the adjustments described herein.</w:t>
      </w:r>
    </w:p>
    <w:p>
      <w:pPr>
        <w:spacing w:after="0" w:line="2" w:lineRule="exact"/>
        <w:rPr>
          <w:sz w:val="24"/>
          <w:szCs w:val="24"/>
          <w:color w:val="auto"/>
        </w:rPr>
      </w:pPr>
    </w:p>
    <w:p>
      <w:pPr>
        <w:ind w:left="460" w:right="499"/>
        <w:spacing w:after="0" w:line="245" w:lineRule="auto"/>
        <w:rPr>
          <w:sz w:val="20"/>
          <w:szCs w:val="20"/>
          <w:color w:val="auto"/>
        </w:rPr>
      </w:pPr>
      <w:r>
        <w:rPr>
          <w:rFonts w:ascii="Arial" w:cs="Arial" w:eastAsia="Arial" w:hAnsi="Arial"/>
          <w:sz w:val="14"/>
          <w:szCs w:val="14"/>
          <w:color w:val="auto"/>
        </w:rPr>
        <w:t>We have entered into separate forward purchase agreements with affiliates of our sponsor, Casdin Capital, LLC (“Casdin Capital”) and Corvex Management LP (“Corvex Management”), in their capacities as investment advisors on behalf of one or more investment funds, clients or accounts managed by each of Casdin Capital and Corvex Management, respectively (collectively, their “Clients”), pursuant to which, subject to the conditions described below, they will cause certain Clients to purchase from us up to an aggregate amount of 15,000,000 shares of Class A common stock, or the forward purchase shares, for $10.00 per forward purchase share, or an aggregate amount of up to $150,000,000, in a private placement that will close concurrently with the closing of our initial business combination. The respective obligations of Casdin Capital and Corvex Management to cause Clients to purchase forward purchase shares will, among other things, be conditioned on our completing an initial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Capital or Corvex Management, as relevant, as investment advisors on behalf of such Clients. See “Summary — The Offering — Forward Purchase Agreements.”</w:t>
      </w:r>
    </w:p>
    <w:p>
      <w:pPr>
        <w:spacing w:after="0" w:line="174" w:lineRule="exact"/>
        <w:rPr>
          <w:sz w:val="24"/>
          <w:szCs w:val="24"/>
          <w:color w:val="auto"/>
        </w:rPr>
      </w:pPr>
    </w:p>
    <w:p>
      <w:pPr>
        <w:ind w:left="460" w:right="519"/>
        <w:spacing w:after="0" w:line="249" w:lineRule="auto"/>
        <w:rPr>
          <w:sz w:val="20"/>
          <w:szCs w:val="20"/>
          <w:color w:val="auto"/>
        </w:rPr>
      </w:pPr>
      <w:r>
        <w:rPr>
          <w:rFonts w:ascii="Arial" w:cs="Arial" w:eastAsia="Arial" w:hAnsi="Arial"/>
          <w:sz w:val="14"/>
          <w:szCs w:val="14"/>
          <w:color w:val="auto"/>
        </w:rPr>
        <w:t>Prior to this offering, there has been no public market for our units, Class A common stock or warrants. We have been approved to have our units listed on Nasdaq Capital Market, or Nasdaq, under the symbol “CMLFU.” We expect the shares of Class A common stock and warrants comprising the units to begin separate trading on the 52</w:t>
      </w:r>
      <w:r>
        <w:rPr>
          <w:rFonts w:ascii="Arial" w:cs="Arial" w:eastAsia="Arial" w:hAnsi="Arial"/>
          <w:sz w:val="14"/>
          <w:szCs w:val="14"/>
          <w:color w:val="auto"/>
          <w:vertAlign w:val="superscript"/>
        </w:rPr>
        <w:t>nd</w:t>
      </w:r>
      <w:r>
        <w:rPr>
          <w:rFonts w:ascii="Arial" w:cs="Arial" w:eastAsia="Arial" w:hAnsi="Arial"/>
          <w:sz w:val="14"/>
          <w:szCs w:val="14"/>
          <w:color w:val="auto"/>
        </w:rPr>
        <w:t xml:space="preserve"> day following the date of this prospectus unless Jefferies LLC informs us of its decision to allow earlier separate trading, subject to our satisfaction of certain conditions. Once the securities comprising the units begin separate trading, we expect that the Class A common stock and warrants will be listed on Nasdaq under the symbols “CMLF” and “CMLFW,” respectively.</w:t>
      </w:r>
    </w:p>
    <w:p>
      <w:pPr>
        <w:spacing w:after="0" w:line="2" w:lineRule="exact"/>
        <w:rPr>
          <w:sz w:val="24"/>
          <w:szCs w:val="24"/>
          <w:color w:val="auto"/>
        </w:rPr>
      </w:pPr>
    </w:p>
    <w:p>
      <w:pPr>
        <w:ind w:left="460" w:right="599"/>
        <w:spacing w:after="0" w:line="251" w:lineRule="auto"/>
        <w:rPr>
          <w:sz w:val="20"/>
          <w:szCs w:val="20"/>
          <w:color w:val="auto"/>
        </w:rPr>
      </w:pPr>
      <w:r>
        <w:rPr>
          <w:rFonts w:ascii="Arial" w:cs="Arial" w:eastAsia="Arial" w:hAnsi="Arial"/>
          <w:sz w:val="14"/>
          <w:szCs w:val="14"/>
          <w:b w:val="1"/>
          <w:bCs w:val="1"/>
          <w:color w:val="auto"/>
        </w:rPr>
        <w:t>We are an “emerging growth company” and “small reporting company” under applicable federal securities laws and will be subject to reduced public company reporting requirements. Investing in our securities involves a high degree of risk. See “</w:t>
      </w:r>
      <w:r>
        <w:rPr>
          <w:rFonts w:ascii="Arial" w:cs="Arial" w:eastAsia="Arial" w:hAnsi="Arial"/>
          <w:sz w:val="14"/>
          <w:szCs w:val="14"/>
          <w:b w:val="1"/>
          <w:bCs w:val="1"/>
          <w:u w:val="single" w:color="auto"/>
          <w:color w:val="auto"/>
        </w:rPr>
        <w:t>Risk Factors</w:t>
      </w:r>
      <w:r>
        <w:rPr>
          <w:rFonts w:ascii="Arial" w:cs="Arial" w:eastAsia="Arial" w:hAnsi="Arial"/>
          <w:sz w:val="14"/>
          <w:szCs w:val="14"/>
          <w:b w:val="1"/>
          <w:bCs w:val="1"/>
          <w:color w:val="auto"/>
        </w:rPr>
        <w:t>” beginning on page 31 for a discussion of information that should be considered in connection with an investment in our securities. Investors will not be entitled to protections normally afforded to investors in Rule 419 blank check offerings.</w:t>
      </w:r>
    </w:p>
    <w:p>
      <w:pPr>
        <w:spacing w:after="0" w:line="1" w:lineRule="exact"/>
        <w:rPr>
          <w:sz w:val="24"/>
          <w:szCs w:val="24"/>
          <w:color w:val="auto"/>
        </w:rPr>
      </w:pPr>
    </w:p>
    <w:p>
      <w:pPr>
        <w:ind w:left="460" w:right="779"/>
        <w:spacing w:after="0" w:line="272" w:lineRule="auto"/>
        <w:rPr>
          <w:sz w:val="20"/>
          <w:szCs w:val="20"/>
          <w:color w:val="auto"/>
        </w:rPr>
      </w:pPr>
      <w:r>
        <w:rPr>
          <w:rFonts w:ascii="Arial" w:cs="Arial" w:eastAsia="Arial" w:hAnsi="Arial"/>
          <w:sz w:val="14"/>
          <w:szCs w:val="14"/>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81915</wp:posOffset>
            </wp:positionV>
            <wp:extent cx="51435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189" w:lineRule="exact"/>
        <w:rPr>
          <w:sz w:val="24"/>
          <w:szCs w:val="24"/>
          <w:color w:val="auto"/>
        </w:rPr>
      </w:pPr>
    </w:p>
    <w:tbl>
      <w:tblPr>
        <w:tblLayout w:type="fixed"/>
        <w:tblInd w:w="880" w:type="dxa"/>
        <w:tblCellMar>
          <w:top w:w="0" w:type="dxa"/>
          <w:left w:w="0" w:type="dxa"/>
          <w:bottom w:w="0" w:type="dxa"/>
          <w:right w:w="0" w:type="dxa"/>
        </w:tblCellMar>
      </w:tblPr>
      <w:tr>
        <w:trPr>
          <w:trHeight w:val="211"/>
        </w:trPr>
        <w:tc>
          <w:tcPr>
            <w:tcW w:w="402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PER UNIT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TOTAL</w:t>
            </w:r>
          </w:p>
        </w:tc>
      </w:tr>
      <w:tr>
        <w:trPr>
          <w:trHeight w:val="250"/>
        </w:trPr>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Public offering price</w:t>
            </w:r>
          </w:p>
        </w:tc>
        <w:tc>
          <w:tcPr>
            <w:tcW w:w="1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10.00</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385,000,000</w:t>
            </w:r>
          </w:p>
        </w:tc>
      </w:tr>
      <w:tr>
        <w:trPr>
          <w:trHeight w:val="284"/>
        </w:trPr>
        <w:tc>
          <w:tcPr>
            <w:tcW w:w="4020" w:type="dxa"/>
            <w:vAlign w:val="bottom"/>
          </w:tcPr>
          <w:p>
            <w:pPr>
              <w:spacing w:after="0"/>
              <w:rPr>
                <w:sz w:val="20"/>
                <w:szCs w:val="20"/>
                <w:color w:val="auto"/>
              </w:rPr>
            </w:pPr>
            <w:r>
              <w:rPr>
                <w:rFonts w:ascii="Arial" w:cs="Arial" w:eastAsia="Arial" w:hAnsi="Arial"/>
                <w:sz w:val="14"/>
                <w:szCs w:val="14"/>
                <w:color w:val="auto"/>
              </w:rPr>
              <w:t>Underwriting discounts and commissions</w:t>
            </w:r>
            <w:r>
              <w:rPr>
                <w:rFonts w:ascii="Arial" w:cs="Arial" w:eastAsia="Arial" w:hAnsi="Arial"/>
                <w:sz w:val="21"/>
                <w:szCs w:val="21"/>
                <w:color w:val="auto"/>
                <w:vertAlign w:val="superscript"/>
              </w:rPr>
              <w:t>(1)</w:t>
            </w:r>
          </w:p>
        </w:tc>
        <w:tc>
          <w:tcPr>
            <w:tcW w:w="14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0.55</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21,175,000</w:t>
            </w:r>
          </w:p>
        </w:tc>
      </w:tr>
      <w:tr>
        <w:trPr>
          <w:trHeight w:val="262"/>
        </w:trPr>
        <w:tc>
          <w:tcPr>
            <w:tcW w:w="4020" w:type="dxa"/>
            <w:vAlign w:val="bottom"/>
            <w:shd w:val="clear" w:color="auto" w:fill="CCEEFF"/>
          </w:tcPr>
          <w:p>
            <w:pPr>
              <w:spacing w:after="0"/>
              <w:rPr>
                <w:sz w:val="20"/>
                <w:szCs w:val="20"/>
                <w:color w:val="auto"/>
              </w:rPr>
            </w:pPr>
            <w:r>
              <w:rPr>
                <w:rFonts w:ascii="Arial" w:cs="Arial" w:eastAsia="Arial" w:hAnsi="Arial"/>
                <w:sz w:val="14"/>
                <w:szCs w:val="14"/>
                <w:color w:val="auto"/>
              </w:rPr>
              <w:t>Proceeds, before expenses, to us</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9.45</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363,825,000</w:t>
            </w:r>
          </w:p>
        </w:tc>
      </w:tr>
      <w:tr>
        <w:trPr>
          <w:trHeight w:val="21"/>
        </w:trPr>
        <w:tc>
          <w:tcPr>
            <w:tcW w:w="402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r>
    </w:tbl>
    <w:p>
      <w:pPr>
        <w:spacing w:after="0" w:line="167" w:lineRule="exact"/>
        <w:rPr>
          <w:sz w:val="24"/>
          <w:szCs w:val="24"/>
          <w:color w:val="auto"/>
        </w:rPr>
      </w:pPr>
    </w:p>
    <w:p>
      <w:pPr>
        <w:ind w:left="880" w:right="539" w:hanging="426"/>
        <w:spacing w:after="0" w:line="248" w:lineRule="auto"/>
        <w:tabs>
          <w:tab w:leader="none" w:pos="882" w:val="left"/>
        </w:tabs>
        <w:numPr>
          <w:ilvl w:val="0"/>
          <w:numId w:val="1"/>
        </w:numPr>
        <w:rPr>
          <w:rFonts w:ascii="Arial" w:cs="Arial" w:eastAsia="Arial" w:hAnsi="Arial"/>
          <w:sz w:val="12"/>
          <w:szCs w:val="12"/>
          <w:color w:val="auto"/>
        </w:rPr>
      </w:pPr>
      <w:r>
        <w:rPr>
          <w:rFonts w:ascii="Arial" w:cs="Arial" w:eastAsia="Arial" w:hAnsi="Arial"/>
          <w:sz w:val="12"/>
          <w:szCs w:val="12"/>
          <w:color w:val="auto"/>
        </w:rPr>
        <w:t>$0.20 per unit, or $7,700,000 in the aggregate (or $8,855,000 if the underwriters’ over-allotment option is exercised in full), is payable upon the closing of this offering. Includes $0.35 per unit, or $13,475,000 in the aggregate (or up to $15,496,250 in the aggregate if the underwriters’ over-allotment option is exercised in full) payable to the underwriters for deferred underwriting commissions to be placed in a trust account located in the United States and released to the underwriters only upon the completion of an initial business combination. See also “Underwriting” for a description of compensation and other items of value payable to the underwriters.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15875</wp:posOffset>
            </wp:positionV>
            <wp:extent cx="5143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180" w:lineRule="exact"/>
        <w:rPr>
          <w:sz w:val="24"/>
          <w:szCs w:val="24"/>
          <w:color w:val="auto"/>
        </w:rPr>
      </w:pPr>
    </w:p>
    <w:p>
      <w:pPr>
        <w:ind w:left="460" w:right="539"/>
        <w:spacing w:after="0" w:line="251" w:lineRule="auto"/>
        <w:rPr>
          <w:sz w:val="20"/>
          <w:szCs w:val="20"/>
          <w:color w:val="auto"/>
        </w:rPr>
      </w:pPr>
      <w:r>
        <w:rPr>
          <w:rFonts w:ascii="Arial" w:cs="Arial" w:eastAsia="Arial" w:hAnsi="Arial"/>
          <w:sz w:val="14"/>
          <w:szCs w:val="14"/>
          <w:color w:val="auto"/>
        </w:rPr>
        <w:t>Of the proceeds we receive from this offering and the sale of the private placement warrants described in this prospectus, $385.00 million, or $442.75 million if the underwriters’ over-allotment option is exercised in full ($10.00 per unit in any case), will be deposited into a trust account in the United States with Continental Stock Transfer &amp; Trust Company acting as trustee, after deducting $7,700,000 in underwriting discounts and commissions payable upon the closing of this offering (or $8,855,000 if the underwriters’ over-allotment option is exercised in full) and an aggregate of $2.0 million to pay fees and expenses in connection with the closing of this offering and for working capital following the closing of this offering.</w:t>
      </w:r>
    </w:p>
    <w:p>
      <w:pPr>
        <w:spacing w:after="0" w:line="16" w:lineRule="exact"/>
        <w:rPr>
          <w:sz w:val="24"/>
          <w:szCs w:val="24"/>
          <w:color w:val="auto"/>
        </w:rPr>
      </w:pPr>
    </w:p>
    <w:p>
      <w:pPr>
        <w:ind w:left="460" w:right="599"/>
        <w:spacing w:after="0" w:line="291" w:lineRule="auto"/>
        <w:rPr>
          <w:sz w:val="20"/>
          <w:szCs w:val="20"/>
          <w:color w:val="auto"/>
        </w:rPr>
      </w:pPr>
      <w:r>
        <w:rPr>
          <w:rFonts w:ascii="Arial" w:cs="Arial" w:eastAsia="Arial" w:hAnsi="Arial"/>
          <w:sz w:val="14"/>
          <w:szCs w:val="14"/>
          <w:color w:val="auto"/>
        </w:rPr>
        <w:t>The underwriters are offering the units for sale on a firm commitment basis. The underwriters expect to deliver the units to the purchasers on or about September 4, 2020.</w:t>
      </w:r>
    </w:p>
    <w:p>
      <w:pPr>
        <w:sectPr>
          <w:pgSz w:w="11900" w:h="16838" w:orient="portrait"/>
          <w:cols w:equalWidth="0" w:num="1">
            <w:col w:w="9019"/>
          </w:cols>
          <w:pgMar w:left="1440" w:top="223" w:right="1440" w:bottom="0" w:gutter="0" w:footer="0" w:header="0"/>
        </w:sectPr>
      </w:pPr>
    </w:p>
    <w:bookmarkStart w:id="1" w:name="page2"/>
    <w:bookmarkEnd w:id="1"/>
    <w:p>
      <w:pPr>
        <w:jc w:val="center"/>
        <w:spacing w:after="0"/>
        <w:rPr>
          <w:sz w:val="20"/>
          <w:szCs w:val="20"/>
          <w:color w:val="auto"/>
        </w:rPr>
      </w:pPr>
      <w:r>
        <w:rPr>
          <w:rFonts w:ascii="Arial" w:cs="Arial" w:eastAsia="Arial" w:hAnsi="Arial"/>
          <w:sz w:val="29"/>
          <w:szCs w:val="29"/>
          <w:b w:val="1"/>
          <w:bCs w:val="1"/>
          <w:color w:val="auto"/>
        </w:rPr>
        <w:t>Jefferies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September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248920</wp:posOffset>
            </wp:positionV>
            <wp:extent cx="5143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95"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2" w:lineRule="exact"/>
        <w:rPr>
          <w:sz w:val="20"/>
          <w:szCs w:val="20"/>
          <w:color w:val="auto"/>
        </w:rPr>
      </w:pPr>
    </w:p>
    <w:tbl>
      <w:tblPr>
        <w:tblLayout w:type="fixed"/>
        <w:tblInd w:w="460" w:type="dxa"/>
        <w:tblCellMar>
          <w:top w:w="0" w:type="dxa"/>
          <w:left w:w="0" w:type="dxa"/>
          <w:bottom w:w="0" w:type="dxa"/>
          <w:right w:w="0" w:type="dxa"/>
        </w:tblCellMar>
      </w:tblPr>
      <w:tr>
        <w:trPr>
          <w:trHeight w:val="211"/>
        </w:trPr>
        <w:tc>
          <w:tcPr>
            <w:tcW w:w="76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Page</w:t>
            </w:r>
          </w:p>
        </w:tc>
      </w:tr>
      <w:tr>
        <w:trPr>
          <w:trHeight w:val="250"/>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Summary</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r>
      <w:tr>
        <w:trPr>
          <w:trHeight w:val="261"/>
        </w:trPr>
        <w:tc>
          <w:tcPr>
            <w:tcW w:w="7600" w:type="dxa"/>
            <w:vAlign w:val="bottom"/>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Summary Financial Data</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30</w:t>
            </w:r>
          </w:p>
        </w:tc>
      </w:tr>
      <w:tr>
        <w:trPr>
          <w:trHeight w:val="23"/>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3"/>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Risk Factors</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31</w:t>
            </w:r>
          </w:p>
        </w:tc>
      </w:tr>
      <w:tr>
        <w:trPr>
          <w:trHeight w:val="261"/>
        </w:trPr>
        <w:tc>
          <w:tcPr>
            <w:tcW w:w="7600" w:type="dxa"/>
            <w:vAlign w:val="bottom"/>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Cautionary Note Regarding Forward-Looking Statements</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63</w:t>
            </w:r>
          </w:p>
        </w:tc>
      </w:tr>
      <w:tr>
        <w:trPr>
          <w:trHeight w:val="23"/>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4"/>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Use of Proceeds</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64</w:t>
            </w:r>
          </w:p>
        </w:tc>
      </w:tr>
      <w:tr>
        <w:trPr>
          <w:trHeight w:val="261"/>
        </w:trPr>
        <w:tc>
          <w:tcPr>
            <w:tcW w:w="7600" w:type="dxa"/>
            <w:vAlign w:val="bottom"/>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Dividend Policy</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67</w:t>
            </w:r>
          </w:p>
        </w:tc>
      </w:tr>
      <w:tr>
        <w:trPr>
          <w:trHeight w:val="23"/>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3"/>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Dilution</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68</w:t>
            </w:r>
          </w:p>
        </w:tc>
      </w:tr>
      <w:tr>
        <w:trPr>
          <w:trHeight w:val="261"/>
        </w:trPr>
        <w:tc>
          <w:tcPr>
            <w:tcW w:w="7600" w:type="dxa"/>
            <w:vAlign w:val="bottom"/>
          </w:tcPr>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Capitalization</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70</w:t>
            </w:r>
          </w:p>
        </w:tc>
      </w:tr>
      <w:tr>
        <w:trPr>
          <w:trHeight w:val="23"/>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3"/>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Management’s Discussion and Analysis of Financial Condition and Results of Operations</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71</w:t>
            </w:r>
          </w:p>
        </w:tc>
      </w:tr>
      <w:tr>
        <w:trPr>
          <w:trHeight w:val="261"/>
        </w:trPr>
        <w:tc>
          <w:tcPr>
            <w:tcW w:w="7600" w:type="dxa"/>
            <w:vAlign w:val="bottom"/>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Proposed Business</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76</w:t>
            </w:r>
          </w:p>
        </w:tc>
      </w:tr>
      <w:tr>
        <w:trPr>
          <w:trHeight w:val="23"/>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4"/>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Management</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102</w:t>
            </w:r>
          </w:p>
        </w:tc>
      </w:tr>
      <w:tr>
        <w:trPr>
          <w:trHeight w:val="261"/>
        </w:trPr>
        <w:tc>
          <w:tcPr>
            <w:tcW w:w="7600" w:type="dxa"/>
            <w:vAlign w:val="bottom"/>
          </w:tcPr>
          <w:p>
            <w:pPr>
              <w:spacing w:after="0"/>
              <w:rPr>
                <w:rFonts w:ascii="Arial" w:cs="Arial" w:eastAsia="Arial" w:hAnsi="Arial"/>
                <w:sz w:val="18"/>
                <w:szCs w:val="18"/>
                <w:u w:val="single" w:color="auto"/>
                <w:color w:val="0000EE"/>
              </w:rPr>
            </w:pPr>
            <w:hyperlink w:anchor="page115">
              <w:r>
                <w:rPr>
                  <w:rFonts w:ascii="Arial" w:cs="Arial" w:eastAsia="Arial" w:hAnsi="Arial"/>
                  <w:sz w:val="18"/>
                  <w:szCs w:val="18"/>
                  <w:u w:val="single" w:color="auto"/>
                  <w:color w:val="0000EE"/>
                </w:rPr>
                <w:t>Principal Stockholders</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3"/>
              </w:rPr>
              <w:t>111</w:t>
            </w:r>
          </w:p>
        </w:tc>
      </w:tr>
      <w:tr>
        <w:trPr>
          <w:trHeight w:val="23"/>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3"/>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Certain Relationships and Related Party Transactions</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114</w:t>
            </w:r>
          </w:p>
        </w:tc>
      </w:tr>
      <w:tr>
        <w:trPr>
          <w:trHeight w:val="261"/>
        </w:trPr>
        <w:tc>
          <w:tcPr>
            <w:tcW w:w="7600" w:type="dxa"/>
            <w:vAlign w:val="bottom"/>
          </w:tcPr>
          <w:p>
            <w:pPr>
              <w:spacing w:after="0"/>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Description of Securities</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3"/>
              </w:rPr>
              <w:t>116</w:t>
            </w:r>
          </w:p>
        </w:tc>
      </w:tr>
      <w:tr>
        <w:trPr>
          <w:trHeight w:val="23"/>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3"/>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U.S. Federal Income Tax Considerations</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133</w:t>
            </w:r>
          </w:p>
        </w:tc>
      </w:tr>
      <w:tr>
        <w:trPr>
          <w:trHeight w:val="261"/>
        </w:trPr>
        <w:tc>
          <w:tcPr>
            <w:tcW w:w="7600" w:type="dxa"/>
            <w:vAlign w:val="bottom"/>
          </w:tcPr>
          <w:p>
            <w:pPr>
              <w:spacing w:after="0"/>
              <w:rPr>
                <w:rFonts w:ascii="Arial" w:cs="Arial" w:eastAsia="Arial" w:hAnsi="Arial"/>
                <w:sz w:val="18"/>
                <w:szCs w:val="18"/>
                <w:u w:val="single" w:color="auto"/>
                <w:color w:val="0000EE"/>
              </w:rPr>
            </w:pPr>
            <w:hyperlink w:anchor="page145">
              <w:r>
                <w:rPr>
                  <w:rFonts w:ascii="Arial" w:cs="Arial" w:eastAsia="Arial" w:hAnsi="Arial"/>
                  <w:sz w:val="18"/>
                  <w:szCs w:val="18"/>
                  <w:u w:val="single" w:color="auto"/>
                  <w:color w:val="0000EE"/>
                </w:rPr>
                <w:t>Underwriting</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141</w:t>
            </w:r>
          </w:p>
        </w:tc>
      </w:tr>
      <w:tr>
        <w:trPr>
          <w:trHeight w:val="23"/>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3"/>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53">
              <w:r>
                <w:rPr>
                  <w:rFonts w:ascii="Arial" w:cs="Arial" w:eastAsia="Arial" w:hAnsi="Arial"/>
                  <w:sz w:val="18"/>
                  <w:szCs w:val="18"/>
                  <w:u w:val="single" w:color="auto"/>
                  <w:color w:val="0000EE"/>
                </w:rPr>
                <w:t>Legal Matters</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149</w:t>
            </w:r>
          </w:p>
        </w:tc>
      </w:tr>
      <w:tr>
        <w:trPr>
          <w:trHeight w:val="261"/>
        </w:trPr>
        <w:tc>
          <w:tcPr>
            <w:tcW w:w="7600" w:type="dxa"/>
            <w:vAlign w:val="bottom"/>
          </w:tcPr>
          <w:p>
            <w:pPr>
              <w:spacing w:after="0"/>
              <w:rPr>
                <w:rFonts w:ascii="Arial" w:cs="Arial" w:eastAsia="Arial" w:hAnsi="Arial"/>
                <w:sz w:val="18"/>
                <w:szCs w:val="18"/>
                <w:u w:val="single" w:color="auto"/>
                <w:color w:val="0000EE"/>
              </w:rPr>
            </w:pPr>
            <w:hyperlink w:anchor="page153">
              <w:r>
                <w:rPr>
                  <w:rFonts w:ascii="Arial" w:cs="Arial" w:eastAsia="Arial" w:hAnsi="Arial"/>
                  <w:sz w:val="18"/>
                  <w:szCs w:val="18"/>
                  <w:u w:val="single" w:color="auto"/>
                  <w:color w:val="0000EE"/>
                </w:rPr>
                <w:t>Experts</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149</w:t>
            </w:r>
          </w:p>
        </w:tc>
      </w:tr>
      <w:tr>
        <w:trPr>
          <w:trHeight w:val="23"/>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3"/>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53">
              <w:r>
                <w:rPr>
                  <w:rFonts w:ascii="Arial" w:cs="Arial" w:eastAsia="Arial" w:hAnsi="Arial"/>
                  <w:sz w:val="18"/>
                  <w:szCs w:val="18"/>
                  <w:u w:val="single" w:color="auto"/>
                  <w:color w:val="0000EE"/>
                </w:rPr>
                <w:t>Where You Can Find Additional Information</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149</w:t>
            </w:r>
          </w:p>
        </w:tc>
      </w:tr>
      <w:tr>
        <w:trPr>
          <w:trHeight w:val="261"/>
        </w:trPr>
        <w:tc>
          <w:tcPr>
            <w:tcW w:w="7600" w:type="dxa"/>
            <w:vAlign w:val="bottom"/>
          </w:tcPr>
          <w:p>
            <w:pPr>
              <w:spacing w:after="0"/>
              <w:rPr>
                <w:rFonts w:ascii="Arial" w:cs="Arial" w:eastAsia="Arial" w:hAnsi="Arial"/>
                <w:sz w:val="18"/>
                <w:szCs w:val="18"/>
                <w:u w:val="single" w:color="auto"/>
                <w:color w:val="0000EE"/>
              </w:rPr>
            </w:pPr>
            <w:hyperlink w:anchor="page154">
              <w:r>
                <w:rPr>
                  <w:rFonts w:ascii="Arial" w:cs="Arial" w:eastAsia="Arial" w:hAnsi="Arial"/>
                  <w:sz w:val="18"/>
                  <w:szCs w:val="18"/>
                  <w:u w:val="single" w:color="auto"/>
                  <w:color w:val="0000EE"/>
                </w:rPr>
                <w:t>Index to Financial Statements</w:t>
              </w:r>
            </w:hyperlink>
          </w:p>
        </w:tc>
        <w:tc>
          <w:tcPr>
            <w:tcW w:w="500" w:type="dxa"/>
            <w:vAlign w:val="bottom"/>
          </w:tcPr>
          <w:p>
            <w:pPr>
              <w:jc w:val="center"/>
              <w:spacing w:after="0"/>
              <w:rPr>
                <w:sz w:val="20"/>
                <w:szCs w:val="20"/>
                <w:color w:val="auto"/>
              </w:rPr>
            </w:pPr>
            <w:r>
              <w:rPr>
                <w:rFonts w:ascii="Arial" w:cs="Arial" w:eastAsia="Arial" w:hAnsi="Arial"/>
                <w:sz w:val="18"/>
                <w:szCs w:val="18"/>
                <w:color w:val="auto"/>
              </w:rPr>
              <w:t>F-1</w:t>
            </w:r>
          </w:p>
        </w:tc>
      </w:tr>
    </w:tbl>
    <w:p>
      <w:pPr>
        <w:spacing w:after="0" w:line="189" w:lineRule="exact"/>
        <w:rPr>
          <w:sz w:val="20"/>
          <w:szCs w:val="20"/>
          <w:color w:val="auto"/>
        </w:rPr>
      </w:pPr>
    </w:p>
    <w:p>
      <w:pPr>
        <w:ind w:left="460" w:right="479"/>
        <w:spacing w:after="0" w:line="243" w:lineRule="auto"/>
        <w:rPr>
          <w:sz w:val="20"/>
          <w:szCs w:val="20"/>
          <w:color w:val="auto"/>
        </w:rPr>
      </w:pPr>
      <w:r>
        <w:rPr>
          <w:rFonts w:ascii="Arial" w:cs="Arial" w:eastAsia="Arial" w:hAnsi="Arial"/>
          <w:sz w:val="18"/>
          <w:szCs w:val="18"/>
          <w:color w:val="auto"/>
        </w:rPr>
        <w:t>We are responsible for the information contained in this prospectus. We have not, and the underwriters have not, authorized anyone to provide you with different information, and neither we nor the underwriters take responsibility for any other information others may give to you. We are not, and the underwriters are not, making an offer to sell securities in any jurisdiction where the offer or sale is not permitted. You should not assume that the information contained in this prospectus is accurate as of any date other than the date on the front of this prospectus.</w:t>
      </w:r>
    </w:p>
    <w:p>
      <w:pPr>
        <w:spacing w:after="0" w:line="93" w:lineRule="exact"/>
        <w:rPr>
          <w:sz w:val="20"/>
          <w:szCs w:val="20"/>
          <w:color w:val="auto"/>
        </w:rPr>
      </w:pPr>
    </w:p>
    <w:p>
      <w:pPr>
        <w:ind w:left="460" w:right="479"/>
        <w:spacing w:after="0" w:line="248" w:lineRule="auto"/>
        <w:rPr>
          <w:sz w:val="20"/>
          <w:szCs w:val="20"/>
          <w:color w:val="auto"/>
        </w:rPr>
      </w:pPr>
      <w:r>
        <w:rPr>
          <w:rFonts w:ascii="Arial" w:cs="Arial" w:eastAsia="Arial" w:hAnsi="Arial"/>
          <w:sz w:val="18"/>
          <w:szCs w:val="18"/>
          <w:color w:val="auto"/>
        </w:rPr>
        <w:t>Until September 26, 2020, all dealers that effect transactions in these securities, whether or not participating in this offering, may be required to deliver a prospectus. This is in addition to the dealer’s obligation to deliver a prospectus when acting as an underwriter and with respect to unsold allotments or subscriptions.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w:t>
      </w:r>
    </w:p>
    <w:p>
      <w:pPr>
        <w:spacing w:after="0" w:line="146"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 xml:space="preserve">This prospectus contains references to trademarks and service marks belonging to other entities. Solely for convenience, trademarks and trade names referred to in this prospectus may appear without the </w:t>
      </w:r>
      <w:r>
        <w:rPr>
          <w:rFonts w:ascii="Arial" w:cs="Arial" w:eastAsia="Arial" w:hAnsi="Arial"/>
          <w:sz w:val="20"/>
          <w:szCs w:val="20"/>
          <w:color w:val="auto"/>
          <w:vertAlign w:val="superscript"/>
        </w:rPr>
        <w:t>®</w:t>
      </w:r>
      <w:r>
        <w:rPr>
          <w:rFonts w:ascii="Arial" w:cs="Arial" w:eastAsia="Arial" w:hAnsi="Arial"/>
          <w:sz w:val="18"/>
          <w:szCs w:val="18"/>
          <w:color w:val="auto"/>
        </w:rPr>
        <w:t xml:space="preserve"> or ™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23"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5401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7310" cy="8540115"/>
                    </a:xfrm>
                    <a:prstGeom prst="rect">
                      <a:avLst/>
                    </a:prstGeom>
                    <a:noFill/>
                  </pic:spPr>
                </pic:pic>
              </a:graphicData>
            </a:graphic>
          </wp:anchor>
        </w:drawing>
        <w:t>SUMMARY</w:t>
      </w:r>
    </w:p>
    <w:p>
      <w:pPr>
        <w:spacing w:after="0" w:line="135" w:lineRule="exact"/>
        <w:rPr>
          <w:sz w:val="20"/>
          <w:szCs w:val="20"/>
          <w:color w:val="auto"/>
        </w:rPr>
      </w:pPr>
    </w:p>
    <w:p>
      <w:pPr>
        <w:ind w:left="540" w:right="619"/>
        <w:spacing w:after="0" w:line="244" w:lineRule="auto"/>
        <w:rPr>
          <w:sz w:val="20"/>
          <w:szCs w:val="20"/>
          <w:color w:val="auto"/>
        </w:rPr>
      </w:pPr>
      <w:r>
        <w:rPr>
          <w:rFonts w:ascii="Arial" w:cs="Arial" w:eastAsia="Arial" w:hAnsi="Arial"/>
          <w:sz w:val="18"/>
          <w:szCs w:val="18"/>
          <w:i w:val="1"/>
          <w:iCs w:val="1"/>
          <w:color w:val="auto"/>
        </w:rPr>
        <w:t>This summary only highlights the more detailed information appearing elsewhere in this prospectus. As this is a summary, it does not contain all of the information that you should consider in making an investment decision. You should read this entire prospectus carefully, including the information under “Risk Factors” and our financial statements and the related notes included elsewhere in this prospectus, before investing.</w:t>
      </w:r>
    </w:p>
    <w:p>
      <w:pPr>
        <w:spacing w:after="0" w:line="10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Unless otherwise stated in this prospectus or the context otherwise requires, references to:</w:t>
      </w:r>
    </w:p>
    <w:p>
      <w:pPr>
        <w:spacing w:after="0" w:line="38" w:lineRule="exact"/>
        <w:rPr>
          <w:sz w:val="20"/>
          <w:szCs w:val="20"/>
          <w:color w:val="auto"/>
        </w:rPr>
      </w:pPr>
    </w:p>
    <w:p>
      <w:pPr>
        <w:ind w:left="1200" w:right="1339" w:hanging="332"/>
        <w:spacing w:after="0" w:line="257" w:lineRule="auto"/>
        <w:tabs>
          <w:tab w:leader="none" w:pos="1189"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“we,” “us,” “company” or “our company” are to CM Life Sciences, Inc., a Delaware corporation;</w:t>
      </w:r>
    </w:p>
    <w:p>
      <w:pPr>
        <w:ind w:left="1200" w:right="599" w:hanging="332"/>
        <w:spacing w:after="0" w:line="245" w:lineRule="auto"/>
        <w:tabs>
          <w:tab w:leader="none" w:pos="1189"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“amended and restated certificate of incorporation” are to our second amended and restated certificate of incorporation, which will be adopted prior to the consummation of this offering;</w:t>
      </w:r>
    </w:p>
    <w:p>
      <w:pPr>
        <w:spacing w:after="0" w:line="2" w:lineRule="exact"/>
        <w:rPr>
          <w:rFonts w:ascii="Arial" w:cs="Arial" w:eastAsia="Arial" w:hAnsi="Arial"/>
          <w:sz w:val="18"/>
          <w:szCs w:val="18"/>
          <w:color w:val="auto"/>
        </w:rPr>
      </w:pPr>
    </w:p>
    <w:p>
      <w:pPr>
        <w:ind w:left="1180" w:hanging="312"/>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“common stock” are to our Class A common stock and our Class B common stock;</w:t>
      </w:r>
    </w:p>
    <w:p>
      <w:pPr>
        <w:spacing w:after="0" w:line="36" w:lineRule="exact"/>
        <w:rPr>
          <w:rFonts w:ascii="Arial" w:cs="Arial" w:eastAsia="Arial" w:hAnsi="Arial"/>
          <w:sz w:val="18"/>
          <w:szCs w:val="18"/>
          <w:color w:val="auto"/>
        </w:rPr>
      </w:pPr>
    </w:p>
    <w:p>
      <w:pPr>
        <w:ind w:left="1200" w:right="859" w:hanging="332"/>
        <w:spacing w:after="0" w:line="257" w:lineRule="auto"/>
        <w:tabs>
          <w:tab w:leader="none" w:pos="1189"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“DGCL” refers to the Delaware General Corporation Law as the same may be amended from time to time;</w:t>
      </w:r>
    </w:p>
    <w:p>
      <w:pPr>
        <w:ind w:left="1180" w:hanging="312"/>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“directors” are to our current directors and director nominees;</w:t>
      </w:r>
    </w:p>
    <w:p>
      <w:pPr>
        <w:spacing w:after="0" w:line="24" w:lineRule="exact"/>
        <w:rPr>
          <w:rFonts w:ascii="Arial" w:cs="Arial" w:eastAsia="Arial" w:hAnsi="Arial"/>
          <w:sz w:val="18"/>
          <w:szCs w:val="18"/>
          <w:color w:val="auto"/>
        </w:rPr>
      </w:pPr>
    </w:p>
    <w:p>
      <w:pPr>
        <w:ind w:left="1200" w:right="579" w:hanging="332"/>
        <w:spacing w:after="0" w:line="245" w:lineRule="auto"/>
        <w:tabs>
          <w:tab w:leader="none" w:pos="1189"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“founder shares” are to shares of Class B common stock initially purchased by our sponsor in a private placement prior to this offering and the shares of Class A common stock that will be issued upon the automatic conversion of the shares of Class B common stock at the time of our initial business combination as described herein;</w:t>
      </w:r>
    </w:p>
    <w:p>
      <w:pPr>
        <w:spacing w:after="0" w:line="5" w:lineRule="exact"/>
        <w:rPr>
          <w:rFonts w:ascii="Arial" w:cs="Arial" w:eastAsia="Arial" w:hAnsi="Arial"/>
          <w:sz w:val="18"/>
          <w:szCs w:val="18"/>
          <w:color w:val="auto"/>
        </w:rPr>
      </w:pPr>
    </w:p>
    <w:p>
      <w:pPr>
        <w:ind w:left="1200" w:right="639" w:hanging="332"/>
        <w:spacing w:after="0" w:line="245" w:lineRule="auto"/>
        <w:tabs>
          <w:tab w:leader="none" w:pos="1239"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“forward purchase agreements” are to the forward purchase agreements providing for the sale of forward purchase shares by us to Casdin Capital, Corvex Management or their respective affiliates in a private placement that would close concurrently with the closing of our initial business combination;</w:t>
      </w:r>
    </w:p>
    <w:p>
      <w:pPr>
        <w:spacing w:after="0" w:line="3" w:lineRule="exact"/>
        <w:rPr>
          <w:rFonts w:ascii="Arial" w:cs="Arial" w:eastAsia="Arial" w:hAnsi="Arial"/>
          <w:sz w:val="18"/>
          <w:szCs w:val="18"/>
          <w:color w:val="auto"/>
        </w:rPr>
      </w:pPr>
    </w:p>
    <w:p>
      <w:pPr>
        <w:ind w:left="1200" w:right="759" w:hanging="332"/>
        <w:spacing w:after="0" w:line="245" w:lineRule="auto"/>
        <w:tabs>
          <w:tab w:leader="none" w:pos="1239"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“forward purchase shares” are to the shares of our Class A common stock that may be issued to Casdin Capital, Corvex Management or their respective affiliate pursuant to the forward purchase agreements;</w:t>
      </w:r>
    </w:p>
    <w:p>
      <w:pPr>
        <w:spacing w:after="0" w:line="2" w:lineRule="exact"/>
        <w:rPr>
          <w:rFonts w:ascii="Arial" w:cs="Arial" w:eastAsia="Arial" w:hAnsi="Arial"/>
          <w:sz w:val="18"/>
          <w:szCs w:val="18"/>
          <w:color w:val="auto"/>
        </w:rPr>
      </w:pPr>
    </w:p>
    <w:p>
      <w:pPr>
        <w:ind w:left="1180" w:hanging="312"/>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“initial stockholders” are to holders of our founder shares prior to this offering;</w:t>
      </w:r>
    </w:p>
    <w:p>
      <w:pPr>
        <w:spacing w:after="0" w:line="36" w:lineRule="exact"/>
        <w:rPr>
          <w:rFonts w:ascii="Arial" w:cs="Arial" w:eastAsia="Arial" w:hAnsi="Arial"/>
          <w:sz w:val="18"/>
          <w:szCs w:val="18"/>
          <w:color w:val="auto"/>
        </w:rPr>
      </w:pPr>
    </w:p>
    <w:p>
      <w:pPr>
        <w:ind w:left="1180" w:hanging="312"/>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“management” or our “management team” are to our executive officers and directors;</w:t>
      </w:r>
    </w:p>
    <w:p>
      <w:pPr>
        <w:spacing w:after="0" w:line="33" w:lineRule="exact"/>
        <w:rPr>
          <w:rFonts w:ascii="Arial" w:cs="Arial" w:eastAsia="Arial" w:hAnsi="Arial"/>
          <w:sz w:val="18"/>
          <w:szCs w:val="18"/>
          <w:color w:val="auto"/>
        </w:rPr>
      </w:pPr>
    </w:p>
    <w:p>
      <w:pPr>
        <w:ind w:left="1200" w:right="579" w:hanging="332"/>
        <w:spacing w:after="0" w:line="245" w:lineRule="auto"/>
        <w:tabs>
          <w:tab w:leader="none" w:pos="1189"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“private placement warrants” are to the warrants issued to our sponsor and certain of our independent director nominees (and/or one or more entities controlled by them) in a private placement simultaneously with the closing of this offering;</w:t>
      </w:r>
    </w:p>
    <w:p>
      <w:pPr>
        <w:spacing w:after="0" w:line="2" w:lineRule="exact"/>
        <w:rPr>
          <w:rFonts w:ascii="Arial" w:cs="Arial" w:eastAsia="Arial" w:hAnsi="Arial"/>
          <w:sz w:val="18"/>
          <w:szCs w:val="18"/>
          <w:color w:val="auto"/>
        </w:rPr>
      </w:pPr>
    </w:p>
    <w:p>
      <w:pPr>
        <w:jc w:val="both"/>
        <w:ind w:left="1200" w:right="1039" w:hanging="332"/>
        <w:spacing w:after="0" w:line="272" w:lineRule="auto"/>
        <w:tabs>
          <w:tab w:leader="none" w:pos="1189"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“public shares” are to shares of Class A common stock sold as part of the units in this offering (whether they are purchased in this offering or thereafter in the open market);</w:t>
      </w:r>
    </w:p>
    <w:p>
      <w:pPr>
        <w:spacing w:after="0" w:line="2" w:lineRule="exact"/>
        <w:rPr>
          <w:rFonts w:ascii="Arial" w:cs="Arial" w:eastAsia="Arial" w:hAnsi="Arial"/>
          <w:sz w:val="17"/>
          <w:szCs w:val="17"/>
          <w:color w:val="auto"/>
        </w:rPr>
      </w:pPr>
    </w:p>
    <w:p>
      <w:pPr>
        <w:ind w:left="1200" w:right="639" w:hanging="332"/>
        <w:spacing w:after="0" w:line="243" w:lineRule="auto"/>
        <w:tabs>
          <w:tab w:leader="none" w:pos="1189"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“public stockholders” are to the holders of our public shares, including our initial stockholders and management team to the extent our initial stockholders and/or members of our management team purchase public shares, provided that each initial stockholder’s and member of our management team’s status as a “public stockholder” will only exist with respect to such public shares; and</w:t>
      </w:r>
    </w:p>
    <w:p>
      <w:pPr>
        <w:spacing w:after="0" w:line="3" w:lineRule="exact"/>
        <w:rPr>
          <w:rFonts w:ascii="Arial" w:cs="Arial" w:eastAsia="Arial" w:hAnsi="Arial"/>
          <w:sz w:val="18"/>
          <w:szCs w:val="18"/>
          <w:color w:val="auto"/>
        </w:rPr>
      </w:pPr>
    </w:p>
    <w:p>
      <w:pPr>
        <w:ind w:left="1200" w:right="899" w:hanging="332"/>
        <w:spacing w:after="0" w:line="247" w:lineRule="auto"/>
        <w:tabs>
          <w:tab w:leader="none" w:pos="1189"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“sponsor” are to CMLS Holdings LLC, a Delaware limited liability company, which is controlled by C-LSH LLC (an entity affiliated with Eli Casdin) and M-LSH LLC (an entity affiliated with Keith Meister), the members of the sponsor.</w:t>
      </w:r>
    </w:p>
    <w:p>
      <w:pPr>
        <w:spacing w:after="0" w:line="104" w:lineRule="exact"/>
        <w:rPr>
          <w:sz w:val="20"/>
          <w:szCs w:val="20"/>
          <w:color w:val="auto"/>
        </w:rPr>
      </w:pPr>
    </w:p>
    <w:p>
      <w:pPr>
        <w:ind w:left="540" w:right="699"/>
        <w:spacing w:after="0" w:line="255" w:lineRule="auto"/>
        <w:rPr>
          <w:sz w:val="20"/>
          <w:szCs w:val="20"/>
          <w:color w:val="auto"/>
        </w:rPr>
      </w:pPr>
      <w:r>
        <w:rPr>
          <w:rFonts w:ascii="Arial" w:cs="Arial" w:eastAsia="Arial" w:hAnsi="Arial"/>
          <w:sz w:val="18"/>
          <w:szCs w:val="18"/>
          <w:color w:val="auto"/>
        </w:rPr>
        <w:t>Unless we tell you otherwise, the information in this prospectus assumes that the underwriters will not exercise their over-allotment option and the forfeiture by our sponsor of 1,443,750 founder shares for no consideration.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133" w:lineRule="exact"/>
        <w:rPr>
          <w:sz w:val="20"/>
          <w:szCs w:val="20"/>
          <w:color w:val="auto"/>
        </w:rPr>
      </w:pPr>
    </w:p>
    <w:p>
      <w:pPr>
        <w:ind w:left="540" w:right="619"/>
        <w:spacing w:after="0" w:line="239" w:lineRule="auto"/>
        <w:rPr>
          <w:sz w:val="20"/>
          <w:szCs w:val="20"/>
          <w:color w:val="auto"/>
        </w:rPr>
      </w:pPr>
      <w:r>
        <w:rPr>
          <w:rFonts w:ascii="Arial" w:cs="Arial" w:eastAsia="Arial" w:hAnsi="Arial"/>
          <w:sz w:val="18"/>
          <w:szCs w:val="18"/>
          <w:color w:val="auto"/>
        </w:rPr>
        <w:t>We are a newly organized blank check company incorporated in July 2020 as a Delaware corporation for the purpose of effecting a merger, capital stock exchange, asset acquisition, stock purchase, reorganization or similar business combination with one or more businesses, which we refer to throughout this prospectus as our initial business combination. To date our efforts have been limited to organizational activities as well as activities related to this offering. We have not selected any specific business combination target and we have not, nor has anyone on our behalf, engaged in any substantive discussions, directly or indirectly, with any business combination target with respect to an initial business combination with us. While we may pursue an initial business combination target in any industry, sector or geographic region, we intend to capitalize on our management team’s background and experience to identify promising opportunities in the life sciences sector.</w:t>
      </w:r>
    </w:p>
    <w:p>
      <w:pPr>
        <w:sectPr>
          <w:pgSz w:w="11900" w:h="16838" w:orient="portrait"/>
          <w:cols w:equalWidth="0" w:num="1">
            <w:col w:w="9019"/>
          </w:cols>
          <w:pgMar w:left="1440" w:top="533" w:right="1440" w:bottom="1440" w:gutter="0" w:footer="0" w:header="0"/>
        </w:sect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19050</wp:posOffset>
            </wp:positionV>
            <wp:extent cx="5143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33" w:right="1440"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6004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7310" cy="8600440"/>
                    </a:xfrm>
                    <a:prstGeom prst="rect">
                      <a:avLst/>
                    </a:prstGeom>
                    <a:noFill/>
                  </pic:spPr>
                </pic:pic>
              </a:graphicData>
            </a:graphic>
          </wp:anchor>
        </w:drawing>
        <w:t>OUR FOUNDERS</w:t>
      </w:r>
    </w:p>
    <w:p>
      <w:pPr>
        <w:spacing w:after="0" w:line="106" w:lineRule="exact"/>
        <w:rPr>
          <w:sz w:val="20"/>
          <w:szCs w:val="20"/>
          <w:color w:val="auto"/>
        </w:rPr>
      </w:pPr>
    </w:p>
    <w:p>
      <w:pPr>
        <w:ind w:left="540" w:right="699"/>
        <w:spacing w:after="0" w:line="245" w:lineRule="auto"/>
        <w:rPr>
          <w:sz w:val="20"/>
          <w:szCs w:val="20"/>
          <w:color w:val="auto"/>
        </w:rPr>
      </w:pPr>
      <w:r>
        <w:rPr>
          <w:rFonts w:ascii="Arial" w:cs="Arial" w:eastAsia="Arial" w:hAnsi="Arial"/>
          <w:sz w:val="18"/>
          <w:szCs w:val="18"/>
          <w:color w:val="auto"/>
        </w:rPr>
        <w:t>Our team intends to leverage the strong life sciences knowledge base and public and private market experience of our sponsor with the goal of executing a successful business combination in the life sciences sector. Our sponsor is an affiliate of Eli Casdin, founder and Chief Investment Officer of Casdin Capital, and of Keith Meister, founder and Chief Investment Officer of Corvex Management, two leading investment firms.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Eli Casdin and Casdin Capital</w:t>
      </w:r>
    </w:p>
    <w:p>
      <w:pPr>
        <w:spacing w:after="0" w:line="104" w:lineRule="exact"/>
        <w:rPr>
          <w:sz w:val="20"/>
          <w:szCs w:val="20"/>
          <w:color w:val="auto"/>
        </w:rPr>
      </w:pPr>
    </w:p>
    <w:p>
      <w:pPr>
        <w:ind w:left="540" w:right="579"/>
        <w:spacing w:after="0" w:line="241" w:lineRule="auto"/>
        <w:rPr>
          <w:sz w:val="20"/>
          <w:szCs w:val="20"/>
          <w:color w:val="auto"/>
        </w:rPr>
      </w:pPr>
      <w:r>
        <w:rPr>
          <w:rFonts w:ascii="Arial" w:cs="Arial" w:eastAsia="Arial" w:hAnsi="Arial"/>
          <w:sz w:val="18"/>
          <w:szCs w:val="18"/>
          <w:color w:val="auto"/>
        </w:rPr>
        <w:t>Founded by industry veteran Eli Casdin, Casdin Capital launched in 2011 as a leading thematic investor in the fast growing life sciences industry. Casdin Capital’s investment strategy includes but also extends beyond traditional drug development, finding opportunity in the vast universe of companies at the epicenter of innovation, spanning biotechnology and its many constituents. Companies beyond drug developers include developers of molecular-based diagnostics, providers of tools, developers of technology and data assets and operators of service companies that support research, development and product commercialization.</w:t>
      </w:r>
    </w:p>
    <w:p>
      <w:pPr>
        <w:spacing w:after="0" w:line="71" w:lineRule="exact"/>
        <w:rPr>
          <w:sz w:val="20"/>
          <w:szCs w:val="20"/>
          <w:color w:val="auto"/>
        </w:rPr>
      </w:pPr>
    </w:p>
    <w:p>
      <w:pPr>
        <w:ind w:left="540" w:right="559"/>
        <w:spacing w:after="0" w:line="243" w:lineRule="auto"/>
        <w:rPr>
          <w:sz w:val="20"/>
          <w:szCs w:val="20"/>
          <w:color w:val="auto"/>
        </w:rPr>
      </w:pPr>
      <w:r>
        <w:rPr>
          <w:rFonts w:ascii="Arial" w:cs="Arial" w:eastAsia="Arial" w:hAnsi="Arial"/>
          <w:sz w:val="18"/>
          <w:szCs w:val="18"/>
          <w:color w:val="auto"/>
        </w:rPr>
        <w:t>With nearly two decades of experience and a family history in the space that reaches back decades further, Mr. Casdin serves as both Casdin Capital’s Chief Executive and Chief Investment Officer. His track record is based on an ability to find opportunities on both the ‘bio’ and ‘tech’ sides and his understanding of where the two intersect. We believe that Mr. Casdin’s interest in industry synergy and his overall vision and understanding of the life sciences industry will open us to a large investment universe and help us identify significant inefficiencies.</w:t>
      </w:r>
    </w:p>
    <w:p>
      <w:pPr>
        <w:spacing w:after="0" w:line="66" w:lineRule="exact"/>
        <w:rPr>
          <w:sz w:val="20"/>
          <w:szCs w:val="20"/>
          <w:color w:val="auto"/>
        </w:rPr>
      </w:pPr>
    </w:p>
    <w:p>
      <w:pPr>
        <w:ind w:left="540" w:right="639"/>
        <w:spacing w:after="0" w:line="245" w:lineRule="auto"/>
        <w:rPr>
          <w:sz w:val="20"/>
          <w:szCs w:val="20"/>
          <w:color w:val="auto"/>
        </w:rPr>
      </w:pPr>
      <w:r>
        <w:rPr>
          <w:rFonts w:ascii="Arial" w:cs="Arial" w:eastAsia="Arial" w:hAnsi="Arial"/>
          <w:sz w:val="18"/>
          <w:szCs w:val="18"/>
          <w:color w:val="auto"/>
        </w:rPr>
        <w:t>With this broad industry lens and a long-term view, Mr. Casdin has been active in the private and public side of the capital market since 2011, investing in 69 private companies and holding over 30 public company positions as of June 30, 2020. As one of the early crossover funds, Casdin Capital has also participated in 22 crossover investment rounds, 21 initial public offerings following crossover investments and 41 total initial public offerings.</w:t>
      </w:r>
    </w:p>
    <w:p>
      <w:pPr>
        <w:spacing w:after="0" w:line="64" w:lineRule="exact"/>
        <w:rPr>
          <w:sz w:val="20"/>
          <w:szCs w:val="20"/>
          <w:color w:val="auto"/>
        </w:rPr>
      </w:pPr>
    </w:p>
    <w:p>
      <w:pPr>
        <w:ind w:left="540" w:right="599"/>
        <w:spacing w:after="0" w:line="252" w:lineRule="auto"/>
        <w:rPr>
          <w:sz w:val="20"/>
          <w:szCs w:val="20"/>
          <w:color w:val="auto"/>
        </w:rPr>
      </w:pPr>
      <w:r>
        <w:rPr>
          <w:rFonts w:ascii="Arial" w:cs="Arial" w:eastAsia="Arial" w:hAnsi="Arial"/>
          <w:sz w:val="17"/>
          <w:szCs w:val="17"/>
          <w:color w:val="auto"/>
        </w:rPr>
        <w:t>Casdin Capital currently has $1.6 billion assets under management, 42 private portfolio companies and an active deal flow that brought it into conversation with hundreds of companies across the industry in the first few months of 2020 alone. In the 12 months ended June 30, 2020, Casdin Capital made 17 new investments in private companies and participated in 22 secondary offerings of companies in which it previously invested. In addition, six of its portfolio companies completed initial public offerings in that time period (Oric Pharmaceuticals, Inc. (Nasdaq: ORIC), Burning Rock Biotech Limited (Nasdaq: BNR), Black Diamond Therapeutics, Inc. (Nasdaq: BDTX), Revolution Medicines, Inc. (Nasdaq: RVMD), Generation Bio Co. (Nasdaq: GBIO) and Fulcrum Therapeutics, Inc. (Nasdaq: FULC)). Casdin Capital’s thematic investment approach and focus on an investor/partner model has allowed the firm to forge strong relationships with companies, scientists and stakeholders, which we intend to draw upon as we identify opportunities for our initial business combination. Relying on deep research and a rich network of contacts to identify the connections between the science, technology and sharp, experienced management teams, Casdin Capital’s proven track record stems from working with management teams and scientists as valuable industry partners. We believe these robust partnerships and a focus on the entire life sciences continuum is what sets Casdin Capital apart from and in front of its peers and will allow us to spot new opportunities and potential challenges long before most investors understand the space.</w:t>
      </w:r>
    </w:p>
    <w:p>
      <w:pPr>
        <w:spacing w:after="0" w:line="16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Keith Meister and Corvex Management</w:t>
      </w:r>
    </w:p>
    <w:p>
      <w:pPr>
        <w:spacing w:after="0" w:line="104" w:lineRule="exact"/>
        <w:rPr>
          <w:sz w:val="20"/>
          <w:szCs w:val="20"/>
          <w:color w:val="auto"/>
        </w:rPr>
      </w:pPr>
    </w:p>
    <w:p>
      <w:pPr>
        <w:ind w:left="540" w:right="679"/>
        <w:spacing w:after="0" w:line="243" w:lineRule="auto"/>
        <w:rPr>
          <w:sz w:val="20"/>
          <w:szCs w:val="20"/>
          <w:color w:val="auto"/>
        </w:rPr>
      </w:pPr>
      <w:r>
        <w:rPr>
          <w:rFonts w:ascii="Arial" w:cs="Arial" w:eastAsia="Arial" w:hAnsi="Arial"/>
          <w:sz w:val="18"/>
          <w:szCs w:val="18"/>
          <w:color w:val="auto"/>
        </w:rPr>
        <w:t>Keith Meister is the Founder and Chief Investment Officer of Corvex Management, a New York based investment advisor with $2.5 billion assets under management. As Chief Investment Officer of Corvex Management, Mr. Meister is focused on investing in high-quality businesses that benefit from constructive shareholder engagement. Since inception, Corvex Management has invested more than $6 billion through its funds, special purpose vehicles and co-investments specifically for situations offering the opportunity for extensive engagement or board representations.</w:t>
      </w:r>
    </w:p>
    <w:p>
      <w:pPr>
        <w:spacing w:after="0" w:line="66" w:lineRule="exact"/>
        <w:rPr>
          <w:sz w:val="20"/>
          <w:szCs w:val="20"/>
          <w:color w:val="auto"/>
        </w:rPr>
      </w:pPr>
    </w:p>
    <w:p>
      <w:pPr>
        <w:ind w:left="540" w:right="779"/>
        <w:spacing w:after="0"/>
        <w:rPr>
          <w:sz w:val="20"/>
          <w:szCs w:val="20"/>
          <w:color w:val="auto"/>
        </w:rPr>
      </w:pPr>
      <w:r>
        <w:rPr>
          <w:rFonts w:ascii="Arial" w:cs="Arial" w:eastAsia="Arial" w:hAnsi="Arial"/>
          <w:sz w:val="18"/>
          <w:szCs w:val="18"/>
          <w:color w:val="auto"/>
        </w:rPr>
        <w:t>Mr. Meister’s active investing approach identifies asymmetric risk/reward opportunities and underscores a particular skill in finding synergies across diversified holdings. Focused on identifying market dislocations and adept at spotting differentiated points of view, the Corvex Management team has built success not only by creating a concentrated portfolio based on deep industry understanding and a willingness to take the longer-term view, but also by capitalizing on market inefficiencies and short-term volatility. Critical to that success is Mr. Meister’s track record effecting change at companies, even without a controlling stake, by creating buy-in from management teams, directors, and shareholders. Mr. Meister and his team have an extensive history of partnership and collaboration with</w:t>
      </w:r>
    </w:p>
    <w:p>
      <w:pPr>
        <w:sectPr>
          <w:pgSz w:w="11900" w:h="16838" w:orient="portrait"/>
          <w:cols w:equalWidth="0" w:num="1">
            <w:col w:w="9019"/>
          </w:cols>
          <w:pgMar w:left="1440" w:top="533" w:right="1440" w:bottom="1440" w:gutter="0" w:footer="0" w:header="0"/>
        </w:sect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19050</wp:posOffset>
            </wp:positionV>
            <wp:extent cx="5143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33" w:right="1440" w:bottom="1440" w:gutter="0" w:footer="0" w:header="0"/>
          <w:type w:val="continuous"/>
        </w:sectPr>
      </w:pPr>
    </w:p>
    <w:bookmarkStart w:id="5" w:name="page6"/>
    <w:bookmarkEnd w:id="5"/>
    <w:p>
      <w:pPr>
        <w:ind w:left="540" w:right="1179"/>
        <w:spacing w:after="0" w:line="30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5744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7310" cy="8574405"/>
                    </a:xfrm>
                    <a:prstGeom prst="rect">
                      <a:avLst/>
                    </a:prstGeom>
                    <a:noFill/>
                  </pic:spPr>
                </pic:pic>
              </a:graphicData>
            </a:graphic>
          </wp:anchor>
        </w:drawing>
        <w:t>key stakeholders, leading industry experts and like-minded shareholders, and are known for maintaining productive, ongoing dialogues with boards, management teams, and advisors.</w:t>
      </w:r>
    </w:p>
    <w:p>
      <w:pPr>
        <w:spacing w:after="0" w:line="15" w:lineRule="exact"/>
        <w:rPr>
          <w:sz w:val="20"/>
          <w:szCs w:val="20"/>
          <w:color w:val="auto"/>
        </w:rPr>
      </w:pPr>
    </w:p>
    <w:p>
      <w:pPr>
        <w:ind w:left="540" w:right="599"/>
        <w:spacing w:after="0"/>
        <w:rPr>
          <w:sz w:val="20"/>
          <w:szCs w:val="20"/>
          <w:color w:val="auto"/>
        </w:rPr>
      </w:pPr>
      <w:r>
        <w:rPr>
          <w:rFonts w:ascii="Arial" w:cs="Arial" w:eastAsia="Arial" w:hAnsi="Arial"/>
          <w:sz w:val="18"/>
          <w:szCs w:val="18"/>
          <w:color w:val="auto"/>
        </w:rPr>
        <w:t>We expect to benefit from Mr. Meister’s significant experience as a director of 14 public companies, which includes a long history of working with boards and management teams to create shareholder value through improved corporate governance, capital allocation, and operations. Since founding Corvex Management, Mr. Meister has served on the boards of directors of MGM Resorts International (NYSE: MGM), Yum Brands, Inc. (NYSE: YUM), The Williams Companies (NYSE: WMB), ADT, Inc. (NYSE: ADT), Ralcorp Holdings, Inc. and Motorola Mobility, Inc. Mr. Meister also brings to CM Life Sciences the experience of having helped these companies enter into transactions with an aggregate value of over $80 billion involving spin-offs, asset dispositions, acquisitions, mergers, recapitalizations, and various forms of capital market transactions.</w:t>
      </w:r>
    </w:p>
    <w:p>
      <w:pPr>
        <w:spacing w:after="0" w:line="68" w:lineRule="exact"/>
        <w:rPr>
          <w:sz w:val="20"/>
          <w:szCs w:val="20"/>
          <w:color w:val="auto"/>
        </w:rPr>
      </w:pPr>
    </w:p>
    <w:p>
      <w:pPr>
        <w:ind w:left="540" w:right="619"/>
        <w:spacing w:after="0"/>
        <w:rPr>
          <w:sz w:val="20"/>
          <w:szCs w:val="20"/>
          <w:color w:val="auto"/>
        </w:rPr>
      </w:pPr>
      <w:r>
        <w:rPr>
          <w:rFonts w:ascii="Arial" w:cs="Arial" w:eastAsia="Arial" w:hAnsi="Arial"/>
          <w:sz w:val="18"/>
          <w:szCs w:val="18"/>
          <w:color w:val="auto"/>
        </w:rPr>
        <w:t>Prior to founding Corvex Management, Mr. Meister was Chief Executive Officer / Principal Executive Officer of Icahn Enterprises L.P. (NYSE: IEP), a diversified holding company, from 2003 through 2010. During his term as CEO/PEO, Icahn Enterprises grew from $1.5 billion to $18 billion in total assets while generating over 20% annual returns for shareholders. As CEO/PEO of Icahn Enterprises, Mr. Meister was responsible for overseeing a portfolio of holdings that spanned a wide range of industries including automotive, gaming, oil &amp; gas, general industrial and asset management. Mr. Meister also served as a director for XO Holdings, Inc., American Casino and Entertainment Properties LLC, Federal-Mogul Corporation and American Railcar Industries, Inc. during his tenure with Icahn Enterprises.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MANAGEMENT AND BOARD OF DIRECTORS</w:t>
      </w:r>
    </w:p>
    <w:p>
      <w:pPr>
        <w:spacing w:after="0" w:line="106" w:lineRule="exact"/>
        <w:rPr>
          <w:sz w:val="20"/>
          <w:szCs w:val="20"/>
          <w:color w:val="auto"/>
        </w:rPr>
      </w:pPr>
    </w:p>
    <w:p>
      <w:pPr>
        <w:ind w:left="540" w:right="599"/>
        <w:spacing w:after="0" w:line="237" w:lineRule="auto"/>
        <w:rPr>
          <w:sz w:val="20"/>
          <w:szCs w:val="20"/>
          <w:color w:val="auto"/>
        </w:rPr>
      </w:pPr>
      <w:r>
        <w:rPr>
          <w:rFonts w:ascii="Arial" w:cs="Arial" w:eastAsia="Arial" w:hAnsi="Arial"/>
          <w:sz w:val="18"/>
          <w:szCs w:val="18"/>
          <w:b w:val="1"/>
          <w:bCs w:val="1"/>
          <w:i w:val="1"/>
          <w:iCs w:val="1"/>
          <w:color w:val="auto"/>
        </w:rPr>
        <w:t>Eli Casdin</w:t>
      </w:r>
      <w:r>
        <w:rPr>
          <w:rFonts w:ascii="Arial" w:cs="Arial" w:eastAsia="Arial" w:hAnsi="Arial"/>
          <w:sz w:val="18"/>
          <w:szCs w:val="18"/>
          <w:color w:val="auto"/>
        </w:rPr>
        <w:t>, our Chief Executive Officer, is founder and Chief Investment Officer of Casdin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Casdin founded Casdin Capital in 2011. For the last 17 years he has analyzed and invested in disruptive technologies and business models in life sciences and healthcare. Prior to founding Casdin Capital, Mr. Casdin was a vice president at Alliance Bernstein’s “thematic” based investment group where he researched and invested in the implications of new technologies for the life sciences and healthcare sectors. The black book, “The Dawn of Molecular Medicine,” co-authored by Mr. Casdin, details the early, yet already accelerating, wave of innovations in life sciences, and the next wave of investment opportunities. Mr. Casdin’s prior experience includes time at Bear Stearns and Cooper Hill Partners, a healthcare focused investment firm. Mr. Casdin earned a B.S. from Columbia University and an MBA from Columbia Business School. Mr. Casdin serves on the board of directors for Exact Sciences Coporation (Nasdaq: EXAS), and also serves as a director or observer on the boards of a number of privately held life sciences companies. He has previously served as a director or observer on other, now public, boards, including Invitae Corporation (NYSE: NVTA), Relay Therapeutics, Inc. (Nasdaq: RLAY), and Magenta Therapeutics (Nasdaq: MGTA). Mr. Casdin is currently a member of the New York Genome Center Board and a member of The Columbia University School of General Studies Board of Visitors.</w:t>
      </w:r>
    </w:p>
    <w:p>
      <w:pPr>
        <w:spacing w:after="0" w:line="78" w:lineRule="exact"/>
        <w:rPr>
          <w:sz w:val="20"/>
          <w:szCs w:val="20"/>
          <w:color w:val="auto"/>
        </w:rPr>
      </w:pPr>
    </w:p>
    <w:p>
      <w:pPr>
        <w:ind w:left="540" w:right="579"/>
        <w:spacing w:after="0" w:line="238" w:lineRule="auto"/>
        <w:rPr>
          <w:sz w:val="20"/>
          <w:szCs w:val="20"/>
          <w:color w:val="auto"/>
        </w:rPr>
      </w:pPr>
      <w:r>
        <w:rPr>
          <w:rFonts w:ascii="Arial" w:cs="Arial" w:eastAsia="Arial" w:hAnsi="Arial"/>
          <w:sz w:val="18"/>
          <w:szCs w:val="18"/>
          <w:b w:val="1"/>
          <w:bCs w:val="1"/>
          <w:i w:val="1"/>
          <w:iCs w:val="1"/>
          <w:color w:val="auto"/>
        </w:rPr>
        <w:t>Keith A. Meister</w:t>
      </w:r>
      <w:r>
        <w:rPr>
          <w:rFonts w:ascii="Arial" w:cs="Arial" w:eastAsia="Arial" w:hAnsi="Arial"/>
          <w:sz w:val="18"/>
          <w:szCs w:val="18"/>
          <w:color w:val="auto"/>
        </w:rPr>
        <w:t>, our Chairman of the Board, is Managing Partner and Chief Investment Officer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Corvex Management, which he founded in December 2010. Prior to founding Corvex Management, Mr. Meister served as Chief Executive Officer and then Principal Executive Officer and Vice Chairman of the Board of Icahn Enterprises L.P. (NYSE: IEP) from August 2003 to August 2010. From their launch in November 2004 to August 2010, Mr. Meister also served as Senior Managing Director of the General Partners of Icahn Partners LP and affiliated funds. Mr. Meister currently serves on the board of directors for MGM Resorts International (NYSE: MGM) and has previously served as a director on numerous other public boards including: Yum! Brands, Inc. (NYSE: YUM), The Williams Companies, Inc. (NYSE: WMB), ADT, Inc. (NYSE: ADT), Ralcorp Holdings, Inc. and Motorola, Inc. (now Motorola Solutions, Inc., NYSE: MSI/Motorola Mobility, Inc.), among others. He is a director for Roar Digital, LLC, chairman of the board of directors for Harlem Children’s Zone and a member of the board of trustees for the American Museum of Natural History. Mr. Meister received an A.B. in government, cum laude, from Harvard College in 1995.</w:t>
      </w:r>
    </w:p>
    <w:p>
      <w:pPr>
        <w:spacing w:after="0" w:line="72" w:lineRule="exact"/>
        <w:rPr>
          <w:sz w:val="20"/>
          <w:szCs w:val="20"/>
          <w:color w:val="auto"/>
        </w:rPr>
      </w:pPr>
    </w:p>
    <w:p>
      <w:pPr>
        <w:ind w:left="540" w:right="619"/>
        <w:spacing w:after="0" w:line="239" w:lineRule="auto"/>
        <w:rPr>
          <w:sz w:val="20"/>
          <w:szCs w:val="20"/>
          <w:color w:val="auto"/>
        </w:rPr>
      </w:pPr>
      <w:r>
        <w:rPr>
          <w:rFonts w:ascii="Arial" w:cs="Arial" w:eastAsia="Arial" w:hAnsi="Arial"/>
          <w:sz w:val="18"/>
          <w:szCs w:val="18"/>
          <w:b w:val="1"/>
          <w:bCs w:val="1"/>
          <w:i w:val="1"/>
          <w:iCs w:val="1"/>
          <w:color w:val="auto"/>
        </w:rPr>
        <w:t xml:space="preserve">Sean George, </w:t>
      </w:r>
      <w:r>
        <w:rPr>
          <w:rFonts w:ascii="Arial" w:cs="Arial" w:eastAsia="Arial" w:hAnsi="Arial"/>
          <w:sz w:val="18"/>
          <w:szCs w:val="18"/>
          <w:color w:val="auto"/>
        </w:rPr>
        <w:t>who will serve as a Director following completion of this offering, is Co-Founder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Chief Executive Officer of Invitae Corporation (NYSE: NVTA), where he leads the team on its mission to bring genetic information into mainstream medicine to help improve healthcare for billions of people. He has also served as Invitae’s President and Chief Operating Officer, as part of the team that has propelled Invitae from early stage startup to a leader transforming the industry. Dr. George has long advanced the transformation of the genetics industry to increase access to help improve patient care. Before Invitae, he served as COO at Navigenics, Inc., an early pioneer in personalized genetics. Prior to that he served in a variety of product, operating and commercial roles at Affymetrix, Inc., Invitrogen Corporation and Molecular Probes, Inc. Dr. George holds a B.S. in Molecular Genetics from UCLA, an M.S. in Molecular Biology from UC Santa Barbara, and a Ph.D. in Molecular Genetics from UC Santa Cruz.</w:t>
      </w:r>
    </w:p>
    <w:p>
      <w:pPr>
        <w:sectPr>
          <w:pgSz w:w="11900" w:h="16838" w:orient="portrait"/>
          <w:cols w:equalWidth="0" w:num="1">
            <w:col w:w="9019"/>
          </w:cols>
          <w:pgMar w:left="1440" w:top="427" w:right="1440" w:bottom="1440" w:gutter="0" w:footer="0" w:header="0"/>
        </w:sect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19050</wp:posOffset>
            </wp:positionV>
            <wp:extent cx="5143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27" w:right="1440" w:bottom="1440" w:gutter="0" w:footer="0" w:header="0"/>
          <w:type w:val="continuous"/>
        </w:sectPr>
      </w:pPr>
    </w:p>
    <w:bookmarkStart w:id="6" w:name="page7"/>
    <w:bookmarkEnd w:id="6"/>
    <w:p>
      <w:pPr>
        <w:ind w:left="540" w:right="659"/>
        <w:spacing w:after="0" w:line="23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6601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7310" cy="8660130"/>
                    </a:xfrm>
                    <a:prstGeom prst="rect">
                      <a:avLst/>
                    </a:prstGeom>
                    <a:noFill/>
                  </pic:spPr>
                </pic:pic>
              </a:graphicData>
            </a:graphic>
          </wp:anchor>
        </w:drawing>
        <w:t>Munib Islam</w:t>
      </w:r>
      <w:r>
        <w:rPr>
          <w:rFonts w:ascii="Arial" w:cs="Arial" w:eastAsia="Arial" w:hAnsi="Arial"/>
          <w:sz w:val="18"/>
          <w:szCs w:val="18"/>
          <w:color w:val="auto"/>
        </w:rPr>
        <w:t>, who will serve as a Director following completion of this offering, served as Co-Chief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Officer and a Partner at Third Point LLC, an investment management firm from mid-2019 through 2020. Mr. Islam was integrally involved in the operations of Third Point, including investing, risk management, marketing, hiring, and talent development. Prior to becoming co-Chief Investment Officer, he served as Head of Equities at Third Point, and in such role, Mr. Islam spearheaded research on Third Point’s strategic block investments globally, including investments in Sony Corporation (NYSE: SNE), Campbell’s Soup Corporation (NYSE: CPB), Nestlé S.A. (OTCMKTS: NSRGY) and DowDuPont Inc. Mr. Islam also served on the board of directors and executive selection and audit committees of Baxter International, Inc. (NYSE: BAX), currently an approximately $45 billion health care company, from 2015 through 2019. From 2008 to 2011, he worked at Highbridge Capital, where he was a Managing Director and Portfolio Manager of Highbridge’s European Value Equities fund. Mr. Islam first joined Third Point in 2004, after working at Oak Hill Capital and at Lazard LLC. He received a B.A. in Economics, magna cum laude, from Dartmouth College and an MBA from the Graduate School of Business at Stanford University. He currently sits on the Boards of the Stanford Business School Trust and the Brearley School in New York City.</w:t>
      </w:r>
    </w:p>
    <w:p>
      <w:pPr>
        <w:spacing w:after="0" w:line="78" w:lineRule="exact"/>
        <w:rPr>
          <w:sz w:val="20"/>
          <w:szCs w:val="20"/>
          <w:color w:val="auto"/>
        </w:rPr>
      </w:pPr>
    </w:p>
    <w:p>
      <w:pPr>
        <w:ind w:left="540" w:right="619"/>
        <w:spacing w:after="0" w:line="241" w:lineRule="auto"/>
        <w:rPr>
          <w:sz w:val="20"/>
          <w:szCs w:val="20"/>
          <w:color w:val="auto"/>
        </w:rPr>
      </w:pPr>
      <w:r>
        <w:rPr>
          <w:rFonts w:ascii="Arial" w:cs="Arial" w:eastAsia="Arial" w:hAnsi="Arial"/>
          <w:sz w:val="18"/>
          <w:szCs w:val="18"/>
          <w:b w:val="1"/>
          <w:bCs w:val="1"/>
          <w:i w:val="1"/>
          <w:iCs w:val="1"/>
          <w:color w:val="auto"/>
        </w:rPr>
        <w:t xml:space="preserve">Emily Leproust, </w:t>
      </w:r>
      <w:r>
        <w:rPr>
          <w:rFonts w:ascii="Arial" w:cs="Arial" w:eastAsia="Arial" w:hAnsi="Arial"/>
          <w:sz w:val="18"/>
          <w:szCs w:val="18"/>
          <w:color w:val="auto"/>
        </w:rPr>
        <w:t>who will serve as a Director following completion of this offering, is President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Chief Executive Officer of Twist Bioscience Corp. (Nasdaq: TWST), roles she has held since co-founding Twist in 2013. Since October 2018, she has also served as Chair of the board of directors for Twist. Prior to co-founding Twist, Dr. Leproust served in various positions at Agilent Technologies, Inc. (NYSE: A), most recently as its Director, Applications and Chemistry R&amp;D from February 2009 to April 2013. Dr. Leproust holds a M.Sc. in Industrial Chemistry from the Lyon School of Industrial Chemistry and a Ph.D. in Organic Chemistry from the University of Houston.</w:t>
      </w:r>
    </w:p>
    <w:p>
      <w:pPr>
        <w:spacing w:after="0" w:line="71" w:lineRule="exact"/>
        <w:rPr>
          <w:sz w:val="20"/>
          <w:szCs w:val="20"/>
          <w:color w:val="auto"/>
        </w:rPr>
      </w:pPr>
    </w:p>
    <w:p>
      <w:pPr>
        <w:ind w:left="540" w:right="579"/>
        <w:spacing w:after="0" w:line="237" w:lineRule="auto"/>
        <w:rPr>
          <w:sz w:val="20"/>
          <w:szCs w:val="20"/>
          <w:color w:val="auto"/>
        </w:rPr>
      </w:pPr>
      <w:r>
        <w:rPr>
          <w:rFonts w:ascii="Arial" w:cs="Arial" w:eastAsia="Arial" w:hAnsi="Arial"/>
          <w:sz w:val="18"/>
          <w:szCs w:val="18"/>
          <w:b w:val="1"/>
          <w:bCs w:val="1"/>
          <w:i w:val="1"/>
          <w:iCs w:val="1"/>
          <w:color w:val="auto"/>
        </w:rPr>
        <w:t xml:space="preserve">Nat Turner, </w:t>
      </w:r>
      <w:r>
        <w:rPr>
          <w:rFonts w:ascii="Arial" w:cs="Arial" w:eastAsia="Arial" w:hAnsi="Arial"/>
          <w:sz w:val="18"/>
          <w:szCs w:val="18"/>
          <w:color w:val="auto"/>
        </w:rPr>
        <w:t>who will serve as a Director following completion of this offering, is the Co-Founder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Chief Executive Officer of Flatiron Health, Inc., a healthcare technology company focusing on accelerating oncology research and improving patient care acquired by Roche Holding AG in 2018, a role he has held since June 2012. Previously, Mr. Turner co-founded and served as Chief Executive Officer of Invite Media, Inc., an advertising technology company that built the industry’s first enterprise advertising platform for buying and optimizing online media in real time, from March 2007 until it was acquired by Google Inc. (Nasdaq: GOOGL) in June 2010, after which he remained at Google until June 2012. Mr. Turner has served on the Board of Directors of Clover Health, a privately-held healthcare insurance company aimed at improving patient care through data analytics, since May 2015. An active angel investor, Mr. Turner has invested in over 300 startups throughout the country, including Cedar Cares, Inc., Clover Health Inc., Color Genomics, Inc., Gravie, Inc., Imagen Technologies, Inc., Immuta, Inc., Klara Technologies, Inc., Oscar Insurance Corporation, Plaid, Inc., Ribbon Health, Inc., RigUp, Inc. and Quartet Health, Inc.. Mr. Turner received a B.S., cum laude, in Economics with concentrations in entrepreneurship and marketing from The Wharton School of the University of Pennsylvania.</w:t>
      </w:r>
    </w:p>
    <w:p>
      <w:pPr>
        <w:spacing w:after="0" w:line="80" w:lineRule="exact"/>
        <w:rPr>
          <w:sz w:val="20"/>
          <w:szCs w:val="20"/>
          <w:color w:val="auto"/>
        </w:rPr>
      </w:pPr>
    </w:p>
    <w:p>
      <w:pPr>
        <w:ind w:left="540" w:right="1159"/>
        <w:spacing w:after="0" w:line="248" w:lineRule="auto"/>
        <w:rPr>
          <w:sz w:val="20"/>
          <w:szCs w:val="20"/>
          <w:color w:val="auto"/>
        </w:rPr>
      </w:pPr>
      <w:r>
        <w:rPr>
          <w:rFonts w:ascii="Arial" w:cs="Arial" w:eastAsia="Arial" w:hAnsi="Arial"/>
          <w:sz w:val="18"/>
          <w:szCs w:val="18"/>
          <w:color w:val="auto"/>
        </w:rPr>
        <w:t>We believe our management team is well positioned to take advantage of the growing set of investment opportunities focused on the healthcare industry, and that our extensive existing relationships with portfolio companies along with our ongoing efforts to identify investment opportunities will allow us to generate an attractive transaction for our stockholders.</w:t>
      </w:r>
    </w:p>
    <w:p>
      <w:pPr>
        <w:spacing w:after="0" w:line="89" w:lineRule="exact"/>
        <w:rPr>
          <w:sz w:val="20"/>
          <w:szCs w:val="20"/>
          <w:color w:val="auto"/>
        </w:rPr>
      </w:pPr>
    </w:p>
    <w:p>
      <w:pPr>
        <w:ind w:left="540" w:right="579"/>
        <w:spacing w:after="0"/>
        <w:rPr>
          <w:sz w:val="20"/>
          <w:szCs w:val="20"/>
          <w:color w:val="auto"/>
        </w:rPr>
      </w:pPr>
      <w:r>
        <w:rPr>
          <w:rFonts w:ascii="Arial" w:cs="Arial" w:eastAsia="Arial" w:hAnsi="Arial"/>
          <w:sz w:val="18"/>
          <w:szCs w:val="18"/>
          <w:color w:val="auto"/>
        </w:rPr>
        <w:t>Past performance of our management team does not guarantee either (i) success with respect to any business combination we may consummate or (ii) that we will be able to identify a suitable candidate for our initial business combination. You should not rely on the historical performance record of our management team or their respective affiliates or any related investment’s performance as indicative of our future performance of an investment in the company or the returns the company will, or is likely to, generate going forward. None of the members of our management team has any experience with blank check companies or special purpose acquisition companies. For more information on the experience and background of our management team, see the section entitled “Management.”</w:t>
      </w:r>
    </w:p>
    <w:p>
      <w:pPr>
        <w:spacing w:after="0" w:line="68" w:lineRule="exact"/>
        <w:rPr>
          <w:sz w:val="20"/>
          <w:szCs w:val="20"/>
          <w:color w:val="auto"/>
        </w:rPr>
      </w:pPr>
    </w:p>
    <w:p>
      <w:pPr>
        <w:ind w:left="540" w:right="579"/>
        <w:spacing w:after="0" w:line="239" w:lineRule="auto"/>
        <w:rPr>
          <w:sz w:val="20"/>
          <w:szCs w:val="20"/>
          <w:color w:val="auto"/>
        </w:rPr>
      </w:pPr>
      <w:r>
        <w:rPr>
          <w:rFonts w:ascii="Arial" w:cs="Arial" w:eastAsia="Arial" w:hAnsi="Arial"/>
          <w:sz w:val="18"/>
          <w:szCs w:val="18"/>
          <w:color w:val="auto"/>
        </w:rPr>
        <w:t>We believe our ability to complete an initial business combination may be enhanced by our having entered into forward purchase agreements with affiliates of our sponsor, Casdin Capital and Corvex Management, in their capacities as investment advisors on behalf of their Clients, pursuant to which, subject to the conditions described below, they will cause certain Clients to purchase from us up to an aggregate amount of 15,000,000 shares of Class A common stock, or the forward purchase shares, for $10.00 per forward purchase share, or an aggregate amount of up to $150,000,000, in a private placement that will close concurrently with the closing of our initial business combination. The amount of forward purchase shares sold pursuant to the forward purchase agreements will be determined in our discretion based on our need for additional capital to consummate the initial business combination. Under each forward purchase agreement, we are required to approach Casdin Capital and Corvex Management if we propose to</w:t>
      </w:r>
    </w:p>
    <w:p>
      <w:pPr>
        <w:sectPr>
          <w:pgSz w:w="11900" w:h="16838" w:orient="portrait"/>
          <w:cols w:equalWidth="0" w:num="1">
            <w:col w:w="9019"/>
          </w:cols>
          <w:pgMar w:left="1440" w:top="427" w:right="1440" w:bottom="1440" w:gutter="0" w:footer="0" w:header="0"/>
        </w:sect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19050</wp:posOffset>
            </wp:positionV>
            <wp:extent cx="51435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27" w:right="1440" w:bottom="1440" w:gutter="0" w:footer="0" w:header="0"/>
          <w:type w:val="continuous"/>
        </w:sectPr>
      </w:pPr>
    </w:p>
    <w:bookmarkStart w:id="7" w:name="page8"/>
    <w:bookmarkEnd w:id="7"/>
    <w:p>
      <w:pPr>
        <w:ind w:left="540" w:right="599"/>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3000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7310" cy="8300085"/>
                    </a:xfrm>
                    <a:prstGeom prst="rect">
                      <a:avLst/>
                    </a:prstGeom>
                    <a:noFill/>
                  </pic:spPr>
                </pic:pic>
              </a:graphicData>
            </a:graphic>
          </wp:anchor>
        </w:drawing>
        <w:t>raise additional capital by issuing any equity, or securities convertible into, exchangeable or exercisable for equity securities in connection with the initial business combination. The respective obligations of Casdin Capital and Corvex Management to cause Clients to purchase forward purchase shares will, among other things, be conditioned on our completing an initial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Capital or Corvex Management, as relevant, as investment advisors on behalf of such Clients. In determining whether a target is reasonably acceptable to Clients, we expect that Casdin Capital or Corvex Management, as relevant, would consider many of the same criteria as we will consider, but will also consider whether the investment is an appropriate investment for such Clients, including whether the investment complies with any guidelines, restrictions or conflicts of interest provisions applicable to such Clients. Each of Casdin Capital and Corvex Management will have the right to transfer a portion of the purchase obligation under the forward purchase agreement to third parties, or upon mutual agreement, to each other, subject to compliance with applicable securities laws. To the extent that we obtain alternative financing to fund the initial business combination and the Clients participate in such financing, the aggregate commitment under the forward purchase agreement will be reduced by the amount of such alternative financing. Please see the risk factor entitled “In evaluating a prospective target business for our initial business combination, our management will consider the availability of funds from the sale of the forward purchase shares, which may be used as part of the consideration to the sellers in the initial business combination. If all or some of the forward purchase shares are not purchased under the forward purchase agreement, we may decide not to consummate our initial business combination, or if we decide to, we may lack sufficient funds to consummate our initial business combination” for more information.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INDUSTRY OPPORTUNITY</w:t>
      </w:r>
    </w:p>
    <w:p>
      <w:pPr>
        <w:spacing w:after="0" w:line="106" w:lineRule="exact"/>
        <w:rPr>
          <w:sz w:val="20"/>
          <w:szCs w:val="20"/>
          <w:color w:val="auto"/>
        </w:rPr>
      </w:pPr>
    </w:p>
    <w:p>
      <w:pPr>
        <w:ind w:left="540" w:right="659"/>
        <w:spacing w:after="0"/>
        <w:rPr>
          <w:sz w:val="20"/>
          <w:szCs w:val="20"/>
          <w:color w:val="auto"/>
        </w:rPr>
      </w:pPr>
      <w:r>
        <w:rPr>
          <w:rFonts w:ascii="Arial" w:cs="Arial" w:eastAsia="Arial" w:hAnsi="Arial"/>
          <w:sz w:val="18"/>
          <w:szCs w:val="18"/>
          <w:color w:val="auto"/>
        </w:rPr>
        <w:t>CM Life Sciences was founded to take advantage of a dynamic life sciences sector that continues to be buoyed by innovation. With a broadening set of applications for biotechnology that includes research tools and infrastructure, diagnostics, therapeutics, data, and industrial outputs, the life sciences sector offers compelling opportunities for investors who possess a broad overview and understand the trends and themes. CM Life Sciences is that type of investment partnership, combining the unique industry experience, operational expertise, and investment savvy of Mr. Casdin and Mr. Meister to bring together strong companies and management teams and work with them to capitalize on the near- and far-term opportunities.</w:t>
      </w:r>
    </w:p>
    <w:p>
      <w:pPr>
        <w:spacing w:after="0" w:line="72" w:lineRule="exact"/>
        <w:rPr>
          <w:sz w:val="20"/>
          <w:szCs w:val="20"/>
          <w:color w:val="auto"/>
        </w:rPr>
      </w:pPr>
    </w:p>
    <w:p>
      <w:pPr>
        <w:ind w:left="540" w:right="579"/>
        <w:spacing w:after="0"/>
        <w:rPr>
          <w:sz w:val="20"/>
          <w:szCs w:val="20"/>
          <w:color w:val="auto"/>
        </w:rPr>
      </w:pPr>
      <w:r>
        <w:rPr>
          <w:rFonts w:ascii="Arial" w:cs="Arial" w:eastAsia="Arial" w:hAnsi="Arial"/>
          <w:sz w:val="18"/>
          <w:szCs w:val="18"/>
          <w:color w:val="auto"/>
        </w:rPr>
        <w:t>Healthcare spending in the United States currently exceeds $3.6 trillion, and the Center for Medicare and Medicaid Services estimates that number will soon approach 20% of total U.S. Gross Domestic Product. Investors are just now beginning to recognize that life sciences will be a major beneficiary of that growth. The momentum of discovery and propagation of science and technologies combined with the appeal of early-stage industry formation creates dynamic investment opportunities and significant advantages to knowledgeable specialists. New drugs generally receive significant attention and biotechnology investor focus, but there also exists tremendous opportunity in the broader and bigger industry of “bio” and “technology.”</w:t>
      </w:r>
    </w:p>
    <w:p>
      <w:pPr>
        <w:spacing w:after="0" w:line="72" w:lineRule="exact"/>
        <w:rPr>
          <w:sz w:val="20"/>
          <w:szCs w:val="20"/>
          <w:color w:val="auto"/>
        </w:rPr>
      </w:pPr>
    </w:p>
    <w:p>
      <w:pPr>
        <w:jc w:val="both"/>
        <w:ind w:left="540" w:right="559"/>
        <w:spacing w:after="0" w:line="243" w:lineRule="auto"/>
        <w:rPr>
          <w:sz w:val="20"/>
          <w:szCs w:val="20"/>
          <w:color w:val="auto"/>
        </w:rPr>
      </w:pPr>
      <w:r>
        <w:rPr>
          <w:rFonts w:ascii="Arial" w:cs="Arial" w:eastAsia="Arial" w:hAnsi="Arial"/>
          <w:sz w:val="18"/>
          <w:szCs w:val="18"/>
          <w:color w:val="auto"/>
        </w:rPr>
        <w:t>The development of therapeutics are a powerful expression of this opportunity. That said, we intend to broaden the investment aperture even within this application to include the products and services that enable the discovery, development, manufacture and commercialization of these therapies.</w:t>
      </w:r>
    </w:p>
    <w:p>
      <w:pPr>
        <w:spacing w:after="0" w:line="1" w:lineRule="exact"/>
        <w:rPr>
          <w:sz w:val="20"/>
          <w:szCs w:val="20"/>
          <w:color w:val="auto"/>
        </w:rPr>
      </w:pPr>
    </w:p>
    <w:p>
      <w:pPr>
        <w:ind w:left="540" w:right="619"/>
        <w:spacing w:after="0" w:line="236" w:lineRule="auto"/>
        <w:rPr>
          <w:sz w:val="20"/>
          <w:szCs w:val="20"/>
          <w:color w:val="auto"/>
        </w:rPr>
      </w:pPr>
      <w:r>
        <w:rPr>
          <w:rFonts w:ascii="Arial" w:cs="Arial" w:eastAsia="Arial" w:hAnsi="Arial"/>
          <w:sz w:val="18"/>
          <w:szCs w:val="18"/>
          <w:color w:val="auto"/>
        </w:rPr>
        <w:t>The momentum of research and development strategies of the biopharmaceutical industry makes this clear, with global R&amp;D expenditures projected by Statista to be $182 billion in 2019, with more than $70 billion in estimated expenditures on U.S. health and medical R&amp;D from federal, state and local governments and other industry sources. These figures encompass spending on all steps from discovery through clinical development and highlight the scope and scale of opportunity for therapeutic ecosystem industry players. U.S. Food and Drug Administration (FDA) approval of new drugs increased approximately 40% comparing 2010 to 2014 numbers with those of 2015 to 2019, and the base case outlook in the next five years forecasts that net medicine spending in the United States will increase from $344 billion in 2018 to $420 billion in 2023. Therefore, the industry is in a powerful growth mode.</w:t>
      </w:r>
    </w:p>
    <w:p>
      <w:pPr>
        <w:spacing w:after="0" w:line="76" w:lineRule="exact"/>
        <w:rPr>
          <w:sz w:val="20"/>
          <w:szCs w:val="20"/>
          <w:color w:val="auto"/>
        </w:rPr>
      </w:pPr>
    </w:p>
    <w:p>
      <w:pPr>
        <w:ind w:left="540" w:right="659"/>
        <w:spacing w:after="0" w:line="248" w:lineRule="auto"/>
        <w:rPr>
          <w:sz w:val="20"/>
          <w:szCs w:val="20"/>
          <w:color w:val="auto"/>
        </w:rPr>
      </w:pPr>
      <w:r>
        <w:rPr>
          <w:rFonts w:ascii="Arial" w:cs="Arial" w:eastAsia="Arial" w:hAnsi="Arial"/>
          <w:sz w:val="18"/>
          <w:szCs w:val="18"/>
          <w:color w:val="auto"/>
        </w:rPr>
        <w:t>While certain enabling life sciences company’s products get embedded early and have long lucrative life cycles with high profitability, the industry, by and large, remains fragmented, with most companies under-resourced and under-scaled. CM Life Sciences will offer significant and under-appreciated opportunities to consolidate these strong</w:t>
      </w:r>
    </w:p>
    <w:p>
      <w:pPr>
        <w:sectPr>
          <w:pgSz w:w="11900" w:h="16838" w:orient="portrait"/>
          <w:cols w:equalWidth="0" w:num="1">
            <w:col w:w="9019"/>
          </w:cols>
          <w:pgMar w:left="1440" w:top="427" w:right="1440" w:bottom="1440" w:gutter="0" w:footer="0" w:header="0"/>
        </w:sect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19050</wp:posOffset>
            </wp:positionV>
            <wp:extent cx="51435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27" w:right="1440" w:bottom="1440" w:gutter="0" w:footer="0" w:header="0"/>
          <w:type w:val="continuous"/>
        </w:sectPr>
      </w:pPr>
    </w:p>
    <w:bookmarkStart w:id="8" w:name="page9"/>
    <w:bookmarkEnd w:id="8"/>
    <w:p>
      <w:pPr>
        <w:jc w:val="both"/>
        <w:ind w:left="540" w:right="619"/>
        <w:spacing w:after="0" w:line="25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5744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7310" cy="8574405"/>
                    </a:xfrm>
                    <a:prstGeom prst="rect">
                      <a:avLst/>
                    </a:prstGeom>
                    <a:noFill/>
                  </pic:spPr>
                </pic:pic>
              </a:graphicData>
            </a:graphic>
          </wp:anchor>
        </w:drawing>
        <w:t>but fledgling companies, a common strategy in every major industry but one possible only now that the life sciences industry has ripened. We will focus our search for business combination targets in three separate areas of the larger life sciences industry, including:</w:t>
      </w:r>
    </w:p>
    <w:p>
      <w:pPr>
        <w:spacing w:after="0" w:line="1" w:lineRule="exact"/>
        <w:rPr>
          <w:sz w:val="20"/>
          <w:szCs w:val="20"/>
          <w:color w:val="auto"/>
        </w:rPr>
      </w:pPr>
    </w:p>
    <w:p>
      <w:pPr>
        <w:ind w:left="1200" w:right="559" w:hanging="332"/>
        <w:spacing w:after="0" w:line="237" w:lineRule="auto"/>
        <w:tabs>
          <w:tab w:leader="none" w:pos="1189" w:val="left"/>
        </w:tabs>
        <w:numPr>
          <w:ilvl w:val="0"/>
          <w:numId w:val="3"/>
        </w:numPr>
        <w:rPr>
          <w:rFonts w:ascii="Arial" w:cs="Arial" w:eastAsia="Arial" w:hAnsi="Arial"/>
          <w:sz w:val="18"/>
          <w:szCs w:val="18"/>
          <w:color w:val="auto"/>
        </w:rPr>
      </w:pPr>
      <w:r>
        <w:rPr>
          <w:rFonts w:ascii="Arial" w:cs="Arial" w:eastAsia="Arial" w:hAnsi="Arial"/>
          <w:sz w:val="18"/>
          <w:szCs w:val="18"/>
          <w:color w:val="auto"/>
        </w:rPr>
        <w:t>Life Sciences Tools: Research markets endeavor to understand complex biological systems through the use of analytical technologies. These applications create adjacent opportunities for tools in areas such as sample preparation and in regulated downstream “applied markets.” With life sciences tools comprising an approximately $30 billion global market opportunity, the research spending across industry, academia, and government also supports long term GDP-plus growth. Cyclical innovation adds to the growth profile, particularly with the current wave of innovation in the ’omics fields. We identify particular opportunities around the industry’s tools, technology and data analysis and its coordination with the various end-customer segments to take advantage of the attractive fundamental trends.</w:t>
      </w:r>
    </w:p>
    <w:p>
      <w:pPr>
        <w:spacing w:after="0" w:line="8" w:lineRule="exact"/>
        <w:rPr>
          <w:rFonts w:ascii="Arial" w:cs="Arial" w:eastAsia="Arial" w:hAnsi="Arial"/>
          <w:sz w:val="18"/>
          <w:szCs w:val="18"/>
          <w:color w:val="auto"/>
        </w:rPr>
      </w:pPr>
    </w:p>
    <w:p>
      <w:pPr>
        <w:ind w:left="1200" w:right="559" w:hanging="332"/>
        <w:spacing w:after="0"/>
        <w:tabs>
          <w:tab w:leader="none" w:pos="1189" w:val="left"/>
        </w:tabs>
        <w:numPr>
          <w:ilvl w:val="0"/>
          <w:numId w:val="3"/>
        </w:numPr>
        <w:rPr>
          <w:rFonts w:ascii="Arial" w:cs="Arial" w:eastAsia="Arial" w:hAnsi="Arial"/>
          <w:sz w:val="18"/>
          <w:szCs w:val="18"/>
          <w:color w:val="auto"/>
        </w:rPr>
      </w:pPr>
      <w:r>
        <w:rPr>
          <w:rFonts w:ascii="Arial" w:cs="Arial" w:eastAsia="Arial" w:hAnsi="Arial"/>
          <w:sz w:val="18"/>
          <w:szCs w:val="18"/>
          <w:color w:val="auto"/>
        </w:rPr>
        <w:t>Synthetic Biology: So called Read/Write technologies, which describe the ability to sequence and synthesize genetic information, are powering the genomic revolution. These technologies have matured to the point where biological systems can be harnessed and manipulated towards a broad variety of applications that include diagnostic, therapeutic and broader industrial solutions. Given the flexibility of biological systems, investment opportunities exist for those who can identify applications outside a traditionally narrow focus. Many of these applications introduce the opportunity to create new products and new markets, as well as to enable more efficient and more environmentally sustainable manufacturing of existing products.</w:t>
      </w:r>
    </w:p>
    <w:p>
      <w:pPr>
        <w:ind w:left="1200" w:right="559" w:hanging="332"/>
        <w:spacing w:after="0" w:line="239" w:lineRule="auto"/>
        <w:tabs>
          <w:tab w:leader="none" w:pos="1189" w:val="left"/>
        </w:tabs>
        <w:numPr>
          <w:ilvl w:val="0"/>
          <w:numId w:val="3"/>
        </w:numPr>
        <w:rPr>
          <w:rFonts w:ascii="Arial" w:cs="Arial" w:eastAsia="Arial" w:hAnsi="Arial"/>
          <w:sz w:val="18"/>
          <w:szCs w:val="18"/>
          <w:color w:val="auto"/>
        </w:rPr>
      </w:pPr>
      <w:r>
        <w:rPr>
          <w:rFonts w:ascii="Arial" w:cs="Arial" w:eastAsia="Arial" w:hAnsi="Arial"/>
          <w:sz w:val="18"/>
          <w:szCs w:val="18"/>
          <w:color w:val="auto"/>
        </w:rPr>
        <w:t>Diagnostics: The diagnostics industry is leveraging advances in biological tools and broader technologies, including cloud computing and data sciences. These new tools have ushered in advances in risk prediction, therapeutic regimen tailoring, and outcomes analysis, to name just a few. The results have been immediate, both to patient outcomes and industry value, but we believe that the potential of these tools is only now being realized. We believe use of “diagnostic” to describe this dynamic category is a misnomer, and prefer the term “molecular information.” The synergy created by a limited set of publicly investable opportunities and, structurally, the imbalance between channel and content capabilities across industry players is likely to drive powerful new investment opportunities. With progress in regulatory and reimbursement systems, we believe investment opportunities will continue to expand.</w:t>
      </w:r>
    </w:p>
    <w:p>
      <w:pPr>
        <w:spacing w:after="0" w:line="68" w:lineRule="exact"/>
        <w:rPr>
          <w:sz w:val="20"/>
          <w:szCs w:val="20"/>
          <w:color w:val="auto"/>
        </w:rPr>
      </w:pPr>
    </w:p>
    <w:p>
      <w:pPr>
        <w:ind w:left="540" w:right="659"/>
        <w:spacing w:after="0" w:line="243" w:lineRule="auto"/>
        <w:rPr>
          <w:sz w:val="20"/>
          <w:szCs w:val="20"/>
          <w:color w:val="auto"/>
        </w:rPr>
      </w:pPr>
      <w:r>
        <w:rPr>
          <w:rFonts w:ascii="Arial" w:cs="Arial" w:eastAsia="Arial" w:hAnsi="Arial"/>
          <w:sz w:val="18"/>
          <w:szCs w:val="18"/>
          <w:color w:val="auto"/>
        </w:rPr>
        <w:t>We believe that the current state of the life sciences IPO market will enhance our ability to locate attractive targets. Approximately 180 biotechnology companies have gone public since 2016 in the United States. Despite the current level of IPO activity, in February 2020, there were estimated to be approximately 9,500 life sciences companies globally, only a fraction of which are publicly traded. As these companies mature, they will need partners to complement, enhance, and extend their reach. CM Life Sciences is positioned to be a major participant in that process.</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ACQUISITION STRATEGY</w:t>
      </w:r>
    </w:p>
    <w:p>
      <w:pPr>
        <w:spacing w:after="0" w:line="106" w:lineRule="exact"/>
        <w:rPr>
          <w:sz w:val="20"/>
          <w:szCs w:val="20"/>
          <w:color w:val="auto"/>
        </w:rPr>
      </w:pPr>
    </w:p>
    <w:p>
      <w:pPr>
        <w:ind w:left="540" w:right="599"/>
        <w:spacing w:after="0" w:line="245" w:lineRule="auto"/>
        <w:rPr>
          <w:sz w:val="20"/>
          <w:szCs w:val="20"/>
          <w:color w:val="auto"/>
        </w:rPr>
      </w:pPr>
      <w:r>
        <w:rPr>
          <w:rFonts w:ascii="Arial" w:cs="Arial" w:eastAsia="Arial" w:hAnsi="Arial"/>
          <w:sz w:val="18"/>
          <w:szCs w:val="18"/>
          <w:color w:val="auto"/>
        </w:rPr>
        <w:t>CM Life Sciences has a focused acquisition strategy. We believe that the rise in both the number and quality of companies entering the genomics space today presages significant consolidation and restructuring. Our comprehensive understanding of the science, strong ties to the industry, and broad experience guiding public companies gives us a competitive advantage to help shape, and profit from, this key moment in the maturation of the industry.</w:t>
      </w:r>
    </w:p>
    <w:p>
      <w:pPr>
        <w:spacing w:after="0" w:line="64" w:lineRule="exact"/>
        <w:rPr>
          <w:sz w:val="20"/>
          <w:szCs w:val="20"/>
          <w:color w:val="auto"/>
        </w:rPr>
      </w:pPr>
    </w:p>
    <w:p>
      <w:pPr>
        <w:ind w:left="540" w:right="619"/>
        <w:spacing w:after="0" w:line="239" w:lineRule="auto"/>
        <w:rPr>
          <w:sz w:val="20"/>
          <w:szCs w:val="20"/>
          <w:color w:val="auto"/>
        </w:rPr>
      </w:pPr>
      <w:r>
        <w:rPr>
          <w:rFonts w:ascii="Arial" w:cs="Arial" w:eastAsia="Arial" w:hAnsi="Arial"/>
          <w:sz w:val="18"/>
          <w:szCs w:val="18"/>
          <w:color w:val="auto"/>
        </w:rPr>
        <w:t>Not only do we anticipate CM Life Sciences will have the advantage in sourcing transactions and creating strong, publicly listed life sciences companies, but the broad vision and on-the-ground expertise of our management team should allow us to see opportunities and synergies even before the target company’s management or board may. With robust partnerships and deep relationships dating back to the industry’s beginnings, our management and board have a track record of identifying potential opportunities and potential challenges, long before most other investors. With over two decades of research, diligence, formal and informal advising, and Board stewardship, we believe our founders are uniquely suited to bridge the gap between private promises and public profits; creating significant shareholder value by structuring companies for the public market typically inaccessible to private equity buyers.</w:t>
      </w:r>
    </w:p>
    <w:p>
      <w:pPr>
        <w:spacing w:after="0" w:line="72" w:lineRule="exact"/>
        <w:rPr>
          <w:sz w:val="20"/>
          <w:szCs w:val="20"/>
          <w:color w:val="auto"/>
        </w:rPr>
      </w:pPr>
    </w:p>
    <w:p>
      <w:pPr>
        <w:ind w:left="540" w:right="659"/>
        <w:spacing w:after="0" w:line="243" w:lineRule="auto"/>
        <w:rPr>
          <w:sz w:val="20"/>
          <w:szCs w:val="20"/>
          <w:color w:val="auto"/>
        </w:rPr>
      </w:pPr>
      <w:r>
        <w:rPr>
          <w:rFonts w:ascii="Arial" w:cs="Arial" w:eastAsia="Arial" w:hAnsi="Arial"/>
          <w:sz w:val="18"/>
          <w:szCs w:val="18"/>
          <w:color w:val="auto"/>
        </w:rPr>
        <w:t>Over the years, members of our management team from Casdin Capital have developed a rich, reflective and repeatable scientific process as rigorous as any found in relevant research labs, which we intend to draw upon as we evaluate targets. Our strategy is to seek out every possible data point and test every possible hypothesis. By methodically breaking down core elements, from treatments to management teams to political-historical context, and examining them from all angles, testing theories as we go, our leadership team learns and grows in step with</w:t>
      </w:r>
    </w:p>
    <w:p>
      <w:pPr>
        <w:sectPr>
          <w:pgSz w:w="11900" w:h="16838" w:orient="portrait"/>
          <w:cols w:equalWidth="0" w:num="1">
            <w:col w:w="9019"/>
          </w:cols>
          <w:pgMar w:left="1440" w:top="427" w:right="1440" w:bottom="1440" w:gutter="0" w:footer="0" w:header="0"/>
        </w:sect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19050</wp:posOffset>
            </wp:positionV>
            <wp:extent cx="51435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27" w:right="1440" w:bottom="1440" w:gutter="0" w:footer="0" w:header="0"/>
          <w:type w:val="continuous"/>
        </w:sectPr>
      </w:pPr>
    </w:p>
    <w:bookmarkStart w:id="9" w:name="page10"/>
    <w:bookmarkEnd w:id="9"/>
    <w:p>
      <w:pPr>
        <w:ind w:left="540" w:right="579"/>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3686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7310" cy="8368665"/>
                    </a:xfrm>
                    <a:prstGeom prst="rect">
                      <a:avLst/>
                    </a:prstGeom>
                    <a:noFill/>
                  </pic:spPr>
                </pic:pic>
              </a:graphicData>
            </a:graphic>
          </wp:anchor>
        </w:drawing>
        <w:t>the life sciences industry itself. When we assess company targets and the mechanisms for solving them, whether a drug or a technology application, we will seek to understand their innovative methodologies, not just their market potential. Beyond the science, we will also scrutinize target markets and competitors, question CEOs, Executive Teams and Boards on their ability to measure outcomes and push toward solutions, and create models for everything from commercial launch capabilities to regulatory hurdles to an entire team’s industry expertise and history. Deep knowledge of the science and its applications is only the beginning. Our experience continually reminds us to focus on leadership’s ability to grow a business and create an empowered workforce, and we seek companies that create the drive and resilience necessary to reach ambitious goals and, ultimately, market success.</w:t>
      </w:r>
    </w:p>
    <w:p>
      <w:pPr>
        <w:spacing w:after="0" w:line="72" w:lineRule="exact"/>
        <w:rPr>
          <w:sz w:val="20"/>
          <w:szCs w:val="20"/>
          <w:color w:val="auto"/>
        </w:rPr>
      </w:pPr>
    </w:p>
    <w:p>
      <w:pPr>
        <w:ind w:left="540" w:right="599"/>
        <w:spacing w:after="0" w:line="239" w:lineRule="auto"/>
        <w:rPr>
          <w:sz w:val="20"/>
          <w:szCs w:val="20"/>
          <w:color w:val="auto"/>
        </w:rPr>
      </w:pPr>
      <w:r>
        <w:rPr>
          <w:rFonts w:ascii="Arial" w:cs="Arial" w:eastAsia="Arial" w:hAnsi="Arial"/>
          <w:sz w:val="18"/>
          <w:szCs w:val="18"/>
          <w:color w:val="auto"/>
        </w:rPr>
        <w:t>With over four decades of combined experience in structuring and executing strategic investments and capital market transactions, our founders bring together a unique understanding of the industry and the world of corporate governance. Together Mr. Casdin and Mr. Meister specifically have bought, sold, combined and separated businesses and assets across industries and geographies, and together are strategically situated to identify and capitalize on industry consolidation. We also know that many companies lack the resources, infrastructure, and governance experience required to transition into successful public companies. Our team’s long-standing experience leading large, publicly traded corporations at the board and executive levels opens the door to many companies not yet envisioning themselves in the public market. We believe our experience structuring and executing complex transactions is as key an advantage when completing an initial business combination as it is when identifying future opportunities sparked by it.</w:t>
      </w:r>
    </w:p>
    <w:p>
      <w:pPr>
        <w:spacing w:after="0" w:line="68" w:lineRule="exact"/>
        <w:rPr>
          <w:sz w:val="20"/>
          <w:szCs w:val="20"/>
          <w:color w:val="auto"/>
        </w:rPr>
      </w:pPr>
    </w:p>
    <w:p>
      <w:pPr>
        <w:ind w:left="540" w:right="619"/>
        <w:spacing w:after="0" w:line="235" w:lineRule="auto"/>
        <w:rPr>
          <w:sz w:val="20"/>
          <w:szCs w:val="20"/>
          <w:color w:val="auto"/>
        </w:rPr>
      </w:pPr>
      <w:r>
        <w:rPr>
          <w:rFonts w:ascii="Arial" w:cs="Arial" w:eastAsia="Arial" w:hAnsi="Arial"/>
          <w:sz w:val="18"/>
          <w:szCs w:val="18"/>
          <w:color w:val="auto"/>
        </w:rPr>
        <w:t>Casdin Capital’s investments in 69 private companies and their diligencing of hundreds of other investments every year has allowed them to map the far reaches of an industry most are just beginning to explore. As of June 30</w:t>
      </w:r>
      <w:r>
        <w:rPr>
          <w:rFonts w:ascii="Arial" w:cs="Arial" w:eastAsia="Arial" w:hAnsi="Arial"/>
          <w:sz w:val="20"/>
          <w:szCs w:val="20"/>
          <w:color w:val="auto"/>
          <w:vertAlign w:val="superscript"/>
        </w:rPr>
        <w:t>th</w:t>
      </w:r>
      <w:r>
        <w:rPr>
          <w:rFonts w:ascii="Arial" w:cs="Arial" w:eastAsia="Arial" w:hAnsi="Arial"/>
          <w:sz w:val="18"/>
          <w:szCs w:val="18"/>
          <w:color w:val="auto"/>
        </w:rPr>
        <w:t>, 2020, Casdin Capital has interests in 42 private portfolio companies and in these companies they have partnered with 45 of the leading venture and healthcare investing firms and strategic arms of large incumbents, including Google Ventures, Arch Ventures, Atlas Ventures, Third Rock Ventures, Flagship Ventures, Wuxi Apptec (OTCMKTS: WUXIF), Danaher Corporation (NYSE: DHR), Viking Global, Warburg Pincus and Andreesson Horowitz. Casdin Capital has also fostered relationships with leading scientific and research institutions, such as Children’s Hospital of Philadelphia, Dana-Farber Cancer Institute, Massachusetts General Hospital, MD Anderson Cancer Center, Memorial Sloan Kettering Cancer Center, the New York Genome Center and Scripps Research. We expect that this deep understanding and these strong relationships, to which we will have access through members of our management team from Casdin Capital, will provide CM Life Sciences a pipeline of proprietary opportunities that will continue to increase as new players enter the space, and as established players continue to branch out. CM Life Sciences is not prohibited from pursuing combinations with companies affiliated with our sponsor, executive officers, or directors. In the event we seek to complete a combination with a target that is affiliated with our sponsor, we would obtain an opinion of an independent investment banking firm which is a member of FINRA or a valuation or appraisal firm stating that such an initial business combination is fair to our company from a financial point of view. Our amended and restated certificate of incorporation provides that a target will not be deemed an affiliate solely by virtue of ownership by our sponsor or its affiliates, or any of their or our executive officers or directors, of less than 10% of its common stock, individually or in the aggregate. Moreover, we anticipate value-creation opportunities from combining private companies already in the portfolios of our affiliates, Casdin Capital and Corvex Management, presenting unique opportunities at the partnership’s inception and opening us to other dynamic platforms across the industry.</w:t>
      </w:r>
    </w:p>
    <w:p>
      <w:pPr>
        <w:spacing w:after="0" w:line="81" w:lineRule="exact"/>
        <w:rPr>
          <w:sz w:val="20"/>
          <w:szCs w:val="20"/>
          <w:color w:val="auto"/>
        </w:rPr>
      </w:pPr>
    </w:p>
    <w:p>
      <w:pPr>
        <w:ind w:left="540" w:right="599"/>
        <w:spacing w:after="0" w:line="238" w:lineRule="auto"/>
        <w:rPr>
          <w:sz w:val="20"/>
          <w:szCs w:val="20"/>
          <w:color w:val="auto"/>
        </w:rPr>
      </w:pPr>
      <w:r>
        <w:rPr>
          <w:rFonts w:ascii="Arial" w:cs="Arial" w:eastAsia="Arial" w:hAnsi="Arial"/>
          <w:sz w:val="18"/>
          <w:szCs w:val="18"/>
          <w:color w:val="auto"/>
        </w:rPr>
        <w:t>Casdin Capital has developed relationships going back to the unlocking of the human genome, and today is a familiar and trusted participant in this dynamic and complex industry, as well-versed in the science as in the business models that underpin it. As an affiliate of Casdin Capital with key management members from Casdin Capital, we intend to leverage its reputation and position as more than just an investor, but a key partner to major and emerging companies, to work with the most successful and innovative industry professionals, the ones who will continue to drive growth and profits over the next few decades. Combined with Corvex Management, our leadership team is diverse and deep, with strengths in science and business, in research and investing, capital markets and corporate board rooms, and as alert to industry realignments as they are to subtle market moves. Success and strong returns come as much from our collective dedication as it does from our area-expertise. Our seasoned management team and board intends to leverage information from industry experts, scientists, management teams, and corporate directors to proceed with discipline and rigor to complete an attractive business combination that will produce attractive returns for our shareholders.</w:t>
      </w:r>
    </w:p>
    <w:p>
      <w:pPr>
        <w:sectPr>
          <w:pgSz w:w="11900" w:h="16838" w:orient="portrait"/>
          <w:cols w:equalWidth="0" w:num="1">
            <w:col w:w="9019"/>
          </w:cols>
          <w:pgMar w:left="1440" w:top="427" w:right="1440" w:bottom="1440" w:gutter="0" w:footer="0" w:header="0"/>
        </w:sect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19050</wp:posOffset>
            </wp:positionV>
            <wp:extent cx="51435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27" w:right="1440" w:bottom="1440" w:gutter="0" w:footer="0" w:header="0"/>
          <w:type w:val="continuous"/>
        </w:sectPr>
      </w:pPr>
    </w:p>
    <w:bookmarkStart w:id="10" w:name="page11"/>
    <w:bookmarkEnd w:id="10"/>
    <w:p>
      <w:pPr>
        <w:jc w:val="both"/>
        <w:ind w:left="540" w:right="659"/>
        <w:spacing w:after="0" w:line="25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4543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7310" cy="8454390"/>
                    </a:xfrm>
                    <a:prstGeom prst="rect">
                      <a:avLst/>
                    </a:prstGeom>
                    <a:noFill/>
                  </pic:spPr>
                </pic:pic>
              </a:graphicData>
            </a:graphic>
          </wp:anchor>
        </w:drawing>
        <w:t>Consistent with this strategy, we have identified the following criteria to evaluate prospective target businesses. We intend to seek to acquire companies in the Life Sciences Tools, Synthetic Biology and Diagnostics fields and that we believe:</w:t>
      </w:r>
    </w:p>
    <w:p>
      <w:pPr>
        <w:spacing w:after="0" w:line="1" w:lineRule="exact"/>
        <w:rPr>
          <w:sz w:val="20"/>
          <w:szCs w:val="20"/>
          <w:color w:val="auto"/>
        </w:rPr>
      </w:pPr>
    </w:p>
    <w:p>
      <w:pPr>
        <w:ind w:left="1200" w:right="979" w:hanging="332"/>
        <w:spacing w:after="0" w:line="250" w:lineRule="auto"/>
        <w:tabs>
          <w:tab w:leader="none" w:pos="1189" w:val="left"/>
        </w:tabs>
        <w:numPr>
          <w:ilvl w:val="0"/>
          <w:numId w:val="4"/>
        </w:numPr>
        <w:rPr>
          <w:rFonts w:ascii="Arial" w:cs="Arial" w:eastAsia="Arial" w:hAnsi="Arial"/>
          <w:sz w:val="18"/>
          <w:szCs w:val="18"/>
          <w:color w:val="auto"/>
        </w:rPr>
      </w:pPr>
      <w:r>
        <w:rPr>
          <w:rFonts w:ascii="Arial" w:cs="Arial" w:eastAsia="Arial" w:hAnsi="Arial"/>
          <w:sz w:val="18"/>
          <w:szCs w:val="18"/>
          <w:color w:val="auto"/>
        </w:rPr>
        <w:t>have a potential scientific or other business advantage or opportunity in the markets in which they operate;</w:t>
      </w:r>
    </w:p>
    <w:p>
      <w:pPr>
        <w:ind w:left="1180" w:hanging="312"/>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have strong and experienced management teams or key personnel; and</w:t>
      </w:r>
    </w:p>
    <w:p>
      <w:pPr>
        <w:spacing w:after="0" w:line="36" w:lineRule="exact"/>
        <w:rPr>
          <w:rFonts w:ascii="Arial" w:cs="Arial" w:eastAsia="Arial" w:hAnsi="Arial"/>
          <w:sz w:val="18"/>
          <w:szCs w:val="18"/>
          <w:color w:val="auto"/>
        </w:rPr>
      </w:pPr>
    </w:p>
    <w:p>
      <w:pPr>
        <w:ind w:left="1180" w:hanging="312"/>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will offer attractive risk-adjusted equity returns for our shareholders.</w:t>
      </w:r>
    </w:p>
    <w:p>
      <w:pPr>
        <w:spacing w:after="0" w:line="104" w:lineRule="exact"/>
        <w:rPr>
          <w:sz w:val="20"/>
          <w:szCs w:val="20"/>
          <w:color w:val="auto"/>
        </w:rPr>
      </w:pPr>
    </w:p>
    <w:p>
      <w:pPr>
        <w:ind w:left="540" w:right="579"/>
        <w:spacing w:after="0"/>
        <w:rPr>
          <w:sz w:val="20"/>
          <w:szCs w:val="20"/>
          <w:color w:val="auto"/>
        </w:rPr>
      </w:pPr>
      <w:r>
        <w:rPr>
          <w:rFonts w:ascii="Arial" w:cs="Arial" w:eastAsia="Arial" w:hAnsi="Arial"/>
          <w:sz w:val="18"/>
          <w:szCs w:val="18"/>
          <w:color w:val="auto"/>
        </w:rPr>
        <w:t>These criteria are not intended to be exhaustive. Any evaluation relating to the merits of a particular initial business combination may be based, to the extent relevant, on these general guidelines as well as other considerations, factors and criteria that our management team may deem relevant. In the event that we decide to enter into our initial business combination with a target business that we believe does not meet the above criteria and guidelines, we will disclose that the target business does not meet the above criteria in our stockholder communications related to our initial business combination, which, as discussed in this prospectus, would be in the form of proxy materials or tender offer documents, as applicable, that we would file with the SEC.</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INITIAL BUSINESS COMBINATION</w:t>
      </w:r>
    </w:p>
    <w:p>
      <w:pPr>
        <w:spacing w:after="0" w:line="133" w:lineRule="exact"/>
        <w:rPr>
          <w:sz w:val="20"/>
          <w:szCs w:val="20"/>
          <w:color w:val="auto"/>
        </w:rPr>
      </w:pPr>
    </w:p>
    <w:p>
      <w:pPr>
        <w:ind w:left="540" w:right="579"/>
        <w:spacing w:after="0" w:line="238" w:lineRule="auto"/>
        <w:rPr>
          <w:sz w:val="20"/>
          <w:szCs w:val="20"/>
          <w:color w:val="auto"/>
        </w:rPr>
      </w:pPr>
      <w:r>
        <w:rPr>
          <w:rFonts w:ascii="Arial" w:cs="Arial" w:eastAsia="Arial" w:hAnsi="Arial"/>
          <w:sz w:val="18"/>
          <w:szCs w:val="18"/>
          <w:color w:val="auto"/>
        </w:rPr>
        <w:t>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we will obtain an opinion from an independent investment banking firm which is a member of FINRA or a valuation or appraisal firm with respect to the satisfaction of such criteria. While we consider it unlikely that our board of directors will not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the target’s assets or prospects. Additionally, pursuant to Nasdaq rules, any initial business combination must be approved by a majority of our independent directors.</w:t>
      </w:r>
    </w:p>
    <w:p>
      <w:pPr>
        <w:spacing w:after="0" w:line="110" w:lineRule="exact"/>
        <w:rPr>
          <w:sz w:val="20"/>
          <w:szCs w:val="20"/>
          <w:color w:val="auto"/>
        </w:rPr>
      </w:pPr>
    </w:p>
    <w:p>
      <w:pPr>
        <w:ind w:left="540" w:right="579"/>
        <w:spacing w:after="0" w:line="236" w:lineRule="auto"/>
        <w:rPr>
          <w:sz w:val="20"/>
          <w:szCs w:val="20"/>
          <w:color w:val="auto"/>
        </w:rPr>
      </w:pPr>
      <w:r>
        <w:rPr>
          <w:rFonts w:ascii="Arial" w:cs="Arial" w:eastAsia="Arial" w:hAnsi="Arial"/>
          <w:sz w:val="18"/>
          <w:szCs w:val="18"/>
          <w:color w:val="auto"/>
        </w:rPr>
        <w:t>We anticipate structuring our initial business combination so that the post-transaction company in which our public stockholders own shares will own or acquire 100% of the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target management team or stockholders or for other reasons, but we will only complete such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post-transaction company owns or acquires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taken into account for purposes of the 80% of net assets test described above. If the business combination involves more than one target business, the 80% of net assets test will be based on the aggregate value of all of the target businesses.</w:t>
      </w:r>
    </w:p>
    <w:p>
      <w:pPr>
        <w:spacing w:after="0" w:line="125" w:lineRule="exact"/>
        <w:rPr>
          <w:sz w:val="20"/>
          <w:szCs w:val="20"/>
          <w:color w:val="auto"/>
        </w:rPr>
      </w:pPr>
    </w:p>
    <w:p>
      <w:pPr>
        <w:ind w:left="540" w:right="579"/>
        <w:spacing w:after="0" w:line="243" w:lineRule="auto"/>
        <w:rPr>
          <w:sz w:val="20"/>
          <w:szCs w:val="20"/>
          <w:color w:val="auto"/>
        </w:rPr>
      </w:pPr>
      <w:r>
        <w:rPr>
          <w:rFonts w:ascii="Arial" w:cs="Arial" w:eastAsia="Arial" w:hAnsi="Arial"/>
          <w:sz w:val="18"/>
          <w:szCs w:val="18"/>
          <w:color w:val="auto"/>
        </w:rPr>
        <w:t>Prior to the date of this prospectus, we filed a Registration Statement on Form 8-A with the SEC to voluntarily register our securities under Section 12 of the Securities Exchange Act of 1934, as amended, or the Exchange Act. As a result, we are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ectPr>
          <w:pgSz w:w="11900" w:h="16838" w:orient="portrait"/>
          <w:cols w:equalWidth="0" w:num="1">
            <w:col w:w="9019"/>
          </w:cols>
          <w:pgMar w:left="1440" w:top="427" w:right="1440" w:bottom="1440" w:gutter="0" w:footer="0" w:header="0"/>
        </w:sect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19050</wp:posOffset>
            </wp:positionV>
            <wp:extent cx="51435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27" w:right="1440"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7547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7310" cy="8754745"/>
                    </a:xfrm>
                    <a:prstGeom prst="rect">
                      <a:avLst/>
                    </a:prstGeom>
                    <a:noFill/>
                  </pic:spPr>
                </pic:pic>
              </a:graphicData>
            </a:graphic>
          </wp:anchor>
        </w:drawing>
        <w:t>SOURCING OF POTENTIAL INITIAL BUSINESS COMBINATION TARGETS</w:t>
      </w:r>
    </w:p>
    <w:p>
      <w:pPr>
        <w:spacing w:after="0" w:line="133" w:lineRule="exact"/>
        <w:rPr>
          <w:sz w:val="20"/>
          <w:szCs w:val="20"/>
          <w:color w:val="auto"/>
        </w:rPr>
      </w:pPr>
    </w:p>
    <w:p>
      <w:pPr>
        <w:ind w:left="540" w:right="579"/>
        <w:spacing w:after="0" w:line="239"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our sponsor, executive officers or directors, or completing the business combination through a joint venture or other form of shared ownership with our sponsor, executive officers or directors. In the event we seek to complete an initial business combination with a target that is affiliated with our sponsor, executive officers or directors, we, or a committee of independent directors, would obtain an opinion from an independent investment banking firm which is a member of FINRA or a valuation or appraisal firm stating that such an initial business combination is fair to our company from a financial point of view. Our amended and restated certificate of incorporation provides that a target will not be deemed an affiliate solely by virtue of ownership by our sponsor or its affiliates, or any of their or our executive officers or directors, of less than 10% of its common stock, individually or in the aggregate.</w:t>
      </w:r>
    </w:p>
    <w:p>
      <w:pPr>
        <w:spacing w:after="0" w:line="109" w:lineRule="exact"/>
        <w:rPr>
          <w:sz w:val="20"/>
          <w:szCs w:val="20"/>
          <w:color w:val="auto"/>
        </w:rPr>
      </w:pPr>
    </w:p>
    <w:p>
      <w:pPr>
        <w:ind w:left="540" w:right="659"/>
        <w:spacing w:after="0" w:line="241" w:lineRule="auto"/>
        <w:rPr>
          <w:sz w:val="20"/>
          <w:szCs w:val="20"/>
          <w:color w:val="auto"/>
        </w:rPr>
      </w:pPr>
      <w:r>
        <w:rPr>
          <w:rFonts w:ascii="Arial" w:cs="Arial" w:eastAsia="Arial" w:hAnsi="Arial"/>
          <w:sz w:val="18"/>
          <w:szCs w:val="18"/>
          <w:color w:val="auto"/>
        </w:rPr>
        <w:t>Members of our management team and our independent directors will directly or indirectly own founder shares and/or private placement warrants following this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11" w:lineRule="exact"/>
        <w:rPr>
          <w:sz w:val="20"/>
          <w:szCs w:val="20"/>
          <w:color w:val="auto"/>
        </w:rPr>
      </w:pPr>
    </w:p>
    <w:p>
      <w:pPr>
        <w:ind w:left="540" w:right="559"/>
        <w:spacing w:after="0" w:line="238" w:lineRule="auto"/>
        <w:rPr>
          <w:sz w:val="20"/>
          <w:szCs w:val="20"/>
          <w:color w:val="auto"/>
        </w:rPr>
      </w:pPr>
      <w:r>
        <w:rPr>
          <w:rFonts w:ascii="Arial" w:cs="Arial" w:eastAsia="Arial" w:hAnsi="Arial"/>
          <w:sz w:val="18"/>
          <w:szCs w:val="18"/>
          <w:color w:val="auto"/>
        </w:rPr>
        <w:t>Each of our officers and directors presently has, and any of them in the future may have additional, fiduciary or contractual obligations to another entity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 current fiduciary or contractual obligations, he or she will honor his or her fiduciary or contractual obligations to present such business combination opportunity to such other entity. Our amended and restated certificate of incorporation provides that we renounce our interest in any corporate opportunity offered to any director or officer unless such opportunity is expressly offered to such person solely in his or her capacity as a director or officer of the company and such opportunity is one we are legally and contractually permitted to undertake and would otherwise be reasonable for us to pursue, and to the extent the director or officer is permitted to refer that opportunity to us without violating another legal obligation. We do not believe, however, that the fiduciary duties or contractual obligations of our officers or directors will materially affect our ability to complete our initial business combination.</w:t>
      </w:r>
    </w:p>
    <w:p>
      <w:pPr>
        <w:spacing w:after="0" w:line="96" w:lineRule="exact"/>
        <w:rPr>
          <w:sz w:val="20"/>
          <w:szCs w:val="20"/>
          <w:color w:val="auto"/>
        </w:rPr>
      </w:pPr>
    </w:p>
    <w:p>
      <w:pPr>
        <w:ind w:left="540" w:right="699"/>
        <w:spacing w:after="0" w:line="243" w:lineRule="auto"/>
        <w:rPr>
          <w:sz w:val="20"/>
          <w:szCs w:val="20"/>
          <w:color w:val="auto"/>
        </w:rPr>
      </w:pPr>
      <w:r>
        <w:rPr>
          <w:rFonts w:ascii="Arial" w:cs="Arial" w:eastAsia="Arial" w:hAnsi="Arial"/>
          <w:sz w:val="18"/>
          <w:szCs w:val="18"/>
          <w:color w:val="auto"/>
        </w:rPr>
        <w:t>In addition, 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INFORMATION</w:t>
      </w:r>
    </w:p>
    <w:p>
      <w:pPr>
        <w:spacing w:after="0" w:line="146" w:lineRule="exact"/>
        <w:rPr>
          <w:sz w:val="20"/>
          <w:szCs w:val="20"/>
          <w:color w:val="auto"/>
        </w:rPr>
      </w:pPr>
    </w:p>
    <w:p>
      <w:pPr>
        <w:ind w:left="540" w:right="839"/>
        <w:spacing w:after="0" w:line="249" w:lineRule="auto"/>
        <w:rPr>
          <w:sz w:val="20"/>
          <w:szCs w:val="20"/>
          <w:color w:val="auto"/>
        </w:rPr>
      </w:pPr>
      <w:r>
        <w:rPr>
          <w:rFonts w:ascii="Arial" w:cs="Arial" w:eastAsia="Arial" w:hAnsi="Arial"/>
          <w:sz w:val="18"/>
          <w:szCs w:val="18"/>
          <w:color w:val="auto"/>
        </w:rPr>
        <w:t>Our executive offices are located at 667 Madison Avenue, 2</w:t>
      </w:r>
      <w:r>
        <w:rPr>
          <w:rFonts w:ascii="Arial" w:cs="Arial" w:eastAsia="Arial" w:hAnsi="Arial"/>
          <w:sz w:val="20"/>
          <w:szCs w:val="20"/>
          <w:color w:val="auto"/>
          <w:vertAlign w:val="superscript"/>
        </w:rPr>
        <w:t>nd</w:t>
      </w:r>
      <w:r>
        <w:rPr>
          <w:rFonts w:ascii="Arial" w:cs="Arial" w:eastAsia="Arial" w:hAnsi="Arial"/>
          <w:sz w:val="18"/>
          <w:szCs w:val="18"/>
          <w:color w:val="auto"/>
        </w:rPr>
        <w:t xml:space="preserve"> Floor, New York, New York 10065, and our telephone number is (212) 474-6745.</w:t>
      </w:r>
    </w:p>
    <w:p>
      <w:pPr>
        <w:spacing w:after="0" w:line="100" w:lineRule="exact"/>
        <w:rPr>
          <w:sz w:val="20"/>
          <w:szCs w:val="20"/>
          <w:color w:val="auto"/>
        </w:rPr>
      </w:pPr>
    </w:p>
    <w:p>
      <w:pPr>
        <w:ind w:left="540" w:right="559"/>
        <w:spacing w:after="0" w:line="239" w:lineRule="auto"/>
        <w:rPr>
          <w:sz w:val="20"/>
          <w:szCs w:val="20"/>
          <w:color w:val="auto"/>
        </w:rPr>
      </w:pPr>
      <w:r>
        <w:rPr>
          <w:rFonts w:ascii="Arial" w:cs="Arial" w:eastAsia="Arial" w:hAnsi="Arial"/>
          <w:sz w:val="18"/>
          <w:szCs w:val="18"/>
          <w:color w:val="auto"/>
        </w:rPr>
        <w:t>We are an “emerging growth company,” as defined in Section 2(a) of the Securities Act, as modified by the Jumpstart Our Business Startups Act of 2012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95" w:lineRule="exact"/>
        <w:rPr>
          <w:sz w:val="20"/>
          <w:szCs w:val="20"/>
          <w:color w:val="auto"/>
        </w:rPr>
      </w:pPr>
    </w:p>
    <w:p>
      <w:pPr>
        <w:ind w:left="540" w:right="559"/>
        <w:spacing w:after="0" w:line="243"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ectPr>
          <w:pgSz w:w="11900" w:h="16838" w:orient="portrait"/>
          <w:cols w:equalWidth="0" w:num="1">
            <w:col w:w="9019"/>
          </w:cols>
          <w:pgMar w:left="1440" w:top="533" w:right="1440" w:bottom="1440" w:gutter="0" w:footer="0" w:header="0"/>
        </w:sect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19050</wp:posOffset>
            </wp:positionV>
            <wp:extent cx="51435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33" w:right="1440" w:bottom="1440" w:gutter="0" w:footer="0" w:header="0"/>
          <w:type w:val="continuous"/>
        </w:sectPr>
      </w:pPr>
    </w:p>
    <w:bookmarkStart w:id="12" w:name="page13"/>
    <w:bookmarkEnd w:id="12"/>
    <w:p>
      <w:pPr>
        <w:ind w:left="5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22396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7310" cy="2239645"/>
                    </a:xfrm>
                    <a:prstGeom prst="rect">
                      <a:avLst/>
                    </a:prstGeom>
                    <a:noFill/>
                  </pic:spPr>
                </pic:pic>
              </a:graphicData>
            </a:graphic>
          </wp:anchor>
        </w:drawing>
        <w:t>We will remain an emerging growth company until the earlier of (1) the last day of the fiscal year</w:t>
      </w:r>
    </w:p>
    <w:p>
      <w:pPr>
        <w:spacing w:after="0" w:line="18" w:lineRule="exact"/>
        <w:rPr>
          <w:sz w:val="20"/>
          <w:szCs w:val="20"/>
          <w:color w:val="auto"/>
        </w:rPr>
      </w:pPr>
    </w:p>
    <w:p>
      <w:pPr>
        <w:ind w:left="540" w:right="559" w:firstLine="4"/>
        <w:spacing w:after="0" w:line="238" w:lineRule="auto"/>
        <w:tabs>
          <w:tab w:leader="none" w:pos="81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following the fifth anniversary of the completion of this offering, (b) in which we have total annual gross revenue of at least $1.07 billion, or (c) in which we are deemed to be a large accelerated filer, which means the market value of our Class A common stock that is held by non-affiliates exceeds $700 million as of the prior June 30, and (2) the date on which we have issued more than $1.0 billion in non-convertible debt securities during the prior three-year period. References herein to “emerging growth company” will have the meaning associated with it in the JOBS Act.</w:t>
      </w:r>
    </w:p>
    <w:p>
      <w:pPr>
        <w:spacing w:after="0" w:line="110" w:lineRule="exact"/>
        <w:rPr>
          <w:sz w:val="20"/>
          <w:szCs w:val="20"/>
          <w:color w:val="auto"/>
        </w:rPr>
      </w:pPr>
    </w:p>
    <w:p>
      <w:pPr>
        <w:ind w:left="540" w:right="719"/>
        <w:spacing w:after="0" w:line="248"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prior June 30</w:t>
      </w:r>
      <w:r>
        <w:rPr>
          <w:rFonts w:ascii="Arial" w:cs="Arial" w:eastAsia="Arial" w:hAnsi="Arial"/>
          <w:sz w:val="19"/>
          <w:szCs w:val="19"/>
          <w:color w:val="auto"/>
          <w:vertAlign w:val="superscript"/>
        </w:rPr>
        <w:t>th</w:t>
      </w:r>
      <w:r>
        <w:rPr>
          <w:rFonts w:ascii="Arial" w:cs="Arial" w:eastAsia="Arial" w:hAnsi="Arial"/>
          <w:sz w:val="17"/>
          <w:szCs w:val="17"/>
          <w:color w:val="auto"/>
        </w:rPr>
        <w:t>, or</w:t>
      </w:r>
    </w:p>
    <w:p>
      <w:pPr>
        <w:spacing w:after="0" w:line="1" w:lineRule="exact"/>
        <w:rPr>
          <w:sz w:val="20"/>
          <w:szCs w:val="20"/>
          <w:color w:val="auto"/>
        </w:rPr>
      </w:pPr>
    </w:p>
    <w:p>
      <w:pPr>
        <w:ind w:left="540" w:right="759" w:firstLine="4"/>
        <w:spacing w:after="0" w:line="279" w:lineRule="auto"/>
        <w:tabs>
          <w:tab w:leader="none" w:pos="81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annual revenues exceeded $100 million during such completed fiscal year and the market value of our common stock held by non-affiliates exceeds $700 million as of the prior June 30.</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454" w:right="1440"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90030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7310" cy="9003030"/>
                    </a:xfrm>
                    <a:prstGeom prst="rect">
                      <a:avLst/>
                    </a:prstGeom>
                    <a:noFill/>
                  </pic:spPr>
                </pic:pic>
              </a:graphicData>
            </a:graphic>
          </wp:anchor>
        </w:drawing>
        <w:t>THE OFFERING</w:t>
      </w:r>
    </w:p>
    <w:p>
      <w:pPr>
        <w:spacing w:after="0" w:line="133" w:lineRule="exact"/>
        <w:rPr>
          <w:sz w:val="20"/>
          <w:szCs w:val="20"/>
          <w:color w:val="auto"/>
        </w:rPr>
      </w:pPr>
    </w:p>
    <w:p>
      <w:pPr>
        <w:ind w:left="540" w:right="579"/>
        <w:spacing w:after="0" w:line="243" w:lineRule="auto"/>
        <w:rPr>
          <w:sz w:val="20"/>
          <w:szCs w:val="20"/>
          <w:color w:val="auto"/>
        </w:rPr>
      </w:pPr>
      <w:r>
        <w:rPr>
          <w:rFonts w:ascii="Arial" w:cs="Arial" w:eastAsia="Arial" w:hAnsi="Arial"/>
          <w:sz w:val="18"/>
          <w:szCs w:val="18"/>
          <w:color w:val="auto"/>
        </w:rPr>
        <w:t>In making your decision on whether to invest in our securities, you should take into account not only the backgrounds of the members of our management team,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below entitled “Risk Factors” in this prospectus.</w:t>
      </w:r>
    </w:p>
    <w:p>
      <w:pPr>
        <w:sectPr>
          <w:pgSz w:w="11900" w:h="16838" w:orient="portrait"/>
          <w:cols w:equalWidth="0" w:num="1">
            <w:col w:w="9019"/>
          </w:cols>
          <w:pgMar w:left="1440" w:top="533" w:right="1440" w:bottom="1440" w:gutter="0" w:footer="0" w:header="0"/>
        </w:sectPr>
      </w:pPr>
    </w:p>
    <w:p>
      <w:pPr>
        <w:spacing w:after="0" w:line="28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Securities offered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Nasdaq symbols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720" w:right="320" w:hanging="179"/>
        <w:spacing w:after="0" w:line="255" w:lineRule="auto"/>
        <w:rPr>
          <w:sz w:val="20"/>
          <w:szCs w:val="20"/>
          <w:color w:val="auto"/>
        </w:rPr>
      </w:pPr>
      <w:r>
        <w:rPr>
          <w:rFonts w:ascii="Arial" w:cs="Arial" w:eastAsia="Arial" w:hAnsi="Arial"/>
          <w:sz w:val="18"/>
          <w:szCs w:val="18"/>
          <w:color w:val="auto"/>
        </w:rPr>
        <w:t>Trading commencement and separation of shares of Class A common stock and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720" w:hanging="179"/>
        <w:spacing w:after="0" w:line="255" w:lineRule="auto"/>
        <w:rPr>
          <w:sz w:val="20"/>
          <w:szCs w:val="20"/>
          <w:color w:val="auto"/>
        </w:rPr>
      </w:pPr>
      <w:r>
        <w:rPr>
          <w:rFonts w:ascii="Arial" w:cs="Arial" w:eastAsia="Arial" w:hAnsi="Arial"/>
          <w:sz w:val="18"/>
          <w:szCs w:val="18"/>
          <w:color w:val="auto"/>
        </w:rPr>
        <w:t>Separate trading of the Class A common stock and warrants is prohibited until we have filed a Current Report on Form 8-K</w:t>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ind w:right="559"/>
        <w:spacing w:after="0" w:line="255" w:lineRule="auto"/>
        <w:rPr>
          <w:sz w:val="20"/>
          <w:szCs w:val="20"/>
          <w:color w:val="auto"/>
        </w:rPr>
      </w:pPr>
      <w:r>
        <w:rPr>
          <w:rFonts w:ascii="Arial" w:cs="Arial" w:eastAsia="Arial" w:hAnsi="Arial"/>
          <w:sz w:val="18"/>
          <w:szCs w:val="18"/>
          <w:color w:val="auto"/>
        </w:rPr>
        <w:t>38,500,000 units (or 44,275,000 units if the underwriter’s over-allotment option is exercised in full), at $10.00 per unit, each unit consisting of:</w:t>
      </w:r>
    </w:p>
    <w:p>
      <w:pPr>
        <w:spacing w:after="0" w:line="137" w:lineRule="exact"/>
        <w:rPr>
          <w:sz w:val="20"/>
          <w:szCs w:val="20"/>
          <w:color w:val="auto"/>
        </w:rPr>
      </w:pPr>
    </w:p>
    <w:p>
      <w:pPr>
        <w:ind w:left="420" w:hanging="205"/>
        <w:spacing w:after="0"/>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one share of Class A common stock; and</w:t>
      </w:r>
    </w:p>
    <w:p>
      <w:pPr>
        <w:spacing w:after="0" w:line="184" w:lineRule="exact"/>
        <w:rPr>
          <w:rFonts w:ascii="Arial" w:cs="Arial" w:eastAsia="Arial" w:hAnsi="Arial"/>
          <w:sz w:val="18"/>
          <w:szCs w:val="18"/>
          <w:color w:val="auto"/>
        </w:rPr>
      </w:pPr>
    </w:p>
    <w:p>
      <w:pPr>
        <w:ind w:right="1139" w:firstLine="215"/>
        <w:spacing w:after="0" w:line="453" w:lineRule="auto"/>
        <w:tabs>
          <w:tab w:leader="none" w:pos="429" w:val="left"/>
        </w:tabs>
        <w:numPr>
          <w:ilvl w:val="0"/>
          <w:numId w:val="7"/>
        </w:numPr>
        <w:rPr>
          <w:rFonts w:ascii="Arial" w:cs="Arial" w:eastAsia="Arial" w:hAnsi="Arial"/>
          <w:sz w:val="18"/>
          <w:szCs w:val="18"/>
          <w:color w:val="auto"/>
        </w:rPr>
      </w:pPr>
      <w:r>
        <w:rPr>
          <w:rFonts w:ascii="Arial" w:cs="Arial" w:eastAsia="Arial" w:hAnsi="Arial"/>
          <w:sz w:val="18"/>
          <w:szCs w:val="18"/>
          <w:color w:val="auto"/>
        </w:rPr>
        <w:t>one-third of one redeemable warrant. Units: “CMLFU”</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Class A common stock: “CMLF”</w:t>
      </w:r>
    </w:p>
    <w:p>
      <w:pPr>
        <w:spacing w:after="0" w:line="18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Warrants: “CMLFW”</w:t>
      </w:r>
    </w:p>
    <w:p>
      <w:pPr>
        <w:spacing w:after="0" w:line="200" w:lineRule="exact"/>
        <w:rPr>
          <w:sz w:val="20"/>
          <w:szCs w:val="20"/>
          <w:color w:val="auto"/>
        </w:rPr>
      </w:pPr>
    </w:p>
    <w:p>
      <w:pPr>
        <w:spacing w:after="0" w:line="390" w:lineRule="exact"/>
        <w:rPr>
          <w:sz w:val="20"/>
          <w:szCs w:val="20"/>
          <w:color w:val="auto"/>
        </w:rPr>
      </w:pPr>
    </w:p>
    <w:p>
      <w:pPr>
        <w:ind w:right="579"/>
        <w:spacing w:after="0" w:line="235" w:lineRule="auto"/>
        <w:rPr>
          <w:sz w:val="20"/>
          <w:szCs w:val="20"/>
          <w:color w:val="auto"/>
        </w:rPr>
      </w:pPr>
      <w:r>
        <w:rPr>
          <w:rFonts w:ascii="Arial" w:cs="Arial" w:eastAsia="Arial" w:hAnsi="Arial"/>
          <w:sz w:val="18"/>
          <w:szCs w:val="18"/>
          <w:color w:val="auto"/>
        </w:rPr>
        <w:t>The units are expected to begin trading on or promptly after the date of this prospectus</w:t>
      </w:r>
      <w:r>
        <w:rPr>
          <w:rFonts w:ascii="Arial" w:cs="Arial" w:eastAsia="Arial" w:hAnsi="Arial"/>
          <w:sz w:val="18"/>
          <w:szCs w:val="18"/>
          <w:i w:val="1"/>
          <w:iCs w:val="1"/>
          <w:color w:val="auto"/>
        </w:rPr>
        <w:t>.</w:t>
      </w:r>
      <w:r>
        <w:rPr>
          <w:rFonts w:ascii="Arial" w:cs="Arial" w:eastAsia="Arial" w:hAnsi="Arial"/>
          <w:sz w:val="18"/>
          <w:szCs w:val="18"/>
          <w:color w:val="auto"/>
        </w:rPr>
        <w:t xml:space="preserve"> The shares of Class A common stock and warrants comprising the units will begin separate trading on the 52</w:t>
      </w:r>
      <w:r>
        <w:rPr>
          <w:rFonts w:ascii="Arial" w:cs="Arial" w:eastAsia="Arial" w:hAnsi="Arial"/>
          <w:sz w:val="20"/>
          <w:szCs w:val="20"/>
          <w:color w:val="auto"/>
          <w:vertAlign w:val="superscript"/>
        </w:rPr>
        <w:t>nd</w:t>
      </w:r>
      <w:r>
        <w:rPr>
          <w:rFonts w:ascii="Arial" w:cs="Arial" w:eastAsia="Arial" w:hAnsi="Arial"/>
          <w:sz w:val="18"/>
          <w:szCs w:val="18"/>
          <w:color w:val="auto"/>
        </w:rPr>
        <w:t xml:space="preserve"> day following the date of this prospectus unless Jefferies LLC informs us of its decision to allow earlier separate trading, subject to our having filed the Current Report on Form 8-K described below and having issued a press release announcing when such separate trading will begin</w:t>
      </w:r>
      <w:r>
        <w:rPr>
          <w:rFonts w:ascii="Arial" w:cs="Arial" w:eastAsia="Arial" w:hAnsi="Arial"/>
          <w:sz w:val="18"/>
          <w:szCs w:val="18"/>
          <w:i w:val="1"/>
          <w:iCs w:val="1"/>
          <w:color w:val="auto"/>
        </w:rPr>
        <w:t>.</w:t>
      </w:r>
      <w:r>
        <w:rPr>
          <w:rFonts w:ascii="Arial" w:cs="Arial" w:eastAsia="Arial" w:hAnsi="Arial"/>
          <w:sz w:val="18"/>
          <w:szCs w:val="18"/>
          <w:color w:val="auto"/>
        </w:rPr>
        <w:t xml:space="preserve"> Once the shares of Class A common stock and warrants commence separate trading, holders will have the option to continue to hold units or separate their units into the component securities</w:t>
      </w:r>
      <w:r>
        <w:rPr>
          <w:rFonts w:ascii="Arial" w:cs="Arial" w:eastAsia="Arial" w:hAnsi="Arial"/>
          <w:sz w:val="18"/>
          <w:szCs w:val="18"/>
          <w:i w:val="1"/>
          <w:iCs w:val="1"/>
          <w:color w:val="auto"/>
        </w:rPr>
        <w:t>.</w:t>
      </w:r>
      <w:r>
        <w:rPr>
          <w:rFonts w:ascii="Arial" w:cs="Arial" w:eastAsia="Arial" w:hAnsi="Arial"/>
          <w:sz w:val="18"/>
          <w:szCs w:val="18"/>
          <w:color w:val="auto"/>
        </w:rPr>
        <w:t xml:space="preserve"> Holders will need to have their brokers contact our transfer agent in order to separate the units into shares of Class A common stock and warrants</w:t>
      </w:r>
      <w:r>
        <w:rPr>
          <w:rFonts w:ascii="Arial" w:cs="Arial" w:eastAsia="Arial" w:hAnsi="Arial"/>
          <w:sz w:val="18"/>
          <w:szCs w:val="18"/>
          <w:i w:val="1"/>
          <w:iCs w:val="1"/>
          <w:color w:val="auto"/>
        </w:rPr>
        <w:t>.</w:t>
      </w:r>
      <w:r>
        <w:rPr>
          <w:rFonts w:ascii="Arial" w:cs="Arial" w:eastAsia="Arial" w:hAnsi="Arial"/>
          <w:sz w:val="18"/>
          <w:szCs w:val="18"/>
          <w:color w:val="auto"/>
        </w:rPr>
        <w:t xml:space="preserve"> No fractional warrants will be issued upon separation of the units and only whole warrants will trade</w:t>
      </w:r>
      <w:r>
        <w:rPr>
          <w:rFonts w:ascii="Arial" w:cs="Arial" w:eastAsia="Arial" w:hAnsi="Arial"/>
          <w:sz w:val="18"/>
          <w:szCs w:val="18"/>
          <w:i w:val="1"/>
          <w:iCs w:val="1"/>
          <w:color w:val="auto"/>
        </w:rPr>
        <w:t>.</w:t>
      </w:r>
      <w:r>
        <w:rPr>
          <w:rFonts w:ascii="Arial" w:cs="Arial" w:eastAsia="Arial" w:hAnsi="Arial"/>
          <w:sz w:val="18"/>
          <w:szCs w:val="18"/>
          <w:color w:val="auto"/>
        </w:rPr>
        <w:t xml:space="preserve"> Accordingly, unless you purchase at least three units, you will not be able to receive or trade a whole warrant.</w:t>
      </w:r>
    </w:p>
    <w:p>
      <w:pPr>
        <w:spacing w:after="0" w:line="200" w:lineRule="exact"/>
        <w:rPr>
          <w:sz w:val="20"/>
          <w:szCs w:val="20"/>
          <w:color w:val="auto"/>
        </w:rPr>
      </w:pPr>
    </w:p>
    <w:p>
      <w:pPr>
        <w:spacing w:after="0" w:line="368" w:lineRule="exact"/>
        <w:rPr>
          <w:sz w:val="20"/>
          <w:szCs w:val="20"/>
          <w:color w:val="auto"/>
        </w:rPr>
      </w:pPr>
    </w:p>
    <w:p>
      <w:pPr>
        <w:ind w:right="599"/>
        <w:spacing w:after="0" w:line="237" w:lineRule="auto"/>
        <w:rPr>
          <w:sz w:val="20"/>
          <w:szCs w:val="20"/>
          <w:color w:val="auto"/>
        </w:rPr>
      </w:pPr>
      <w:r>
        <w:rPr>
          <w:rFonts w:ascii="Arial" w:cs="Arial" w:eastAsia="Arial" w:hAnsi="Arial"/>
          <w:sz w:val="18"/>
          <w:szCs w:val="18"/>
          <w:color w:val="auto"/>
        </w:rPr>
        <w:t>In no event will the Class A common stock and warrants be traded separately until we have filed with the SEC a Current Report on Form 8-K which includes an audited balance sheet reflecting our receipt of the gross proceeds at the closing of this offering</w:t>
      </w:r>
      <w:r>
        <w:rPr>
          <w:rFonts w:ascii="Arial" w:cs="Arial" w:eastAsia="Arial" w:hAnsi="Arial"/>
          <w:sz w:val="18"/>
          <w:szCs w:val="18"/>
          <w:i w:val="1"/>
          <w:iCs w:val="1"/>
          <w:color w:val="auto"/>
        </w:rPr>
        <w:t>.</w:t>
      </w:r>
      <w:r>
        <w:rPr>
          <w:rFonts w:ascii="Arial" w:cs="Arial" w:eastAsia="Arial" w:hAnsi="Arial"/>
          <w:sz w:val="18"/>
          <w:szCs w:val="18"/>
          <w:color w:val="auto"/>
        </w:rPr>
        <w:t xml:space="preserve"> We will file the Current Report on Form 8-K promptly after the closing of this offering, which closing is anticipated to take place three business days from the date of this prospectus</w:t>
      </w:r>
      <w:r>
        <w:rPr>
          <w:rFonts w:ascii="Arial" w:cs="Arial" w:eastAsia="Arial" w:hAnsi="Arial"/>
          <w:sz w:val="18"/>
          <w:szCs w:val="18"/>
          <w:i w:val="1"/>
          <w:iCs w:val="1"/>
          <w:color w:val="auto"/>
        </w:rPr>
        <w:t>.</w:t>
      </w:r>
      <w:r>
        <w:rPr>
          <w:rFonts w:ascii="Arial" w:cs="Arial" w:eastAsia="Arial" w:hAnsi="Arial"/>
          <w:sz w:val="18"/>
          <w:szCs w:val="18"/>
          <w:color w:val="auto"/>
        </w:rPr>
        <w:t xml:space="preserve">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200" w:lineRule="exact"/>
        <w:rPr>
          <w:sz w:val="20"/>
          <w:szCs w:val="20"/>
          <w:color w:val="auto"/>
        </w:rPr>
      </w:pPr>
    </w:p>
    <w:p>
      <w:pPr>
        <w:sectPr>
          <w:pgSz w:w="11900" w:h="16838" w:orient="portrait"/>
          <w:cols w:equalWidth="0" w:num="2">
            <w:col w:w="4240" w:space="260"/>
            <w:col w:w="4519"/>
          </w:cols>
          <w:pgMar w:left="1440" w:top="533" w:right="1440" w:bottom="1440" w:gutter="0" w:footer="0" w:header="0"/>
          <w:type w:val="continuous"/>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26035</wp:posOffset>
            </wp:positionV>
            <wp:extent cx="51435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33" w:right="1440" w:bottom="1440" w:gutter="0" w:footer="0" w:header="0"/>
          <w:type w:val="continuous"/>
        </w:sectPr>
      </w:pPr>
    </w:p>
    <w:bookmarkStart w:id="14" w:name="page15"/>
    <w:bookmarkEnd w:id="14"/>
    <w:tbl>
      <w:tblPr>
        <w:tblLayout w:type="fixed"/>
        <w:tblInd w:w="540" w:type="dxa"/>
        <w:tblCellMar>
          <w:top w:w="0" w:type="dxa"/>
          <w:left w:w="0" w:type="dxa"/>
          <w:bottom w:w="0" w:type="dxa"/>
          <w:right w:w="0" w:type="dxa"/>
        </w:tblCellMar>
      </w:tblPr>
      <w:tr>
        <w:trPr>
          <w:trHeight w:val="243"/>
        </w:trPr>
        <w:tc>
          <w:tcPr>
            <w:tcW w:w="3420" w:type="dxa"/>
            <w:vAlign w:val="bottom"/>
          </w:tcPr>
          <w:p>
            <w:pPr>
              <w:spacing w:after="0"/>
              <w:rPr>
                <w:sz w:val="20"/>
                <w:szCs w:val="20"/>
                <w:color w:val="auto"/>
              </w:rPr>
            </w:pPr>
            <w:r>
              <w:rPr>
                <w:rFonts w:ascii="Arial" w:cs="Arial" w:eastAsia="Arial" w:hAnsi="Arial"/>
                <w:sz w:val="18"/>
                <w:szCs w:val="18"/>
                <w:color w:val="auto"/>
              </w:rPr>
              <w:t>Units:</w:t>
            </w:r>
          </w:p>
        </w:tc>
        <w:tc>
          <w:tcPr>
            <w:tcW w:w="1300" w:type="dxa"/>
            <w:vAlign w:val="bottom"/>
          </w:tcPr>
          <w:p>
            <w:pPr>
              <w:spacing w:after="0"/>
              <w:rPr>
                <w:sz w:val="21"/>
                <w:szCs w:val="21"/>
                <w:color w:val="auto"/>
              </w:rPr>
            </w:pP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Number outstanding before this offering</w:t>
            </w:r>
          </w:p>
        </w:tc>
        <w:tc>
          <w:tcPr>
            <w:tcW w:w="1300" w:type="dxa"/>
            <w:vAlign w:val="bottom"/>
          </w:tcPr>
          <w:p>
            <w:pPr>
              <w:ind w:left="260"/>
              <w:spacing w:after="0"/>
              <w:rPr>
                <w:sz w:val="20"/>
                <w:szCs w:val="20"/>
                <w:color w:val="auto"/>
              </w:rPr>
            </w:pPr>
            <w:r>
              <w:rPr>
                <w:rFonts w:ascii="Arial" w:cs="Arial" w:eastAsia="Arial" w:hAnsi="Arial"/>
                <w:sz w:val="18"/>
                <w:szCs w:val="18"/>
                <w:color w:val="auto"/>
              </w:rPr>
              <w:t>0</w:t>
            </w:r>
          </w:p>
        </w:tc>
      </w:tr>
      <w:tr>
        <w:trPr>
          <w:trHeight w:val="440"/>
        </w:trPr>
        <w:tc>
          <w:tcPr>
            <w:tcW w:w="3420" w:type="dxa"/>
            <w:vAlign w:val="bottom"/>
          </w:tcPr>
          <w:p>
            <w:pPr>
              <w:spacing w:after="0"/>
              <w:rPr>
                <w:sz w:val="20"/>
                <w:szCs w:val="20"/>
                <w:color w:val="auto"/>
              </w:rPr>
            </w:pPr>
            <w:r>
              <w:rPr>
                <w:rFonts w:ascii="Arial" w:cs="Arial" w:eastAsia="Arial" w:hAnsi="Arial"/>
                <w:sz w:val="18"/>
                <w:szCs w:val="18"/>
                <w:color w:val="auto"/>
              </w:rPr>
              <w:t>Number outstanding after this offering</w:t>
            </w:r>
          </w:p>
        </w:tc>
        <w:tc>
          <w:tcPr>
            <w:tcW w:w="1300" w:type="dxa"/>
            <w:vAlign w:val="bottom"/>
          </w:tcPr>
          <w:p>
            <w:pPr>
              <w:ind w:left="260"/>
              <w:spacing w:after="0"/>
              <w:rPr>
                <w:sz w:val="20"/>
                <w:szCs w:val="20"/>
                <w:color w:val="auto"/>
              </w:rPr>
            </w:pPr>
            <w:r>
              <w:rPr>
                <w:rFonts w:ascii="Arial" w:cs="Arial" w:eastAsia="Arial" w:hAnsi="Arial"/>
                <w:sz w:val="18"/>
                <w:szCs w:val="18"/>
                <w:color w:val="auto"/>
                <w:w w:val="95"/>
              </w:rPr>
              <w:t>38,500,000</w:t>
            </w:r>
            <w:r>
              <w:rPr>
                <w:rFonts w:ascii="Arial" w:cs="Arial" w:eastAsia="Arial" w:hAnsi="Arial"/>
                <w:sz w:val="20"/>
                <w:szCs w:val="20"/>
                <w:color w:val="auto"/>
                <w:w w:val="95"/>
                <w:vertAlign w:val="superscript"/>
              </w:rPr>
              <w:t>(1)</w:t>
            </w:r>
          </w:p>
        </w:tc>
      </w:tr>
      <w:tr>
        <w:trPr>
          <w:trHeight w:val="343"/>
        </w:trPr>
        <w:tc>
          <w:tcPr>
            <w:tcW w:w="3420" w:type="dxa"/>
            <w:vAlign w:val="bottom"/>
          </w:tcPr>
          <w:p>
            <w:pPr>
              <w:spacing w:after="0"/>
              <w:rPr>
                <w:sz w:val="20"/>
                <w:szCs w:val="20"/>
                <w:color w:val="auto"/>
              </w:rPr>
            </w:pPr>
            <w:r>
              <w:rPr>
                <w:rFonts w:ascii="Arial" w:cs="Arial" w:eastAsia="Arial" w:hAnsi="Arial"/>
                <w:sz w:val="18"/>
                <w:szCs w:val="18"/>
                <w:color w:val="auto"/>
              </w:rPr>
              <w:t>Common stock:</w:t>
            </w:r>
          </w:p>
        </w:tc>
        <w:tc>
          <w:tcPr>
            <w:tcW w:w="13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9019"/>
          </w:cols>
          <w:pgMar w:left="1440" w:top="495" w:right="1440" w:bottom="1440" w:gutter="0" w:footer="0" w:header="0"/>
        </w:sectPr>
      </w:pPr>
      <w:r>
        <w:rPr>
          <w:sz w:val="20"/>
          <w:szCs w:val="20"/>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60629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7310" cy="6062980"/>
                    </a:xfrm>
                    <a:prstGeom prst="rect">
                      <a:avLst/>
                    </a:prstGeom>
                    <a:noFill/>
                  </pic:spPr>
                </pic:pic>
              </a:graphicData>
            </a:graphic>
          </wp:anchor>
        </w:drawing>
      </w:r>
    </w:p>
    <w:p>
      <w:pPr>
        <w:spacing w:after="0" w:line="149" w:lineRule="exact"/>
        <w:rPr>
          <w:sz w:val="20"/>
          <w:szCs w:val="20"/>
          <w:color w:val="auto"/>
        </w:rPr>
      </w:pPr>
    </w:p>
    <w:p>
      <w:pPr>
        <w:ind w:left="540" w:right="400"/>
        <w:spacing w:after="0" w:line="453" w:lineRule="auto"/>
        <w:rPr>
          <w:sz w:val="20"/>
          <w:szCs w:val="20"/>
          <w:color w:val="auto"/>
        </w:rPr>
      </w:pPr>
      <w:r>
        <w:rPr>
          <w:rFonts w:ascii="Arial" w:cs="Arial" w:eastAsia="Arial" w:hAnsi="Arial"/>
          <w:sz w:val="18"/>
          <w:szCs w:val="18"/>
          <w:color w:val="auto"/>
        </w:rPr>
        <w:t>Number outstanding before this offering Number outstanding after this offering Warrants:</w:t>
      </w:r>
    </w:p>
    <w:p>
      <w:pPr>
        <w:spacing w:after="0" w:line="2" w:lineRule="exact"/>
        <w:rPr>
          <w:sz w:val="20"/>
          <w:szCs w:val="20"/>
          <w:color w:val="auto"/>
        </w:rPr>
      </w:pPr>
    </w:p>
    <w:p>
      <w:pPr>
        <w:jc w:val="both"/>
        <w:ind w:left="720" w:hanging="179"/>
        <w:spacing w:after="0" w:line="255" w:lineRule="auto"/>
        <w:rPr>
          <w:sz w:val="20"/>
          <w:szCs w:val="20"/>
          <w:color w:val="auto"/>
        </w:rPr>
      </w:pPr>
      <w:r>
        <w:rPr>
          <w:rFonts w:ascii="Arial" w:cs="Arial" w:eastAsia="Arial" w:hAnsi="Arial"/>
          <w:sz w:val="18"/>
          <w:szCs w:val="18"/>
          <w:color w:val="auto"/>
        </w:rPr>
        <w:t>Number of private placement warrants to be sold in a private placement simultaneously with this offering</w:t>
      </w:r>
    </w:p>
    <w:p>
      <w:pPr>
        <w:spacing w:after="0" w:line="137" w:lineRule="exact"/>
        <w:rPr>
          <w:sz w:val="20"/>
          <w:szCs w:val="20"/>
          <w:color w:val="auto"/>
        </w:rPr>
      </w:pPr>
    </w:p>
    <w:p>
      <w:pPr>
        <w:jc w:val="center"/>
        <w:ind w:left="540" w:right="140"/>
        <w:spacing w:after="0" w:line="306" w:lineRule="auto"/>
        <w:rPr>
          <w:sz w:val="20"/>
          <w:szCs w:val="20"/>
          <w:color w:val="auto"/>
        </w:rPr>
      </w:pPr>
      <w:r>
        <w:rPr>
          <w:rFonts w:ascii="Arial" w:cs="Arial" w:eastAsia="Arial" w:hAnsi="Arial"/>
          <w:sz w:val="17"/>
          <w:szCs w:val="17"/>
          <w:color w:val="auto"/>
        </w:rPr>
        <w:t>Number of warrants to be outstanding after this offering and the private placement</w:t>
      </w:r>
    </w:p>
    <w:p>
      <w:pPr>
        <w:spacing w:after="0" w:line="9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Exercisability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____________</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11,068,750</w:t>
      </w:r>
      <w:r>
        <w:rPr>
          <w:rFonts w:ascii="Arial" w:cs="Arial" w:eastAsia="Arial" w:hAnsi="Arial"/>
          <w:sz w:val="20"/>
          <w:szCs w:val="20"/>
          <w:color w:val="auto"/>
          <w:vertAlign w:val="superscript"/>
        </w:rPr>
        <w:t>(2)(3)</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48,125,000</w:t>
      </w:r>
      <w:r>
        <w:rPr>
          <w:rFonts w:ascii="Arial" w:cs="Arial" w:eastAsia="Arial" w:hAnsi="Arial"/>
          <w:sz w:val="20"/>
          <w:szCs w:val="20"/>
          <w:color w:val="auto"/>
          <w:vertAlign w:val="superscript"/>
        </w:rPr>
        <w:t>(1)(3)(4)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6,466,667</w:t>
      </w:r>
      <w:r>
        <w:rPr>
          <w:rFonts w:ascii="Arial" w:cs="Arial" w:eastAsia="Arial" w:hAnsi="Arial"/>
          <w:sz w:val="20"/>
          <w:szCs w:val="20"/>
          <w:color w:val="auto"/>
          <w:vertAlign w:val="superscript"/>
        </w:rPr>
        <w:t>(1)</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19,300,000</w:t>
      </w:r>
      <w:r>
        <w:rPr>
          <w:rFonts w:ascii="Arial" w:cs="Arial" w:eastAsia="Arial" w:hAnsi="Arial"/>
          <w:sz w:val="20"/>
          <w:szCs w:val="20"/>
          <w:color w:val="auto"/>
          <w:vertAlign w:val="superscript"/>
        </w:rPr>
        <w:t>(1)</w:t>
      </w:r>
    </w:p>
    <w:p>
      <w:pPr>
        <w:spacing w:after="0" w:line="162" w:lineRule="exact"/>
        <w:rPr>
          <w:sz w:val="20"/>
          <w:szCs w:val="20"/>
          <w:color w:val="auto"/>
        </w:rPr>
      </w:pPr>
    </w:p>
    <w:p>
      <w:pPr>
        <w:ind w:right="579"/>
        <w:spacing w:after="0" w:line="245" w:lineRule="auto"/>
        <w:rPr>
          <w:sz w:val="20"/>
          <w:szCs w:val="20"/>
          <w:color w:val="auto"/>
        </w:rPr>
      </w:pPr>
      <w:r>
        <w:rPr>
          <w:rFonts w:ascii="Arial" w:cs="Arial" w:eastAsia="Arial" w:hAnsi="Arial"/>
          <w:sz w:val="18"/>
          <w:szCs w:val="18"/>
          <w:color w:val="auto"/>
        </w:rPr>
        <w:t>Each whole warrant offered in this offering is exercisable to purchase one share of Class A common stock. Only whole warrants are exercisable. No fractional warrants will be issued upon separation of the units and only whole warrants will trade.</w:t>
      </w:r>
    </w:p>
    <w:p>
      <w:pPr>
        <w:spacing w:after="0" w:line="145" w:lineRule="exact"/>
        <w:rPr>
          <w:sz w:val="20"/>
          <w:szCs w:val="20"/>
          <w:color w:val="auto"/>
        </w:rPr>
      </w:pPr>
    </w:p>
    <w:p>
      <w:pPr>
        <w:ind w:right="579"/>
        <w:spacing w:after="0" w:line="239" w:lineRule="auto"/>
        <w:rPr>
          <w:sz w:val="20"/>
          <w:szCs w:val="20"/>
          <w:color w:val="auto"/>
        </w:rPr>
      </w:pPr>
      <w:r>
        <w:rPr>
          <w:rFonts w:ascii="Arial" w:cs="Arial" w:eastAsia="Arial" w:hAnsi="Arial"/>
          <w:sz w:val="18"/>
          <w:szCs w:val="18"/>
          <w:color w:val="auto"/>
        </w:rPr>
        <w:t>We structured each unit to contain one-third of one warrant, with each whole warrant exercisable for one share of Class A common stock, as compared to units issued by some other similar special purpose acquisition companies which contain whole warrants exercisable for one whole share, in order to reduce the dilutive effect of the warrants upon completion of a business combination as compared to units that each contain a whole warrant to purchase one whole share, thus making us, we believe, a more attractive business combination partner for target businesses.</w:t>
      </w:r>
    </w:p>
    <w:p>
      <w:pPr>
        <w:spacing w:after="0" w:line="260" w:lineRule="exact"/>
        <w:rPr>
          <w:sz w:val="20"/>
          <w:szCs w:val="20"/>
          <w:color w:val="auto"/>
        </w:rPr>
      </w:pPr>
    </w:p>
    <w:p>
      <w:pPr>
        <w:sectPr>
          <w:pgSz w:w="11900" w:h="16838" w:orient="portrait"/>
          <w:cols w:equalWidth="0" w:num="2">
            <w:col w:w="4100" w:space="120"/>
            <w:col w:w="4799"/>
          </w:cols>
          <w:pgMar w:left="1440" w:top="495" w:right="1440" w:bottom="1440" w:gutter="0" w:footer="0" w:header="0"/>
          <w:type w:val="continuous"/>
        </w:sectPr>
      </w:pPr>
    </w:p>
    <w:p>
      <w:pPr>
        <w:ind w:left="980" w:right="719" w:hanging="436"/>
        <w:spacing w:after="0" w:line="216" w:lineRule="auto"/>
        <w:tabs>
          <w:tab w:leader="none" w:pos="975" w:val="left"/>
        </w:tabs>
        <w:numPr>
          <w:ilvl w:val="0"/>
          <w:numId w:val="8"/>
        </w:numPr>
        <w:rPr>
          <w:rFonts w:ascii="Arial" w:cs="Arial" w:eastAsia="Arial" w:hAnsi="Arial"/>
          <w:sz w:val="13"/>
          <w:szCs w:val="13"/>
          <w:color w:val="auto"/>
        </w:rPr>
      </w:pPr>
      <w:r>
        <w:rPr>
          <w:rFonts w:ascii="Arial" w:cs="Arial" w:eastAsia="Arial" w:hAnsi="Arial"/>
          <w:sz w:val="13"/>
          <w:szCs w:val="13"/>
          <w:color w:val="auto"/>
        </w:rPr>
        <w:t>Assumes no exercise of the underwriters’ over-allotment option and the forfeiture by our sponsor of 1,443,750 founder shares for no consideration.</w:t>
      </w:r>
    </w:p>
    <w:p>
      <w:pPr>
        <w:ind w:left="980" w:right="619" w:hanging="436"/>
        <w:spacing w:after="0" w:line="216" w:lineRule="auto"/>
        <w:tabs>
          <w:tab w:leader="none" w:pos="982" w:val="left"/>
        </w:tabs>
        <w:numPr>
          <w:ilvl w:val="0"/>
          <w:numId w:val="8"/>
        </w:numPr>
        <w:rPr>
          <w:rFonts w:ascii="Arial" w:cs="Arial" w:eastAsia="Arial" w:hAnsi="Arial"/>
          <w:sz w:val="13"/>
          <w:szCs w:val="13"/>
          <w:color w:val="auto"/>
        </w:rPr>
      </w:pPr>
      <w:r>
        <w:rPr>
          <w:rFonts w:ascii="Arial" w:cs="Arial" w:eastAsia="Arial" w:hAnsi="Arial"/>
          <w:sz w:val="13"/>
          <w:szCs w:val="13"/>
          <w:color w:val="auto"/>
        </w:rPr>
        <w:t>Includes up to 1,443,750 founder shares that will be forfeited by our sponsor depending on the extent to which the underwriters’ over-allotment option is exercised.</w:t>
      </w:r>
    </w:p>
    <w:p>
      <w:pPr>
        <w:ind w:left="980" w:right="659" w:hanging="436"/>
        <w:spacing w:after="0" w:line="234" w:lineRule="auto"/>
        <w:tabs>
          <w:tab w:leader="none" w:pos="982" w:val="left"/>
        </w:tabs>
        <w:numPr>
          <w:ilvl w:val="0"/>
          <w:numId w:val="8"/>
        </w:numPr>
        <w:rPr>
          <w:rFonts w:ascii="Arial" w:cs="Arial" w:eastAsia="Arial" w:hAnsi="Arial"/>
          <w:sz w:val="12"/>
          <w:szCs w:val="12"/>
          <w:color w:val="auto"/>
        </w:rPr>
      </w:pPr>
      <w:r>
        <w:rPr>
          <w:rFonts w:ascii="Arial" w:cs="Arial" w:eastAsia="Arial" w:hAnsi="Arial"/>
          <w:sz w:val="12"/>
          <w:szCs w:val="12"/>
          <w:color w:val="auto"/>
        </w:rPr>
        <w:t>Founder shares are currently classified as shares of Class B common stock, which shares will automatically convert into shares of Class A common stock concurrently with or immediately following the consummation of our initial business combination on a one-for-one basis, subject to adjustment as described below adjacent to the caption “Founder shares conversion and anti-dilution rights.”</w:t>
      </w:r>
    </w:p>
    <w:p>
      <w:pPr>
        <w:spacing w:after="0" w:line="1" w:lineRule="exact"/>
        <w:rPr>
          <w:rFonts w:ascii="Arial" w:cs="Arial" w:eastAsia="Arial" w:hAnsi="Arial"/>
          <w:sz w:val="12"/>
          <w:szCs w:val="12"/>
          <w:color w:val="auto"/>
        </w:rPr>
      </w:pPr>
    </w:p>
    <w:p>
      <w:pPr>
        <w:ind w:left="980" w:hanging="436"/>
        <w:spacing w:after="0"/>
        <w:tabs>
          <w:tab w:leader="none" w:pos="980" w:val="left"/>
        </w:tabs>
        <w:numPr>
          <w:ilvl w:val="0"/>
          <w:numId w:val="8"/>
        </w:numPr>
        <w:rPr>
          <w:rFonts w:ascii="Arial" w:cs="Arial" w:eastAsia="Arial" w:hAnsi="Arial"/>
          <w:sz w:val="13"/>
          <w:szCs w:val="13"/>
          <w:color w:val="auto"/>
        </w:rPr>
      </w:pPr>
      <w:r>
        <w:rPr>
          <w:rFonts w:ascii="Arial" w:cs="Arial" w:eastAsia="Arial" w:hAnsi="Arial"/>
          <w:sz w:val="13"/>
          <w:szCs w:val="13"/>
          <w:color w:val="auto"/>
        </w:rPr>
        <w:t>Includes 38,500,000 public shares and 9,625,000 founder shares.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95" w:right="1440" w:bottom="1440" w:gutter="0" w:footer="0" w:header="0"/>
          <w:type w:val="continuous"/>
        </w:sectPr>
      </w:pPr>
    </w:p>
    <w:bookmarkStart w:id="15" w:name="page16"/>
    <w:bookmarkEnd w:id="15"/>
    <w:p>
      <w:pPr>
        <w:ind w:left="540"/>
        <w:spacing w:after="0"/>
        <w:tabs>
          <w:tab w:leader="none" w:pos="37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93287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7310" cy="9328785"/>
                    </a:xfrm>
                    <a:prstGeom prst="rect">
                      <a:avLst/>
                    </a:prstGeom>
                    <a:noFill/>
                  </pic:spPr>
                </pic:pic>
              </a:graphicData>
            </a:graphic>
          </wp:anchor>
        </w:drawing>
        <w:t>Exercise price</w:t>
      </w:r>
      <w:r>
        <w:rPr>
          <w:sz w:val="20"/>
          <w:szCs w:val="20"/>
          <w:color w:val="auto"/>
        </w:rPr>
        <w:tab/>
      </w:r>
      <w:r>
        <w:rPr>
          <w:rFonts w:ascii="Arial" w:cs="Arial" w:eastAsia="Arial" w:hAnsi="Arial"/>
          <w:sz w:val="17"/>
          <w:szCs w:val="17"/>
          <w:color w:val="auto"/>
        </w:rPr>
        <w:t>$11.50 per share, subject to adjustments as described</w:t>
      </w:r>
    </w:p>
    <w:p>
      <w:pPr>
        <w:spacing w:after="0" w:line="18" w:lineRule="exact"/>
        <w:rPr>
          <w:sz w:val="20"/>
          <w:szCs w:val="20"/>
          <w:color w:val="auto"/>
        </w:rPr>
      </w:pPr>
    </w:p>
    <w:p>
      <w:pPr>
        <w:ind w:left="3720" w:right="579"/>
        <w:spacing w:after="0" w:line="235" w:lineRule="auto"/>
        <w:rPr>
          <w:sz w:val="20"/>
          <w:szCs w:val="20"/>
          <w:color w:val="auto"/>
        </w:rPr>
      </w:pPr>
      <w:r>
        <w:rPr>
          <w:rFonts w:ascii="Arial" w:cs="Arial" w:eastAsia="Arial" w:hAnsi="Arial"/>
          <w:sz w:val="18"/>
          <w:szCs w:val="18"/>
          <w:color w:val="auto"/>
        </w:rPr>
        <w:t>herein. In addition, if (x) we issue additional shares of Class A common stock or equity-linked securities for capital raising purposes in connection with the closing of our initial business combination (excluding any issuance of forward purchase shares) at an issue price or effective issue price of less than $9.20 per share of Class A common stock (with such issue price or effective issue price to be determined in good faith by our board of directors and, in the case of any such issuance to our initial stockholders or their affiliates, without taking into account any founder shares held by our initial stockholders or such affiliates, as applicable, prior to such issuance) (the “Newly Issued Price”),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volume weighted average trading price of our Class A common stock during the 20 trading day period starting on the trading day after the day on which we consummate our initial business combination (such price, the “Market Value”) is below $9.20 per share, the exercise price of the warrants will be adjusted (to the nearest cent) to be equal to 115% of the higher of the Market Value and the Newly Issued Price, the $18.00 per share redemption trigger price described adjacent to “Redemption of warrants when the price per share of Class A common stock equals or exceeds $18.00” will be adjusted (to the nearest cent) to be equal to 180% of the higher of the Market Value and the Newly Issued Price, and the $10.00 per share redemption trigger price described adjacent to the caption “Redemption of warrants when the price per share of Class A common Stock equals or exceeds $10.00” will be adjusted (to the nearest cent) to be equal to the higher of the Market Value and the Newly Issued Price.</w:t>
      </w:r>
    </w:p>
    <w:p>
      <w:pPr>
        <w:spacing w:after="0" w:line="161" w:lineRule="exact"/>
        <w:rPr>
          <w:sz w:val="20"/>
          <w:szCs w:val="20"/>
          <w:color w:val="auto"/>
        </w:rPr>
      </w:pPr>
    </w:p>
    <w:p>
      <w:pPr>
        <w:ind w:left="540"/>
        <w:spacing w:after="0"/>
        <w:tabs>
          <w:tab w:leader="none" w:pos="3700" w:val="left"/>
        </w:tabs>
        <w:rPr>
          <w:sz w:val="20"/>
          <w:szCs w:val="20"/>
          <w:color w:val="auto"/>
        </w:rPr>
      </w:pPr>
      <w:r>
        <w:rPr>
          <w:rFonts w:ascii="Arial" w:cs="Arial" w:eastAsia="Arial" w:hAnsi="Arial"/>
          <w:sz w:val="18"/>
          <w:szCs w:val="18"/>
          <w:color w:val="auto"/>
        </w:rPr>
        <w:t>Exercise period</w:t>
      </w:r>
      <w:r>
        <w:rPr>
          <w:sz w:val="20"/>
          <w:szCs w:val="20"/>
          <w:color w:val="auto"/>
        </w:rPr>
        <w:tab/>
      </w:r>
      <w:r>
        <w:rPr>
          <w:rFonts w:ascii="Arial" w:cs="Arial" w:eastAsia="Arial" w:hAnsi="Arial"/>
          <w:sz w:val="18"/>
          <w:szCs w:val="18"/>
          <w:color w:val="auto"/>
        </w:rPr>
        <w:t>The warrants will become exercisable on the later of:</w:t>
      </w:r>
    </w:p>
    <w:p>
      <w:pPr>
        <w:spacing w:after="0" w:line="104"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 30 days after the completion of our initial business</w:t>
      </w:r>
    </w:p>
    <w:p>
      <w:pPr>
        <w:spacing w:after="0" w:line="18"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combination, and</w:t>
      </w:r>
    </w:p>
    <w:p>
      <w:pPr>
        <w:spacing w:after="0" w:line="82"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 12 months from the closing of this offering;</w:t>
      </w:r>
    </w:p>
    <w:p>
      <w:pPr>
        <w:spacing w:after="0" w:line="131" w:lineRule="exact"/>
        <w:rPr>
          <w:sz w:val="20"/>
          <w:szCs w:val="20"/>
          <w:color w:val="auto"/>
        </w:rPr>
      </w:pPr>
    </w:p>
    <w:p>
      <w:pPr>
        <w:ind w:left="3720" w:right="559"/>
        <w:spacing w:after="0" w:line="238" w:lineRule="auto"/>
        <w:rPr>
          <w:sz w:val="20"/>
          <w:szCs w:val="20"/>
          <w:color w:val="auto"/>
        </w:rPr>
      </w:pPr>
      <w:r>
        <w:rPr>
          <w:rFonts w:ascii="Arial" w:cs="Arial" w:eastAsia="Arial" w:hAnsi="Arial"/>
          <w:sz w:val="18"/>
          <w:szCs w:val="18"/>
          <w:color w:val="auto"/>
        </w:rPr>
        <w:t>provided in each case that we have an effective registration statement under the Securities Act covering the shares of Class A common stock issuable upon exercise of the warrants and a current prospectus relating to them is available and such shares are registered, qualified or exempt from registration under the securities, or blue sky, laws of the state of residence of the holder (or we permit holders to exercise their warrants on a cashless basis under the circumstances specified in the warrant agreement). If and when the warrants become redeemable by us, we may exercise our redemption right even if we are unable to register or qualify the underlying securities for sale under all applicable state securities laws.</w:t>
      </w:r>
    </w:p>
    <w:p>
      <w:pPr>
        <w:spacing w:after="0" w:line="153" w:lineRule="exact"/>
        <w:rPr>
          <w:sz w:val="20"/>
          <w:szCs w:val="20"/>
          <w:color w:val="auto"/>
        </w:rPr>
      </w:pPr>
    </w:p>
    <w:p>
      <w:pPr>
        <w:ind w:left="3720" w:right="579"/>
        <w:spacing w:after="0" w:line="239" w:lineRule="auto"/>
        <w:rPr>
          <w:sz w:val="20"/>
          <w:szCs w:val="20"/>
          <w:color w:val="auto"/>
        </w:rPr>
      </w:pPr>
      <w:r>
        <w:rPr>
          <w:rFonts w:ascii="Arial" w:cs="Arial" w:eastAsia="Arial" w:hAnsi="Arial"/>
          <w:sz w:val="18"/>
          <w:szCs w:val="18"/>
          <w:color w:val="auto"/>
        </w:rPr>
        <w:t>We are not registering the shares of Class A common stock issuable upon exercise of the warrants at this time. However, we have agreed that as soon as practicable, but in no event later than 15 business days after the closing of our initial business combination, we will use our best efforts to file with the SEC and have an effective registration statement covering the shares of Class A common stock issuable upon exercise of the warrants and to maintain a current prospectus relating to those shares of Class A common stock until the warrants expire or are redeemed, as specified in the warrant</w:t>
      </w:r>
    </w:p>
    <w:p>
      <w:pPr>
        <w:sectPr>
          <w:pgSz w:w="11900" w:h="16838" w:orient="portrait"/>
          <w:cols w:equalWidth="0" w:num="1">
            <w:col w:w="9019"/>
          </w:cols>
          <w:pgMar w:left="1440" w:top="495" w:right="1440" w:bottom="1098"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19050</wp:posOffset>
            </wp:positionV>
            <wp:extent cx="51435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495" w:right="1440" w:bottom="1098" w:gutter="0" w:footer="0" w:header="0"/>
          <w:type w:val="continuous"/>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720" w:hanging="179"/>
        <w:spacing w:after="0" w:line="277" w:lineRule="auto"/>
        <w:rPr>
          <w:sz w:val="20"/>
          <w:szCs w:val="20"/>
          <w:color w:val="auto"/>
        </w:rPr>
      </w:pPr>
      <w:r>
        <w:rPr>
          <w:rFonts w:ascii="Arial" w:cs="Arial" w:eastAsia="Arial" w:hAnsi="Arial"/>
          <w:sz w:val="17"/>
          <w:szCs w:val="17"/>
          <w:color w:val="auto"/>
        </w:rPr>
        <w:t>Redemption of warrants when the price per share of Class A common stock equals or exceeds $18.00</w:t>
      </w:r>
    </w:p>
    <w:p>
      <w:pPr>
        <w:spacing w:after="0" w:line="20" w:lineRule="exact"/>
        <w:rPr>
          <w:sz w:val="20"/>
          <w:szCs w:val="20"/>
          <w:color w:val="auto"/>
        </w:rPr>
      </w:pPr>
      <w:r>
        <w:rPr>
          <w:sz w:val="20"/>
          <w:szCs w:val="20"/>
          <w:color w:val="auto"/>
        </w:rPr>
        <w:br w:type="column"/>
      </w:r>
    </w:p>
    <w:p>
      <w:pPr>
        <w:ind w:right="599"/>
        <w:spacing w:after="0" w:line="235" w:lineRule="auto"/>
        <w:rPr>
          <w:sz w:val="20"/>
          <w:szCs w:val="20"/>
          <w:color w:val="auto"/>
        </w:rPr>
      </w:pPr>
      <w:r>
        <w:rPr>
          <w:rFonts w:ascii="Arial" w:cs="Arial" w:eastAsia="Arial" w:hAnsi="Arial"/>
          <w:sz w:val="18"/>
          <w:szCs w:val="18"/>
          <w:color w:val="auto"/>
        </w:rPr>
        <w:t>agreement. If a registration statement covering the Class A common stock issuable upon exercise of the warrants is not effective by the 60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business day after the closing of our initial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Notwithstanding the above, if our shares of Class A common stock are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best efforts to register or qualify the shares under applicable blue sky laws to the extent an exemption is not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-3070225</wp:posOffset>
            </wp:positionV>
            <wp:extent cx="5147310" cy="90633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7310" cy="9063355"/>
                    </a:xfrm>
                    <a:prstGeom prst="rect">
                      <a:avLst/>
                    </a:prstGeom>
                    <a:noFill/>
                  </pic:spPr>
                </pic:pic>
              </a:graphicData>
            </a:graphic>
          </wp:anchor>
        </w:drawing>
      </w:r>
    </w:p>
    <w:p>
      <w:pPr>
        <w:spacing w:after="0" w:line="143" w:lineRule="exact"/>
        <w:rPr>
          <w:sz w:val="20"/>
          <w:szCs w:val="20"/>
          <w:color w:val="auto"/>
        </w:rPr>
      </w:pPr>
    </w:p>
    <w:p>
      <w:pPr>
        <w:ind w:right="659"/>
        <w:spacing w:after="0" w:line="245" w:lineRule="auto"/>
        <w:rPr>
          <w:sz w:val="20"/>
          <w:szCs w:val="20"/>
          <w:color w:val="auto"/>
        </w:rPr>
      </w:pPr>
      <w:r>
        <w:rPr>
          <w:rFonts w:ascii="Arial" w:cs="Arial" w:eastAsia="Arial" w:hAnsi="Arial"/>
          <w:sz w:val="18"/>
          <w:szCs w:val="18"/>
          <w:color w:val="auto"/>
        </w:rPr>
        <w:t>The warrants will expire at 5:00 p.m., New York City time, five years after the completion of our initial business combination or earlier upon redemption or liquidation. On the exercise of any warrant, the warrant exercise price will be paid directly to us and not placed in the trust account.</w:t>
      </w:r>
    </w:p>
    <w:p>
      <w:pPr>
        <w:spacing w:after="0" w:line="200" w:lineRule="exact"/>
        <w:rPr>
          <w:sz w:val="20"/>
          <w:szCs w:val="20"/>
          <w:color w:val="auto"/>
        </w:rPr>
      </w:pPr>
    </w:p>
    <w:p>
      <w:pPr>
        <w:spacing w:after="0" w:line="350" w:lineRule="exact"/>
        <w:rPr>
          <w:sz w:val="20"/>
          <w:szCs w:val="20"/>
          <w:color w:val="auto"/>
        </w:rPr>
      </w:pPr>
    </w:p>
    <w:p>
      <w:pPr>
        <w:ind w:right="779"/>
        <w:spacing w:after="0" w:line="255" w:lineRule="auto"/>
        <w:rPr>
          <w:sz w:val="20"/>
          <w:szCs w:val="20"/>
          <w:color w:val="auto"/>
        </w:rPr>
      </w:pPr>
      <w:r>
        <w:rPr>
          <w:rFonts w:ascii="Arial" w:cs="Arial" w:eastAsia="Arial" w:hAnsi="Arial"/>
          <w:sz w:val="18"/>
          <w:szCs w:val="18"/>
          <w:color w:val="auto"/>
        </w:rPr>
        <w:t>Once the warrants become exercisable, we may redeem the outstanding warrants for cash (except as described herein with respect to the private placement warrants):</w:t>
      </w:r>
    </w:p>
    <w:p>
      <w:pPr>
        <w:spacing w:after="0" w:line="137" w:lineRule="exact"/>
        <w:rPr>
          <w:sz w:val="20"/>
          <w:szCs w:val="20"/>
          <w:color w:val="auto"/>
        </w:rPr>
      </w:pPr>
    </w:p>
    <w:p>
      <w:pPr>
        <w:ind w:left="440" w:hanging="21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84" w:lineRule="exact"/>
        <w:rPr>
          <w:rFonts w:ascii="Arial" w:cs="Arial" w:eastAsia="Arial" w:hAnsi="Arial"/>
          <w:sz w:val="18"/>
          <w:szCs w:val="18"/>
          <w:color w:val="auto"/>
        </w:rPr>
      </w:pPr>
    </w:p>
    <w:p>
      <w:pPr>
        <w:ind w:left="440" w:hanging="21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84" w:lineRule="exact"/>
        <w:rPr>
          <w:rFonts w:ascii="Arial" w:cs="Arial" w:eastAsia="Arial" w:hAnsi="Arial"/>
          <w:sz w:val="18"/>
          <w:szCs w:val="18"/>
          <w:color w:val="auto"/>
        </w:rPr>
      </w:pPr>
    </w:p>
    <w:p>
      <w:pPr>
        <w:ind w:left="440" w:right="899" w:hanging="214"/>
        <w:spacing w:after="0" w:line="255" w:lineRule="auto"/>
        <w:tabs>
          <w:tab w:leader="none" w:pos="437" w:val="left"/>
        </w:tabs>
        <w:numPr>
          <w:ilvl w:val="0"/>
          <w:numId w:val="9"/>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which we refer to as the 30-day redemption period; and</w:t>
      </w:r>
    </w:p>
    <w:p>
      <w:pPr>
        <w:spacing w:after="0" w:line="136" w:lineRule="exact"/>
        <w:rPr>
          <w:rFonts w:ascii="Arial" w:cs="Arial" w:eastAsia="Arial" w:hAnsi="Arial"/>
          <w:sz w:val="18"/>
          <w:szCs w:val="18"/>
          <w:color w:val="auto"/>
        </w:rPr>
      </w:pPr>
    </w:p>
    <w:p>
      <w:pPr>
        <w:ind w:left="440" w:right="619" w:hanging="214"/>
        <w:spacing w:after="0" w:line="239" w:lineRule="auto"/>
        <w:tabs>
          <w:tab w:leader="none" w:pos="437"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and only if, the closing price of our Class A common stock equals or exceeds $18.00 per share (as adjusted for adjustments to the number of shares issuable upon exercise or the exercise price of a warrant as described under the heading “Description of Securities — Warrants — Public Stockholders’ Warrants — Anti-Dilution Adjustments) for any 20 trading days within a 30-trading day period ending on the third trading day prior to the date on which we send the notice of redemption to the warrant holders.</w:t>
      </w:r>
    </w:p>
    <w:p>
      <w:pPr>
        <w:spacing w:after="0" w:line="153" w:lineRule="exact"/>
        <w:rPr>
          <w:sz w:val="20"/>
          <w:szCs w:val="20"/>
          <w:color w:val="auto"/>
        </w:rPr>
      </w:pPr>
    </w:p>
    <w:p>
      <w:pPr>
        <w:ind w:right="559"/>
        <w:spacing w:after="0" w:line="238" w:lineRule="auto"/>
        <w:rPr>
          <w:sz w:val="20"/>
          <w:szCs w:val="20"/>
          <w:color w:val="auto"/>
        </w:rPr>
      </w:pPr>
      <w:r>
        <w:rPr>
          <w:rFonts w:ascii="Arial" w:cs="Arial" w:eastAsia="Arial" w:hAnsi="Arial"/>
          <w:sz w:val="18"/>
          <w:szCs w:val="18"/>
          <w:color w:val="auto"/>
        </w:rPr>
        <w:t>We will not redeem the warrants as described above unless an effective registration statement under the Securities Act covering the Class A common stock issuable upon exercise of the warrants is effective and a current prospectus relating to those shares of Class A common stock is available throughout the 30-day redemption period. If and when the warrants become redeemable by us, we may exercise our redemption right even if we are unable to register or qualify the underlying securities for sale under all applicable state laws. Except as described below, none of the private placement warrants will be redeemable by us so long as they are held by the initial purchasers or their permitted transferees.</w:t>
      </w:r>
    </w:p>
    <w:p>
      <w:pPr>
        <w:spacing w:after="0" w:line="200" w:lineRule="exact"/>
        <w:rPr>
          <w:sz w:val="20"/>
          <w:szCs w:val="20"/>
          <w:color w:val="auto"/>
        </w:rPr>
      </w:pPr>
    </w:p>
    <w:p>
      <w:pPr>
        <w:sectPr>
          <w:pgSz w:w="11900" w:h="16838" w:orient="portrait"/>
          <w:cols w:equalWidth="0" w:num="2">
            <w:col w:w="3520" w:space="200"/>
            <w:col w:w="5299"/>
          </w:cols>
          <w:pgMar w:left="1440" w:top="495" w:right="1440" w:bottom="1440" w:gutter="0" w:footer="0" w:header="0"/>
        </w:sect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19050</wp:posOffset>
            </wp:positionV>
            <wp:extent cx="51435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495" w:right="1440" w:bottom="1440" w:gutter="0" w:footer="0" w:header="0"/>
          <w:type w:val="continuous"/>
        </w:sectPr>
      </w:pPr>
    </w:p>
    <w:bookmarkStart w:id="17" w:name="page18"/>
    <w:bookmarkEnd w:id="17"/>
    <w:p>
      <w:pPr>
        <w:ind w:left="720" w:hanging="179"/>
        <w:spacing w:after="0" w:line="277" w:lineRule="auto"/>
        <w:rPr>
          <w:sz w:val="20"/>
          <w:szCs w:val="20"/>
          <w:color w:val="auto"/>
        </w:rPr>
      </w:pPr>
      <w:r>
        <w:rPr>
          <w:rFonts w:ascii="Arial" w:cs="Arial" w:eastAsia="Arial" w:hAnsi="Arial"/>
          <w:sz w:val="17"/>
          <w:szCs w:val="17"/>
          <w:color w:val="auto"/>
        </w:rPr>
        <w:t>Redemption of warrants when the price per share of Class A common stock equals or exceeds $10.00</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ind w:right="779"/>
        <w:spacing w:after="0" w:line="276" w:lineRule="auto"/>
        <w:rPr>
          <w:sz w:val="20"/>
          <w:szCs w:val="20"/>
          <w:color w:val="auto"/>
        </w:rPr>
      </w:pPr>
      <w:r>
        <w:rPr>
          <w:rFonts w:ascii="Arial" w:cs="Arial" w:eastAsia="Arial" w:hAnsi="Arial"/>
          <w:sz w:val="18"/>
          <w:szCs w:val="18"/>
          <w:color w:val="auto"/>
        </w:rPr>
        <w:t>Once the warrants become exercisable, we may redeem the outstanding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-784225</wp:posOffset>
            </wp:positionV>
            <wp:extent cx="5147310" cy="8943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7310" cy="8943340"/>
                    </a:xfrm>
                    <a:prstGeom prst="rect">
                      <a:avLst/>
                    </a:prstGeom>
                    <a:noFill/>
                  </pic:spPr>
                </pic:pic>
              </a:graphicData>
            </a:graphic>
          </wp:anchor>
        </w:drawing>
      </w:r>
    </w:p>
    <w:p>
      <w:pPr>
        <w:spacing w:after="0" w:line="98" w:lineRule="exact"/>
        <w:rPr>
          <w:sz w:val="20"/>
          <w:szCs w:val="20"/>
          <w:color w:val="auto"/>
        </w:rPr>
      </w:pPr>
    </w:p>
    <w:p>
      <w:pPr>
        <w:ind w:left="440" w:hanging="21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84" w:lineRule="exact"/>
        <w:rPr>
          <w:rFonts w:ascii="Arial" w:cs="Arial" w:eastAsia="Arial" w:hAnsi="Arial"/>
          <w:sz w:val="18"/>
          <w:szCs w:val="18"/>
          <w:color w:val="auto"/>
        </w:rPr>
      </w:pPr>
    </w:p>
    <w:p>
      <w:pPr>
        <w:ind w:left="440" w:right="619" w:hanging="214"/>
        <w:spacing w:after="0" w:line="238" w:lineRule="auto"/>
        <w:tabs>
          <w:tab w:leader="none" w:pos="437"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at $0.10 per warrant upon a minimum of 30 days’ prior written notice of redemption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holders will be able to exercise their warrants on a cashless basis prior to redemption and receive that number of shares determined by reference to the table set forth under “Description of Securities — Warrants — Public Stockholders’ Warrants” based on the redemption date and the “fair market value” (as defined below) of our Class A common stock except as otherwise described in “Description of Securities — Warrants — Public Stockholders’ Warrants”;</w:t>
      </w:r>
    </w:p>
    <w:p>
      <w:pPr>
        <w:spacing w:after="0" w:line="155" w:lineRule="exact"/>
        <w:rPr>
          <w:rFonts w:ascii="Arial" w:cs="Arial" w:eastAsia="Arial" w:hAnsi="Arial"/>
          <w:sz w:val="18"/>
          <w:szCs w:val="18"/>
          <w:color w:val="auto"/>
        </w:rPr>
      </w:pPr>
    </w:p>
    <w:p>
      <w:pPr>
        <w:ind w:left="440" w:right="559" w:hanging="214"/>
        <w:spacing w:after="0" w:line="239" w:lineRule="auto"/>
        <w:tabs>
          <w:tab w:leader="none" w:pos="437"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and only if, the closing price of our Class A common stock equals or exceeds $10.00 per public share (as adjusted for adjustments to the number of shares issuable upon exercise or the exercise price of a warrant as described under the heading “Description of Securities — Warrants — Public Stockholders’ Warrants — Anti-dilution Adjustments”) for any 20 trading days within the 30-trading day period ending three trading days before we send notice of redemption to the warrant holders; and</w:t>
      </w:r>
    </w:p>
    <w:p>
      <w:pPr>
        <w:spacing w:after="0" w:line="152" w:lineRule="exact"/>
        <w:rPr>
          <w:rFonts w:ascii="Arial" w:cs="Arial" w:eastAsia="Arial" w:hAnsi="Arial"/>
          <w:sz w:val="18"/>
          <w:szCs w:val="18"/>
          <w:color w:val="auto"/>
        </w:rPr>
      </w:pPr>
    </w:p>
    <w:p>
      <w:pPr>
        <w:ind w:left="440" w:right="559" w:hanging="214"/>
        <w:spacing w:after="0" w:line="238" w:lineRule="auto"/>
        <w:tabs>
          <w:tab w:leader="none" w:pos="437"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 closing price of our Class A common stock for any 20 trading days within a 30-trading day period ending three trading days before we send notice of redemption to the warrant holders is less than $18.00 per share (as adjusted for adjustments to the number of shares issuable upon exercise or the exercise price of a warrant as described under the heading “Description of Securities — Warrants — Public Shareholders’ Warrants — Anti-dilution Adjustments”), the private placement warrants must also be concurrently called for redemption on the same terms as the outstanding public warrants, as described above.</w:t>
      </w:r>
    </w:p>
    <w:p>
      <w:pPr>
        <w:spacing w:after="0" w:line="153" w:lineRule="exact"/>
        <w:rPr>
          <w:sz w:val="20"/>
          <w:szCs w:val="20"/>
          <w:color w:val="auto"/>
        </w:rPr>
      </w:pPr>
    </w:p>
    <w:p>
      <w:pPr>
        <w:ind w:right="579"/>
        <w:spacing w:after="0" w:line="238" w:lineRule="auto"/>
        <w:rPr>
          <w:sz w:val="20"/>
          <w:szCs w:val="20"/>
          <w:color w:val="auto"/>
        </w:rPr>
      </w:pPr>
      <w:r>
        <w:rPr>
          <w:rFonts w:ascii="Arial" w:cs="Arial" w:eastAsia="Arial" w:hAnsi="Arial"/>
          <w:sz w:val="18"/>
          <w:szCs w:val="18"/>
          <w:color w:val="auto"/>
        </w:rPr>
        <w:t>The “fair market value” of our Class A common stock shall mean the volume weighted average price of our Class A common stock during the 10 trading days immediately following the date on which the notice of redemption is sent to the holders of warrants. This redemption feature differs from the typical warrant redemption features used in other blank check offerings. We will provide our warrant holders with the final fair market value no later than one business day after the 10 trading day period described above ends. In no event will the warrants be exercisable in connection with this redemption feature for more than 0.361 shares of Class A common stock per warrant (subject to adjustment).</w:t>
      </w:r>
    </w:p>
    <w:p>
      <w:pPr>
        <w:spacing w:after="0" w:line="156" w:lineRule="exact"/>
        <w:rPr>
          <w:sz w:val="20"/>
          <w:szCs w:val="20"/>
          <w:color w:val="auto"/>
        </w:rPr>
      </w:pPr>
    </w:p>
    <w:p>
      <w:pPr>
        <w:ind w:right="599"/>
        <w:spacing w:after="0"/>
        <w:rPr>
          <w:sz w:val="20"/>
          <w:szCs w:val="20"/>
          <w:color w:val="auto"/>
        </w:rPr>
      </w:pPr>
      <w:r>
        <w:rPr>
          <w:rFonts w:ascii="Arial" w:cs="Arial" w:eastAsia="Arial" w:hAnsi="Arial"/>
          <w:sz w:val="18"/>
          <w:szCs w:val="18"/>
          <w:color w:val="auto"/>
        </w:rPr>
        <w:t>No fractional shares of Class A common stock will be issued upon redemption. If, upon redemption, a holder would be entitled to receive a fractional interest in a share, we will round down to the nearest whole number of the number of shares of Class A common stock to be issued to the holder. Please see the section entitled “Description of Securities — Warrants — Public Stockholders’ Warrants” for additional information.</w:t>
      </w:r>
    </w:p>
    <w:p>
      <w:pPr>
        <w:spacing w:after="0" w:line="200" w:lineRule="exact"/>
        <w:rPr>
          <w:sz w:val="20"/>
          <w:szCs w:val="20"/>
          <w:color w:val="auto"/>
        </w:rPr>
      </w:pPr>
    </w:p>
    <w:p>
      <w:pPr>
        <w:sectPr>
          <w:pgSz w:w="11900" w:h="16838" w:orient="portrait"/>
          <w:cols w:equalWidth="0" w:num="2">
            <w:col w:w="3520" w:space="200"/>
            <w:col w:w="5299"/>
          </w:cols>
          <w:pgMar w:left="1440" w:top="495" w:right="1440" w:bottom="1440" w:gutter="0" w:footer="0" w:header="0"/>
        </w:sect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19050</wp:posOffset>
            </wp:positionV>
            <wp:extent cx="51435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495" w:right="1440" w:bottom="1440" w:gutter="0" w:footer="0" w:header="0"/>
          <w:type w:val="continuous"/>
        </w:sectPr>
      </w:pPr>
    </w:p>
    <w:bookmarkStart w:id="18" w:name="page19"/>
    <w:bookmarkEnd w:id="18"/>
    <w:p>
      <w:pPr>
        <w:ind w:left="540"/>
        <w:spacing w:after="0"/>
        <w:tabs>
          <w:tab w:leader="none" w:pos="37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100660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7310" cy="10066020"/>
                    </a:xfrm>
                    <a:prstGeom prst="rect">
                      <a:avLst/>
                    </a:prstGeom>
                    <a:noFill/>
                  </pic:spPr>
                </pic:pic>
              </a:graphicData>
            </a:graphic>
          </wp:anchor>
        </w:drawing>
        <w:t>Forward purchase agreements</w:t>
      </w:r>
      <w:r>
        <w:rPr>
          <w:sz w:val="20"/>
          <w:szCs w:val="20"/>
          <w:color w:val="auto"/>
        </w:rPr>
        <w:tab/>
      </w:r>
      <w:r>
        <w:rPr>
          <w:rFonts w:ascii="Arial" w:cs="Arial" w:eastAsia="Arial" w:hAnsi="Arial"/>
          <w:sz w:val="17"/>
          <w:szCs w:val="17"/>
          <w:color w:val="auto"/>
        </w:rPr>
        <w:t>We have entered into separate forward purchase</w:t>
      </w:r>
    </w:p>
    <w:p>
      <w:pPr>
        <w:spacing w:after="0" w:line="18" w:lineRule="exact"/>
        <w:rPr>
          <w:sz w:val="20"/>
          <w:szCs w:val="20"/>
          <w:color w:val="auto"/>
        </w:rPr>
      </w:pPr>
    </w:p>
    <w:p>
      <w:pPr>
        <w:ind w:left="3720" w:right="559"/>
        <w:spacing w:after="0" w:line="235" w:lineRule="auto"/>
        <w:rPr>
          <w:sz w:val="20"/>
          <w:szCs w:val="20"/>
          <w:color w:val="auto"/>
        </w:rPr>
      </w:pPr>
      <w:r>
        <w:rPr>
          <w:rFonts w:ascii="Arial" w:cs="Arial" w:eastAsia="Arial" w:hAnsi="Arial"/>
          <w:sz w:val="18"/>
          <w:szCs w:val="18"/>
          <w:color w:val="auto"/>
        </w:rPr>
        <w:t>agreements with affiliates of our sponsor, Casdin Capital and Corvex Management, in their capacities as investment advisors on behalf of their Clients, pursuant to which, subject to the conditions described below, they will cause certain Clients to purchase from us up to an aggregate amount of 15,000,000 shares of Class A common stock, or the forward purchase shares, for $10.00 per forward purchase share, or an aggregate amount of up to $150,000,000, in a private placement that will close concurrently with the closing of our initial business combination. The amount of forward purchase shares sold pursuant to the forward purchase agreements will be determined in our discretion based on our need for additional capital to consummate the initial business combination. Under each forward purchase agreement, we are required to approach Casdin Capital and Corvex Management if we propose to raise additional capital by issuing any equity, or securities convertible into, exchangeable or exercisable for equity securities in connection with the initial business combination. The respective obligations of Casdin Capital and Corvex Management to cause Clients to purchase forward purchase shares will, among other things, be conditioned on our completing an initial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Capital or Corvex Management, as relevant, as investment advisors on behalf of such Clients. In determining whether a target is reasonably acceptable to Clients, we expect that Casdin Capital or Corvex Management, as relevant, would consider many of the same criteria as we will consider, but will also consider whether the investment is an appropriate investment for such Clients, including whether the investment complies with any guidelines, restrictions or conflicts of interest provisions applicable to such Clients. Each of Casdin Capital and Corvex Management will have the right to transfer a portion of the purchase obligation under the forward purchase agreement to third parties, or upon mutual agreement, to each other, subject to compliance with applicable securities laws. To the extent that we obtain alternative financing to fund the initial business combination and the Clients participate in such financing, the aggregate commitment under the forward purchase agreement will be reduced by the amount of such alternative financing.</w:t>
      </w:r>
    </w:p>
    <w:p>
      <w:pPr>
        <w:spacing w:after="0" w:line="118" w:lineRule="exact"/>
        <w:rPr>
          <w:sz w:val="20"/>
          <w:szCs w:val="20"/>
          <w:color w:val="auto"/>
        </w:rPr>
      </w:pPr>
    </w:p>
    <w:p>
      <w:pPr>
        <w:ind w:left="3720" w:right="559"/>
        <w:spacing w:after="0"/>
        <w:rPr>
          <w:sz w:val="20"/>
          <w:szCs w:val="20"/>
          <w:color w:val="auto"/>
        </w:rPr>
      </w:pPr>
      <w:r>
        <w:rPr>
          <w:rFonts w:ascii="Arial" w:cs="Arial" w:eastAsia="Arial" w:hAnsi="Arial"/>
          <w:sz w:val="18"/>
          <w:szCs w:val="18"/>
          <w:color w:val="auto"/>
        </w:rPr>
        <w:t>The forward purchase shares will be identical to the shares of Class A common stock included in the units being sold in this offering, except that they will not be transferable, assignable or salable until 30 days after the completion of our initial business combination, except as described herein under “Principal Stockholders — Transfers of Founder Shares, Private Placement Warrants and Forward Purchase Shares,” and will be subject to registration rights.</w:t>
      </w:r>
    </w:p>
    <w:p>
      <w:pPr>
        <w:spacing w:after="0" w:line="153" w:lineRule="exact"/>
        <w:rPr>
          <w:sz w:val="20"/>
          <w:szCs w:val="20"/>
          <w:color w:val="auto"/>
        </w:rPr>
      </w:pPr>
    </w:p>
    <w:p>
      <w:pPr>
        <w:ind w:left="540"/>
        <w:spacing w:after="0"/>
        <w:tabs>
          <w:tab w:leader="none" w:pos="3700" w:val="left"/>
        </w:tabs>
        <w:rPr>
          <w:sz w:val="20"/>
          <w:szCs w:val="20"/>
          <w:color w:val="auto"/>
        </w:rPr>
      </w:pPr>
      <w:r>
        <w:rPr>
          <w:rFonts w:ascii="Arial" w:cs="Arial" w:eastAsia="Arial" w:hAnsi="Arial"/>
          <w:sz w:val="18"/>
          <w:szCs w:val="18"/>
          <w:color w:val="auto"/>
        </w:rPr>
        <w:t>Founder shares</w:t>
      </w:r>
      <w:r>
        <w:rPr>
          <w:sz w:val="20"/>
          <w:szCs w:val="20"/>
          <w:color w:val="auto"/>
        </w:rPr>
        <w:tab/>
      </w:r>
      <w:r>
        <w:rPr>
          <w:rFonts w:ascii="Arial" w:cs="Arial" w:eastAsia="Arial" w:hAnsi="Arial"/>
          <w:sz w:val="18"/>
          <w:szCs w:val="18"/>
          <w:color w:val="auto"/>
        </w:rPr>
        <w:t>During the period ended July 16, 2020, our sponsor paid</w:t>
      </w:r>
    </w:p>
    <w:p>
      <w:pPr>
        <w:spacing w:after="0" w:line="18" w:lineRule="exact"/>
        <w:rPr>
          <w:sz w:val="20"/>
          <w:szCs w:val="20"/>
          <w:color w:val="auto"/>
        </w:rPr>
      </w:pPr>
    </w:p>
    <w:p>
      <w:pPr>
        <w:ind w:left="3720" w:right="579"/>
        <w:spacing w:after="0" w:line="237" w:lineRule="auto"/>
        <w:rPr>
          <w:sz w:val="20"/>
          <w:szCs w:val="20"/>
          <w:color w:val="auto"/>
        </w:rPr>
      </w:pPr>
      <w:r>
        <w:rPr>
          <w:rFonts w:ascii="Arial" w:cs="Arial" w:eastAsia="Arial" w:hAnsi="Arial"/>
          <w:sz w:val="18"/>
          <w:szCs w:val="18"/>
          <w:color w:val="auto"/>
        </w:rPr>
        <w:t>$25,000, or approximately $0.002 per share, to cover certain of our offering costs in consideration of 10,062,500 founder shares. In August 2020, our sponsor transferred 25,000 founder shares to each of Mr. Islam, Dr. Leproust and Mr. Turner. On September 1, 2020, we effected a 1:1.1 stock split of our Class B common stock, resulting in our sponsor holding an aggregate of 10,993,750 founder shares and there being an aggregate of 11,068,750 founder shares outstanding.</w:t>
      </w:r>
    </w:p>
    <w:p>
      <w:pPr>
        <w:spacing w:after="0" w:line="96" w:lineRule="exact"/>
        <w:rPr>
          <w:sz w:val="20"/>
          <w:szCs w:val="20"/>
          <w:color w:val="auto"/>
        </w:rPr>
      </w:pPr>
    </w:p>
    <w:p>
      <w:pPr>
        <w:ind w:left="3720" w:right="619"/>
        <w:spacing w:after="0" w:line="248" w:lineRule="auto"/>
        <w:rPr>
          <w:sz w:val="20"/>
          <w:szCs w:val="20"/>
          <w:color w:val="auto"/>
        </w:rPr>
      </w:pPr>
      <w:r>
        <w:rPr>
          <w:rFonts w:ascii="Arial" w:cs="Arial" w:eastAsia="Arial" w:hAnsi="Arial"/>
          <w:sz w:val="18"/>
          <w:szCs w:val="18"/>
          <w:color w:val="auto"/>
        </w:rPr>
        <w:t>Prior to the initial investment in the company of $25,000 by the sponsor, the company had no assets, tangible or intangible. The per share price of the founder shares was determined by dividing the amount of cash</w:t>
      </w:r>
    </w:p>
    <w:p>
      <w:pPr>
        <w:sectPr>
          <w:pgSz w:w="11900" w:h="16838" w:orient="portrait"/>
          <w:cols w:equalWidth="0" w:num="1">
            <w:col w:w="9019"/>
          </w:cols>
          <w:pgMar w:left="1440" w:top="495" w:right="1440" w:bottom="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19050</wp:posOffset>
            </wp:positionV>
            <wp:extent cx="51435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495" w:right="1440" w:bottom="0" w:gutter="0" w:footer="0" w:header="0"/>
          <w:type w:val="continuous"/>
        </w:sectPr>
      </w:pPr>
    </w:p>
    <w:bookmarkStart w:id="19" w:name="page20"/>
    <w:bookmarkEnd w:id="19"/>
    <w:p>
      <w:pPr>
        <w:ind w:left="3720" w:right="619"/>
        <w:spacing w:after="0" w:line="25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9534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7310" cy="9534525"/>
                    </a:xfrm>
                    <a:prstGeom prst="rect">
                      <a:avLst/>
                    </a:prstGeom>
                    <a:noFill/>
                  </pic:spPr>
                </pic:pic>
              </a:graphicData>
            </a:graphic>
          </wp:anchor>
        </w:drawing>
        <w:t>contributed to the company by the number of founder shares issued. The number of founder shares outstanding was determined based on the expectation that the total size of this offering would be a maximum of 44,275,000 units if the underwriters’ over-allotment option is exercised in full, and therefore that such founder shares would represent 20% of the outstanding shares after this offering.</w:t>
      </w:r>
    </w:p>
    <w:p>
      <w:pPr>
        <w:spacing w:after="0" w:line="55" w:lineRule="exact"/>
        <w:rPr>
          <w:sz w:val="20"/>
          <w:szCs w:val="20"/>
          <w:color w:val="auto"/>
        </w:rPr>
      </w:pPr>
    </w:p>
    <w:p>
      <w:pPr>
        <w:ind w:left="3720" w:right="759"/>
        <w:spacing w:after="0" w:line="255" w:lineRule="auto"/>
        <w:rPr>
          <w:sz w:val="20"/>
          <w:szCs w:val="20"/>
          <w:color w:val="auto"/>
        </w:rPr>
      </w:pPr>
      <w:r>
        <w:rPr>
          <w:rFonts w:ascii="Arial" w:cs="Arial" w:eastAsia="Arial" w:hAnsi="Arial"/>
          <w:sz w:val="18"/>
          <w:szCs w:val="18"/>
          <w:color w:val="auto"/>
        </w:rPr>
        <w:t>Up to 1,443,750 of the founder shares will be forfeited by our sponsor depending on the extent to which the underwriters’ over-allotment option is not exercised.</w:t>
      </w:r>
    </w:p>
    <w:p>
      <w:pPr>
        <w:spacing w:after="0" w:line="137" w:lineRule="exact"/>
        <w:rPr>
          <w:sz w:val="20"/>
          <w:szCs w:val="20"/>
          <w:color w:val="auto"/>
        </w:rPr>
      </w:pPr>
    </w:p>
    <w:p>
      <w:pPr>
        <w:ind w:left="3720" w:right="759"/>
        <w:spacing w:after="0" w:line="255" w:lineRule="auto"/>
        <w:rPr>
          <w:sz w:val="20"/>
          <w:szCs w:val="20"/>
          <w:color w:val="auto"/>
        </w:rPr>
      </w:pPr>
      <w:r>
        <w:rPr>
          <w:rFonts w:ascii="Arial" w:cs="Arial" w:eastAsia="Arial" w:hAnsi="Arial"/>
          <w:sz w:val="18"/>
          <w:szCs w:val="18"/>
          <w:color w:val="auto"/>
        </w:rPr>
        <w:t>The founder shares are identical to the shares of Class A common stock included in the units being sold in this offering, except that:</w:t>
      </w:r>
    </w:p>
    <w:p>
      <w:pPr>
        <w:spacing w:after="0" w:line="137" w:lineRule="exact"/>
        <w:rPr>
          <w:sz w:val="20"/>
          <w:szCs w:val="20"/>
          <w:color w:val="auto"/>
        </w:rPr>
      </w:pPr>
    </w:p>
    <w:p>
      <w:pPr>
        <w:ind w:left="4160" w:right="979" w:hanging="214"/>
        <w:spacing w:after="0" w:line="276" w:lineRule="auto"/>
        <w:tabs>
          <w:tab w:leader="none" w:pos="415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founder shares are subject to certain transfer restrictions, as described in more detail below;</w:t>
      </w:r>
    </w:p>
    <w:p>
      <w:pPr>
        <w:spacing w:after="0" w:line="117" w:lineRule="exact"/>
        <w:rPr>
          <w:rFonts w:ascii="Arial" w:cs="Arial" w:eastAsia="Arial" w:hAnsi="Arial"/>
          <w:sz w:val="18"/>
          <w:szCs w:val="18"/>
          <w:color w:val="auto"/>
        </w:rPr>
      </w:pPr>
    </w:p>
    <w:p>
      <w:pPr>
        <w:ind w:left="4160" w:hanging="214"/>
        <w:spacing w:after="0"/>
        <w:tabs>
          <w:tab w:leader="none" w:pos="4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founder shares are entitled to registration rights;</w:t>
      </w:r>
    </w:p>
    <w:p>
      <w:pPr>
        <w:spacing w:after="0" w:line="184" w:lineRule="exact"/>
        <w:rPr>
          <w:rFonts w:ascii="Arial" w:cs="Arial" w:eastAsia="Arial" w:hAnsi="Arial"/>
          <w:sz w:val="18"/>
          <w:szCs w:val="18"/>
          <w:color w:val="auto"/>
        </w:rPr>
      </w:pPr>
    </w:p>
    <w:p>
      <w:pPr>
        <w:ind w:left="4160" w:right="579" w:hanging="214"/>
        <w:spacing w:after="0" w:line="239" w:lineRule="auto"/>
        <w:tabs>
          <w:tab w:leader="none" w:pos="4157"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initial stockholders, sponsor, officers and directors have entered into a letter agreement with us, pursuant to which they have agreed to (i) waive their redemption rights with respect to any founder shares and public shares they hold in connection with the completion of our initial business combination,</w:t>
      </w:r>
    </w:p>
    <w:p>
      <w:pPr>
        <w:ind w:left="4160" w:right="579"/>
        <w:spacing w:after="0" w:line="235" w:lineRule="auto"/>
        <w:rPr>
          <w:rFonts w:ascii="Arial" w:cs="Arial" w:eastAsia="Arial" w:hAnsi="Arial"/>
          <w:sz w:val="18"/>
          <w:szCs w:val="18"/>
          <w:color w:val="auto"/>
        </w:rPr>
      </w:pPr>
      <w:r>
        <w:rPr>
          <w:rFonts w:ascii="Arial" w:cs="Arial" w:eastAsia="Arial" w:hAnsi="Arial"/>
          <w:sz w:val="18"/>
          <w:szCs w:val="18"/>
          <w:color w:val="auto"/>
        </w:rPr>
        <w:t>(ii) waive their redemption rights with respect to any founder shares and public shares they hold in connection with a stockholder vote to approve an amendment to our amended and restated certificate of incorporation to modify the substance or timing of our obligation to redeem 100% of our public shares if we have not consummated an initial business combination within 24 months from the closing of this offering or with respect to any other material provisions relating to stockholders’ rights or pre-initial business combination activity and (iii) waive their rights to liquidating distributions from the trust account with respect to any founder shares they hold if we fail to complete our initial business combination within 24 months from the closing of this offering or any extended period of time that we may have to consummate an initial business combination as a result of an amendment to our amended and restated certificate of incorporation (an “Extension Period”) (although they will be entitled to liquidating distributions from the trust account with respect to any public shares they hold if we fail to complete our initial business combination within the prescribed time frame). If we submit our initial business combination to our public stockholders for a vote, our initial stockholders have agreed to vote their founder shares and any public shares purchased during or after this offering in favor of our initial business combination. As a result, in addition to our initial stockholders’ founder shares, we would need 14,437,501, or 37.5%, of the 38,500,000 public shares sold in this offering to be voted in favor of an initial business combination in order to have our initial business combination approved (assuming all outstanding shares are voted and the over-allotment option is not exercised); and</w:t>
      </w:r>
    </w:p>
    <w:p>
      <w:pPr>
        <w:spacing w:after="0" w:line="160" w:lineRule="exact"/>
        <w:rPr>
          <w:rFonts w:ascii="Arial" w:cs="Arial" w:eastAsia="Arial" w:hAnsi="Arial"/>
          <w:sz w:val="18"/>
          <w:szCs w:val="18"/>
          <w:color w:val="auto"/>
        </w:rPr>
      </w:pPr>
    </w:p>
    <w:p>
      <w:pPr>
        <w:ind w:left="4160" w:right="599" w:hanging="214"/>
        <w:spacing w:after="0" w:line="241" w:lineRule="auto"/>
        <w:tabs>
          <w:tab w:leader="none" w:pos="415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founder shares are automatically convertible into our Class A common stock concurrently with or immediately following the consummation of our initial business combination on a one-for-one basis, subject to adjustment pursuant to certain anti-dilution rights, as described below adjacent to the caption “Founder shares conversion and anti-dilution rights.”</w:t>
      </w:r>
    </w:p>
    <w:p>
      <w:pPr>
        <w:sectPr>
          <w:pgSz w:w="11900" w:h="16838" w:orient="portrait"/>
          <w:cols w:equalWidth="0" w:num="1">
            <w:col w:w="9019"/>
          </w:cols>
          <w:pgMar w:left="1440" w:top="495" w:right="1440" w:bottom="774"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19050</wp:posOffset>
            </wp:positionV>
            <wp:extent cx="5143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95" w:right="1440" w:bottom="774" w:gutter="0" w:footer="0" w:header="0"/>
          <w:type w:val="continuous"/>
        </w:sectPr>
      </w:pPr>
    </w:p>
    <w:bookmarkStart w:id="20" w:name="page21"/>
    <w:bookmarkEnd w:id="20"/>
    <w:p>
      <w:pPr>
        <w:ind w:left="540"/>
        <w:spacing w:after="0"/>
        <w:tabs>
          <w:tab w:leader="none" w:pos="37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7630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7310" cy="8763000"/>
                    </a:xfrm>
                    <a:prstGeom prst="rect">
                      <a:avLst/>
                    </a:prstGeom>
                    <a:noFill/>
                  </pic:spPr>
                </pic:pic>
              </a:graphicData>
            </a:graphic>
          </wp:anchor>
        </w:drawing>
        <w:t>Transfer restrictions on founder</w:t>
      </w:r>
      <w:r>
        <w:rPr>
          <w:sz w:val="20"/>
          <w:szCs w:val="20"/>
          <w:color w:val="auto"/>
        </w:rPr>
        <w:tab/>
      </w:r>
      <w:r>
        <w:rPr>
          <w:rFonts w:ascii="Arial" w:cs="Arial" w:eastAsia="Arial" w:hAnsi="Arial"/>
          <w:sz w:val="18"/>
          <w:szCs w:val="18"/>
          <w:color w:val="auto"/>
        </w:rPr>
        <w:t>Our initial stockholders have agreed not to transfer, assign</w:t>
      </w:r>
    </w:p>
    <w:p>
      <w:pPr>
        <w:spacing w:after="0" w:line="13" w:lineRule="exact"/>
        <w:rPr>
          <w:sz w:val="20"/>
          <w:szCs w:val="20"/>
          <w:color w:val="auto"/>
        </w:rPr>
      </w:pPr>
    </w:p>
    <w:p>
      <w:pPr>
        <w:ind w:left="720"/>
        <w:spacing w:after="0"/>
        <w:tabs>
          <w:tab w:leader="none" w:pos="3700" w:val="left"/>
        </w:tabs>
        <w:rPr>
          <w:sz w:val="20"/>
          <w:szCs w:val="20"/>
          <w:color w:val="auto"/>
        </w:rPr>
      </w:pPr>
      <w:r>
        <w:rPr>
          <w:rFonts w:ascii="Arial" w:cs="Arial" w:eastAsia="Arial" w:hAnsi="Arial"/>
          <w:sz w:val="18"/>
          <w:szCs w:val="18"/>
          <w:color w:val="auto"/>
        </w:rPr>
        <w:t>shares</w:t>
      </w:r>
      <w:r>
        <w:rPr>
          <w:sz w:val="20"/>
          <w:szCs w:val="20"/>
          <w:color w:val="auto"/>
        </w:rPr>
        <w:tab/>
      </w:r>
      <w:r>
        <w:rPr>
          <w:rFonts w:ascii="Arial" w:cs="Arial" w:eastAsia="Arial" w:hAnsi="Arial"/>
          <w:sz w:val="18"/>
          <w:szCs w:val="18"/>
          <w:color w:val="auto"/>
        </w:rPr>
        <w:t>or sell any of their founder shares until the earlier to occur</w:t>
      </w:r>
    </w:p>
    <w:p>
      <w:pPr>
        <w:ind w:left="3720" w:right="559"/>
        <w:spacing w:after="0" w:line="235" w:lineRule="auto"/>
        <w:rPr>
          <w:sz w:val="20"/>
          <w:szCs w:val="20"/>
          <w:color w:val="auto"/>
        </w:rPr>
      </w:pPr>
      <w:r>
        <w:rPr>
          <w:rFonts w:ascii="Arial" w:cs="Arial" w:eastAsia="Arial" w:hAnsi="Arial"/>
          <w:sz w:val="18"/>
          <w:szCs w:val="18"/>
          <w:color w:val="auto"/>
        </w:rPr>
        <w:t>of: (i) one year after the completion of our initial business combination and (ii) the date on which we complete a liquidation, merger, capital stock exchange or other similar transaction after our initial business combination that results in all of our stockholders having the right to exchange their Class A common stock for cash, securities or other property; except to certain permitted transferees and under certain circumstances as described herein under “Principal Stockholders — Transfers of Founder Shares, Private Placement Warrants and Forward Purchase Shares”. Any permitted transferees will be subject to the same restrictions and other agreements of our initial stockholders with respect to any founder shares. We refer to such transfer restrictions throughout this prospectus as the lock-up. Notwithstanding the foregoing, if (1) the closing price of our Class A common stock equals or exceeds $12.00 per share (as adjusted for stock splits, stock capitalizations, reorganizations, recapitalizations and the like) for any 20 trading days within any 30-trading day period commencing at least 150 days after our initial business combination or (2) if we consummate a transaction after our initial business combination which results in our stockholders having the right to exchange their shares for cash, securities or other property, the founder shares will be released from the lock-up.</w:t>
      </w:r>
    </w:p>
    <w:p>
      <w:pPr>
        <w:spacing w:after="0" w:line="1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Founder shares conversion and</w:t>
      </w:r>
    </w:p>
    <w:p>
      <w:pPr>
        <w:spacing w:after="0" w:line="13" w:lineRule="exact"/>
        <w:rPr>
          <w:sz w:val="20"/>
          <w:szCs w:val="20"/>
          <w:color w:val="auto"/>
        </w:rPr>
      </w:pPr>
    </w:p>
    <w:p>
      <w:pPr>
        <w:ind w:left="720"/>
        <w:spacing w:after="0"/>
        <w:tabs>
          <w:tab w:leader="none" w:pos="3700" w:val="left"/>
        </w:tabs>
        <w:rPr>
          <w:sz w:val="20"/>
          <w:szCs w:val="20"/>
          <w:color w:val="auto"/>
        </w:rPr>
      </w:pPr>
      <w:r>
        <w:rPr>
          <w:rFonts w:ascii="Arial" w:cs="Arial" w:eastAsia="Arial" w:hAnsi="Arial"/>
          <w:sz w:val="18"/>
          <w:szCs w:val="18"/>
          <w:color w:val="auto"/>
        </w:rPr>
        <w:t>anti-dilution rights</w:t>
      </w:r>
      <w:r>
        <w:rPr>
          <w:sz w:val="20"/>
          <w:szCs w:val="20"/>
          <w:color w:val="auto"/>
        </w:rPr>
        <w:tab/>
      </w:r>
      <w:r>
        <w:rPr>
          <w:rFonts w:ascii="Arial" w:cs="Arial" w:eastAsia="Arial" w:hAnsi="Arial"/>
          <w:sz w:val="18"/>
          <w:szCs w:val="18"/>
          <w:color w:val="auto"/>
        </w:rPr>
        <w:t>The founder shares will automatically convert into shares</w:t>
      </w:r>
    </w:p>
    <w:p>
      <w:pPr>
        <w:ind w:left="3720" w:right="599"/>
        <w:spacing w:after="0" w:line="235" w:lineRule="auto"/>
        <w:rPr>
          <w:sz w:val="20"/>
          <w:szCs w:val="20"/>
          <w:color w:val="auto"/>
        </w:rPr>
      </w:pPr>
      <w:r>
        <w:rPr>
          <w:rFonts w:ascii="Arial" w:cs="Arial" w:eastAsia="Arial" w:hAnsi="Arial"/>
          <w:sz w:val="18"/>
          <w:szCs w:val="18"/>
          <w:color w:val="auto"/>
        </w:rPr>
        <w:t>of Class A common stock concurrently with or immediately following the consummation of our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connection with our initial business combination, the number of shares of Class A common stock issuable upon conversion of all founder shares will equal, in the aggregate, on an as-converted basis, 20% of the total number of shares of Class A common stock outstanding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the initial business combination (including any forward purchase shares), excluding any shares of Class A common stock or equity-linked securities or rights exercisable for or convertible into shares of Class A common stock issued, or to be issued, to any seller in the initial business combination and any private placement warrants issued to our sponsor, officers or directors upon conversion of working capital loans, provided that such conversion of founder shares will never occur on a less than one-for-one basis. The term “equity-linked securities” refers to any debt or equity securities that are convertible, exercisable or exchangeable for our shares of Class A common stock issued in a financing transaction in connection with our initial business combination, including, but not limited to, a private placement of equity or debt.</w:t>
      </w:r>
    </w:p>
    <w:p>
      <w:pPr>
        <w:sectPr>
          <w:pgSz w:w="11900" w:h="16838" w:orient="portrait"/>
          <w:cols w:equalWidth="0" w:num="1">
            <w:col w:w="9019"/>
          </w:cols>
          <w:pgMar w:left="1440" w:top="495" w:right="1440"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19050</wp:posOffset>
            </wp:positionV>
            <wp:extent cx="51435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95" w:right="1440" w:bottom="1440" w:gutter="0" w:footer="0" w:header="0"/>
          <w:type w:val="continuous"/>
        </w:sectPr>
      </w:pPr>
    </w:p>
    <w:bookmarkStart w:id="21" w:name="page22"/>
    <w:bookmarkEnd w:id="21"/>
    <w:p>
      <w:pPr>
        <w:ind w:left="540"/>
        <w:spacing w:after="0"/>
        <w:tabs>
          <w:tab w:leader="none" w:pos="37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99974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7310" cy="9997440"/>
                    </a:xfrm>
                    <a:prstGeom prst="rect">
                      <a:avLst/>
                    </a:prstGeom>
                    <a:noFill/>
                  </pic:spPr>
                </pic:pic>
              </a:graphicData>
            </a:graphic>
          </wp:anchor>
        </w:drawing>
        <w:t>Voting Rights</w:t>
      </w:r>
      <w:r>
        <w:rPr>
          <w:sz w:val="20"/>
          <w:szCs w:val="20"/>
          <w:color w:val="auto"/>
        </w:rPr>
        <w:tab/>
      </w:r>
      <w:r>
        <w:rPr>
          <w:rFonts w:ascii="Arial" w:cs="Arial" w:eastAsia="Arial" w:hAnsi="Arial"/>
          <w:sz w:val="17"/>
          <w:szCs w:val="17"/>
          <w:color w:val="auto"/>
        </w:rPr>
        <w:t>Holders of record of our Class A common stock and</w:t>
      </w:r>
    </w:p>
    <w:p>
      <w:pPr>
        <w:spacing w:after="0" w:line="18" w:lineRule="exact"/>
        <w:rPr>
          <w:sz w:val="20"/>
          <w:szCs w:val="20"/>
          <w:color w:val="auto"/>
        </w:rPr>
      </w:pPr>
    </w:p>
    <w:p>
      <w:pPr>
        <w:ind w:left="3720" w:right="599"/>
        <w:spacing w:after="0"/>
        <w:rPr>
          <w:sz w:val="20"/>
          <w:szCs w:val="20"/>
          <w:color w:val="auto"/>
        </w:rPr>
      </w:pPr>
      <w:r>
        <w:rPr>
          <w:rFonts w:ascii="Arial" w:cs="Arial" w:eastAsia="Arial" w:hAnsi="Arial"/>
          <w:sz w:val="18"/>
          <w:szCs w:val="18"/>
          <w:color w:val="auto"/>
        </w:rPr>
        <w:t>holders of record of our Class B common stock will vote together as a single class on all matters submitted to a vote of our stockholders, with each share of common stock entitling the holder to one vote except as required by law.</w:t>
      </w:r>
    </w:p>
    <w:p>
      <w:pPr>
        <w:spacing w:after="0" w:line="149" w:lineRule="exact"/>
        <w:rPr>
          <w:sz w:val="20"/>
          <w:szCs w:val="20"/>
          <w:color w:val="auto"/>
        </w:rPr>
      </w:pPr>
    </w:p>
    <w:p>
      <w:pPr>
        <w:ind w:left="540"/>
        <w:spacing w:after="0"/>
        <w:tabs>
          <w:tab w:leader="none" w:pos="3700" w:val="left"/>
        </w:tabs>
        <w:rPr>
          <w:sz w:val="20"/>
          <w:szCs w:val="20"/>
          <w:color w:val="auto"/>
        </w:rPr>
      </w:pPr>
      <w:r>
        <w:rPr>
          <w:rFonts w:ascii="Arial" w:cs="Arial" w:eastAsia="Arial" w:hAnsi="Arial"/>
          <w:sz w:val="18"/>
          <w:szCs w:val="18"/>
          <w:color w:val="auto"/>
        </w:rPr>
        <w:t>Private placement warrants</w:t>
      </w:r>
      <w:r>
        <w:rPr>
          <w:sz w:val="20"/>
          <w:szCs w:val="20"/>
          <w:color w:val="auto"/>
        </w:rPr>
        <w:tab/>
      </w:r>
      <w:r>
        <w:rPr>
          <w:rFonts w:ascii="Arial" w:cs="Arial" w:eastAsia="Arial" w:hAnsi="Arial"/>
          <w:sz w:val="18"/>
          <w:szCs w:val="18"/>
          <w:color w:val="auto"/>
        </w:rPr>
        <w:t>Our sponsor and certain of our independent director</w:t>
      </w:r>
    </w:p>
    <w:p>
      <w:pPr>
        <w:spacing w:after="0" w:line="18" w:lineRule="exact"/>
        <w:rPr>
          <w:sz w:val="20"/>
          <w:szCs w:val="20"/>
          <w:color w:val="auto"/>
        </w:rPr>
      </w:pPr>
    </w:p>
    <w:p>
      <w:pPr>
        <w:ind w:left="3720" w:right="579"/>
        <w:spacing w:after="0" w:line="235" w:lineRule="auto"/>
        <w:rPr>
          <w:sz w:val="20"/>
          <w:szCs w:val="20"/>
          <w:color w:val="auto"/>
        </w:rPr>
      </w:pPr>
      <w:r>
        <w:rPr>
          <w:rFonts w:ascii="Arial" w:cs="Arial" w:eastAsia="Arial" w:hAnsi="Arial"/>
          <w:sz w:val="18"/>
          <w:szCs w:val="18"/>
          <w:color w:val="auto"/>
        </w:rPr>
        <w:t>nominees have severally committed, pursuant to a written agreement, to purchase an aggregate of 6,466,667 private placement warrants (or 7,236,667 warrants if the underwriters’ over-allotment option is exercised in full), each exercisable to purchase one share of Class A common stock at $11.50 per share, at a price of $1.50 per warrant, or $9,700,000 in the aggregate (or $10,855,000 if the underwriters’ over-allotment option is exercised in full), in a private placement that will close simultaneously with the closing of this offering. Our sponsor has committed to purchase 6,133,335 private placement warrants (or 6,903,335 warrants if the underwriters’ over-allotment option is exercised in full), and each of Mr. Islam and Dr. Leproust (and/or one or more entities controlled by them) has committed to purchase 166,666 private placement warrants. A portion of the purchase price of the private placement warrants will be added to the proceeds from this offering to be held in the trust account such that at the time of closing of this offering $385.00 million (or $442.75 million if the underwriters exercise their over-allotment option in full) will be held in the trust account. If we do not complete our initial business combination within 24 months from the closing of this offering, the private placement warrants will expire worthless. The private placement warrants will be non-redeemable (except as described above under “Redemption of warrants when the price per share of Class A common stock equals or exceeds $ 10.00) and exercisable on a cashless basis so long as they are held by their initial purchasers or their permitted transferees. If the private placement warrants are held by holders other than their initial purchasers or their permitted transferees, the private placement warrants will be redeemable by us and exercisable by the holders on the same basis as the warrants included in the units being sold in this offering.</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Transfer restrictions on private</w:t>
      </w:r>
    </w:p>
    <w:p>
      <w:pPr>
        <w:spacing w:after="0" w:line="13" w:lineRule="exact"/>
        <w:rPr>
          <w:sz w:val="20"/>
          <w:szCs w:val="20"/>
          <w:color w:val="auto"/>
        </w:rPr>
      </w:pPr>
    </w:p>
    <w:p>
      <w:pPr>
        <w:ind w:left="720"/>
        <w:spacing w:after="0"/>
        <w:tabs>
          <w:tab w:leader="none" w:pos="3700" w:val="left"/>
        </w:tabs>
        <w:rPr>
          <w:sz w:val="20"/>
          <w:szCs w:val="20"/>
          <w:color w:val="auto"/>
        </w:rPr>
      </w:pPr>
      <w:r>
        <w:rPr>
          <w:rFonts w:ascii="Arial" w:cs="Arial" w:eastAsia="Arial" w:hAnsi="Arial"/>
          <w:sz w:val="18"/>
          <w:szCs w:val="18"/>
          <w:color w:val="auto"/>
        </w:rPr>
        <w:t>placement warrants</w:t>
      </w:r>
      <w:r>
        <w:rPr>
          <w:sz w:val="20"/>
          <w:szCs w:val="20"/>
          <w:color w:val="auto"/>
        </w:rPr>
        <w:tab/>
      </w:r>
      <w:r>
        <w:rPr>
          <w:rFonts w:ascii="Arial" w:cs="Arial" w:eastAsia="Arial" w:hAnsi="Arial"/>
          <w:sz w:val="18"/>
          <w:szCs w:val="18"/>
          <w:color w:val="auto"/>
        </w:rPr>
        <w:t>The private placement warrants (including the Class A</w:t>
      </w:r>
    </w:p>
    <w:p>
      <w:pPr>
        <w:ind w:left="3720" w:right="639"/>
        <w:spacing w:after="0" w:line="237" w:lineRule="auto"/>
        <w:rPr>
          <w:sz w:val="20"/>
          <w:szCs w:val="20"/>
          <w:color w:val="auto"/>
        </w:rPr>
      </w:pPr>
      <w:r>
        <w:rPr>
          <w:rFonts w:ascii="Arial" w:cs="Arial" w:eastAsia="Arial" w:hAnsi="Arial"/>
          <w:sz w:val="18"/>
          <w:szCs w:val="18"/>
          <w:color w:val="auto"/>
        </w:rPr>
        <w:t>common stock issuable upon exercise of the private placement warrants) will not be transferable, assignable or salable until 30 days after the completion of our initial business combination, except as described herein under “Principal Stockholders — Transfers of Founder Shares, Private Placement Warrants and Forward Purchase Shares”.</w:t>
      </w:r>
    </w:p>
    <w:p>
      <w:pPr>
        <w:spacing w:after="0" w:line="154" w:lineRule="exact"/>
        <w:rPr>
          <w:sz w:val="20"/>
          <w:szCs w:val="20"/>
          <w:color w:val="auto"/>
        </w:rPr>
      </w:pPr>
    </w:p>
    <w:p>
      <w:pPr>
        <w:ind w:left="540"/>
        <w:spacing w:after="0"/>
        <w:tabs>
          <w:tab w:leader="none" w:pos="3700" w:val="left"/>
        </w:tabs>
        <w:rPr>
          <w:sz w:val="20"/>
          <w:szCs w:val="20"/>
          <w:color w:val="auto"/>
        </w:rPr>
      </w:pPr>
      <w:r>
        <w:rPr>
          <w:rFonts w:ascii="Arial" w:cs="Arial" w:eastAsia="Arial" w:hAnsi="Arial"/>
          <w:sz w:val="18"/>
          <w:szCs w:val="18"/>
          <w:color w:val="auto"/>
        </w:rPr>
        <w:t>Proceeds to be held in trust account</w:t>
        <w:tab/>
        <w:t>Nasdaq rules provide that at least 90% of the gross</w:t>
      </w:r>
    </w:p>
    <w:p>
      <w:pPr>
        <w:spacing w:after="0" w:line="13"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proceeds from this offering and the sale of the private</w:t>
      </w:r>
    </w:p>
    <w:p>
      <w:pPr>
        <w:ind w:left="3720"/>
        <w:spacing w:after="0" w:line="234" w:lineRule="auto"/>
        <w:rPr>
          <w:sz w:val="20"/>
          <w:szCs w:val="20"/>
          <w:color w:val="auto"/>
        </w:rPr>
      </w:pPr>
      <w:r>
        <w:rPr>
          <w:rFonts w:ascii="Arial" w:cs="Arial" w:eastAsia="Arial" w:hAnsi="Arial"/>
          <w:sz w:val="18"/>
          <w:szCs w:val="18"/>
          <w:color w:val="auto"/>
        </w:rPr>
        <w:t>placement warrants be deposited in a trust account. Of the</w:t>
      </w:r>
    </w:p>
    <w:p>
      <w:pPr>
        <w:ind w:left="3720"/>
        <w:spacing w:after="0" w:line="235" w:lineRule="auto"/>
        <w:rPr>
          <w:sz w:val="20"/>
          <w:szCs w:val="20"/>
          <w:color w:val="auto"/>
        </w:rPr>
      </w:pPr>
      <w:r>
        <w:rPr>
          <w:rFonts w:ascii="Arial" w:cs="Arial" w:eastAsia="Arial" w:hAnsi="Arial"/>
          <w:sz w:val="18"/>
          <w:szCs w:val="18"/>
          <w:color w:val="auto"/>
        </w:rPr>
        <w:t>proceeds we will receive from this offering and the sale of</w:t>
      </w:r>
    </w:p>
    <w:p>
      <w:pPr>
        <w:ind w:left="3720"/>
        <w:spacing w:after="0" w:line="235" w:lineRule="auto"/>
        <w:rPr>
          <w:sz w:val="20"/>
          <w:szCs w:val="20"/>
          <w:color w:val="auto"/>
        </w:rPr>
      </w:pPr>
      <w:r>
        <w:rPr>
          <w:rFonts w:ascii="Arial" w:cs="Arial" w:eastAsia="Arial" w:hAnsi="Arial"/>
          <w:sz w:val="18"/>
          <w:szCs w:val="18"/>
          <w:color w:val="auto"/>
        </w:rPr>
        <w:t>the private placement warrants described in this</w:t>
      </w:r>
    </w:p>
    <w:p>
      <w:pPr>
        <w:ind w:left="3720"/>
        <w:spacing w:after="0" w:line="235" w:lineRule="auto"/>
        <w:rPr>
          <w:sz w:val="20"/>
          <w:szCs w:val="20"/>
          <w:color w:val="auto"/>
        </w:rPr>
      </w:pPr>
      <w:r>
        <w:rPr>
          <w:rFonts w:ascii="Arial" w:cs="Arial" w:eastAsia="Arial" w:hAnsi="Arial"/>
          <w:sz w:val="18"/>
          <w:szCs w:val="18"/>
          <w:color w:val="auto"/>
        </w:rPr>
        <w:t>prospectus, $385.00 million, or $442.75 million if the</w:t>
      </w:r>
    </w:p>
    <w:p>
      <w:pPr>
        <w:ind w:left="3720"/>
        <w:spacing w:after="0" w:line="235" w:lineRule="auto"/>
        <w:rPr>
          <w:sz w:val="20"/>
          <w:szCs w:val="20"/>
          <w:color w:val="auto"/>
        </w:rPr>
      </w:pPr>
      <w:r>
        <w:rPr>
          <w:rFonts w:ascii="Arial" w:cs="Arial" w:eastAsia="Arial" w:hAnsi="Arial"/>
          <w:sz w:val="18"/>
          <w:szCs w:val="18"/>
          <w:color w:val="auto"/>
        </w:rPr>
        <w:t>underwriters’ over-allotment option is exercised in full</w:t>
      </w:r>
    </w:p>
    <w:p>
      <w:pPr>
        <w:ind w:left="3720"/>
        <w:spacing w:after="0" w:line="234" w:lineRule="auto"/>
        <w:rPr>
          <w:sz w:val="20"/>
          <w:szCs w:val="20"/>
          <w:color w:val="auto"/>
        </w:rPr>
      </w:pPr>
      <w:r>
        <w:rPr>
          <w:rFonts w:ascii="Arial" w:cs="Arial" w:eastAsia="Arial" w:hAnsi="Arial"/>
          <w:sz w:val="18"/>
          <w:szCs w:val="18"/>
          <w:color w:val="auto"/>
        </w:rPr>
        <w:t>($10.00 per unit in either case), will be deposited into a</w:t>
      </w:r>
    </w:p>
    <w:p>
      <w:pPr>
        <w:ind w:left="3720"/>
        <w:spacing w:after="0" w:line="235" w:lineRule="auto"/>
        <w:rPr>
          <w:sz w:val="20"/>
          <w:szCs w:val="20"/>
          <w:color w:val="auto"/>
        </w:rPr>
      </w:pPr>
      <w:r>
        <w:rPr>
          <w:rFonts w:ascii="Arial" w:cs="Arial" w:eastAsia="Arial" w:hAnsi="Arial"/>
          <w:sz w:val="18"/>
          <w:szCs w:val="18"/>
          <w:color w:val="auto"/>
        </w:rPr>
        <w:t>segregated trust account located in the United States at JP</w:t>
      </w:r>
    </w:p>
    <w:p>
      <w:pPr>
        <w:ind w:left="3720"/>
        <w:spacing w:after="0" w:line="235" w:lineRule="auto"/>
        <w:rPr>
          <w:sz w:val="20"/>
          <w:szCs w:val="20"/>
          <w:color w:val="auto"/>
        </w:rPr>
      </w:pPr>
      <w:r>
        <w:rPr>
          <w:rFonts w:ascii="Arial" w:cs="Arial" w:eastAsia="Arial" w:hAnsi="Arial"/>
          <w:sz w:val="18"/>
          <w:szCs w:val="18"/>
          <w:color w:val="auto"/>
        </w:rPr>
        <w:t>Morgan Chase Bank, N.A. with Continental Stock</w:t>
      </w:r>
    </w:p>
    <w:p>
      <w:pPr>
        <w:ind w:left="3720"/>
        <w:spacing w:after="0" w:line="235" w:lineRule="auto"/>
        <w:rPr>
          <w:sz w:val="20"/>
          <w:szCs w:val="20"/>
          <w:color w:val="auto"/>
        </w:rPr>
      </w:pPr>
      <w:r>
        <w:rPr>
          <w:rFonts w:ascii="Arial" w:cs="Arial" w:eastAsia="Arial" w:hAnsi="Arial"/>
          <w:sz w:val="18"/>
          <w:szCs w:val="18"/>
          <w:color w:val="auto"/>
        </w:rPr>
        <w:t>Transfer &amp; Trust Company acting as trustee, after</w:t>
      </w:r>
    </w:p>
    <w:p>
      <w:pPr>
        <w:ind w:left="3720"/>
        <w:spacing w:after="0" w:line="235" w:lineRule="auto"/>
        <w:rPr>
          <w:sz w:val="20"/>
          <w:szCs w:val="20"/>
          <w:color w:val="auto"/>
        </w:rPr>
      </w:pPr>
      <w:r>
        <w:rPr>
          <w:rFonts w:ascii="Arial" w:cs="Arial" w:eastAsia="Arial" w:hAnsi="Arial"/>
          <w:sz w:val="18"/>
          <w:szCs w:val="18"/>
          <w:color w:val="auto"/>
        </w:rPr>
        <w:t>deducting $7,700,000 in underwriting discounts and</w:t>
      </w:r>
    </w:p>
    <w:p>
      <w:pPr>
        <w:ind w:left="3720"/>
        <w:spacing w:after="0" w:line="234" w:lineRule="auto"/>
        <w:rPr>
          <w:sz w:val="20"/>
          <w:szCs w:val="20"/>
          <w:color w:val="auto"/>
        </w:rPr>
      </w:pPr>
      <w:r>
        <w:rPr>
          <w:rFonts w:ascii="Arial" w:cs="Arial" w:eastAsia="Arial" w:hAnsi="Arial"/>
          <w:sz w:val="18"/>
          <w:szCs w:val="18"/>
          <w:color w:val="auto"/>
        </w:rPr>
        <w:t>commissions payable upon the closing of this offering (or</w:t>
      </w:r>
    </w:p>
    <w:p>
      <w:pPr>
        <w:ind w:left="3720"/>
        <w:spacing w:after="0" w:line="235" w:lineRule="auto"/>
        <w:rPr>
          <w:sz w:val="20"/>
          <w:szCs w:val="20"/>
          <w:color w:val="auto"/>
        </w:rPr>
      </w:pPr>
      <w:r>
        <w:rPr>
          <w:rFonts w:ascii="Arial" w:cs="Arial" w:eastAsia="Arial" w:hAnsi="Arial"/>
          <w:sz w:val="18"/>
          <w:szCs w:val="18"/>
          <w:color w:val="auto"/>
        </w:rPr>
        <w:t>$8,855,000 if the underwriters’ over-allotment option is</w:t>
      </w:r>
    </w:p>
    <w:p>
      <w:pPr>
        <w:ind w:left="3720"/>
        <w:spacing w:after="0" w:line="235" w:lineRule="auto"/>
        <w:rPr>
          <w:sz w:val="20"/>
          <w:szCs w:val="20"/>
          <w:color w:val="auto"/>
        </w:rPr>
      </w:pPr>
      <w:r>
        <w:rPr>
          <w:rFonts w:ascii="Arial" w:cs="Arial" w:eastAsia="Arial" w:hAnsi="Arial"/>
          <w:sz w:val="18"/>
          <w:szCs w:val="18"/>
          <w:color w:val="auto"/>
        </w:rPr>
        <w:t>exercised in full) and an aggregate of $2.0 million to pay</w:t>
      </w:r>
    </w:p>
    <w:p>
      <w:pPr>
        <w:ind w:left="3720"/>
        <w:spacing w:after="0" w:line="235" w:lineRule="auto"/>
        <w:rPr>
          <w:sz w:val="20"/>
          <w:szCs w:val="20"/>
          <w:color w:val="auto"/>
        </w:rPr>
      </w:pPr>
      <w:r>
        <w:rPr>
          <w:rFonts w:ascii="Arial" w:cs="Arial" w:eastAsia="Arial" w:hAnsi="Arial"/>
          <w:sz w:val="18"/>
          <w:szCs w:val="18"/>
          <w:color w:val="auto"/>
        </w:rPr>
        <w:t>fees and expenses in connection with the closing of this</w:t>
      </w:r>
    </w:p>
    <w:p>
      <w:pPr>
        <w:ind w:left="3720"/>
        <w:spacing w:after="0" w:line="235" w:lineRule="auto"/>
        <w:rPr>
          <w:sz w:val="20"/>
          <w:szCs w:val="20"/>
          <w:color w:val="auto"/>
        </w:rPr>
      </w:pPr>
      <w:r>
        <w:rPr>
          <w:rFonts w:ascii="Arial" w:cs="Arial" w:eastAsia="Arial" w:hAnsi="Arial"/>
          <w:sz w:val="18"/>
          <w:szCs w:val="18"/>
          <w:color w:val="auto"/>
        </w:rPr>
        <w:t>offering and for working capital following the closing of this</w:t>
      </w:r>
    </w:p>
    <w:p>
      <w:pPr>
        <w:ind w:left="3720"/>
        <w:spacing w:after="0" w:line="234" w:lineRule="auto"/>
        <w:rPr>
          <w:sz w:val="20"/>
          <w:szCs w:val="20"/>
          <w:color w:val="auto"/>
        </w:rPr>
      </w:pPr>
      <w:r>
        <w:rPr>
          <w:rFonts w:ascii="Arial" w:cs="Arial" w:eastAsia="Arial" w:hAnsi="Arial"/>
          <w:sz w:val="18"/>
          <w:szCs w:val="18"/>
          <w:color w:val="auto"/>
        </w:rPr>
        <w:t>offering. The proceeds to be placed in the trust account</w:t>
      </w:r>
    </w:p>
    <w:p>
      <w:pPr>
        <w:ind w:left="3720"/>
        <w:spacing w:after="0" w:line="235" w:lineRule="auto"/>
        <w:rPr>
          <w:sz w:val="20"/>
          <w:szCs w:val="20"/>
          <w:color w:val="auto"/>
        </w:rPr>
      </w:pPr>
      <w:r>
        <w:rPr>
          <w:rFonts w:ascii="Arial" w:cs="Arial" w:eastAsia="Arial" w:hAnsi="Arial"/>
          <w:sz w:val="18"/>
          <w:szCs w:val="18"/>
          <w:color w:val="auto"/>
        </w:rPr>
        <w:t>include $13,475,000 (or up to $15,496,250 if the</w:t>
      </w:r>
    </w:p>
    <w:p>
      <w:pPr>
        <w:ind w:left="3720"/>
        <w:spacing w:after="0" w:line="235" w:lineRule="auto"/>
        <w:rPr>
          <w:sz w:val="20"/>
          <w:szCs w:val="20"/>
          <w:color w:val="auto"/>
        </w:rPr>
      </w:pPr>
      <w:r>
        <w:rPr>
          <w:rFonts w:ascii="Arial" w:cs="Arial" w:eastAsia="Arial" w:hAnsi="Arial"/>
          <w:sz w:val="18"/>
          <w:szCs w:val="18"/>
          <w:color w:val="auto"/>
        </w:rPr>
        <w:t>underwriters’ over-allotment option is exercised in full) in</w:t>
      </w:r>
    </w:p>
    <w:p>
      <w:pPr>
        <w:ind w:left="3720"/>
        <w:spacing w:after="0"/>
        <w:rPr>
          <w:sz w:val="20"/>
          <w:szCs w:val="20"/>
          <w:color w:val="auto"/>
        </w:rPr>
      </w:pPr>
      <w:r>
        <w:rPr>
          <w:rFonts w:ascii="Arial" w:cs="Arial" w:eastAsia="Arial" w:hAnsi="Arial"/>
          <w:sz w:val="18"/>
          <w:szCs w:val="18"/>
          <w:color w:val="auto"/>
        </w:rPr>
        <w:t>deferred underwriting commissions.</w:t>
      </w:r>
    </w:p>
    <w:p>
      <w:pPr>
        <w:sectPr>
          <w:pgSz w:w="11900" w:h="16838" w:orient="portrait"/>
          <w:cols w:equalWidth="0" w:num="1">
            <w:col w:w="9019"/>
          </w:cols>
          <w:pgMar w:left="1440" w:top="495" w:right="1440" w:bottom="45"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19050</wp:posOffset>
            </wp:positionV>
            <wp:extent cx="51435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95" w:right="1440" w:bottom="45" w:gutter="0" w:footer="0" w:header="0"/>
          <w:type w:val="continuous"/>
        </w:sectPr>
      </w:pPr>
    </w:p>
    <w:bookmarkStart w:id="22" w:name="page23"/>
    <w:bookmarkEnd w:id="22"/>
    <w:p>
      <w:pPr>
        <w:ind w:left="40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4543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7310" cy="8454390"/>
                    </a:xfrm>
                    <a:prstGeom prst="rect">
                      <a:avLst/>
                    </a:prstGeom>
                    <a:noFill/>
                  </pic:spPr>
                </pic:pic>
              </a:graphicData>
            </a:graphic>
          </wp:anchor>
        </w:drawing>
        <w:t>Except with respect to interest earned on the funds held</w:t>
      </w:r>
    </w:p>
    <w:p>
      <w:pPr>
        <w:spacing w:after="0" w:line="25"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in the trust account that may be released to us to pay</w:t>
      </w:r>
    </w:p>
    <w:p>
      <w:pPr>
        <w:ind w:left="4020"/>
        <w:spacing w:after="0" w:line="234" w:lineRule="auto"/>
        <w:rPr>
          <w:sz w:val="20"/>
          <w:szCs w:val="20"/>
          <w:color w:val="auto"/>
        </w:rPr>
      </w:pPr>
      <w:r>
        <w:rPr>
          <w:rFonts w:ascii="Arial" w:cs="Arial" w:eastAsia="Arial" w:hAnsi="Arial"/>
          <w:sz w:val="18"/>
          <w:szCs w:val="18"/>
          <w:color w:val="auto"/>
        </w:rPr>
        <w:t>our taxes, the proceeds from this offering and the sale</w:t>
      </w:r>
    </w:p>
    <w:p>
      <w:pPr>
        <w:ind w:left="4020"/>
        <w:spacing w:after="0" w:line="235" w:lineRule="auto"/>
        <w:rPr>
          <w:sz w:val="20"/>
          <w:szCs w:val="20"/>
          <w:color w:val="auto"/>
        </w:rPr>
      </w:pPr>
      <w:r>
        <w:rPr>
          <w:rFonts w:ascii="Arial" w:cs="Arial" w:eastAsia="Arial" w:hAnsi="Arial"/>
          <w:sz w:val="18"/>
          <w:szCs w:val="18"/>
          <w:color w:val="auto"/>
        </w:rPr>
        <w:t>of the private placement warrants will not be released</w:t>
      </w:r>
    </w:p>
    <w:p>
      <w:pPr>
        <w:ind w:left="4020"/>
        <w:spacing w:after="0" w:line="235" w:lineRule="auto"/>
        <w:rPr>
          <w:sz w:val="20"/>
          <w:szCs w:val="20"/>
          <w:color w:val="auto"/>
        </w:rPr>
      </w:pPr>
      <w:r>
        <w:rPr>
          <w:rFonts w:ascii="Arial" w:cs="Arial" w:eastAsia="Arial" w:hAnsi="Arial"/>
          <w:sz w:val="18"/>
          <w:szCs w:val="18"/>
          <w:color w:val="auto"/>
        </w:rPr>
        <w:t>from the trust account until the earliest of (i) the</w:t>
      </w:r>
    </w:p>
    <w:p>
      <w:pPr>
        <w:ind w:left="4020"/>
        <w:spacing w:after="0" w:line="235" w:lineRule="auto"/>
        <w:rPr>
          <w:sz w:val="20"/>
          <w:szCs w:val="20"/>
          <w:color w:val="auto"/>
        </w:rPr>
      </w:pPr>
      <w:r>
        <w:rPr>
          <w:rFonts w:ascii="Arial" w:cs="Arial" w:eastAsia="Arial" w:hAnsi="Arial"/>
          <w:sz w:val="18"/>
          <w:szCs w:val="18"/>
          <w:color w:val="auto"/>
        </w:rPr>
        <w:t>completion of our initial business combination, (ii) the</w:t>
      </w:r>
    </w:p>
    <w:p>
      <w:pPr>
        <w:ind w:left="4020"/>
        <w:spacing w:after="0" w:line="235" w:lineRule="auto"/>
        <w:rPr>
          <w:sz w:val="20"/>
          <w:szCs w:val="20"/>
          <w:color w:val="auto"/>
        </w:rPr>
      </w:pPr>
      <w:r>
        <w:rPr>
          <w:rFonts w:ascii="Arial" w:cs="Arial" w:eastAsia="Arial" w:hAnsi="Arial"/>
          <w:sz w:val="18"/>
          <w:szCs w:val="18"/>
          <w:color w:val="auto"/>
        </w:rPr>
        <w:t>redemption of our public shares if we are unable to</w:t>
      </w:r>
    </w:p>
    <w:p>
      <w:pPr>
        <w:ind w:left="4020"/>
        <w:spacing w:after="0" w:line="234" w:lineRule="auto"/>
        <w:rPr>
          <w:sz w:val="20"/>
          <w:szCs w:val="20"/>
          <w:color w:val="auto"/>
        </w:rPr>
      </w:pPr>
      <w:r>
        <w:rPr>
          <w:rFonts w:ascii="Arial" w:cs="Arial" w:eastAsia="Arial" w:hAnsi="Arial"/>
          <w:sz w:val="18"/>
          <w:szCs w:val="18"/>
          <w:color w:val="auto"/>
        </w:rPr>
        <w:t>complete our initial business combination within 24</w:t>
      </w:r>
    </w:p>
    <w:p>
      <w:pPr>
        <w:ind w:left="4020"/>
        <w:spacing w:after="0" w:line="235" w:lineRule="auto"/>
        <w:rPr>
          <w:sz w:val="20"/>
          <w:szCs w:val="20"/>
          <w:color w:val="auto"/>
        </w:rPr>
      </w:pPr>
      <w:r>
        <w:rPr>
          <w:rFonts w:ascii="Arial" w:cs="Arial" w:eastAsia="Arial" w:hAnsi="Arial"/>
          <w:sz w:val="18"/>
          <w:szCs w:val="18"/>
          <w:color w:val="auto"/>
        </w:rPr>
        <w:t>months from the closing of this offering, subject to</w:t>
      </w:r>
    </w:p>
    <w:p>
      <w:pPr>
        <w:ind w:left="4020"/>
        <w:spacing w:after="0" w:line="235" w:lineRule="auto"/>
        <w:rPr>
          <w:sz w:val="20"/>
          <w:szCs w:val="20"/>
          <w:color w:val="auto"/>
        </w:rPr>
      </w:pPr>
      <w:r>
        <w:rPr>
          <w:rFonts w:ascii="Arial" w:cs="Arial" w:eastAsia="Arial" w:hAnsi="Arial"/>
          <w:sz w:val="18"/>
          <w:szCs w:val="18"/>
          <w:color w:val="auto"/>
        </w:rPr>
        <w:t>applicable law, and (iii) the redemption of our public</w:t>
      </w:r>
    </w:p>
    <w:p>
      <w:pPr>
        <w:ind w:left="4020"/>
        <w:spacing w:after="0" w:line="235" w:lineRule="auto"/>
        <w:rPr>
          <w:sz w:val="20"/>
          <w:szCs w:val="20"/>
          <w:color w:val="auto"/>
        </w:rPr>
      </w:pPr>
      <w:r>
        <w:rPr>
          <w:rFonts w:ascii="Arial" w:cs="Arial" w:eastAsia="Arial" w:hAnsi="Arial"/>
          <w:sz w:val="18"/>
          <w:szCs w:val="18"/>
          <w:color w:val="auto"/>
        </w:rPr>
        <w:t>shares properly submitted in connection with a</w:t>
      </w:r>
    </w:p>
    <w:p>
      <w:pPr>
        <w:ind w:left="4020"/>
        <w:spacing w:after="0" w:line="235" w:lineRule="auto"/>
        <w:rPr>
          <w:sz w:val="20"/>
          <w:szCs w:val="20"/>
          <w:color w:val="auto"/>
        </w:rPr>
      </w:pPr>
      <w:r>
        <w:rPr>
          <w:rFonts w:ascii="Arial" w:cs="Arial" w:eastAsia="Arial" w:hAnsi="Arial"/>
          <w:sz w:val="18"/>
          <w:szCs w:val="18"/>
          <w:color w:val="auto"/>
        </w:rPr>
        <w:t>stockholder vote to amend our amended and restated</w:t>
      </w:r>
    </w:p>
    <w:p>
      <w:pPr>
        <w:ind w:left="4020"/>
        <w:spacing w:after="0" w:line="234" w:lineRule="auto"/>
        <w:rPr>
          <w:sz w:val="20"/>
          <w:szCs w:val="20"/>
          <w:color w:val="auto"/>
        </w:rPr>
      </w:pPr>
      <w:r>
        <w:rPr>
          <w:rFonts w:ascii="Arial" w:cs="Arial" w:eastAsia="Arial" w:hAnsi="Arial"/>
          <w:sz w:val="18"/>
          <w:szCs w:val="18"/>
          <w:color w:val="auto"/>
        </w:rPr>
        <w:t>certificate of incorporation to modify the substance or</w:t>
      </w:r>
    </w:p>
    <w:p>
      <w:pPr>
        <w:ind w:left="4020"/>
        <w:spacing w:after="0" w:line="235" w:lineRule="auto"/>
        <w:rPr>
          <w:sz w:val="20"/>
          <w:szCs w:val="20"/>
          <w:color w:val="auto"/>
        </w:rPr>
      </w:pPr>
      <w:r>
        <w:rPr>
          <w:rFonts w:ascii="Arial" w:cs="Arial" w:eastAsia="Arial" w:hAnsi="Arial"/>
          <w:sz w:val="18"/>
          <w:szCs w:val="18"/>
          <w:color w:val="auto"/>
        </w:rPr>
        <w:t>timing of our obligation to redeem 100% of our public</w:t>
      </w:r>
    </w:p>
    <w:p>
      <w:pPr>
        <w:ind w:left="4020"/>
        <w:spacing w:after="0" w:line="235" w:lineRule="auto"/>
        <w:rPr>
          <w:sz w:val="20"/>
          <w:szCs w:val="20"/>
          <w:color w:val="auto"/>
        </w:rPr>
      </w:pPr>
      <w:r>
        <w:rPr>
          <w:rFonts w:ascii="Arial" w:cs="Arial" w:eastAsia="Arial" w:hAnsi="Arial"/>
          <w:sz w:val="18"/>
          <w:szCs w:val="18"/>
          <w:color w:val="auto"/>
        </w:rPr>
        <w:t>shares if we have not consummated an initial business</w:t>
      </w:r>
    </w:p>
    <w:p>
      <w:pPr>
        <w:ind w:left="4020"/>
        <w:spacing w:after="0" w:line="235" w:lineRule="auto"/>
        <w:rPr>
          <w:sz w:val="20"/>
          <w:szCs w:val="20"/>
          <w:color w:val="auto"/>
        </w:rPr>
      </w:pPr>
      <w:r>
        <w:rPr>
          <w:rFonts w:ascii="Arial" w:cs="Arial" w:eastAsia="Arial" w:hAnsi="Arial"/>
          <w:sz w:val="18"/>
          <w:szCs w:val="18"/>
          <w:color w:val="auto"/>
        </w:rPr>
        <w:t>combination within 24 months from the closing of this</w:t>
      </w:r>
    </w:p>
    <w:p>
      <w:pPr>
        <w:ind w:left="4020"/>
        <w:spacing w:after="0" w:line="235" w:lineRule="auto"/>
        <w:rPr>
          <w:sz w:val="20"/>
          <w:szCs w:val="20"/>
          <w:color w:val="auto"/>
        </w:rPr>
      </w:pPr>
      <w:r>
        <w:rPr>
          <w:rFonts w:ascii="Arial" w:cs="Arial" w:eastAsia="Arial" w:hAnsi="Arial"/>
          <w:sz w:val="18"/>
          <w:szCs w:val="18"/>
          <w:color w:val="auto"/>
        </w:rPr>
        <w:t>offering or with respect to any other material provisions</w:t>
      </w:r>
    </w:p>
    <w:p>
      <w:pPr>
        <w:ind w:left="4020"/>
        <w:spacing w:after="0" w:line="234" w:lineRule="auto"/>
        <w:rPr>
          <w:sz w:val="20"/>
          <w:szCs w:val="20"/>
          <w:color w:val="auto"/>
        </w:rPr>
      </w:pPr>
      <w:r>
        <w:rPr>
          <w:rFonts w:ascii="Arial" w:cs="Arial" w:eastAsia="Arial" w:hAnsi="Arial"/>
          <w:sz w:val="18"/>
          <w:szCs w:val="18"/>
          <w:color w:val="auto"/>
        </w:rPr>
        <w:t>relating to stockholders’ rights or pre-initial business</w:t>
      </w:r>
    </w:p>
    <w:p>
      <w:pPr>
        <w:ind w:left="4020"/>
        <w:spacing w:after="0" w:line="235" w:lineRule="auto"/>
        <w:rPr>
          <w:sz w:val="20"/>
          <w:szCs w:val="20"/>
          <w:color w:val="auto"/>
        </w:rPr>
      </w:pPr>
      <w:r>
        <w:rPr>
          <w:rFonts w:ascii="Arial" w:cs="Arial" w:eastAsia="Arial" w:hAnsi="Arial"/>
          <w:sz w:val="18"/>
          <w:szCs w:val="18"/>
          <w:color w:val="auto"/>
        </w:rPr>
        <w:t>combination activity. The proceeds deposited in the</w:t>
      </w:r>
    </w:p>
    <w:p>
      <w:pPr>
        <w:ind w:left="4020"/>
        <w:spacing w:after="0" w:line="235" w:lineRule="auto"/>
        <w:rPr>
          <w:sz w:val="20"/>
          <w:szCs w:val="20"/>
          <w:color w:val="auto"/>
        </w:rPr>
      </w:pPr>
      <w:r>
        <w:rPr>
          <w:rFonts w:ascii="Arial" w:cs="Arial" w:eastAsia="Arial" w:hAnsi="Arial"/>
          <w:sz w:val="18"/>
          <w:szCs w:val="18"/>
          <w:color w:val="auto"/>
        </w:rPr>
        <w:t>trust account could become subject to the claims of our</w:t>
      </w:r>
    </w:p>
    <w:p>
      <w:pPr>
        <w:ind w:left="4020"/>
        <w:spacing w:after="0" w:line="235" w:lineRule="auto"/>
        <w:rPr>
          <w:sz w:val="20"/>
          <w:szCs w:val="20"/>
          <w:color w:val="auto"/>
        </w:rPr>
      </w:pPr>
      <w:r>
        <w:rPr>
          <w:rFonts w:ascii="Arial" w:cs="Arial" w:eastAsia="Arial" w:hAnsi="Arial"/>
          <w:sz w:val="18"/>
          <w:szCs w:val="18"/>
          <w:color w:val="auto"/>
        </w:rPr>
        <w:t>creditors, if any, which could have priority over the</w:t>
      </w:r>
    </w:p>
    <w:p>
      <w:pPr>
        <w:ind w:left="4020"/>
        <w:spacing w:after="0"/>
        <w:rPr>
          <w:sz w:val="20"/>
          <w:szCs w:val="20"/>
          <w:color w:val="auto"/>
        </w:rPr>
      </w:pPr>
      <w:r>
        <w:rPr>
          <w:rFonts w:ascii="Arial" w:cs="Arial" w:eastAsia="Arial" w:hAnsi="Arial"/>
          <w:sz w:val="18"/>
          <w:szCs w:val="18"/>
          <w:color w:val="auto"/>
        </w:rPr>
        <w:t>claims of our public stockholders.</w:t>
      </w:r>
    </w:p>
    <w:p>
      <w:pPr>
        <w:spacing w:after="0" w:line="16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Anticipated expenses and funding sources Unless and until we complete our initial business</w:t>
      </w:r>
    </w:p>
    <w:p>
      <w:pPr>
        <w:spacing w:after="0" w:line="13"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combination, no proceeds held in the trust account will</w:t>
      </w:r>
    </w:p>
    <w:p>
      <w:pPr>
        <w:ind w:left="4020"/>
        <w:spacing w:after="0" w:line="234" w:lineRule="auto"/>
        <w:rPr>
          <w:sz w:val="20"/>
          <w:szCs w:val="20"/>
          <w:color w:val="auto"/>
        </w:rPr>
      </w:pPr>
      <w:r>
        <w:rPr>
          <w:rFonts w:ascii="Arial" w:cs="Arial" w:eastAsia="Arial" w:hAnsi="Arial"/>
          <w:sz w:val="18"/>
          <w:szCs w:val="18"/>
          <w:color w:val="auto"/>
        </w:rPr>
        <w:t>be available for our use, except the withdrawal of</w:t>
      </w:r>
    </w:p>
    <w:p>
      <w:pPr>
        <w:ind w:left="4020"/>
        <w:spacing w:after="0" w:line="235" w:lineRule="auto"/>
        <w:rPr>
          <w:sz w:val="20"/>
          <w:szCs w:val="20"/>
          <w:color w:val="auto"/>
        </w:rPr>
      </w:pPr>
      <w:r>
        <w:rPr>
          <w:rFonts w:ascii="Arial" w:cs="Arial" w:eastAsia="Arial" w:hAnsi="Arial"/>
          <w:sz w:val="18"/>
          <w:szCs w:val="18"/>
          <w:color w:val="auto"/>
        </w:rPr>
        <w:t>interest to pay our taxes and/or to redeem our public</w:t>
      </w:r>
    </w:p>
    <w:p>
      <w:pPr>
        <w:ind w:left="4020"/>
        <w:spacing w:after="0" w:line="235" w:lineRule="auto"/>
        <w:rPr>
          <w:sz w:val="20"/>
          <w:szCs w:val="20"/>
          <w:color w:val="auto"/>
        </w:rPr>
      </w:pPr>
      <w:r>
        <w:rPr>
          <w:rFonts w:ascii="Arial" w:cs="Arial" w:eastAsia="Arial" w:hAnsi="Arial"/>
          <w:sz w:val="18"/>
          <w:szCs w:val="18"/>
          <w:color w:val="auto"/>
        </w:rPr>
        <w:t>shares in connection with an amendment to our</w:t>
      </w:r>
    </w:p>
    <w:p>
      <w:pPr>
        <w:ind w:left="4020"/>
        <w:spacing w:after="0" w:line="235" w:lineRule="auto"/>
        <w:rPr>
          <w:sz w:val="20"/>
          <w:szCs w:val="20"/>
          <w:color w:val="auto"/>
        </w:rPr>
      </w:pPr>
      <w:r>
        <w:rPr>
          <w:rFonts w:ascii="Arial" w:cs="Arial" w:eastAsia="Arial" w:hAnsi="Arial"/>
          <w:sz w:val="18"/>
          <w:szCs w:val="18"/>
          <w:color w:val="auto"/>
        </w:rPr>
        <w:t>amended and restated certificate of incorporation, as</w:t>
      </w:r>
    </w:p>
    <w:p>
      <w:pPr>
        <w:ind w:left="4020"/>
        <w:spacing w:after="0" w:line="235" w:lineRule="auto"/>
        <w:rPr>
          <w:sz w:val="20"/>
          <w:szCs w:val="20"/>
          <w:color w:val="auto"/>
        </w:rPr>
      </w:pPr>
      <w:r>
        <w:rPr>
          <w:rFonts w:ascii="Arial" w:cs="Arial" w:eastAsia="Arial" w:hAnsi="Arial"/>
          <w:sz w:val="18"/>
          <w:szCs w:val="18"/>
          <w:color w:val="auto"/>
        </w:rPr>
        <w:t>described above. The proceeds held in the trust</w:t>
      </w:r>
    </w:p>
    <w:p>
      <w:pPr>
        <w:ind w:left="4020"/>
        <w:spacing w:after="0" w:line="234" w:lineRule="auto"/>
        <w:rPr>
          <w:sz w:val="20"/>
          <w:szCs w:val="20"/>
          <w:color w:val="auto"/>
        </w:rPr>
      </w:pPr>
      <w:r>
        <w:rPr>
          <w:rFonts w:ascii="Arial" w:cs="Arial" w:eastAsia="Arial" w:hAnsi="Arial"/>
          <w:sz w:val="18"/>
          <w:szCs w:val="18"/>
          <w:color w:val="auto"/>
        </w:rPr>
        <w:t>account will be invested only in U.S. government</w:t>
      </w:r>
    </w:p>
    <w:p>
      <w:pPr>
        <w:ind w:left="4020"/>
        <w:spacing w:after="0" w:line="235" w:lineRule="auto"/>
        <w:rPr>
          <w:sz w:val="20"/>
          <w:szCs w:val="20"/>
          <w:color w:val="auto"/>
        </w:rPr>
      </w:pPr>
      <w:r>
        <w:rPr>
          <w:rFonts w:ascii="Arial" w:cs="Arial" w:eastAsia="Arial" w:hAnsi="Arial"/>
          <w:sz w:val="18"/>
          <w:szCs w:val="18"/>
          <w:color w:val="auto"/>
        </w:rPr>
        <w:t>treasury obligations with a maturity of 185 days or less</w:t>
      </w:r>
    </w:p>
    <w:p>
      <w:pPr>
        <w:ind w:left="4020"/>
        <w:spacing w:after="0" w:line="235" w:lineRule="auto"/>
        <w:rPr>
          <w:sz w:val="20"/>
          <w:szCs w:val="20"/>
          <w:color w:val="auto"/>
        </w:rPr>
      </w:pPr>
      <w:r>
        <w:rPr>
          <w:rFonts w:ascii="Arial" w:cs="Arial" w:eastAsia="Arial" w:hAnsi="Arial"/>
          <w:sz w:val="18"/>
          <w:szCs w:val="18"/>
          <w:color w:val="auto"/>
        </w:rPr>
        <w:t>or in money market funds meeting certain conditions</w:t>
      </w:r>
    </w:p>
    <w:p>
      <w:pPr>
        <w:ind w:left="4020"/>
        <w:spacing w:after="0" w:line="235" w:lineRule="auto"/>
        <w:rPr>
          <w:sz w:val="20"/>
          <w:szCs w:val="20"/>
          <w:color w:val="auto"/>
        </w:rPr>
      </w:pPr>
      <w:r>
        <w:rPr>
          <w:rFonts w:ascii="Arial" w:cs="Arial" w:eastAsia="Arial" w:hAnsi="Arial"/>
          <w:sz w:val="18"/>
          <w:szCs w:val="18"/>
          <w:color w:val="auto"/>
        </w:rPr>
        <w:t>under Rule 2a-7 under the Investment Company Act</w:t>
      </w:r>
    </w:p>
    <w:p>
      <w:pPr>
        <w:ind w:left="4020"/>
        <w:spacing w:after="0" w:line="235" w:lineRule="auto"/>
        <w:rPr>
          <w:sz w:val="20"/>
          <w:szCs w:val="20"/>
          <w:color w:val="auto"/>
        </w:rPr>
      </w:pPr>
      <w:r>
        <w:rPr>
          <w:rFonts w:ascii="Arial" w:cs="Arial" w:eastAsia="Arial" w:hAnsi="Arial"/>
          <w:sz w:val="18"/>
          <w:szCs w:val="18"/>
          <w:color w:val="auto"/>
        </w:rPr>
        <w:t>which invest only in direct U.S. government treasury</w:t>
      </w:r>
    </w:p>
    <w:p>
      <w:pPr>
        <w:ind w:left="4020"/>
        <w:spacing w:after="0" w:line="234" w:lineRule="auto"/>
        <w:rPr>
          <w:sz w:val="20"/>
          <w:szCs w:val="20"/>
          <w:color w:val="auto"/>
        </w:rPr>
      </w:pPr>
      <w:r>
        <w:rPr>
          <w:rFonts w:ascii="Arial" w:cs="Arial" w:eastAsia="Arial" w:hAnsi="Arial"/>
          <w:sz w:val="18"/>
          <w:szCs w:val="18"/>
          <w:color w:val="auto"/>
        </w:rPr>
        <w:t>obligations. We estimate the interest earned on the</w:t>
      </w:r>
    </w:p>
    <w:p>
      <w:pPr>
        <w:ind w:left="4020"/>
        <w:spacing w:after="0" w:line="235" w:lineRule="auto"/>
        <w:rPr>
          <w:sz w:val="20"/>
          <w:szCs w:val="20"/>
          <w:color w:val="auto"/>
        </w:rPr>
      </w:pPr>
      <w:r>
        <w:rPr>
          <w:rFonts w:ascii="Arial" w:cs="Arial" w:eastAsia="Arial" w:hAnsi="Arial"/>
          <w:sz w:val="18"/>
          <w:szCs w:val="18"/>
          <w:color w:val="auto"/>
        </w:rPr>
        <w:t>trust account will be approximately $385,000 per year,</w:t>
      </w:r>
    </w:p>
    <w:p>
      <w:pPr>
        <w:ind w:left="4020"/>
        <w:spacing w:after="0" w:line="235" w:lineRule="auto"/>
        <w:rPr>
          <w:sz w:val="20"/>
          <w:szCs w:val="20"/>
          <w:color w:val="auto"/>
        </w:rPr>
      </w:pPr>
      <w:r>
        <w:rPr>
          <w:rFonts w:ascii="Arial" w:cs="Arial" w:eastAsia="Arial" w:hAnsi="Arial"/>
          <w:sz w:val="18"/>
          <w:szCs w:val="18"/>
          <w:color w:val="auto"/>
        </w:rPr>
        <w:t>assuming an interest rate of 0.1% per year; however</w:t>
      </w:r>
    </w:p>
    <w:p>
      <w:pPr>
        <w:ind w:left="4020"/>
        <w:spacing w:after="0" w:line="235" w:lineRule="auto"/>
        <w:rPr>
          <w:sz w:val="20"/>
          <w:szCs w:val="20"/>
          <w:color w:val="auto"/>
        </w:rPr>
      </w:pPr>
      <w:r>
        <w:rPr>
          <w:rFonts w:ascii="Arial" w:cs="Arial" w:eastAsia="Arial" w:hAnsi="Arial"/>
          <w:sz w:val="18"/>
          <w:szCs w:val="18"/>
          <w:color w:val="auto"/>
        </w:rPr>
        <w:t>we can provide no assurances regarding this amount.</w:t>
      </w:r>
    </w:p>
    <w:p>
      <w:pPr>
        <w:ind w:left="4020"/>
        <w:spacing w:after="0" w:line="235" w:lineRule="auto"/>
        <w:rPr>
          <w:sz w:val="20"/>
          <w:szCs w:val="20"/>
          <w:color w:val="auto"/>
        </w:rPr>
      </w:pPr>
      <w:r>
        <w:rPr>
          <w:rFonts w:ascii="Arial" w:cs="Arial" w:eastAsia="Arial" w:hAnsi="Arial"/>
          <w:sz w:val="18"/>
          <w:szCs w:val="18"/>
          <w:color w:val="auto"/>
        </w:rPr>
        <w:t>Unless and until we complete our initial business</w:t>
      </w:r>
    </w:p>
    <w:p>
      <w:pPr>
        <w:ind w:left="4020"/>
        <w:spacing w:after="0" w:line="234" w:lineRule="auto"/>
        <w:rPr>
          <w:sz w:val="20"/>
          <w:szCs w:val="20"/>
          <w:color w:val="auto"/>
        </w:rPr>
      </w:pPr>
      <w:r>
        <w:rPr>
          <w:rFonts w:ascii="Arial" w:cs="Arial" w:eastAsia="Arial" w:hAnsi="Arial"/>
          <w:sz w:val="18"/>
          <w:szCs w:val="18"/>
          <w:color w:val="auto"/>
        </w:rPr>
        <w:t>combination, we may pay our expenses only from such</w:t>
      </w:r>
    </w:p>
    <w:p>
      <w:pPr>
        <w:spacing w:after="0" w:line="1"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interest withdrawn from the trust account and:</w:t>
      </w:r>
    </w:p>
    <w:p>
      <w:pPr>
        <w:spacing w:after="0" w:line="163" w:lineRule="exact"/>
        <w:rPr>
          <w:sz w:val="20"/>
          <w:szCs w:val="20"/>
          <w:color w:val="auto"/>
        </w:rPr>
      </w:pPr>
    </w:p>
    <w:p>
      <w:pPr>
        <w:ind w:left="4440" w:right="599" w:hanging="211"/>
        <w:spacing w:after="0" w:line="243" w:lineRule="auto"/>
        <w:tabs>
          <w:tab w:leader="none" w:pos="443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net proceeds of this offering and the sale of the private placement warrants not held in the trust account, which initially will be approximately $1,000,000 in working capital after the payment of approximately $1,000,000 in expenses relating to this offering; and</w:t>
      </w:r>
    </w:p>
    <w:p>
      <w:pPr>
        <w:spacing w:after="0" w:line="146" w:lineRule="exact"/>
        <w:rPr>
          <w:rFonts w:ascii="Arial" w:cs="Arial" w:eastAsia="Arial" w:hAnsi="Arial"/>
          <w:sz w:val="18"/>
          <w:szCs w:val="18"/>
          <w:color w:val="auto"/>
        </w:rPr>
      </w:pPr>
    </w:p>
    <w:p>
      <w:pPr>
        <w:ind w:left="4440" w:right="579" w:hanging="211"/>
        <w:spacing w:after="0" w:line="238" w:lineRule="auto"/>
        <w:tabs>
          <w:tab w:leader="none" w:pos="4437"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loans or additional investments from our sponsor, members of our management team or their affiliates or other third parties, although they are under no obligation to advance funds or invest in us, and provided that any such loans will not have any claim on the proceeds held in the trust account unless such proceeds are released to us upon completion of our initial business combination. Up to $1,500,000 of such loans may be convertible into private placement warrants, at a price of $1.50 per warrant, at the option of the lender.</w:t>
      </w:r>
    </w:p>
    <w:p>
      <w:pPr>
        <w:sectPr>
          <w:pgSz w:w="11900" w:h="16838" w:orient="portrait"/>
          <w:cols w:equalWidth="0" w:num="1">
            <w:col w:w="9019"/>
          </w:cols>
          <w:pgMar w:left="1440" w:top="495" w:right="1440"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19050</wp:posOffset>
            </wp:positionV>
            <wp:extent cx="5143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95" w:right="1440" w:bottom="1440" w:gutter="0" w:footer="0" w:header="0"/>
          <w:type w:val="continuous"/>
        </w:sectPr>
      </w:pPr>
    </w:p>
    <w:bookmarkStart w:id="23" w:name="page24"/>
    <w:bookmarkEnd w:id="23"/>
    <w:p>
      <w:pPr>
        <w:ind w:left="720" w:hanging="179"/>
        <w:spacing w:after="0" w:line="276" w:lineRule="auto"/>
        <w:rPr>
          <w:sz w:val="20"/>
          <w:szCs w:val="20"/>
          <w:color w:val="auto"/>
        </w:rPr>
      </w:pPr>
      <w:r>
        <w:rPr>
          <w:rFonts w:ascii="Arial" w:cs="Arial" w:eastAsia="Arial" w:hAnsi="Arial"/>
          <w:sz w:val="18"/>
          <w:szCs w:val="18"/>
          <w:color w:val="auto"/>
        </w:rPr>
        <w:t>Conditions to completing our initial business combination</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right="579"/>
        <w:spacing w:after="0" w:line="236" w:lineRule="auto"/>
        <w:rPr>
          <w:sz w:val="20"/>
          <w:szCs w:val="20"/>
          <w:color w:val="auto"/>
        </w:rPr>
      </w:pPr>
      <w:r>
        <w:rPr>
          <w:rFonts w:ascii="Arial" w:cs="Arial" w:eastAsia="Arial" w:hAnsi="Arial"/>
          <w:sz w:val="18"/>
          <w:szCs w:val="18"/>
          <w:color w:val="auto"/>
        </w:rPr>
        <w:t>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we will obtain an opinion from an independent investment banking firm which is a member of FINRA or a valuation or appraisal firm. While we consider it unlikely that our board of directors will not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the target’s assets or prospects. Additionally, pursuant to Nasdaq rules, any initial business combination must be approved by a majority of our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-3326130</wp:posOffset>
            </wp:positionV>
            <wp:extent cx="5147310" cy="79571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7310" cy="7957185"/>
                    </a:xfrm>
                    <a:prstGeom prst="rect">
                      <a:avLst/>
                    </a:prstGeom>
                    <a:noFill/>
                  </pic:spPr>
                </pic:pic>
              </a:graphicData>
            </a:graphic>
          </wp:anchor>
        </w:drawing>
      </w:r>
    </w:p>
    <w:p>
      <w:pPr>
        <w:spacing w:after="0" w:line="145" w:lineRule="exact"/>
        <w:rPr>
          <w:sz w:val="20"/>
          <w:szCs w:val="20"/>
          <w:color w:val="auto"/>
        </w:rPr>
      </w:pPr>
    </w:p>
    <w:p>
      <w:pPr>
        <w:ind w:right="579"/>
        <w:spacing w:after="0" w:line="236" w:lineRule="auto"/>
        <w:rPr>
          <w:sz w:val="20"/>
          <w:szCs w:val="20"/>
          <w:color w:val="auto"/>
        </w:rPr>
      </w:pPr>
      <w:r>
        <w:rPr>
          <w:rFonts w:ascii="Arial" w:cs="Arial" w:eastAsia="Arial" w:hAnsi="Arial"/>
          <w:sz w:val="18"/>
          <w:szCs w:val="18"/>
          <w:color w:val="auto"/>
        </w:rPr>
        <w:t>We will complete our initial business combination only if the post-transaction company in which our public stockholders own shares will own or acquire 50% or more of the outstanding voting securities of the target or is otherwise not required to register as an investment company under the Investment Company Act. Even if the post-transaction company owns or acquires 50% or more of the voting securities of the target, our stockholders prior to our initial business combination may collectively own a minority interest in the post business combination company, depending on valuations ascribed to the target and us in the business combination transaction. For example, we could pursue a transaction in which we issue a substantial number of new shares in exchange for all of the outstanding capital stock or shares of a target. In this case, we would acquire a 100% controlling interest in the target. However, as a result of the issuance of a substantial number of new shares, our stockholders 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taken into account for purposes of the 80% of net assets test described above, provided that in the event that the business combination involves more than one target business, the 80% of net assets test will be based on the aggregate value of all of the target businesses and we will treat the target businesses together as our initial business combination for purposes of a seeking stockholder approval or conducting a tender offer, as applicable.</w:t>
      </w:r>
    </w:p>
    <w:p>
      <w:pPr>
        <w:spacing w:after="0" w:line="200" w:lineRule="exact"/>
        <w:rPr>
          <w:sz w:val="20"/>
          <w:szCs w:val="20"/>
          <w:color w:val="auto"/>
        </w:rPr>
      </w:pPr>
    </w:p>
    <w:p>
      <w:pPr>
        <w:sectPr>
          <w:pgSz w:w="11900" w:h="16838" w:orient="portrait"/>
          <w:cols w:equalWidth="0" w:num="2">
            <w:col w:w="3280" w:space="440"/>
            <w:col w:w="5299"/>
          </w:cols>
          <w:pgMar w:left="1440" w:top="495" w:right="1440"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19050</wp:posOffset>
            </wp:positionV>
            <wp:extent cx="51435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95" w:right="1440" w:bottom="1440" w:gutter="0" w:footer="0" w:header="0"/>
          <w:type w:val="continuous"/>
        </w:sectPr>
      </w:pPr>
    </w:p>
    <w:bookmarkStart w:id="24" w:name="page25"/>
    <w:bookmarkEnd w:id="24"/>
    <w:p>
      <w:pPr>
        <w:jc w:val="right"/>
        <w:ind w:left="540"/>
        <w:spacing w:after="0" w:line="276" w:lineRule="auto"/>
        <w:rPr>
          <w:sz w:val="20"/>
          <w:szCs w:val="20"/>
          <w:color w:val="auto"/>
        </w:rPr>
      </w:pPr>
      <w:r>
        <w:rPr>
          <w:rFonts w:ascii="Arial" w:cs="Arial" w:eastAsia="Arial" w:hAnsi="Arial"/>
          <w:sz w:val="18"/>
          <w:szCs w:val="18"/>
          <w:color w:val="auto"/>
        </w:rPr>
        <w:t>Permitted purchases of public shares and public warrants by our affiliates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right="579"/>
        <w:spacing w:after="0" w:line="236"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sponsor, initial stockholders, directors, executive officers, advisors or their respective affiliates may purchase public shares or public warrants in privately negotiated transactions or in the open market either prior to or following the completion of our initial business combination. There is no limit on the number of shares our initial stockholders, directors, officers, advisors or their respective affiliates may purchase in such transactions, subject to compliance with applicable law and Nasdaq rules. However, they have no current commitments, plans or intentions to engage in such purchases or other transactions and have not formulated any terms or conditions for any such purchases or other transactions. None of the funds held in the trust account will be used to purchase shares or public warrants in such transactions. If they engage in such transactions, they will be restricted from making any such purchases when they are in possession of any material nonpublic information not disclosed to the seller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be required to comply with such rules. We expect any such purchases will be reported pursuant to Section 13 and Section 16 of the Exchange Act to the extent such purchasers are subject to such reporting requirements. See “Proposed Business — Permitted purchases of our securities” for a description of how our sponsor, initial stockholders, directors, executive officers, advisors or any of their affiliates will select which stockholders to purchase securities from in any private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-5393690</wp:posOffset>
            </wp:positionV>
            <wp:extent cx="5147310" cy="84715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7310" cy="8471535"/>
                    </a:xfrm>
                    <a:prstGeom prst="rect">
                      <a:avLst/>
                    </a:prstGeom>
                    <a:noFill/>
                  </pic:spPr>
                </pic:pic>
              </a:graphicData>
            </a:graphic>
          </wp:anchor>
        </w:drawing>
      </w:r>
    </w:p>
    <w:p>
      <w:pPr>
        <w:spacing w:after="0" w:line="149" w:lineRule="exact"/>
        <w:rPr>
          <w:sz w:val="20"/>
          <w:szCs w:val="20"/>
          <w:color w:val="auto"/>
        </w:rPr>
      </w:pPr>
    </w:p>
    <w:p>
      <w:pPr>
        <w:sectPr>
          <w:pgSz w:w="11900" w:h="16838" w:orient="portrait"/>
          <w:cols w:equalWidth="0" w:num="2">
            <w:col w:w="3540" w:space="180"/>
            <w:col w:w="5299"/>
          </w:cols>
          <w:pgMar w:left="1440" w:top="495" w:right="1440" w:bottom="1440" w:gutter="0" w:footer="0" w:header="0"/>
        </w:sectPr>
      </w:pPr>
    </w:p>
    <w:p>
      <w:pPr>
        <w:ind w:left="3720" w:right="579"/>
        <w:spacing w:after="0" w:line="237" w:lineRule="auto"/>
        <w:rPr>
          <w:sz w:val="20"/>
          <w:szCs w:val="20"/>
          <w:color w:val="auto"/>
        </w:rPr>
      </w:pPr>
      <w:r>
        <w:rPr>
          <w:rFonts w:ascii="Arial" w:cs="Arial" w:eastAsia="Arial" w:hAnsi="Arial"/>
          <w:sz w:val="18"/>
          <w:szCs w:val="18"/>
          <w:color w:val="auto"/>
        </w:rPr>
        <w:t>The purpose of any such purchases of shares could be to vote such shares in favor of the business combination and thereby increase the likelihood of obtaining the requisite stockholder approval of the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In addition, if such purchases are made, the public “float” of our Class A common stock or warrants may be reduced and the number of beneficial holders of our securities may be reduced, which may make it difficult to maintain or obtain the quotation, listing or trading of our securities on a national securities exchange.</w:t>
      </w:r>
    </w:p>
    <w:p>
      <w:pPr>
        <w:sectPr>
          <w:pgSz w:w="11900" w:h="16838" w:orient="portrait"/>
          <w:cols w:equalWidth="0" w:num="1">
            <w:col w:w="9019"/>
          </w:cols>
          <w:pgMar w:left="1440" w:top="495" w:right="1440" w:bottom="1440" w:gutter="0" w:footer="0" w:header="0"/>
          <w:type w:val="continuous"/>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19050</wp:posOffset>
            </wp:positionV>
            <wp:extent cx="5143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95" w:right="1440" w:bottom="1440" w:gutter="0" w:footer="0" w:header="0"/>
          <w:type w:val="continuous"/>
        </w:sectPr>
      </w:pPr>
    </w:p>
    <w:bookmarkStart w:id="25" w:name="page26"/>
    <w:bookmarkEnd w:id="25"/>
    <w:p>
      <w:pPr>
        <w:ind w:left="720" w:hanging="179"/>
        <w:spacing w:after="0" w:line="255" w:lineRule="auto"/>
        <w:rPr>
          <w:sz w:val="20"/>
          <w:szCs w:val="20"/>
          <w:color w:val="auto"/>
        </w:rPr>
      </w:pPr>
      <w:r>
        <w:rPr>
          <w:rFonts w:ascii="Arial" w:cs="Arial" w:eastAsia="Arial" w:hAnsi="Arial"/>
          <w:sz w:val="18"/>
          <w:szCs w:val="18"/>
          <w:color w:val="auto"/>
        </w:rPr>
        <w:t>Redemption rights for public stockholders upon completion of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Limitations on redemptions</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ind w:right="579"/>
        <w:spacing w:after="0" w:line="236" w:lineRule="auto"/>
        <w:rPr>
          <w:sz w:val="20"/>
          <w:szCs w:val="20"/>
          <w:color w:val="auto"/>
        </w:rPr>
      </w:pPr>
      <w:r>
        <w:rPr>
          <w:rFonts w:ascii="Arial" w:cs="Arial" w:eastAsia="Arial" w:hAnsi="Arial"/>
          <w:sz w:val="18"/>
          <w:szCs w:val="18"/>
          <w:color w:val="auto"/>
        </w:rPr>
        <w:t>We will provide our public stockholders with the opportunity to redeem all or a portion of their public shares upon the completion of our initial business combination at a per-share price, payable in cash, equal to the aggregate amount then on deposit in the trust account calculated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and on the conditions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There will be no redemption rights upon the completion of our initial business combination with respect to our warrants. Our initial stockholders, sponsor, officers and directors have entered into a letter agreement with us, pursuant to which they have agreed to waive their redemption rights with respect to any founder shares they hold and any public shares they may acquire during or after this offering in connection with the completion of our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-3583940</wp:posOffset>
            </wp:positionV>
            <wp:extent cx="5147310" cy="73145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7310" cy="7314565"/>
                    </a:xfrm>
                    <a:prstGeom prst="rect">
                      <a:avLst/>
                    </a:prstGeom>
                    <a:noFill/>
                  </pic:spPr>
                </pic:pic>
              </a:graphicData>
            </a:graphic>
          </wp:anchor>
        </w:drawing>
      </w:r>
    </w:p>
    <w:p>
      <w:pPr>
        <w:spacing w:after="0" w:line="144" w:lineRule="exact"/>
        <w:rPr>
          <w:sz w:val="20"/>
          <w:szCs w:val="20"/>
          <w:color w:val="auto"/>
        </w:rPr>
      </w:pPr>
    </w:p>
    <w:p>
      <w:pPr>
        <w:ind w:right="639"/>
        <w:spacing w:after="0" w:line="236" w:lineRule="auto"/>
        <w:rPr>
          <w:sz w:val="20"/>
          <w:szCs w:val="20"/>
          <w:color w:val="auto"/>
        </w:rPr>
      </w:pPr>
      <w:r>
        <w:rPr>
          <w:rFonts w:ascii="Arial" w:cs="Arial" w:eastAsia="Arial" w:hAnsi="Arial"/>
          <w:sz w:val="18"/>
          <w:szCs w:val="18"/>
          <w:color w:val="auto"/>
        </w:rPr>
        <w:t>Our amended and restated certificate of incorporation provides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 (ii) cash for working capital or other general corporate purposes or (iii) the retention of cash to satisfy other conditions. In the event the aggregate cash consideration we would be required to pay for all shares of Class A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in connection with such initial business combination, and all shares of Class A common stock submitted for redemption will be returned to the holders thereof. We may, however, raise funds through the issuance of equity-linked securities or through loans, advances or other indebtedness in connection with our initial business combination, including pursuant to forward purchase agreements or backstop arrangements we may enter into following consummation of this offering, in order to, among other reasons, satisfy such net tangible assets or minimum cash requirements.</w:t>
      </w:r>
    </w:p>
    <w:p>
      <w:pPr>
        <w:spacing w:after="0" w:line="200" w:lineRule="exact"/>
        <w:rPr>
          <w:sz w:val="20"/>
          <w:szCs w:val="20"/>
          <w:color w:val="auto"/>
        </w:rPr>
      </w:pPr>
    </w:p>
    <w:p>
      <w:pPr>
        <w:sectPr>
          <w:pgSz w:w="11900" w:h="16838" w:orient="portrait"/>
          <w:cols w:equalWidth="0" w:num="2">
            <w:col w:w="3620" w:space="100"/>
            <w:col w:w="5299"/>
          </w:cols>
          <w:pgMar w:left="1440" w:top="495" w:right="1440" w:bottom="1440" w:gutter="0" w:footer="0" w:header="0"/>
        </w:sect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19050</wp:posOffset>
            </wp:positionV>
            <wp:extent cx="5143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95" w:right="1440" w:bottom="1440" w:gutter="0" w:footer="0" w:header="0"/>
          <w:type w:val="continuous"/>
        </w:sectPr>
      </w:pPr>
    </w:p>
    <w:bookmarkStart w:id="26" w:name="page27"/>
    <w:bookmarkEnd w:id="26"/>
    <w:p>
      <w:pPr>
        <w:ind w:left="540"/>
        <w:spacing w:after="0"/>
        <w:tabs>
          <w:tab w:leader="none" w:pos="37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90805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7310" cy="9080500"/>
                    </a:xfrm>
                    <a:prstGeom prst="rect">
                      <a:avLst/>
                    </a:prstGeom>
                    <a:noFill/>
                  </pic:spPr>
                </pic:pic>
              </a:graphicData>
            </a:graphic>
          </wp:anchor>
        </w:drawing>
        <w:t>Manner of conducting redemptions</w:t>
      </w:r>
      <w:r>
        <w:rPr>
          <w:sz w:val="20"/>
          <w:szCs w:val="20"/>
          <w:color w:val="auto"/>
        </w:rPr>
        <w:tab/>
      </w:r>
      <w:r>
        <w:rPr>
          <w:rFonts w:ascii="Arial" w:cs="Arial" w:eastAsia="Arial" w:hAnsi="Arial"/>
          <w:sz w:val="18"/>
          <w:szCs w:val="18"/>
          <w:color w:val="auto"/>
        </w:rPr>
        <w:t>We will provide our public stockholders with the opportunity</w:t>
      </w:r>
    </w:p>
    <w:p>
      <w:pPr>
        <w:spacing w:after="0" w:line="13"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to redeem all or a portion of their public shares upon the</w:t>
      </w:r>
    </w:p>
    <w:p>
      <w:pPr>
        <w:ind w:left="3720"/>
        <w:spacing w:after="0" w:line="234" w:lineRule="auto"/>
        <w:rPr>
          <w:sz w:val="20"/>
          <w:szCs w:val="20"/>
          <w:color w:val="auto"/>
        </w:rPr>
      </w:pPr>
      <w:r>
        <w:rPr>
          <w:rFonts w:ascii="Arial" w:cs="Arial" w:eastAsia="Arial" w:hAnsi="Arial"/>
          <w:sz w:val="18"/>
          <w:szCs w:val="18"/>
          <w:color w:val="auto"/>
        </w:rPr>
        <w:t>completion of our initial business combination either (i) in</w:t>
      </w:r>
    </w:p>
    <w:p>
      <w:pPr>
        <w:ind w:left="3720"/>
        <w:spacing w:after="0" w:line="235" w:lineRule="auto"/>
        <w:rPr>
          <w:sz w:val="20"/>
          <w:szCs w:val="20"/>
          <w:color w:val="auto"/>
        </w:rPr>
      </w:pPr>
      <w:r>
        <w:rPr>
          <w:rFonts w:ascii="Arial" w:cs="Arial" w:eastAsia="Arial" w:hAnsi="Arial"/>
          <w:sz w:val="18"/>
          <w:szCs w:val="18"/>
          <w:color w:val="auto"/>
        </w:rPr>
        <w:t>connection with a stockholder meeting called to approve</w:t>
      </w:r>
    </w:p>
    <w:p>
      <w:pPr>
        <w:ind w:left="3720"/>
        <w:spacing w:after="0" w:line="235" w:lineRule="auto"/>
        <w:rPr>
          <w:sz w:val="20"/>
          <w:szCs w:val="20"/>
          <w:color w:val="auto"/>
        </w:rPr>
      </w:pPr>
      <w:r>
        <w:rPr>
          <w:rFonts w:ascii="Arial" w:cs="Arial" w:eastAsia="Arial" w:hAnsi="Arial"/>
          <w:sz w:val="18"/>
          <w:szCs w:val="18"/>
          <w:color w:val="auto"/>
        </w:rPr>
        <w:t>the business combination or (ii) without a stockholder vote</w:t>
      </w:r>
    </w:p>
    <w:p>
      <w:pPr>
        <w:ind w:left="3720"/>
        <w:spacing w:after="0" w:line="235" w:lineRule="auto"/>
        <w:rPr>
          <w:sz w:val="20"/>
          <w:szCs w:val="20"/>
          <w:color w:val="auto"/>
        </w:rPr>
      </w:pPr>
      <w:r>
        <w:rPr>
          <w:rFonts w:ascii="Arial" w:cs="Arial" w:eastAsia="Arial" w:hAnsi="Arial"/>
          <w:sz w:val="18"/>
          <w:szCs w:val="18"/>
          <w:color w:val="auto"/>
        </w:rPr>
        <w:t>by means of a tender offer. The decision as to whether we</w:t>
      </w:r>
    </w:p>
    <w:p>
      <w:pPr>
        <w:ind w:left="3720"/>
        <w:spacing w:after="0" w:line="235" w:lineRule="auto"/>
        <w:rPr>
          <w:sz w:val="20"/>
          <w:szCs w:val="20"/>
          <w:color w:val="auto"/>
        </w:rPr>
      </w:pPr>
      <w:r>
        <w:rPr>
          <w:rFonts w:ascii="Arial" w:cs="Arial" w:eastAsia="Arial" w:hAnsi="Arial"/>
          <w:sz w:val="18"/>
          <w:szCs w:val="18"/>
          <w:color w:val="auto"/>
        </w:rPr>
        <w:t>will seek stockholder approval of a proposed business</w:t>
      </w:r>
    </w:p>
    <w:p>
      <w:pPr>
        <w:ind w:left="3720"/>
        <w:spacing w:after="0" w:line="234" w:lineRule="auto"/>
        <w:rPr>
          <w:sz w:val="20"/>
          <w:szCs w:val="20"/>
          <w:color w:val="auto"/>
        </w:rPr>
      </w:pPr>
      <w:r>
        <w:rPr>
          <w:rFonts w:ascii="Arial" w:cs="Arial" w:eastAsia="Arial" w:hAnsi="Arial"/>
          <w:sz w:val="18"/>
          <w:szCs w:val="18"/>
          <w:color w:val="auto"/>
        </w:rPr>
        <w:t>combination or conduct a tender offer will be made by us,</w:t>
      </w:r>
    </w:p>
    <w:p>
      <w:pPr>
        <w:ind w:left="3720"/>
        <w:spacing w:after="0" w:line="235" w:lineRule="auto"/>
        <w:rPr>
          <w:sz w:val="20"/>
          <w:szCs w:val="20"/>
          <w:color w:val="auto"/>
        </w:rPr>
      </w:pPr>
      <w:r>
        <w:rPr>
          <w:rFonts w:ascii="Arial" w:cs="Arial" w:eastAsia="Arial" w:hAnsi="Arial"/>
          <w:sz w:val="18"/>
          <w:szCs w:val="18"/>
          <w:color w:val="auto"/>
        </w:rPr>
        <w:t>solely in our discretion, and will be based on a variety of</w:t>
      </w:r>
    </w:p>
    <w:p>
      <w:pPr>
        <w:ind w:left="3720"/>
        <w:spacing w:after="0" w:line="235" w:lineRule="auto"/>
        <w:rPr>
          <w:sz w:val="20"/>
          <w:szCs w:val="20"/>
          <w:color w:val="auto"/>
        </w:rPr>
      </w:pPr>
      <w:r>
        <w:rPr>
          <w:rFonts w:ascii="Arial" w:cs="Arial" w:eastAsia="Arial" w:hAnsi="Arial"/>
          <w:sz w:val="18"/>
          <w:szCs w:val="18"/>
          <w:color w:val="auto"/>
        </w:rPr>
        <w:t>factors such as the timing of the transaction and whether</w:t>
      </w:r>
    </w:p>
    <w:p>
      <w:pPr>
        <w:ind w:left="3720"/>
        <w:spacing w:after="0" w:line="235" w:lineRule="auto"/>
        <w:rPr>
          <w:sz w:val="20"/>
          <w:szCs w:val="20"/>
          <w:color w:val="auto"/>
        </w:rPr>
      </w:pPr>
      <w:r>
        <w:rPr>
          <w:rFonts w:ascii="Arial" w:cs="Arial" w:eastAsia="Arial" w:hAnsi="Arial"/>
          <w:sz w:val="18"/>
          <w:szCs w:val="18"/>
          <w:color w:val="auto"/>
        </w:rPr>
        <w:t>the terms of the transaction would require us to seek</w:t>
      </w:r>
    </w:p>
    <w:p>
      <w:pPr>
        <w:ind w:left="3720"/>
        <w:spacing w:after="0" w:line="235" w:lineRule="auto"/>
        <w:rPr>
          <w:sz w:val="20"/>
          <w:szCs w:val="20"/>
          <w:color w:val="auto"/>
        </w:rPr>
      </w:pPr>
      <w:r>
        <w:rPr>
          <w:rFonts w:ascii="Arial" w:cs="Arial" w:eastAsia="Arial" w:hAnsi="Arial"/>
          <w:sz w:val="18"/>
          <w:szCs w:val="18"/>
          <w:color w:val="auto"/>
        </w:rPr>
        <w:t>stockholder approval under applicable law or stock</w:t>
      </w:r>
    </w:p>
    <w:p>
      <w:pPr>
        <w:ind w:left="3720"/>
        <w:spacing w:after="0" w:line="234" w:lineRule="auto"/>
        <w:rPr>
          <w:sz w:val="20"/>
          <w:szCs w:val="20"/>
          <w:color w:val="auto"/>
        </w:rPr>
      </w:pPr>
      <w:r>
        <w:rPr>
          <w:rFonts w:ascii="Arial" w:cs="Arial" w:eastAsia="Arial" w:hAnsi="Arial"/>
          <w:sz w:val="18"/>
          <w:szCs w:val="18"/>
          <w:color w:val="auto"/>
        </w:rPr>
        <w:t>exchange listing requirement. Asset acquisitions and share</w:t>
      </w:r>
    </w:p>
    <w:p>
      <w:pPr>
        <w:ind w:left="3720"/>
        <w:spacing w:after="0" w:line="235" w:lineRule="auto"/>
        <w:rPr>
          <w:sz w:val="20"/>
          <w:szCs w:val="20"/>
          <w:color w:val="auto"/>
        </w:rPr>
      </w:pPr>
      <w:r>
        <w:rPr>
          <w:rFonts w:ascii="Arial" w:cs="Arial" w:eastAsia="Arial" w:hAnsi="Arial"/>
          <w:sz w:val="18"/>
          <w:szCs w:val="18"/>
          <w:color w:val="auto"/>
        </w:rPr>
        <w:t>purchases would not typically require stockholder approval</w:t>
      </w:r>
    </w:p>
    <w:p>
      <w:pPr>
        <w:ind w:left="3720"/>
        <w:spacing w:after="0" w:line="235" w:lineRule="auto"/>
        <w:rPr>
          <w:sz w:val="20"/>
          <w:szCs w:val="20"/>
          <w:color w:val="auto"/>
        </w:rPr>
      </w:pPr>
      <w:r>
        <w:rPr>
          <w:rFonts w:ascii="Arial" w:cs="Arial" w:eastAsia="Arial" w:hAnsi="Arial"/>
          <w:sz w:val="18"/>
          <w:szCs w:val="18"/>
          <w:color w:val="auto"/>
        </w:rPr>
        <w:t>while direct mergers with our company where we do not</w:t>
      </w:r>
    </w:p>
    <w:p>
      <w:pPr>
        <w:ind w:left="3720"/>
        <w:spacing w:after="0" w:line="235" w:lineRule="auto"/>
        <w:rPr>
          <w:sz w:val="20"/>
          <w:szCs w:val="20"/>
          <w:color w:val="auto"/>
        </w:rPr>
      </w:pPr>
      <w:r>
        <w:rPr>
          <w:rFonts w:ascii="Arial" w:cs="Arial" w:eastAsia="Arial" w:hAnsi="Arial"/>
          <w:sz w:val="18"/>
          <w:szCs w:val="18"/>
          <w:color w:val="auto"/>
        </w:rPr>
        <w:t>survive and any transactions where we issue more than</w:t>
      </w:r>
    </w:p>
    <w:p>
      <w:pPr>
        <w:ind w:left="3720"/>
        <w:spacing w:after="0" w:line="235" w:lineRule="auto"/>
        <w:rPr>
          <w:sz w:val="20"/>
          <w:szCs w:val="20"/>
          <w:color w:val="auto"/>
        </w:rPr>
      </w:pPr>
      <w:r>
        <w:rPr>
          <w:rFonts w:ascii="Arial" w:cs="Arial" w:eastAsia="Arial" w:hAnsi="Arial"/>
          <w:sz w:val="18"/>
          <w:szCs w:val="18"/>
          <w:color w:val="auto"/>
        </w:rPr>
        <w:t>20% of our outstanding Class A common stock or seek to</w:t>
      </w:r>
    </w:p>
    <w:p>
      <w:pPr>
        <w:ind w:left="3720"/>
        <w:spacing w:after="0" w:line="234" w:lineRule="auto"/>
        <w:rPr>
          <w:sz w:val="20"/>
          <w:szCs w:val="20"/>
          <w:color w:val="auto"/>
        </w:rPr>
      </w:pPr>
      <w:r>
        <w:rPr>
          <w:rFonts w:ascii="Arial" w:cs="Arial" w:eastAsia="Arial" w:hAnsi="Arial"/>
          <w:sz w:val="18"/>
          <w:szCs w:val="18"/>
          <w:color w:val="auto"/>
        </w:rPr>
        <w:t>amend our amended and restated certificate of</w:t>
      </w:r>
    </w:p>
    <w:p>
      <w:pPr>
        <w:ind w:left="3720"/>
        <w:spacing w:after="0" w:line="235" w:lineRule="auto"/>
        <w:rPr>
          <w:sz w:val="20"/>
          <w:szCs w:val="20"/>
          <w:color w:val="auto"/>
        </w:rPr>
      </w:pPr>
      <w:r>
        <w:rPr>
          <w:rFonts w:ascii="Arial" w:cs="Arial" w:eastAsia="Arial" w:hAnsi="Arial"/>
          <w:sz w:val="18"/>
          <w:szCs w:val="18"/>
          <w:color w:val="auto"/>
        </w:rPr>
        <w:t>incorporation would require stockholder approval. So long</w:t>
      </w:r>
    </w:p>
    <w:p>
      <w:pPr>
        <w:ind w:left="3720"/>
        <w:spacing w:after="0" w:line="235" w:lineRule="auto"/>
        <w:rPr>
          <w:sz w:val="20"/>
          <w:szCs w:val="20"/>
          <w:color w:val="auto"/>
        </w:rPr>
      </w:pPr>
      <w:r>
        <w:rPr>
          <w:rFonts w:ascii="Arial" w:cs="Arial" w:eastAsia="Arial" w:hAnsi="Arial"/>
          <w:sz w:val="18"/>
          <w:szCs w:val="18"/>
          <w:color w:val="auto"/>
        </w:rPr>
        <w:t>as we obtain and maintain a listing for our securities on</w:t>
      </w:r>
    </w:p>
    <w:p>
      <w:pPr>
        <w:ind w:left="3720"/>
        <w:spacing w:after="0" w:line="235" w:lineRule="auto"/>
        <w:rPr>
          <w:sz w:val="20"/>
          <w:szCs w:val="20"/>
          <w:color w:val="auto"/>
        </w:rPr>
      </w:pPr>
      <w:r>
        <w:rPr>
          <w:rFonts w:ascii="Arial" w:cs="Arial" w:eastAsia="Arial" w:hAnsi="Arial"/>
          <w:sz w:val="18"/>
          <w:szCs w:val="18"/>
          <w:color w:val="auto"/>
        </w:rPr>
        <w:t>Nasdaq we will be required to comply with Nasdaq’s</w:t>
      </w:r>
    </w:p>
    <w:p>
      <w:pPr>
        <w:ind w:left="3720"/>
        <w:spacing w:after="0"/>
        <w:rPr>
          <w:sz w:val="20"/>
          <w:szCs w:val="20"/>
          <w:color w:val="auto"/>
        </w:rPr>
      </w:pPr>
      <w:r>
        <w:rPr>
          <w:rFonts w:ascii="Arial" w:cs="Arial" w:eastAsia="Arial" w:hAnsi="Arial"/>
          <w:sz w:val="18"/>
          <w:szCs w:val="18"/>
          <w:color w:val="auto"/>
        </w:rPr>
        <w:t>stockholder approval rules.</w:t>
      </w:r>
    </w:p>
    <w:p>
      <w:pPr>
        <w:spacing w:after="0" w:line="163" w:lineRule="exact"/>
        <w:rPr>
          <w:sz w:val="20"/>
          <w:szCs w:val="20"/>
          <w:color w:val="auto"/>
        </w:rPr>
      </w:pPr>
    </w:p>
    <w:p>
      <w:pPr>
        <w:ind w:left="3720" w:right="559"/>
        <w:spacing w:after="0"/>
        <w:rPr>
          <w:sz w:val="20"/>
          <w:szCs w:val="20"/>
          <w:color w:val="auto"/>
        </w:rPr>
      </w:pPr>
      <w:r>
        <w:rPr>
          <w:rFonts w:ascii="Arial" w:cs="Arial" w:eastAsia="Arial" w:hAnsi="Arial"/>
          <w:sz w:val="18"/>
          <w:szCs w:val="18"/>
          <w:color w:val="auto"/>
        </w:rPr>
        <w:t>The requirement that we provide our public stockholders with the opportunity to redeem their public shares by one of the two methods listed above is contained in provisions of our amended and restated certificate of incorporation and applies whether or not we maintain our registration under the Exchange Act or our listing on Nasdaq. Such provisions of our amended and restated certificate of incorporation may be amended if approved by holders of 65% of our common stock entitled to vote thereon.</w:t>
      </w:r>
    </w:p>
    <w:p>
      <w:pPr>
        <w:spacing w:after="0" w:line="149"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If we provide our public stockholders with the opportunity to</w:t>
      </w:r>
    </w:p>
    <w:p>
      <w:pPr>
        <w:spacing w:after="0" w:line="13"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redeem their public shares in connection with a stockholder</w:t>
      </w:r>
    </w:p>
    <w:p>
      <w:pPr>
        <w:ind w:left="3720"/>
        <w:spacing w:after="0"/>
        <w:rPr>
          <w:sz w:val="20"/>
          <w:szCs w:val="20"/>
          <w:color w:val="auto"/>
        </w:rPr>
      </w:pPr>
      <w:r>
        <w:rPr>
          <w:rFonts w:ascii="Arial" w:cs="Arial" w:eastAsia="Arial" w:hAnsi="Arial"/>
          <w:sz w:val="18"/>
          <w:szCs w:val="18"/>
          <w:color w:val="auto"/>
        </w:rPr>
        <w:t>meeting, we will:</w:t>
      </w:r>
    </w:p>
    <w:p>
      <w:pPr>
        <w:spacing w:after="0" w:line="163"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 conduct the redemptions in conjunction with a proxy</w:t>
      </w:r>
    </w:p>
    <w:p>
      <w:pPr>
        <w:spacing w:after="0" w:line="1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solicitation pursuant to Regulation 14A of the</w:t>
      </w:r>
    </w:p>
    <w:p>
      <w:pPr>
        <w:ind w:left="4160"/>
        <w:spacing w:after="0" w:line="234" w:lineRule="auto"/>
        <w:rPr>
          <w:sz w:val="20"/>
          <w:szCs w:val="20"/>
          <w:color w:val="auto"/>
        </w:rPr>
      </w:pPr>
      <w:r>
        <w:rPr>
          <w:rFonts w:ascii="Arial" w:cs="Arial" w:eastAsia="Arial" w:hAnsi="Arial"/>
          <w:sz w:val="18"/>
          <w:szCs w:val="18"/>
          <w:color w:val="auto"/>
        </w:rPr>
        <w:t>Exchange Act, which regulates the solicitation of</w:t>
      </w:r>
    </w:p>
    <w:p>
      <w:pPr>
        <w:ind w:left="4160"/>
        <w:spacing w:after="0" w:line="235" w:lineRule="auto"/>
        <w:rPr>
          <w:sz w:val="20"/>
          <w:szCs w:val="20"/>
          <w:color w:val="auto"/>
        </w:rPr>
      </w:pPr>
      <w:r>
        <w:rPr>
          <w:rFonts w:ascii="Arial" w:cs="Arial" w:eastAsia="Arial" w:hAnsi="Arial"/>
          <w:sz w:val="18"/>
          <w:szCs w:val="18"/>
          <w:color w:val="auto"/>
        </w:rPr>
        <w:t>proxies, and not pursuant to the tender offer rules,</w:t>
      </w:r>
    </w:p>
    <w:p>
      <w:pPr>
        <w:spacing w:after="0" w:line="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and</w:t>
      </w:r>
    </w:p>
    <w:p>
      <w:pPr>
        <w:spacing w:after="0" w:line="163"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 file proxy materials with the SEC.</w:t>
      </w:r>
    </w:p>
    <w:p>
      <w:pPr>
        <w:spacing w:after="0" w:line="185" w:lineRule="exact"/>
        <w:rPr>
          <w:sz w:val="20"/>
          <w:szCs w:val="20"/>
          <w:color w:val="auto"/>
        </w:rPr>
      </w:pPr>
    </w:p>
    <w:p>
      <w:pPr>
        <w:ind w:left="3720" w:right="579"/>
        <w:spacing w:after="0" w:line="236" w:lineRule="auto"/>
        <w:rPr>
          <w:sz w:val="20"/>
          <w:szCs w:val="20"/>
          <w:color w:val="auto"/>
        </w:rPr>
      </w:pPr>
      <w:r>
        <w:rPr>
          <w:rFonts w:ascii="Arial" w:cs="Arial" w:eastAsia="Arial" w:hAnsi="Arial"/>
          <w:sz w:val="18"/>
          <w:szCs w:val="18"/>
          <w:color w:val="auto"/>
        </w:rPr>
        <w:t>If we seek stockholder approval, we will complete our initial business combination only if a majority of the outstanding shares of common stock voted are voted in favor of the initial business combination. A quorum for such meeting will consist of the holders present in person or by proxy of shares of outstanding capital stock of the Company representing a majority of the voting power of all outstanding shares of capital stock of the Company entitled to vote at such meeting. Our initial stockholders will count towards this quorum and, pursuant to the letter agreement, our sponsor, officers and directors have agreed to vote any founder shares they hold and any public shares purchased during or after this offering (including in open market and privately-negotiated transactions) in favor of our initial business combination. For purposes of seeking approval of the majority of our outstanding shares of common stock voted, non-votes will have no effect on the approval of our initial business combination once a quorum is obtained. As a result, in addition to our initial stockholders’ founder shares, we would need only 14,437,501, or 37.5%, of the 38,500,000 public shares sold in this offering to be voted in favor of an initial business combination</w:t>
      </w:r>
    </w:p>
    <w:p>
      <w:pPr>
        <w:sectPr>
          <w:pgSz w:w="11900" w:h="16838" w:orient="portrait"/>
          <w:cols w:equalWidth="0" w:num="1">
            <w:col w:w="9019"/>
          </w:cols>
          <w:pgMar w:left="1440" w:top="495"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19050</wp:posOffset>
            </wp:positionV>
            <wp:extent cx="51435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495" w:right="1440" w:bottom="1440" w:gutter="0" w:footer="0" w:header="0"/>
          <w:type w:val="continuous"/>
        </w:sectPr>
      </w:pPr>
    </w:p>
    <w:bookmarkStart w:id="27" w:name="page28"/>
    <w:bookmarkEnd w:id="27"/>
    <w:p>
      <w:pPr>
        <w:ind w:left="3720" w:right="679"/>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93287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7310" cy="9328785"/>
                    </a:xfrm>
                    <a:prstGeom prst="rect">
                      <a:avLst/>
                    </a:prstGeom>
                    <a:noFill/>
                  </pic:spPr>
                </pic:pic>
              </a:graphicData>
            </a:graphic>
          </wp:anchor>
        </w:drawing>
        <w:t>in order to have our initial business combination approved (assuming all outstanding shares are voted and the over-allotment option is not exercised). These quorum and voting thresholds, and the voting agreements of our initial stockholders, may make it more likely that we will consummate our initial business combination. Each public stockholder may elect to redeem its public shares irrespective of whether they vote for or against the proposed transaction or whether they were a stockholder on the record date for the stockholder meeting held to approve the proposed transaction.</w:t>
      </w:r>
    </w:p>
    <w:p>
      <w:pPr>
        <w:spacing w:after="0" w:line="149" w:lineRule="exact"/>
        <w:rPr>
          <w:sz w:val="20"/>
          <w:szCs w:val="20"/>
          <w:color w:val="auto"/>
        </w:rPr>
      </w:pPr>
    </w:p>
    <w:p>
      <w:pPr>
        <w:ind w:left="3720" w:right="719"/>
        <w:spacing w:after="0" w:line="255" w:lineRule="auto"/>
        <w:rPr>
          <w:sz w:val="20"/>
          <w:szCs w:val="20"/>
          <w:color w:val="auto"/>
        </w:rPr>
      </w:pPr>
      <w:r>
        <w:rPr>
          <w:rFonts w:ascii="Arial" w:cs="Arial" w:eastAsia="Arial" w:hAnsi="Arial"/>
          <w:sz w:val="18"/>
          <w:szCs w:val="18"/>
          <w:color w:val="auto"/>
        </w:rPr>
        <w:t>If a stockholder vote is not required and we do not decide to hold a stockholder vote for business or other legal reasons, we will:</w:t>
      </w:r>
    </w:p>
    <w:p>
      <w:pPr>
        <w:spacing w:after="0" w:line="137" w:lineRule="exact"/>
        <w:rPr>
          <w:sz w:val="20"/>
          <w:szCs w:val="20"/>
          <w:color w:val="auto"/>
        </w:rPr>
      </w:pPr>
    </w:p>
    <w:p>
      <w:pPr>
        <w:jc w:val="both"/>
        <w:ind w:left="4160" w:right="659" w:hanging="214"/>
        <w:spacing w:after="0" w:line="255" w:lineRule="auto"/>
        <w:tabs>
          <w:tab w:leader="none" w:pos="4157"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conduct the redemptions pursuant to Rule 13e-4 and Regulation 14E of the Exchange Act, which regulate issuer tender offers, and</w:t>
      </w:r>
    </w:p>
    <w:p>
      <w:pPr>
        <w:spacing w:after="0" w:line="136" w:lineRule="exact"/>
        <w:rPr>
          <w:rFonts w:ascii="Arial" w:cs="Arial" w:eastAsia="Arial" w:hAnsi="Arial"/>
          <w:sz w:val="18"/>
          <w:szCs w:val="18"/>
          <w:color w:val="auto"/>
        </w:rPr>
      </w:pPr>
    </w:p>
    <w:p>
      <w:pPr>
        <w:ind w:left="4160" w:right="559" w:hanging="214"/>
        <w:spacing w:after="0" w:line="241" w:lineRule="auto"/>
        <w:tabs>
          <w:tab w:leader="none" w:pos="4157"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 which regulates the solicitation of proxies.</w:t>
      </w:r>
    </w:p>
    <w:p>
      <w:pPr>
        <w:spacing w:after="0" w:line="152" w:lineRule="exact"/>
        <w:rPr>
          <w:sz w:val="20"/>
          <w:szCs w:val="20"/>
          <w:color w:val="auto"/>
        </w:rPr>
      </w:pPr>
    </w:p>
    <w:p>
      <w:pPr>
        <w:ind w:left="3720" w:right="639"/>
        <w:spacing w:after="0" w:line="238" w:lineRule="auto"/>
        <w:rPr>
          <w:sz w:val="20"/>
          <w:szCs w:val="20"/>
          <w:color w:val="auto"/>
        </w:rPr>
      </w:pPr>
      <w:r>
        <w:rPr>
          <w:rFonts w:ascii="Arial" w:cs="Arial" w:eastAsia="Arial" w:hAnsi="Arial"/>
          <w:sz w:val="18"/>
          <w:szCs w:val="18"/>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stockholders not tendering more than the number of public shares we are permitted to redeem. If public stockholders tender more shares than we have offered to purchase, we will withdraw the tender offer and not complete such initial business combination.</w:t>
      </w:r>
    </w:p>
    <w:p>
      <w:pPr>
        <w:spacing w:after="0" w:line="156" w:lineRule="exact"/>
        <w:rPr>
          <w:sz w:val="20"/>
          <w:szCs w:val="20"/>
          <w:color w:val="auto"/>
        </w:rPr>
      </w:pPr>
    </w:p>
    <w:p>
      <w:pPr>
        <w:ind w:left="3720" w:right="639"/>
        <w:spacing w:after="0" w:line="241" w:lineRule="auto"/>
        <w:rPr>
          <w:sz w:val="20"/>
          <w:szCs w:val="20"/>
          <w:color w:val="auto"/>
        </w:rPr>
      </w:pPr>
      <w:r>
        <w:rPr>
          <w:rFonts w:ascii="Arial" w:cs="Arial" w:eastAsia="Arial" w:hAnsi="Arial"/>
          <w:sz w:val="18"/>
          <w:szCs w:val="18"/>
          <w:color w:val="auto"/>
        </w:rPr>
        <w:t>Upon the public announcement of our initial business combination, if we elect to conduct redemptions pursuant to the tender offer rules, we and our sponsor will terminate any plan established in accordance with Rule 10b5-1 to purchase shares of our Class A common stock in the open market, in order to comply with Rule 14e-5 under the Exchange Act.</w:t>
      </w:r>
    </w:p>
    <w:p>
      <w:pPr>
        <w:spacing w:after="0" w:line="152" w:lineRule="exact"/>
        <w:rPr>
          <w:sz w:val="20"/>
          <w:szCs w:val="20"/>
          <w:color w:val="auto"/>
        </w:rPr>
      </w:pPr>
    </w:p>
    <w:p>
      <w:pPr>
        <w:ind w:left="3720" w:right="579"/>
        <w:spacing w:after="0" w:line="237" w:lineRule="auto"/>
        <w:rPr>
          <w:sz w:val="20"/>
          <w:szCs w:val="20"/>
          <w:color w:val="auto"/>
        </w:rPr>
      </w:pPr>
      <w:r>
        <w:rPr>
          <w:rFonts w:ascii="Arial" w:cs="Arial" w:eastAsia="Arial" w:hAnsi="Arial"/>
          <w:sz w:val="18"/>
          <w:szCs w:val="18"/>
          <w:color w:val="auto"/>
        </w:rPr>
        <w:t>We intend to require our public stockholders seeking to exercise their redemption rights, whether they are record holders or hold their shares in “street name,” to, at the holder’s option, either deliver their stock certificates to our transfer agent or deliver their shares to our transfer agent electronically using The Depository Trust Company’s DWAC (Deposit/Withdrawal At Custodian) system, prior to the date set forth in the proxy materials or tender offer documents, as applicable. In the case of proxy materials, this date may be up to two business days prior to the date on which the vote on the proposal to approve the initial business combination is to be held. In addition, if we conduct redemptions in connection with a stockholder vote, we intend to require a public stockholder seeking redemption of its public shares to also submit a written request for redemption to our transfer agent two business days prior to the vote in which the name of the beneficial owner of such shares is included. The proxy materials or tender offer documents, as applicable, that we will furnish to holders of our public shares</w:t>
      </w:r>
    </w:p>
    <w:p>
      <w:pPr>
        <w:sectPr>
          <w:pgSz w:w="11900" w:h="16838" w:orient="portrait"/>
          <w:cols w:equalWidth="0" w:num="1">
            <w:col w:w="9019"/>
          </w:cols>
          <w:pgMar w:left="1440" w:top="495" w:right="1440" w:bottom="1098"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19050</wp:posOffset>
            </wp:positionV>
            <wp:extent cx="5143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95" w:right="1440" w:bottom="1098" w:gutter="0" w:footer="0" w:header="0"/>
          <w:type w:val="continuous"/>
        </w:sectPr>
      </w:pPr>
    </w:p>
    <w:bookmarkStart w:id="28" w:name="page29"/>
    <w:bookmarkEnd w:id="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720" w:right="80" w:hanging="179"/>
        <w:spacing w:after="0" w:line="248" w:lineRule="auto"/>
        <w:rPr>
          <w:sz w:val="20"/>
          <w:szCs w:val="20"/>
          <w:color w:val="auto"/>
        </w:rPr>
      </w:pPr>
      <w:r>
        <w:rPr>
          <w:rFonts w:ascii="Arial" w:cs="Arial" w:eastAsia="Arial" w:hAnsi="Arial"/>
          <w:sz w:val="18"/>
          <w:szCs w:val="18"/>
          <w:color w:val="auto"/>
        </w:rPr>
        <w:t>Limitation on redemption rights of stockholders holding 20% or more of the shares sold in this offering if we hold stockholder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720" w:hanging="179"/>
        <w:spacing w:after="0" w:line="306" w:lineRule="auto"/>
        <w:rPr>
          <w:sz w:val="20"/>
          <w:szCs w:val="20"/>
          <w:color w:val="auto"/>
        </w:rPr>
      </w:pPr>
      <w:r>
        <w:rPr>
          <w:rFonts w:ascii="Arial" w:cs="Arial" w:eastAsia="Arial" w:hAnsi="Arial"/>
          <w:sz w:val="17"/>
          <w:szCs w:val="17"/>
          <w:color w:val="auto"/>
        </w:rPr>
        <w:t>Release of funds in trust account on closing of our initial business combination</w:t>
      </w:r>
    </w:p>
    <w:p>
      <w:pPr>
        <w:spacing w:after="0" w:line="20" w:lineRule="exact"/>
        <w:rPr>
          <w:sz w:val="20"/>
          <w:szCs w:val="20"/>
          <w:color w:val="auto"/>
        </w:rPr>
      </w:pPr>
      <w:r>
        <w:rPr>
          <w:sz w:val="20"/>
          <w:szCs w:val="20"/>
          <w:color w:val="auto"/>
        </w:rPr>
        <w:br w:type="column"/>
      </w:r>
    </w:p>
    <w:p>
      <w:pPr>
        <w:ind w:right="579"/>
        <w:spacing w:after="0" w:line="238" w:lineRule="auto"/>
        <w:rPr>
          <w:sz w:val="20"/>
          <w:szCs w:val="20"/>
          <w:color w:val="auto"/>
        </w:rPr>
      </w:pPr>
      <w:r>
        <w:rPr>
          <w:rFonts w:ascii="Arial" w:cs="Arial" w:eastAsia="Arial" w:hAnsi="Arial"/>
          <w:sz w:val="18"/>
          <w:szCs w:val="18"/>
          <w:color w:val="auto"/>
        </w:rPr>
        <w:t>in connection with our initial business combination will indicate whether we are requiring public stockholders to satisfy such delivery requirements. We believe that this will allow our transfer agent to efficiently process any redemptions without the need for further communication or action from the redeeming public stockholders, which could delay redemptions and result in additional administrative cost. If the proposed initial business combination is not approved and we continue to search for a target company, we will promptly return any certificates or shares delivered by public stockholders who elected to redeem their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-2443480</wp:posOffset>
            </wp:positionH>
            <wp:positionV relativeFrom="paragraph">
              <wp:posOffset>-1919605</wp:posOffset>
            </wp:positionV>
            <wp:extent cx="5147310" cy="105156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731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579"/>
        <w:spacing w:after="0" w:line="235" w:lineRule="auto"/>
        <w:rPr>
          <w:sz w:val="20"/>
          <w:szCs w:val="20"/>
          <w:color w:val="auto"/>
        </w:rPr>
      </w:pPr>
      <w:r>
        <w:rPr>
          <w:rFonts w:ascii="Arial" w:cs="Arial" w:eastAsia="Arial" w:hAnsi="Arial"/>
          <w:sz w:val="18"/>
          <w:szCs w:val="18"/>
          <w:color w:val="auto"/>
        </w:rPr>
        <w:t>Notwithstanding the foregoing redemption rights, 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redeeming its shares with respect to more than an aggregate of 20% of the shares sold in this offering, without our prior consent. We believe the restriction described above will discourage stockholders from accumulating large blocks of shares, and subsequent attempts by such holders to use their ability to redeem their shares as a means to force us or our management to purchase their shares at a significant premium to the then-current market price or on other undesirable terms. Absent this provision, a public stockholder holding more than an aggregate of 20% of the shares sold in this offering could threaten to exercise its redemption rights against a business combination if such holder’s shares are not purchased by us, our sponsor or our management at a premium to the then-current market price or on other undesirable terms. By limiting our stockholders’ ability to redeem to no more than 20% of the shares sold in this offering, we believe we will limit the ability of a small group of stockholders to unreasonably attempt to block our ability to complete our initial business combination, particularly in connection with a business combination with a target that requires as a closing condition that we have a minimum net worth or a certain amount of cash. However, we would not be restricting our stockholders’ ability to vote all of their shares (including all shares held by those stockholders that hold more than 20% of the shares sold in this offering) for or against our initial business combination.</w:t>
      </w:r>
    </w:p>
    <w:p>
      <w:pPr>
        <w:spacing w:after="0" w:line="384" w:lineRule="exact"/>
        <w:rPr>
          <w:sz w:val="20"/>
          <w:szCs w:val="20"/>
          <w:color w:val="auto"/>
        </w:rPr>
      </w:pPr>
    </w:p>
    <w:p>
      <w:pPr>
        <w:ind w:right="619"/>
        <w:spacing w:after="0" w:line="252" w:lineRule="auto"/>
        <w:rPr>
          <w:sz w:val="20"/>
          <w:szCs w:val="20"/>
          <w:color w:val="auto"/>
        </w:rPr>
      </w:pPr>
      <w:r>
        <w:rPr>
          <w:rFonts w:ascii="Arial" w:cs="Arial" w:eastAsia="Arial" w:hAnsi="Arial"/>
          <w:sz w:val="17"/>
          <w:szCs w:val="17"/>
          <w:color w:val="auto"/>
        </w:rPr>
        <w:t>On the completion of our initial business combination, the funds held in the trust account will be used to pay amounts due to any public stockholders who properly exercise their redemption rights as described above under “Redemption rights for public stockholders upon completion of our initial business combination,” to pay the underwriters their deferred underwriting commissions, to pay all or a portion of the consideration payable to the target or owners of the target of our initial business combination and to pay other expenses associated with our initial business combination. If our initial business combination is paid for using equity or debt securities, or not all of the funds released from the trust account are used for payment of the consideration in connection with our initial business combination or the redemption of our public shares, we may apply</w:t>
      </w:r>
    </w:p>
    <w:p>
      <w:pPr>
        <w:sectPr>
          <w:pgSz w:w="11900" w:h="16838" w:orient="portrait"/>
          <w:cols w:equalWidth="0" w:num="2">
            <w:col w:w="4020" w:space="280"/>
            <w:col w:w="4719"/>
          </w:cols>
          <w:pgMar w:left="1440" w:top="495" w:right="1440" w:bottom="0" w:gutter="0" w:footer="0" w:header="0"/>
        </w:sectPr>
      </w:pPr>
    </w:p>
    <w:bookmarkStart w:id="29" w:name="page30"/>
    <w:bookmarkEnd w:id="29"/>
    <w:p>
      <w:pPr>
        <w:jc w:val="center"/>
        <w:ind w:right="1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1219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7310" cy="121920"/>
                    </a:xfrm>
                    <a:prstGeom prst="rect">
                      <a:avLst/>
                    </a:prstGeom>
                    <a:noFill/>
                  </pic:spPr>
                </pic:pic>
              </a:graphicData>
            </a:graphic>
          </wp:anchor>
        </w:drawing>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19050</wp:posOffset>
            </wp:positionV>
            <wp:extent cx="51435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81" w:right="1440" w:bottom="1440" w:gutter="0" w:footer="0" w:header="0"/>
        </w:sectPr>
      </w:pPr>
    </w:p>
    <w:bookmarkStart w:id="30" w:name="page31"/>
    <w:bookmarkEnd w:id="3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720" w:hanging="179"/>
        <w:spacing w:after="0" w:line="255" w:lineRule="auto"/>
        <w:rPr>
          <w:sz w:val="20"/>
          <w:szCs w:val="20"/>
          <w:color w:val="auto"/>
        </w:rPr>
      </w:pPr>
      <w:r>
        <w:rPr>
          <w:rFonts w:ascii="Arial" w:cs="Arial" w:eastAsia="Arial" w:hAnsi="Arial"/>
          <w:sz w:val="18"/>
          <w:szCs w:val="18"/>
          <w:color w:val="auto"/>
        </w:rPr>
        <w:t>Redemption of public shares and distribution and liquidation if no initial business combination</w:t>
      </w:r>
    </w:p>
    <w:p>
      <w:pPr>
        <w:spacing w:after="0" w:line="20" w:lineRule="exact"/>
        <w:rPr>
          <w:sz w:val="20"/>
          <w:szCs w:val="20"/>
          <w:color w:val="auto"/>
        </w:rPr>
      </w:pPr>
      <w:r>
        <w:rPr>
          <w:sz w:val="20"/>
          <w:szCs w:val="20"/>
          <w:color w:val="auto"/>
        </w:rPr>
        <w:br w:type="column"/>
      </w:r>
    </w:p>
    <w:p>
      <w:pPr>
        <w:ind w:right="599"/>
        <w:spacing w:after="0" w:line="241" w:lineRule="auto"/>
        <w:rPr>
          <w:sz w:val="20"/>
          <w:szCs w:val="20"/>
          <w:color w:val="auto"/>
        </w:rPr>
      </w:pPr>
      <w:r>
        <w:rPr>
          <w:rFonts w:ascii="Arial" w:cs="Arial" w:eastAsia="Arial" w:hAnsi="Arial"/>
          <w:sz w:val="18"/>
          <w:szCs w:val="18"/>
          <w:color w:val="auto"/>
        </w:rPr>
        <w:t>the balance of the cash released to us from the trust account for general corporate purposes, including for maintenance or expansion of operations of post-transaction businesses, the payment of principal or interest due on indebtedness incurred in completing our initial business combination, to fund the purchase of other companies or for 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-1148715</wp:posOffset>
            </wp:positionV>
            <wp:extent cx="5147310" cy="94748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7310" cy="947483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right="579"/>
        <w:spacing w:after="0" w:line="250" w:lineRule="auto"/>
        <w:rPr>
          <w:sz w:val="20"/>
          <w:szCs w:val="20"/>
          <w:color w:val="auto"/>
        </w:rPr>
      </w:pPr>
      <w:r>
        <w:rPr>
          <w:rFonts w:ascii="Arial" w:cs="Arial" w:eastAsia="Arial" w:hAnsi="Arial"/>
          <w:sz w:val="17"/>
          <w:szCs w:val="17"/>
          <w:color w:val="auto"/>
        </w:rPr>
        <w:t>Our amended and restated certificate of incorporation provides that we will have only 24 months from the closing of this offering to complete our initial business combination or during any Extension Period. If we are unable to complete our initial business combination within such 24-month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$ 100,000 of interest to pay dissolution expenses), divided by the number of then outstanding public shares, which redemption will completely extinguish public stockholders’ rights as stockholders (including the right to receive further liquidating distributions, if any), and</w:t>
      </w:r>
    </w:p>
    <w:p>
      <w:pPr>
        <w:spacing w:after="0" w:line="3" w:lineRule="exact"/>
        <w:rPr>
          <w:sz w:val="20"/>
          <w:szCs w:val="20"/>
          <w:color w:val="auto"/>
        </w:rPr>
      </w:pPr>
    </w:p>
    <w:p>
      <w:pPr>
        <w:ind w:right="599" w:firstLine="10"/>
        <w:spacing w:after="0" w:line="236" w:lineRule="auto"/>
        <w:tabs>
          <w:tab w:leader="none" w:pos="29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promptly as reasonably possible following such redemption, subject to the approval of our remaining stockholders and our board of directors, liquidate and dissolve, subject, in each case, to our obligations under Delaware law to provide for claims of creditors and the requirements of other applicable law. There will be no redemption rights or liquidating distributions with respect to our warrants, which will expire worthless if we fail to complete our initial business combination within the 24-month time period.</w:t>
      </w:r>
    </w:p>
    <w:p>
      <w:pPr>
        <w:spacing w:after="0" w:line="157" w:lineRule="exact"/>
        <w:rPr>
          <w:sz w:val="20"/>
          <w:szCs w:val="20"/>
          <w:color w:val="auto"/>
        </w:rPr>
      </w:pPr>
    </w:p>
    <w:p>
      <w:pPr>
        <w:ind w:right="579"/>
        <w:spacing w:after="0" w:line="238" w:lineRule="auto"/>
        <w:rPr>
          <w:sz w:val="20"/>
          <w:szCs w:val="20"/>
          <w:color w:val="auto"/>
        </w:rPr>
      </w:pPr>
      <w:r>
        <w:rPr>
          <w:rFonts w:ascii="Arial" w:cs="Arial" w:eastAsia="Arial" w:hAnsi="Arial"/>
          <w:sz w:val="18"/>
          <w:szCs w:val="18"/>
          <w:color w:val="auto"/>
        </w:rPr>
        <w:t>Our initial stockholders have entered into agreements with us, pursuant to which they have waived their rights to liquidating distributions from the trust account with respect to their founder shares if we fail to complete our initial business combination within 24 months from the closing of this offering or during any Extension Period. However, if our initial stockholders or management team acquire public shares in or after this offering, they will be entitled to liquidating distributions from the trust account with respect to such public shares if we fail to complete our initial business combination within the allotted 24-month time frame.</w:t>
      </w:r>
    </w:p>
    <w:p>
      <w:pPr>
        <w:spacing w:after="0" w:line="156" w:lineRule="exact"/>
        <w:rPr>
          <w:sz w:val="20"/>
          <w:szCs w:val="20"/>
          <w:color w:val="auto"/>
        </w:rPr>
      </w:pPr>
    </w:p>
    <w:p>
      <w:pPr>
        <w:ind w:right="619"/>
        <w:spacing w:after="0"/>
        <w:rPr>
          <w:sz w:val="20"/>
          <w:szCs w:val="20"/>
          <w:color w:val="auto"/>
        </w:rPr>
      </w:pPr>
      <w:r>
        <w:rPr>
          <w:rFonts w:ascii="Arial" w:cs="Arial" w:eastAsia="Arial" w:hAnsi="Arial"/>
          <w:sz w:val="18"/>
          <w:szCs w:val="18"/>
          <w:color w:val="auto"/>
        </w:rPr>
        <w:t>The underwriters have agreed to waive their rights to their deferred underwriting commission held in the trust account in the event we do not complete our initial business combination within 24 months from the closing of this offering or during any Extension Period and, in such event, such amounts will be included with the funds held in the trust account that will be available to fund the redemption of our public shares.</w:t>
      </w:r>
    </w:p>
    <w:p>
      <w:pPr>
        <w:spacing w:after="0" w:line="153" w:lineRule="exact"/>
        <w:rPr>
          <w:sz w:val="20"/>
          <w:szCs w:val="20"/>
          <w:color w:val="auto"/>
        </w:rPr>
      </w:pPr>
    </w:p>
    <w:p>
      <w:pPr>
        <w:ind w:right="599"/>
        <w:spacing w:after="0" w:line="239" w:lineRule="auto"/>
        <w:rPr>
          <w:sz w:val="20"/>
          <w:szCs w:val="20"/>
          <w:color w:val="auto"/>
        </w:rPr>
      </w:pPr>
      <w:r>
        <w:rPr>
          <w:rFonts w:ascii="Arial" w:cs="Arial" w:eastAsia="Arial" w:hAnsi="Arial"/>
          <w:sz w:val="18"/>
          <w:szCs w:val="18"/>
          <w:color w:val="auto"/>
        </w:rPr>
        <w:t>Our sponsor, executive officers, directors and director nominees have agreed, pursuant to a written agreement with us, that they will not propose any amendment to our amended and restated certificate of incorporation to modify the substance or timing of our obligation to redeem 100% of our public shares if we do not complete our initial business combination within 24 months from the closing of this offering or with respect to any other material provisions relating to stockholders’ rights or pre-initial business combination activity,</w:t>
      </w:r>
    </w:p>
    <w:p>
      <w:pPr>
        <w:spacing w:after="0" w:line="200" w:lineRule="exact"/>
        <w:rPr>
          <w:sz w:val="20"/>
          <w:szCs w:val="20"/>
          <w:color w:val="auto"/>
        </w:rPr>
      </w:pPr>
    </w:p>
    <w:p>
      <w:pPr>
        <w:sectPr>
          <w:pgSz w:w="11900" w:h="16838" w:orient="portrait"/>
          <w:cols w:equalWidth="0" w:num="2">
            <w:col w:w="3200" w:space="520"/>
            <w:col w:w="5299"/>
          </w:cols>
          <w:pgMar w:left="1440" w:top="495" w:right="1440" w:bottom="868" w:gutter="0" w:footer="0" w:header="0"/>
        </w:sect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19050</wp:posOffset>
            </wp:positionV>
            <wp:extent cx="51435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495" w:right="1440" w:bottom="868" w:gutter="0" w:footer="0" w:header="0"/>
          <w:type w:val="continuous"/>
        </w:sectPr>
      </w:pPr>
    </w:p>
    <w:bookmarkStart w:id="31" w:name="page32"/>
    <w:bookmarkEnd w:id="31"/>
    <w:p>
      <w:pPr>
        <w:ind w:left="3720" w:right="679"/>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6944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7310" cy="8694420"/>
                    </a:xfrm>
                    <a:prstGeom prst="rect">
                      <a:avLst/>
                    </a:prstGeom>
                    <a:noFill/>
                  </pic:spPr>
                </pic:pic>
              </a:graphicData>
            </a:graphic>
          </wp:anchor>
        </w:drawing>
        <w:t>unless we provide our public stockholders with the opportunity to redeem their Class A common stock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subject to the limitations described above under “Limitations on redemptions.” For example, our board of directors may propose such an amendment if it determines that additional time is necessary to complete our initial business combination. In such event, we will conduct a proxy solicitation and distribute proxy materials pursuant to Regulation 14A of the Exchange Act seeking stockholder approval of such proposal, and in connection therewith, provide our public stockholders with the redemption rights described above upon stockholder approval of such amendment.</w:t>
      </w:r>
    </w:p>
    <w:p>
      <w:pPr>
        <w:spacing w:after="0" w:line="155" w:lineRule="exact"/>
        <w:rPr>
          <w:sz w:val="20"/>
          <w:szCs w:val="20"/>
          <w:color w:val="auto"/>
        </w:rPr>
      </w:pPr>
    </w:p>
    <w:p>
      <w:pPr>
        <w:ind w:left="540"/>
        <w:spacing w:after="0"/>
        <w:tabs>
          <w:tab w:leader="none" w:pos="3700" w:val="left"/>
        </w:tabs>
        <w:rPr>
          <w:sz w:val="20"/>
          <w:szCs w:val="20"/>
          <w:color w:val="auto"/>
        </w:rPr>
      </w:pPr>
      <w:r>
        <w:rPr>
          <w:rFonts w:ascii="Arial" w:cs="Arial" w:eastAsia="Arial" w:hAnsi="Arial"/>
          <w:sz w:val="18"/>
          <w:szCs w:val="18"/>
          <w:color w:val="auto"/>
        </w:rPr>
        <w:t>Limited payments to insiders</w:t>
      </w:r>
      <w:r>
        <w:rPr>
          <w:sz w:val="20"/>
          <w:szCs w:val="20"/>
          <w:color w:val="auto"/>
        </w:rPr>
        <w:tab/>
      </w:r>
      <w:r>
        <w:rPr>
          <w:rFonts w:ascii="Arial" w:cs="Arial" w:eastAsia="Arial" w:hAnsi="Arial"/>
          <w:sz w:val="18"/>
          <w:szCs w:val="18"/>
          <w:color w:val="auto"/>
        </w:rPr>
        <w:t>There will be no finder’s fees, reimbursement, consulting</w:t>
      </w:r>
    </w:p>
    <w:p>
      <w:pPr>
        <w:spacing w:after="0" w:line="18" w:lineRule="exact"/>
        <w:rPr>
          <w:sz w:val="20"/>
          <w:szCs w:val="20"/>
          <w:color w:val="auto"/>
        </w:rPr>
      </w:pPr>
    </w:p>
    <w:p>
      <w:pPr>
        <w:ind w:left="3720" w:right="559"/>
        <w:spacing w:after="0" w:line="236" w:lineRule="auto"/>
        <w:rPr>
          <w:sz w:val="20"/>
          <w:szCs w:val="20"/>
          <w:color w:val="auto"/>
        </w:rPr>
      </w:pPr>
      <w:r>
        <w:rPr>
          <w:rFonts w:ascii="Arial" w:cs="Arial" w:eastAsia="Arial" w:hAnsi="Arial"/>
          <w:sz w:val="18"/>
          <w:szCs w:val="18"/>
          <w:color w:val="auto"/>
        </w:rPr>
        <w:t>fee, monies in respect of any payment of a loan or other compensation paid by us to our sponsor, officers or directors, or any affiliate of our sponsor or officers prior to, or in connection with any services rendered in order to effectuate, the consummation of our initial business combination (regardless of the type of transaction that it is). However, the following payments will be made to our sponsor, officers or directors, or our or their affiliates, and, if made prior to our initial business combination will be made from funds held outside the trust account.</w:t>
      </w:r>
    </w:p>
    <w:p>
      <w:pPr>
        <w:spacing w:after="0" w:line="157"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 Repayment of up to an aggregate of $300,000 in</w:t>
      </w:r>
    </w:p>
    <w:p>
      <w:pPr>
        <w:spacing w:after="0" w:line="1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loans made to us by our sponsor to cover offering-</w:t>
      </w:r>
    </w:p>
    <w:p>
      <w:pPr>
        <w:ind w:left="4160"/>
        <w:spacing w:after="0"/>
        <w:rPr>
          <w:sz w:val="20"/>
          <w:szCs w:val="20"/>
          <w:color w:val="auto"/>
        </w:rPr>
      </w:pPr>
      <w:r>
        <w:rPr>
          <w:rFonts w:ascii="Arial" w:cs="Arial" w:eastAsia="Arial" w:hAnsi="Arial"/>
          <w:sz w:val="18"/>
          <w:szCs w:val="18"/>
          <w:color w:val="auto"/>
        </w:rPr>
        <w:t>related and organizational expenses;</w:t>
      </w:r>
    </w:p>
    <w:p>
      <w:pPr>
        <w:spacing w:after="0" w:line="163"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 Reimbursement for any out-of-pocket expenses</w:t>
      </w:r>
    </w:p>
    <w:p>
      <w:pPr>
        <w:spacing w:after="0" w:line="1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related to identifying, investigating, negotiating and</w:t>
      </w:r>
    </w:p>
    <w:p>
      <w:pPr>
        <w:ind w:left="4160"/>
        <w:spacing w:after="0"/>
        <w:rPr>
          <w:sz w:val="20"/>
          <w:szCs w:val="20"/>
          <w:color w:val="auto"/>
        </w:rPr>
      </w:pPr>
      <w:r>
        <w:rPr>
          <w:rFonts w:ascii="Arial" w:cs="Arial" w:eastAsia="Arial" w:hAnsi="Arial"/>
          <w:sz w:val="18"/>
          <w:szCs w:val="18"/>
          <w:color w:val="auto"/>
        </w:rPr>
        <w:t>completing an initial business combination; and</w:t>
      </w:r>
    </w:p>
    <w:p>
      <w:pPr>
        <w:spacing w:after="0" w:line="163"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 Repayment of loans which may be made by our</w:t>
      </w:r>
    </w:p>
    <w:p>
      <w:pPr>
        <w:spacing w:after="0" w:line="1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sponsor or an affiliate of our sponsor or certain of our</w:t>
      </w:r>
    </w:p>
    <w:p>
      <w:pPr>
        <w:ind w:left="4160"/>
        <w:spacing w:after="0" w:line="234" w:lineRule="auto"/>
        <w:rPr>
          <w:sz w:val="20"/>
          <w:szCs w:val="20"/>
          <w:color w:val="auto"/>
        </w:rPr>
      </w:pPr>
      <w:r>
        <w:rPr>
          <w:rFonts w:ascii="Arial" w:cs="Arial" w:eastAsia="Arial" w:hAnsi="Arial"/>
          <w:sz w:val="18"/>
          <w:szCs w:val="18"/>
          <w:color w:val="auto"/>
        </w:rPr>
        <w:t>officers and directors to finance transaction costs in</w:t>
      </w:r>
    </w:p>
    <w:p>
      <w:pPr>
        <w:ind w:left="4160"/>
        <w:spacing w:after="0" w:line="235" w:lineRule="auto"/>
        <w:rPr>
          <w:sz w:val="20"/>
          <w:szCs w:val="20"/>
          <w:color w:val="auto"/>
        </w:rPr>
      </w:pPr>
      <w:r>
        <w:rPr>
          <w:rFonts w:ascii="Arial" w:cs="Arial" w:eastAsia="Arial" w:hAnsi="Arial"/>
          <w:sz w:val="18"/>
          <w:szCs w:val="18"/>
          <w:color w:val="auto"/>
        </w:rPr>
        <w:t>connection with an intended initial business</w:t>
      </w:r>
    </w:p>
    <w:p>
      <w:pPr>
        <w:ind w:left="4160"/>
        <w:spacing w:after="0" w:line="235" w:lineRule="auto"/>
        <w:rPr>
          <w:sz w:val="20"/>
          <w:szCs w:val="20"/>
          <w:color w:val="auto"/>
        </w:rPr>
      </w:pPr>
      <w:r>
        <w:rPr>
          <w:rFonts w:ascii="Arial" w:cs="Arial" w:eastAsia="Arial" w:hAnsi="Arial"/>
          <w:sz w:val="18"/>
          <w:szCs w:val="18"/>
          <w:color w:val="auto"/>
        </w:rPr>
        <w:t>combination. Up to $1,500,000 of such loans may be</w:t>
      </w:r>
    </w:p>
    <w:p>
      <w:pPr>
        <w:ind w:left="4160"/>
        <w:spacing w:after="0" w:line="235" w:lineRule="auto"/>
        <w:rPr>
          <w:sz w:val="20"/>
          <w:szCs w:val="20"/>
          <w:color w:val="auto"/>
        </w:rPr>
      </w:pPr>
      <w:r>
        <w:rPr>
          <w:rFonts w:ascii="Arial" w:cs="Arial" w:eastAsia="Arial" w:hAnsi="Arial"/>
          <w:sz w:val="18"/>
          <w:szCs w:val="18"/>
          <w:color w:val="auto"/>
        </w:rPr>
        <w:t>convertible into warrants of the post-business</w:t>
      </w:r>
    </w:p>
    <w:p>
      <w:pPr>
        <w:ind w:left="4160"/>
        <w:spacing w:after="0" w:line="235" w:lineRule="auto"/>
        <w:rPr>
          <w:sz w:val="20"/>
          <w:szCs w:val="20"/>
          <w:color w:val="auto"/>
        </w:rPr>
      </w:pPr>
      <w:r>
        <w:rPr>
          <w:rFonts w:ascii="Arial" w:cs="Arial" w:eastAsia="Arial" w:hAnsi="Arial"/>
          <w:sz w:val="18"/>
          <w:szCs w:val="18"/>
          <w:color w:val="auto"/>
        </w:rPr>
        <w:t>combination entity at a price of $1.50 per warrant at</w:t>
      </w:r>
    </w:p>
    <w:p>
      <w:pPr>
        <w:ind w:left="4160"/>
        <w:spacing w:after="0" w:line="234" w:lineRule="auto"/>
        <w:rPr>
          <w:sz w:val="20"/>
          <w:szCs w:val="20"/>
          <w:color w:val="auto"/>
        </w:rPr>
      </w:pPr>
      <w:r>
        <w:rPr>
          <w:rFonts w:ascii="Arial" w:cs="Arial" w:eastAsia="Arial" w:hAnsi="Arial"/>
          <w:sz w:val="18"/>
          <w:szCs w:val="18"/>
          <w:color w:val="auto"/>
        </w:rPr>
        <w:t>the option of the lender. The warrants would be</w:t>
      </w:r>
    </w:p>
    <w:p>
      <w:pPr>
        <w:ind w:left="4160"/>
        <w:spacing w:after="0" w:line="235" w:lineRule="auto"/>
        <w:rPr>
          <w:sz w:val="20"/>
          <w:szCs w:val="20"/>
          <w:color w:val="auto"/>
        </w:rPr>
      </w:pPr>
      <w:r>
        <w:rPr>
          <w:rFonts w:ascii="Arial" w:cs="Arial" w:eastAsia="Arial" w:hAnsi="Arial"/>
          <w:sz w:val="18"/>
          <w:szCs w:val="18"/>
          <w:color w:val="auto"/>
        </w:rPr>
        <w:t>identical to the private placement warrants. Except for</w:t>
      </w:r>
    </w:p>
    <w:p>
      <w:pPr>
        <w:ind w:left="4160"/>
        <w:spacing w:after="0" w:line="235" w:lineRule="auto"/>
        <w:rPr>
          <w:sz w:val="20"/>
          <w:szCs w:val="20"/>
          <w:color w:val="auto"/>
        </w:rPr>
      </w:pPr>
      <w:r>
        <w:rPr>
          <w:rFonts w:ascii="Arial" w:cs="Arial" w:eastAsia="Arial" w:hAnsi="Arial"/>
          <w:sz w:val="18"/>
          <w:szCs w:val="18"/>
          <w:color w:val="auto"/>
        </w:rPr>
        <w:t>the foregoing, the terms of such loans, if any, have</w:t>
      </w:r>
    </w:p>
    <w:p>
      <w:pPr>
        <w:ind w:left="4160"/>
        <w:spacing w:after="0" w:line="235" w:lineRule="auto"/>
        <w:rPr>
          <w:sz w:val="20"/>
          <w:szCs w:val="20"/>
          <w:color w:val="auto"/>
        </w:rPr>
      </w:pPr>
      <w:r>
        <w:rPr>
          <w:rFonts w:ascii="Arial" w:cs="Arial" w:eastAsia="Arial" w:hAnsi="Arial"/>
          <w:sz w:val="18"/>
          <w:szCs w:val="18"/>
          <w:color w:val="auto"/>
        </w:rPr>
        <w:t>not been determined and no written agreements exist</w:t>
      </w:r>
    </w:p>
    <w:p>
      <w:pPr>
        <w:ind w:left="4160"/>
        <w:spacing w:after="0"/>
        <w:rPr>
          <w:sz w:val="20"/>
          <w:szCs w:val="20"/>
          <w:color w:val="auto"/>
        </w:rPr>
      </w:pPr>
      <w:r>
        <w:rPr>
          <w:rFonts w:ascii="Arial" w:cs="Arial" w:eastAsia="Arial" w:hAnsi="Arial"/>
          <w:sz w:val="18"/>
          <w:szCs w:val="18"/>
          <w:color w:val="auto"/>
        </w:rPr>
        <w:t>with respect to such loans.</w:t>
      </w:r>
    </w:p>
    <w:p>
      <w:pPr>
        <w:spacing w:after="0" w:line="163" w:lineRule="exact"/>
        <w:rPr>
          <w:sz w:val="20"/>
          <w:szCs w:val="20"/>
          <w:color w:val="auto"/>
        </w:rPr>
      </w:pPr>
    </w:p>
    <w:p>
      <w:pPr>
        <w:ind w:left="540"/>
        <w:spacing w:after="0"/>
        <w:tabs>
          <w:tab w:leader="none" w:pos="3700" w:val="left"/>
        </w:tabs>
        <w:rPr>
          <w:sz w:val="20"/>
          <w:szCs w:val="20"/>
          <w:color w:val="auto"/>
        </w:rPr>
      </w:pPr>
      <w:r>
        <w:rPr>
          <w:rFonts w:ascii="Arial" w:cs="Arial" w:eastAsia="Arial" w:hAnsi="Arial"/>
          <w:sz w:val="18"/>
          <w:szCs w:val="18"/>
          <w:color w:val="auto"/>
        </w:rPr>
        <w:t>Audit Committee</w:t>
      </w:r>
      <w:r>
        <w:rPr>
          <w:sz w:val="20"/>
          <w:szCs w:val="20"/>
          <w:color w:val="auto"/>
        </w:rPr>
        <w:tab/>
      </w:r>
      <w:r>
        <w:rPr>
          <w:rFonts w:ascii="Arial" w:cs="Arial" w:eastAsia="Arial" w:hAnsi="Arial"/>
          <w:sz w:val="18"/>
          <w:szCs w:val="18"/>
          <w:color w:val="auto"/>
        </w:rPr>
        <w:t>We have established and will maintain an audit committee.</w:t>
      </w:r>
    </w:p>
    <w:p>
      <w:pPr>
        <w:spacing w:after="0" w:line="18" w:lineRule="exact"/>
        <w:rPr>
          <w:sz w:val="20"/>
          <w:szCs w:val="20"/>
          <w:color w:val="auto"/>
        </w:rPr>
      </w:pPr>
    </w:p>
    <w:p>
      <w:pPr>
        <w:ind w:left="3720" w:right="619"/>
        <w:spacing w:after="0" w:line="251" w:lineRule="auto"/>
        <w:rPr>
          <w:sz w:val="20"/>
          <w:szCs w:val="20"/>
          <w:color w:val="auto"/>
        </w:rPr>
      </w:pPr>
      <w:r>
        <w:rPr>
          <w:rFonts w:ascii="Arial" w:cs="Arial" w:eastAsia="Arial" w:hAnsi="Arial"/>
          <w:sz w:val="17"/>
          <w:szCs w:val="17"/>
          <w:color w:val="auto"/>
        </w:rPr>
        <w:t>Among its responsibilities, the audit committee will review on a quarterly basis all payments that were made to our sponsor, officers or directors, or our or their respective affiliates and monitor compliance with the other terms relating to this offering. If any noncompliance is identified, then the audit committee will be charged with the responsibility to promptly take all action necessary to rectify such noncompliance or otherwise to cause compliance with the terms of this offering. For more information, see the section entitled “Management — Committees of the Board of Directors — Audit Committee.”</w:t>
      </w:r>
    </w:p>
    <w:p>
      <w:pPr>
        <w:sectPr>
          <w:pgSz w:w="11900" w:h="16838" w:orient="portrait"/>
          <w:cols w:equalWidth="0" w:num="1">
            <w:col w:w="9019"/>
          </w:cols>
          <w:pgMar w:left="1440" w:top="4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19050</wp:posOffset>
            </wp:positionV>
            <wp:extent cx="51435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95" w:right="1440" w:bottom="1440" w:gutter="0" w:footer="0" w:header="0"/>
          <w:type w:val="continuous"/>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20250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7310" cy="2025015"/>
                    </a:xfrm>
                    <a:prstGeom prst="rect">
                      <a:avLst/>
                    </a:prstGeom>
                    <a:noFill/>
                  </pic:spPr>
                </pic:pic>
              </a:graphicData>
            </a:graphic>
          </wp:anchor>
        </w:drawing>
        <w:t>RISKS</w:t>
      </w:r>
    </w:p>
    <w:p>
      <w:pPr>
        <w:spacing w:after="0" w:line="133" w:lineRule="exact"/>
        <w:rPr>
          <w:sz w:val="20"/>
          <w:szCs w:val="20"/>
          <w:color w:val="auto"/>
        </w:rPr>
      </w:pPr>
    </w:p>
    <w:p>
      <w:pPr>
        <w:ind w:left="540" w:right="659"/>
        <w:spacing w:after="0" w:line="237" w:lineRule="auto"/>
        <w:rPr>
          <w:sz w:val="20"/>
          <w:szCs w:val="20"/>
          <w:color w:val="auto"/>
        </w:rPr>
      </w:pPr>
      <w:r>
        <w:rPr>
          <w:rFonts w:ascii="Arial" w:cs="Arial" w:eastAsia="Arial" w:hAnsi="Arial"/>
          <w:sz w:val="18"/>
          <w:szCs w:val="18"/>
          <w:color w:val="auto"/>
        </w:rPr>
        <w:t>We are a blank check company that has conducted no operations and has generated no revenues to date. Until we complete our initial business combination, we will have no operations and will generate no operating revenues. In making your decision whether to invest in our securities, you should take into account not only the background of our management team, but also the special risks we face as a blank check company. This offering is not being conducted in compliance with Rule 419 promulgated under the Securities Act. Accordingly, you will not be entitled to protections normally afforded to investors in Rule 419 blank check offerings. For additional information concerning how Rule 419 blank check offerings differ from this offering, please see “Proposed Business — Comparison of This Offering to Those of Blank Check Companies Subject to</w:t>
      </w:r>
    </w:p>
    <w:p>
      <w:pPr>
        <w:spacing w:after="0" w:line="5" w:lineRule="exact"/>
        <w:rPr>
          <w:sz w:val="20"/>
          <w:szCs w:val="20"/>
          <w:color w:val="auto"/>
        </w:rPr>
      </w:pPr>
    </w:p>
    <w:p>
      <w:pPr>
        <w:ind w:left="540" w:right="799"/>
        <w:spacing w:after="0" w:line="250" w:lineRule="auto"/>
        <w:rPr>
          <w:sz w:val="20"/>
          <w:szCs w:val="20"/>
          <w:color w:val="auto"/>
        </w:rPr>
      </w:pPr>
      <w:r>
        <w:rPr>
          <w:rFonts w:ascii="Arial" w:cs="Arial" w:eastAsia="Arial" w:hAnsi="Arial"/>
          <w:sz w:val="18"/>
          <w:szCs w:val="18"/>
          <w:color w:val="auto"/>
        </w:rPr>
        <w:t>Rule 419.” You should carefully consider these and the other risks set forth in the section entitled “Risk Factors” in this prospectus.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33" w:right="1440"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23164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7310" cy="2316480"/>
                    </a:xfrm>
                    <a:prstGeom prst="rect">
                      <a:avLst/>
                    </a:prstGeom>
                    <a:noFill/>
                  </pic:spPr>
                </pic:pic>
              </a:graphicData>
            </a:graphic>
          </wp:anchor>
        </w:drawing>
        <w:t>SUMMARY FINANCIAL DATA</w:t>
      </w:r>
    </w:p>
    <w:p>
      <w:pPr>
        <w:spacing w:after="0" w:line="133" w:lineRule="exact"/>
        <w:rPr>
          <w:sz w:val="20"/>
          <w:szCs w:val="20"/>
          <w:color w:val="auto"/>
        </w:rPr>
      </w:pPr>
    </w:p>
    <w:p>
      <w:pPr>
        <w:ind w:left="540" w:right="559"/>
        <w:spacing w:after="0" w:line="255" w:lineRule="auto"/>
        <w:rPr>
          <w:sz w:val="20"/>
          <w:szCs w:val="20"/>
          <w:color w:val="auto"/>
        </w:rPr>
      </w:pPr>
      <w:r>
        <w:rPr>
          <w:rFonts w:ascii="Arial" w:cs="Arial" w:eastAsia="Arial" w:hAnsi="Arial"/>
          <w:sz w:val="18"/>
          <w:szCs w:val="18"/>
          <w:color w:val="auto"/>
        </w:rPr>
        <w:t>The following table summarizes the relevant financial data for our business and should be read with our financial statements, which are included in this prospectus. We have not had any significant operations to date, so only balance sheet data is presented.</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211"/>
        </w:trPr>
        <w:tc>
          <w:tcPr>
            <w:tcW w:w="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July 16, 2020</w:t>
            </w:r>
          </w:p>
        </w:tc>
      </w:tr>
      <w:tr>
        <w:trPr>
          <w:trHeight w:val="284"/>
        </w:trPr>
        <w:tc>
          <w:tcPr>
            <w:tcW w:w="80" w:type="dxa"/>
            <w:vAlign w:val="bottom"/>
          </w:tcPr>
          <w:p>
            <w:pPr>
              <w:spacing w:after="0"/>
              <w:rPr>
                <w:sz w:val="24"/>
                <w:szCs w:val="24"/>
                <w:color w:val="auto"/>
              </w:rPr>
            </w:pPr>
          </w:p>
        </w:tc>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37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1040" w:type="dxa"/>
            <w:vAlign w:val="bottom"/>
            <w:tcBorders>
              <w:top w:val="single" w:sz="8" w:color="auto"/>
            </w:tcBorders>
            <w:shd w:val="clear" w:color="auto" w:fill="CCEEFF"/>
          </w:tcPr>
          <w:p>
            <w:pPr>
              <w:spacing w:after="0"/>
              <w:rPr>
                <w:sz w:val="24"/>
                <w:szCs w:val="24"/>
                <w:color w:val="auto"/>
              </w:rPr>
            </w:pPr>
          </w:p>
        </w:tc>
        <w:tc>
          <w:tcPr>
            <w:tcW w:w="100" w:type="dxa"/>
            <w:vAlign w:val="bottom"/>
          </w:tcPr>
          <w:p>
            <w:pPr>
              <w:spacing w:after="0"/>
              <w:rPr>
                <w:sz w:val="24"/>
                <w:szCs w:val="24"/>
                <w:color w:val="auto"/>
              </w:rPr>
            </w:pPr>
          </w:p>
        </w:tc>
      </w:tr>
      <w:tr>
        <w:trPr>
          <w:trHeight w:val="261"/>
        </w:trPr>
        <w:tc>
          <w:tcPr>
            <w:tcW w:w="3120" w:type="dxa"/>
            <w:vAlign w:val="bottom"/>
            <w:gridSpan w:val="2"/>
          </w:tcPr>
          <w:p>
            <w:pPr>
              <w:ind w:left="80"/>
              <w:spacing w:after="0"/>
              <w:rPr>
                <w:sz w:val="20"/>
                <w:szCs w:val="20"/>
                <w:color w:val="auto"/>
              </w:rPr>
            </w:pPr>
            <w:r>
              <w:rPr>
                <w:rFonts w:ascii="Arial" w:cs="Arial" w:eastAsia="Arial" w:hAnsi="Arial"/>
                <w:sz w:val="18"/>
                <w:szCs w:val="18"/>
                <w:color w:val="auto"/>
              </w:rPr>
              <w:t>Working capital (deficiency)</w:t>
            </w:r>
          </w:p>
        </w:tc>
        <w:tc>
          <w:tcPr>
            <w:tcW w:w="3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(67,681)</w:t>
            </w:r>
          </w:p>
        </w:tc>
        <w:tc>
          <w:tcPr>
            <w:tcW w:w="100" w:type="dxa"/>
            <w:vAlign w:val="bottom"/>
          </w:tcPr>
          <w:p>
            <w:pPr>
              <w:spacing w:after="0"/>
              <w:rPr>
                <w:sz w:val="22"/>
                <w:szCs w:val="22"/>
                <w:color w:val="auto"/>
              </w:rPr>
            </w:pPr>
          </w:p>
        </w:tc>
      </w:tr>
      <w:tr>
        <w:trPr>
          <w:trHeight w:val="23"/>
        </w:trPr>
        <w:tc>
          <w:tcPr>
            <w:tcW w:w="3120" w:type="dxa"/>
            <w:vAlign w:val="bottom"/>
            <w:gridSpan w:val="2"/>
          </w:tcPr>
          <w:p>
            <w:pPr>
              <w:spacing w:after="0"/>
              <w:rPr>
                <w:sz w:val="2"/>
                <w:szCs w:val="2"/>
                <w:color w:val="auto"/>
              </w:rPr>
            </w:pPr>
          </w:p>
        </w:tc>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63"/>
        </w:trPr>
        <w:tc>
          <w:tcPr>
            <w:tcW w:w="80" w:type="dxa"/>
            <w:vAlign w:val="bottom"/>
          </w:tcPr>
          <w:p>
            <w:pPr>
              <w:spacing w:after="0"/>
              <w:rPr>
                <w:sz w:val="22"/>
                <w:szCs w:val="22"/>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3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90,000</w:t>
            </w:r>
          </w:p>
        </w:tc>
        <w:tc>
          <w:tcPr>
            <w:tcW w:w="100" w:type="dxa"/>
            <w:vAlign w:val="bottom"/>
          </w:tcPr>
          <w:p>
            <w:pPr>
              <w:spacing w:after="0"/>
              <w:rPr>
                <w:sz w:val="22"/>
                <w:szCs w:val="22"/>
                <w:color w:val="auto"/>
              </w:rPr>
            </w:pPr>
          </w:p>
        </w:tc>
      </w:tr>
      <w:tr>
        <w:trPr>
          <w:trHeight w:val="261"/>
        </w:trPr>
        <w:tc>
          <w:tcPr>
            <w:tcW w:w="3120" w:type="dxa"/>
            <w:vAlign w:val="bottom"/>
            <w:gridSpan w:val="2"/>
          </w:tcPr>
          <w:p>
            <w:pPr>
              <w:ind w:left="80"/>
              <w:spacing w:after="0"/>
              <w:rPr>
                <w:sz w:val="20"/>
                <w:szCs w:val="20"/>
                <w:color w:val="auto"/>
              </w:rPr>
            </w:pPr>
            <w:r>
              <w:rPr>
                <w:rFonts w:ascii="Arial" w:cs="Arial" w:eastAsia="Arial" w:hAnsi="Arial"/>
                <w:sz w:val="18"/>
                <w:szCs w:val="18"/>
                <w:color w:val="auto"/>
              </w:rPr>
              <w:t>Total liabilities</w:t>
            </w:r>
          </w:p>
        </w:tc>
        <w:tc>
          <w:tcPr>
            <w:tcW w:w="3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67,681</w:t>
            </w:r>
          </w:p>
        </w:tc>
        <w:tc>
          <w:tcPr>
            <w:tcW w:w="100" w:type="dxa"/>
            <w:vAlign w:val="bottom"/>
          </w:tcPr>
          <w:p>
            <w:pPr>
              <w:spacing w:after="0"/>
              <w:rPr>
                <w:sz w:val="22"/>
                <w:szCs w:val="22"/>
                <w:color w:val="auto"/>
              </w:rPr>
            </w:pPr>
          </w:p>
        </w:tc>
      </w:tr>
      <w:tr>
        <w:trPr>
          <w:trHeight w:val="23"/>
        </w:trPr>
        <w:tc>
          <w:tcPr>
            <w:tcW w:w="3120" w:type="dxa"/>
            <w:vAlign w:val="bottom"/>
            <w:gridSpan w:val="2"/>
          </w:tcPr>
          <w:p>
            <w:pPr>
              <w:spacing w:after="0"/>
              <w:rPr>
                <w:sz w:val="2"/>
                <w:szCs w:val="2"/>
                <w:color w:val="auto"/>
              </w:rPr>
            </w:pPr>
          </w:p>
        </w:tc>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63"/>
        </w:trPr>
        <w:tc>
          <w:tcPr>
            <w:tcW w:w="80" w:type="dxa"/>
            <w:vAlign w:val="bottom"/>
          </w:tcPr>
          <w:p>
            <w:pPr>
              <w:spacing w:after="0"/>
              <w:rPr>
                <w:sz w:val="22"/>
                <w:szCs w:val="22"/>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22,319</w:t>
            </w:r>
          </w:p>
        </w:tc>
        <w:tc>
          <w:tcPr>
            <w:tcW w:w="100" w:type="dxa"/>
            <w:vAlign w:val="bottom"/>
          </w:tcPr>
          <w:p>
            <w:pPr>
              <w:spacing w:after="0"/>
              <w:rPr>
                <w:sz w:val="22"/>
                <w:szCs w:val="22"/>
                <w:color w:val="auto"/>
              </w:rPr>
            </w:pPr>
          </w:p>
        </w:tc>
      </w:tr>
      <w:tr>
        <w:trPr>
          <w:trHeight w:val="361"/>
        </w:trPr>
        <w:tc>
          <w:tcPr>
            <w:tcW w:w="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375"/>
        </w:trPr>
        <w:tc>
          <w:tcPr>
            <w:tcW w:w="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jc w:val="right"/>
              <w:ind w:right="261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33" w:right="1440"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ind w:left="460" w:right="499"/>
        <w:spacing w:after="0" w:line="244" w:lineRule="auto"/>
        <w:rPr>
          <w:sz w:val="20"/>
          <w:szCs w:val="20"/>
          <w:color w:val="auto"/>
        </w:rPr>
      </w:pPr>
      <w:r>
        <w:rPr>
          <w:rFonts w:ascii="Arial" w:cs="Arial" w:eastAsia="Arial" w:hAnsi="Arial"/>
          <w:sz w:val="18"/>
          <w:szCs w:val="18"/>
          <w:i w:val="1"/>
          <w:iCs w:val="1"/>
          <w:color w:val="auto"/>
        </w:rPr>
        <w:t>An investment in our securities involves a high degree of risk. You should consider carefully all of the risks described below, together with the other information contained in this prospectus, before making a decision to invest in our units.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172" w:lineRule="exact"/>
        <w:rPr>
          <w:sz w:val="20"/>
          <w:szCs w:val="20"/>
          <w:color w:val="auto"/>
        </w:rPr>
      </w:pPr>
    </w:p>
    <w:p>
      <w:pPr>
        <w:ind w:left="460" w:right="719"/>
        <w:spacing w:after="0" w:line="287" w:lineRule="auto"/>
        <w:rPr>
          <w:sz w:val="20"/>
          <w:szCs w:val="20"/>
          <w:color w:val="auto"/>
        </w:rPr>
      </w:pPr>
      <w:r>
        <w:rPr>
          <w:rFonts w:ascii="Arial" w:cs="Arial" w:eastAsia="Arial" w:hAnsi="Arial"/>
          <w:sz w:val="18"/>
          <w:szCs w:val="18"/>
          <w:b w:val="1"/>
          <w:bCs w:val="1"/>
          <w:color w:val="auto"/>
        </w:rPr>
        <w:t>We are a blank check company with no operating history and no revenues, and you have no basis on which to evaluate our ability to achieve our business objective.</w:t>
      </w:r>
    </w:p>
    <w:p>
      <w:pPr>
        <w:spacing w:after="0" w:line="47" w:lineRule="exact"/>
        <w:rPr>
          <w:sz w:val="20"/>
          <w:szCs w:val="20"/>
          <w:color w:val="auto"/>
        </w:rPr>
      </w:pPr>
    </w:p>
    <w:p>
      <w:pPr>
        <w:ind w:left="460" w:right="459"/>
        <w:spacing w:after="0" w:line="241" w:lineRule="auto"/>
        <w:rPr>
          <w:sz w:val="20"/>
          <w:szCs w:val="20"/>
          <w:color w:val="auto"/>
        </w:rPr>
      </w:pPr>
      <w:r>
        <w:rPr>
          <w:rFonts w:ascii="Arial" w:cs="Arial" w:eastAsia="Arial" w:hAnsi="Arial"/>
          <w:sz w:val="18"/>
          <w:szCs w:val="18"/>
          <w:color w:val="auto"/>
        </w:rPr>
        <w:t>We are a blank check company incorporated under the laws of the State of Delaware with no operating results, and we will not commence operations until obtaining funding through this offering. Because we lack an operating history, you have no basis upon which to evaluate our ability to achieve our business objective of completing our initial business combination. We have no plans, arrangements or understandings with any prospective target business concerning a business combination and may be unable to complete our initial business combination. If we fail to complete our initial business combination, we will never generate any operating revenues.</w:t>
      </w:r>
    </w:p>
    <w:p>
      <w:pPr>
        <w:spacing w:after="0" w:line="177" w:lineRule="exact"/>
        <w:rPr>
          <w:sz w:val="20"/>
          <w:szCs w:val="20"/>
          <w:color w:val="auto"/>
        </w:rPr>
      </w:pPr>
    </w:p>
    <w:p>
      <w:pPr>
        <w:jc w:val="both"/>
        <w:ind w:left="460" w:right="519"/>
        <w:spacing w:after="0" w:line="252" w:lineRule="auto"/>
        <w:rPr>
          <w:sz w:val="20"/>
          <w:szCs w:val="20"/>
          <w:color w:val="auto"/>
        </w:rPr>
      </w:pPr>
      <w:r>
        <w:rPr>
          <w:rFonts w:ascii="Arial" w:cs="Arial" w:eastAsia="Arial" w:hAnsi="Arial"/>
          <w:sz w:val="18"/>
          <w:szCs w:val="18"/>
          <w:b w:val="1"/>
          <w:bCs w:val="1"/>
          <w:color w:val="auto"/>
        </w:rPr>
        <w:t>Our stockholders may not be afforded an opportunity to vote on our proposed initial business combination, and even if we hold a vote, holders of our founder shares will participate in such vote, which means we may complete our initial business combination even though a majority of our public stockholders do not support such a combination.</w:t>
      </w:r>
    </w:p>
    <w:p>
      <w:pPr>
        <w:spacing w:after="0" w:line="91"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We may choose not to hold a stockholder vote to approve our initial business combination if the business combination would not require stockholder approval under applicable law or stock exchange listing requirement. Except for as required by applicable law or stock exchange requirement, the decision as to whether we will seek stockholder approval of a proposed business combination or will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Even if we seek stockholder approval, the holders of our founder shares will participate in the vote on such approval. Accordingly, we may complete our initial business combination even if a majority of our public stockholders do not approve of the business combination we complete. Please see the section entitled “Proposed Business — Stockholders May Not Have the Ability to Approve Our Initial Business Combination” for additional information.</w:t>
      </w:r>
    </w:p>
    <w:p>
      <w:pPr>
        <w:spacing w:after="0" w:line="181" w:lineRule="exact"/>
        <w:rPr>
          <w:sz w:val="20"/>
          <w:szCs w:val="20"/>
          <w:color w:val="auto"/>
        </w:rPr>
      </w:pPr>
    </w:p>
    <w:p>
      <w:pPr>
        <w:ind w:left="460" w:right="799"/>
        <w:spacing w:after="0" w:line="261" w:lineRule="auto"/>
        <w:rPr>
          <w:sz w:val="20"/>
          <w:szCs w:val="20"/>
          <w:color w:val="auto"/>
        </w:rPr>
      </w:pPr>
      <w:r>
        <w:rPr>
          <w:rFonts w:ascii="Arial" w:cs="Arial" w:eastAsia="Arial" w:hAnsi="Arial"/>
          <w:sz w:val="18"/>
          <w:szCs w:val="18"/>
          <w:b w:val="1"/>
          <w:bCs w:val="1"/>
          <w:color w:val="auto"/>
        </w:rPr>
        <w:t>Your only opportunity to affect the investment decision regarding a potential business combination may be limited to the exercise of your right to redeem your shares from us for cash.</w:t>
      </w:r>
    </w:p>
    <w:p>
      <w:pPr>
        <w:spacing w:after="0" w:line="83" w:lineRule="exact"/>
        <w:rPr>
          <w:sz w:val="20"/>
          <w:szCs w:val="20"/>
          <w:color w:val="auto"/>
        </w:rPr>
      </w:pPr>
    </w:p>
    <w:p>
      <w:pPr>
        <w:ind w:left="460" w:right="459"/>
        <w:spacing w:after="0"/>
        <w:rPr>
          <w:sz w:val="20"/>
          <w:szCs w:val="20"/>
          <w:color w:val="auto"/>
        </w:rPr>
      </w:pPr>
      <w:r>
        <w:rPr>
          <w:rFonts w:ascii="Arial" w:cs="Arial" w:eastAsia="Arial" w:hAnsi="Arial"/>
          <w:sz w:val="18"/>
          <w:szCs w:val="18"/>
          <w:color w:val="auto"/>
        </w:rPr>
        <w:t>At the time of your investment in us, you will not be provided with an opportunity to evaluate the specific merits or risks of our initial business combination. Since our board of directors may complete a business combination without seeking stockholder approval, public stockholders may not have the right or opportunity to vote on the business combination, unless we seek such stockholder vote. Accordingly, your only opportunity to affect the investment decision regarding our initial business combination may be limited to exercising your redemption rights within the period of time (which will be at least 20 business days) set forth in our tender offer documents mailed to our public stockholders in which we describe our initial business combination.</w:t>
      </w:r>
    </w:p>
    <w:p>
      <w:pPr>
        <w:spacing w:after="0" w:line="178" w:lineRule="exact"/>
        <w:rPr>
          <w:sz w:val="20"/>
          <w:szCs w:val="20"/>
          <w:color w:val="auto"/>
        </w:rPr>
      </w:pPr>
    </w:p>
    <w:p>
      <w:pPr>
        <w:ind w:left="460" w:right="739"/>
        <w:spacing w:after="0" w:line="261" w:lineRule="auto"/>
        <w:rPr>
          <w:sz w:val="20"/>
          <w:szCs w:val="20"/>
          <w:color w:val="auto"/>
        </w:rPr>
      </w:pPr>
      <w:r>
        <w:rPr>
          <w:rFonts w:ascii="Arial" w:cs="Arial" w:eastAsia="Arial" w:hAnsi="Arial"/>
          <w:sz w:val="18"/>
          <w:szCs w:val="18"/>
          <w:b w:val="1"/>
          <w:bCs w:val="1"/>
          <w:color w:val="auto"/>
        </w:rPr>
        <w:t>If we seek stockholder approval of our initial business combination, our initial stockholders and management team have agreed to vote in favor of such initial business combination, regardless of how our public stockholders vote.</w:t>
      </w:r>
    </w:p>
    <w:p>
      <w:pPr>
        <w:spacing w:after="0" w:line="69" w:lineRule="exact"/>
        <w:rPr>
          <w:sz w:val="20"/>
          <w:szCs w:val="20"/>
          <w:color w:val="auto"/>
        </w:rPr>
      </w:pPr>
    </w:p>
    <w:p>
      <w:pPr>
        <w:ind w:left="460" w:right="519"/>
        <w:spacing w:after="0" w:line="239" w:lineRule="auto"/>
        <w:rPr>
          <w:sz w:val="20"/>
          <w:szCs w:val="20"/>
          <w:color w:val="auto"/>
        </w:rPr>
      </w:pPr>
      <w:r>
        <w:rPr>
          <w:rFonts w:ascii="Arial" w:cs="Arial" w:eastAsia="Arial" w:hAnsi="Arial"/>
          <w:sz w:val="18"/>
          <w:szCs w:val="18"/>
          <w:color w:val="auto"/>
        </w:rPr>
        <w:t>Our initial stockholders will own 20% of our outstanding common stock immediately following the completion of this offering. Our initial stockholders and management team also may from time to time purchase Class A common stock prior to the completion of our initial business combination. Our amended and restated certificate of incorporation provides that, if we seek stockholder approval of an initial business combination, such initial business combination will be approved if we receive the affirmative vote of a majority of the shares voted at such meeting, including the founder shares. As a result, in addition to our initial stockholders’ founder shares, we would need 14,437,501, or 37.5%, of the 38,500,000 public shares sold in this offering to be voted in favor of an initial business combination in order to have our initial business combination approved (assuming all outstanding shares are voted and the over-allotment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sectPr>
      </w:pPr>
    </w:p>
    <w:bookmarkStart w:id="35" w:name="page36"/>
    <w:bookmarkEnd w:id="35"/>
    <w:p>
      <w:pPr>
        <w:ind w:left="460" w:right="619"/>
        <w:spacing w:after="0" w:line="248" w:lineRule="auto"/>
        <w:rPr>
          <w:sz w:val="20"/>
          <w:szCs w:val="20"/>
          <w:color w:val="auto"/>
        </w:rPr>
      </w:pPr>
      <w:r>
        <w:rPr>
          <w:rFonts w:ascii="Arial" w:cs="Arial" w:eastAsia="Arial" w:hAnsi="Arial"/>
          <w:sz w:val="18"/>
          <w:szCs w:val="18"/>
          <w:color w:val="auto"/>
        </w:rPr>
        <w:t>option is not exercised). Accordingly, if we seek stockholder approval of our initial business combination, the agreement by our initial stockholders and management team to vote in favor of our initial business combination will increase the likelihood that we will receive the requisite stockholder approval for such initial business combination.</w:t>
      </w:r>
    </w:p>
    <w:p>
      <w:pPr>
        <w:spacing w:after="0" w:line="168" w:lineRule="exact"/>
        <w:rPr>
          <w:sz w:val="20"/>
          <w:szCs w:val="20"/>
          <w:color w:val="auto"/>
        </w:rPr>
      </w:pPr>
    </w:p>
    <w:p>
      <w:pPr>
        <w:jc w:val="both"/>
        <w:ind w:left="460" w:right="599"/>
        <w:spacing w:after="0" w:line="261" w:lineRule="auto"/>
        <w:rPr>
          <w:sz w:val="20"/>
          <w:szCs w:val="20"/>
          <w:color w:val="auto"/>
        </w:rPr>
      </w:pPr>
      <w:r>
        <w:rPr>
          <w:rFonts w:ascii="Arial" w:cs="Arial" w:eastAsia="Arial" w:hAnsi="Arial"/>
          <w:sz w:val="18"/>
          <w:szCs w:val="18"/>
          <w:b w:val="1"/>
          <w:bCs w:val="1"/>
          <w:color w:val="auto"/>
        </w:rPr>
        <w:t>The ability of our public stockholders to redeem their shares for cash may make our financial condition unattractive to potential business combination targets, which may make it difficult for us to enter into a business combination with a target.</w:t>
      </w:r>
    </w:p>
    <w:p>
      <w:pPr>
        <w:spacing w:after="0" w:line="69" w:lineRule="exact"/>
        <w:rPr>
          <w:sz w:val="20"/>
          <w:szCs w:val="20"/>
          <w:color w:val="auto"/>
        </w:rPr>
      </w:pPr>
    </w:p>
    <w:p>
      <w:pPr>
        <w:ind w:left="460" w:right="539"/>
        <w:spacing w:after="0" w:line="238" w:lineRule="auto"/>
        <w:rPr>
          <w:sz w:val="20"/>
          <w:szCs w:val="20"/>
          <w:color w:val="auto"/>
        </w:rPr>
      </w:pPr>
      <w:r>
        <w:rPr>
          <w:rFonts w:ascii="Arial" w:cs="Arial" w:eastAsia="Arial" w:hAnsi="Arial"/>
          <w:sz w:val="18"/>
          <w:szCs w:val="18"/>
          <w:color w:val="auto"/>
        </w:rPr>
        <w:t>We may seek to enter into a business combination transaction agreement with minimum cash requirement for (i) cash consideration to be paid to the target or its owners, (ii) cash for working capital or other general corporate purposes or (iii) the retention of cash to satisfy other conditions. If too many public stockholders exercise their redemption rights, we would not be able to meet such closing condition and, as a result, would not be able to proceed with the business combination. Furthermore, in no event will we redeem our public shares in an amount that would cause our net tangible assets to be less than $5,000,001. Consequently, if accepting all properly submitted redemption requests would cause our net tangible assets to be less than $ 5,000,001 or make us unable to satisfy a minimum cash condition as described above, we would not proceed with such redemption and the related business combination and may instead search for an alternate business combination. Prospective targets will be aware of these risks and, thus, may be reluctant to enter into a business combination transaction with us.</w:t>
      </w:r>
    </w:p>
    <w:p>
      <w:pPr>
        <w:spacing w:after="0" w:line="181" w:lineRule="exact"/>
        <w:rPr>
          <w:sz w:val="20"/>
          <w:szCs w:val="20"/>
          <w:color w:val="auto"/>
        </w:rPr>
      </w:pPr>
    </w:p>
    <w:p>
      <w:pPr>
        <w:ind w:left="460" w:right="559"/>
        <w:spacing w:after="0" w:line="261" w:lineRule="auto"/>
        <w:rPr>
          <w:sz w:val="20"/>
          <w:szCs w:val="20"/>
          <w:color w:val="auto"/>
        </w:rPr>
      </w:pPr>
      <w:r>
        <w:rPr>
          <w:rFonts w:ascii="Arial" w:cs="Arial" w:eastAsia="Arial" w:hAnsi="Arial"/>
          <w:sz w:val="18"/>
          <w:szCs w:val="18"/>
          <w:b w:val="1"/>
          <w:bCs w:val="1"/>
          <w:color w:val="auto"/>
        </w:rPr>
        <w:t>The ability of our public stockholders to exercise redemption rights with respect to a large number of our shares may not allow us to complete the most desirable business combination or optimize our capital structure.</w:t>
      </w:r>
    </w:p>
    <w:p>
      <w:pPr>
        <w:spacing w:after="0" w:line="83"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At the time we enter into an agreement for our initial business combination, we will not know how many stockholders may exercise their redemption rights, and therefore will need to structure the transaction based on our expectations as to the number of shares that will be submitted for redemption. If our initial business combination agreement requires us to use a portion of the cash in the trust account to pay the purchase price, or requires us to have a minimum amount of cash at closing, we will need to reserve a portion of the cash in the trust account to meet such requirements, or arrange for third party financing. In addition, if a larger number of shares is submitted for redemption than we initially expected, we may need to restructure the transaction to reserve a greater portion of the cash in the trust account or arrange for third party financing. Raising additional third party financing may involve dilutive equity issuances or the incurrence of indebtedness at higher than desirable levels. Furthermore, this dilution would increase to the extent that the anti-dilution provision of the Class B common stock results in the issues of shares of Class A common stock on a greater than one-to-one basis upon conversion of the shares of Class B common stock at the time of our initial business combination. In addition, the amount of the deferred underwriting commissions payable to the underwriters will not be adjusted for any shares that are redeemed in connection with an initial business combination. The per share amount we will distribute to stockholders who properly exercise their redemption rights will not be reduced by the deferred underwriting commission and after such redemptions, the amount held in trust will continue to reflect our obligation to pay the entire deferred underwriting commissions. The above considerations may limit our ability to complete the most desirable business combination available to us or optimize our capital structure.</w:t>
      </w:r>
    </w:p>
    <w:p>
      <w:pPr>
        <w:spacing w:after="0" w:line="176" w:lineRule="exact"/>
        <w:rPr>
          <w:sz w:val="20"/>
          <w:szCs w:val="20"/>
          <w:color w:val="auto"/>
        </w:rPr>
      </w:pPr>
    </w:p>
    <w:p>
      <w:pPr>
        <w:ind w:left="460" w:right="499"/>
        <w:spacing w:after="0" w:line="252" w:lineRule="auto"/>
        <w:rPr>
          <w:sz w:val="20"/>
          <w:szCs w:val="20"/>
          <w:color w:val="auto"/>
        </w:rPr>
      </w:pPr>
      <w:r>
        <w:rPr>
          <w:rFonts w:ascii="Arial" w:cs="Arial" w:eastAsia="Arial" w:hAnsi="Arial"/>
          <w:sz w:val="18"/>
          <w:szCs w:val="18"/>
          <w:b w:val="1"/>
          <w:bCs w:val="1"/>
          <w:color w:val="auto"/>
        </w:rPr>
        <w:t>The ability of our public stockholders to exercise redemption rights with respect to a large number of our shares could increase the probability that our initial business combination would be unsuccessful and that you would have to wait for liquidation in order to redeem your shares.</w:t>
      </w:r>
    </w:p>
    <w:p>
      <w:pPr>
        <w:spacing w:after="0" w:line="91" w:lineRule="exact"/>
        <w:rPr>
          <w:sz w:val="20"/>
          <w:szCs w:val="20"/>
          <w:color w:val="auto"/>
        </w:rPr>
      </w:pPr>
    </w:p>
    <w:p>
      <w:pPr>
        <w:ind w:left="460" w:right="479"/>
        <w:spacing w:after="0"/>
        <w:rPr>
          <w:sz w:val="20"/>
          <w:szCs w:val="20"/>
          <w:color w:val="auto"/>
        </w:rPr>
      </w:pPr>
      <w:r>
        <w:rPr>
          <w:rFonts w:ascii="Arial" w:cs="Arial" w:eastAsia="Arial" w:hAnsi="Arial"/>
          <w:sz w:val="18"/>
          <w:szCs w:val="18"/>
          <w:color w:val="auto"/>
        </w:rPr>
        <w:t>If our initial business combination agreement requires us to use a portion of the cash in the trust account to pay the purchase price, or requires us to have a minimum amount of cash at closing, the probability that our initial business combination would be unsuccessful is increased. If our initial business combination is unsuccessful, you would not receive your pro rata portion of the trust account until we liquidate the trust account. If you are in need of immediate liquidity, you could attempt to sell your shares in the open market; however, at such time our shares may trade at a discount to the pro rata amount per share in the trust account. In either situation, you may suffer a material loss on your investment or lose the benefit of funds expected in connection with your exercise of redemption rights until we liquidate or you are able to sell your shares in the open market.</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ind w:left="460" w:right="499"/>
        <w:spacing w:after="0" w:line="245" w:lineRule="auto"/>
        <w:rPr>
          <w:sz w:val="20"/>
          <w:szCs w:val="20"/>
          <w:color w:val="auto"/>
        </w:rPr>
      </w:pPr>
      <w:r>
        <w:rPr>
          <w:rFonts w:ascii="Arial" w:cs="Arial" w:eastAsia="Arial" w:hAnsi="Arial"/>
          <w:sz w:val="18"/>
          <w:szCs w:val="18"/>
          <w:b w:val="1"/>
          <w:bCs w:val="1"/>
          <w:color w:val="auto"/>
        </w:rPr>
        <w:t>The requirement that we complete our initial business combination within 24 months after the closing of this offering may give potential target businesses leverage over us in negotiating a business combination and may limit the time we have in which to conduct due diligence on potential business combination targets, in particular as we approach our dissolution deadline, which could undermine our ability to complete our initial business combination on terms that would produce value for our stockholders.</w:t>
      </w:r>
    </w:p>
    <w:p>
      <w:pPr>
        <w:spacing w:after="0" w:line="98" w:lineRule="exact"/>
        <w:rPr>
          <w:sz w:val="20"/>
          <w:szCs w:val="20"/>
          <w:color w:val="auto"/>
        </w:rPr>
      </w:pPr>
    </w:p>
    <w:p>
      <w:pPr>
        <w:ind w:left="460" w:right="659"/>
        <w:spacing w:after="0"/>
        <w:rPr>
          <w:sz w:val="20"/>
          <w:szCs w:val="20"/>
          <w:color w:val="auto"/>
        </w:rPr>
      </w:pPr>
      <w:r>
        <w:rPr>
          <w:rFonts w:ascii="Arial" w:cs="Arial" w:eastAsia="Arial" w:hAnsi="Arial"/>
          <w:sz w:val="18"/>
          <w:szCs w:val="18"/>
          <w:color w:val="auto"/>
        </w:rPr>
        <w:t>Any potential target business with which we enter into negotiations concerning a business combination will be aware that we must complete our initial business combination within 24 months from the closing of this offering. Consequently, such target business may obtain leverage over us in negotiating a business combination, knowing that if we do not complete our initial business combination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w:t>
      </w:r>
    </w:p>
    <w:p>
      <w:pPr>
        <w:spacing w:after="0" w:line="174" w:lineRule="exact"/>
        <w:rPr>
          <w:sz w:val="20"/>
          <w:szCs w:val="20"/>
          <w:color w:val="auto"/>
        </w:rPr>
      </w:pPr>
    </w:p>
    <w:p>
      <w:pPr>
        <w:jc w:val="both"/>
        <w:ind w:left="460" w:right="919"/>
        <w:spacing w:after="0" w:line="261" w:lineRule="auto"/>
        <w:rPr>
          <w:sz w:val="20"/>
          <w:szCs w:val="20"/>
          <w:color w:val="auto"/>
        </w:rPr>
      </w:pPr>
      <w:r>
        <w:rPr>
          <w:rFonts w:ascii="Arial" w:cs="Arial" w:eastAsia="Arial" w:hAnsi="Arial"/>
          <w:sz w:val="18"/>
          <w:szCs w:val="18"/>
          <w:b w:val="1"/>
          <w:bCs w:val="1"/>
          <w:color w:val="auto"/>
        </w:rPr>
        <w:t>Our search for a business combination, and any target business with which we ultimately consummate a business combination, may be materially adversely affected by the recent coronavirus (COVID-19) outbreak and the status of debt and equity markets.</w:t>
      </w:r>
    </w:p>
    <w:p>
      <w:pPr>
        <w:spacing w:after="0" w:line="69"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In December 2019, a novel strain of coronavirus was reported to have surfaced in Wuhan, China, which has and is continuing to spread throughout China and other parts of the world, including the United States. On January 30, 2020, the World Health Organization declared the outbreak of the coronavirus disease (COVID-19) a “Public Health Emergency of International Concern.” On January 31, 2020, U.S. Health and Human Services Secretary Alex M. Azar II declared a public health emergency for the United States to aid the U.S. healthcare community in responding to COVID-19, and on March 11, 2020 the World Health Organization characterized the outbreak as a “pandemic”. The COVID-19 outbreak has and a significant outbreak of other infectious diseases could result in a widespread health crisis that could adversely affect the economies and financial markets worldwide, and the business of any potential target business with which we consummate a business combination could be materially and adversely affected. Furthermore, we may be unable to complete a business combination if continued concerns relating to COVID-19 continues to restrict travel, limit the ability to have meetings with potential investors or the target company’s personnel, vendors and services providers are unavailable to negotiate and consummate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or the operations of a target business with which we ultimately consummate a business combination, may be materially adversely affected.</w:t>
      </w:r>
    </w:p>
    <w:p>
      <w:pPr>
        <w:spacing w:after="0" w:line="109" w:lineRule="exact"/>
        <w:rPr>
          <w:sz w:val="20"/>
          <w:szCs w:val="20"/>
          <w:color w:val="auto"/>
        </w:rPr>
      </w:pPr>
    </w:p>
    <w:p>
      <w:pPr>
        <w:jc w:val="both"/>
        <w:ind w:left="460" w:right="739"/>
        <w:spacing w:after="0" w:line="248" w:lineRule="auto"/>
        <w:rPr>
          <w:sz w:val="20"/>
          <w:szCs w:val="20"/>
          <w:color w:val="auto"/>
        </w:rPr>
      </w:pPr>
      <w:r>
        <w:rPr>
          <w:rFonts w:ascii="Arial" w:cs="Arial" w:eastAsia="Arial" w:hAnsi="Arial"/>
          <w:sz w:val="18"/>
          <w:szCs w:val="18"/>
          <w:color w:val="auto"/>
        </w:rPr>
        <w:t>In addition, our ability to consummate a transaction may be dependent on the ability to raise equity and debt financing which may be impacted by COVID-19 and other events, including as a result of increased market volatility, decreased market liquidity in third-party financing being unavailable on terms acceptable to us or at all.</w:t>
      </w:r>
    </w:p>
    <w:p>
      <w:pPr>
        <w:spacing w:after="0" w:line="168" w:lineRule="exact"/>
        <w:rPr>
          <w:sz w:val="20"/>
          <w:szCs w:val="20"/>
          <w:color w:val="auto"/>
        </w:rPr>
      </w:pPr>
    </w:p>
    <w:p>
      <w:pPr>
        <w:ind w:left="460" w:right="519"/>
        <w:spacing w:after="0" w:line="261" w:lineRule="auto"/>
        <w:rPr>
          <w:sz w:val="20"/>
          <w:szCs w:val="20"/>
          <w:color w:val="auto"/>
        </w:rPr>
      </w:pPr>
      <w:r>
        <w:rPr>
          <w:rFonts w:ascii="Arial" w:cs="Arial" w:eastAsia="Arial" w:hAnsi="Arial"/>
          <w:sz w:val="18"/>
          <w:szCs w:val="18"/>
          <w:b w:val="1"/>
          <w:bCs w:val="1"/>
          <w:color w:val="auto"/>
        </w:rPr>
        <w:t>We may not be able to complete our initial business combination within 24 months after the closing of this offering, in which case we would cease all operations except for the purpose of winding up and we would redeem our public shares and liquidate.</w:t>
      </w:r>
    </w:p>
    <w:p>
      <w:pPr>
        <w:spacing w:after="0" w:line="83"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We may not be able to find a suitable target business and complete our initial business combination within 24 months after the closing of this offering. Our ability to complete our initial business combination may be negatively impacted by general market conditions, volatility in the capital and debt markets and the other risks described herein. For example, the outbreak of COVID-19 continues to grow both in the U.S. and globally and, while the extent of the impact of the outbreak on us will depend on future developments, it could limit our ability to complete our initial business combination, including as a result of increased market volatility, decreased market liquidity and third-party financing being unavailable on terms acceptable to us or at all. Additionally, the outbreak of COVID-19 may negatively impact businesses we may seek to acquire. If we have not completed our initial business combination within such time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w:t>
      </w:r>
    </w:p>
    <w:p>
      <w:pPr>
        <w:sectPr>
          <w:pgSz w:w="11900" w:h="16838" w:orient="portrait"/>
          <w:cols w:equalWidth="0" w:num="1">
            <w:col w:w="9019"/>
          </w:cols>
          <w:pgMar w:left="1440" w:top="331" w:right="1440" w:bottom="1440" w:gutter="0" w:footer="0" w:header="0"/>
        </w:sectPr>
      </w:pP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19050</wp:posOffset>
            </wp:positionV>
            <wp:extent cx="51435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type w:val="continuous"/>
        </w:sectPr>
      </w:pPr>
    </w:p>
    <w:bookmarkStart w:id="37" w:name="page38"/>
    <w:bookmarkEnd w:id="37"/>
    <w:p>
      <w:pPr>
        <w:ind w:left="460" w:right="499"/>
        <w:spacing w:after="0"/>
        <w:rPr>
          <w:sz w:val="20"/>
          <w:szCs w:val="20"/>
          <w:color w:val="auto"/>
        </w:rPr>
      </w:pPr>
      <w:r>
        <w:rPr>
          <w:rFonts w:ascii="Arial" w:cs="Arial" w:eastAsia="Arial" w:hAnsi="Arial"/>
          <w:sz w:val="18"/>
          <w:szCs w:val="18"/>
          <w:color w:val="auto"/>
        </w:rPr>
        <w:t>interest earned on the funds held in the trust account and not previously released to us to pay our taxes (less up to $ 100,000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our board of directors, liquidate and dissolve, subject in each case, to our obligations under Delaware law to provide for claims of creditors and the requirements of other applicable law.</w:t>
      </w:r>
    </w:p>
    <w:p>
      <w:pPr>
        <w:spacing w:after="0" w:line="178" w:lineRule="exact"/>
        <w:rPr>
          <w:sz w:val="20"/>
          <w:szCs w:val="20"/>
          <w:color w:val="auto"/>
        </w:rPr>
      </w:pPr>
    </w:p>
    <w:p>
      <w:pPr>
        <w:ind w:left="460" w:right="579"/>
        <w:spacing w:after="0" w:line="248" w:lineRule="auto"/>
        <w:rPr>
          <w:sz w:val="20"/>
          <w:szCs w:val="20"/>
          <w:color w:val="auto"/>
        </w:rPr>
      </w:pPr>
      <w:r>
        <w:rPr>
          <w:rFonts w:ascii="Arial" w:cs="Arial" w:eastAsia="Arial" w:hAnsi="Arial"/>
          <w:sz w:val="18"/>
          <w:szCs w:val="18"/>
          <w:b w:val="1"/>
          <w:bCs w:val="1"/>
          <w:color w:val="auto"/>
        </w:rPr>
        <w:t>If we seek stockholder approval of our initial business combination, our sponsor, initial stockholders, directors, executive officers, advisors and their affiliates may elect to purchase shares or public warrants from public stockholders, which may influence a vote on a proposed business combination and reduce the public “float” of our Class A common stock or public warrants.</w:t>
      </w:r>
    </w:p>
    <w:p>
      <w:pPr>
        <w:spacing w:after="0" w:line="80" w:lineRule="exact"/>
        <w:rPr>
          <w:sz w:val="20"/>
          <w:szCs w:val="20"/>
          <w:color w:val="auto"/>
        </w:rPr>
      </w:pPr>
    </w:p>
    <w:p>
      <w:pPr>
        <w:ind w:left="460" w:right="519"/>
        <w:spacing w:after="0" w:line="238"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sponsor, initial stockholders, directors, executive officers, advisors or their respective affiliates may purchase public shares or public warrants in privately negotiated transactions or in the open market either prior to or following the completion of our initial business combination, although they are under no obligation to do so. There is no limit on the number of shares our initial stockholders, directors, officers, advisors or their respective affiliates may purchase in such transactions, subject to compliance with applicable law and Nasdaq rules. However, other than as expressly stated herein, they have no current commitments, plans or intentions to engage in such purchases or transactions and have not formulated any terms or conditions for any such purchases or transactions. None of the funds in the trust account will be used to purchase public shares or public warrants in such transactions. Such purchases may include a contractual acknowledgment that such stockholder, although still the record holder of our shares, is no longer the beneficial owner thereof and therefore agrees not to exercise its redemption rights.</w:t>
      </w:r>
    </w:p>
    <w:p>
      <w:pPr>
        <w:spacing w:after="0" w:line="110" w:lineRule="exact"/>
        <w:rPr>
          <w:sz w:val="20"/>
          <w:szCs w:val="20"/>
          <w:color w:val="auto"/>
        </w:rPr>
      </w:pPr>
    </w:p>
    <w:p>
      <w:pPr>
        <w:ind w:left="460" w:right="459"/>
        <w:spacing w:after="0" w:line="237" w:lineRule="auto"/>
        <w:rPr>
          <w:sz w:val="20"/>
          <w:szCs w:val="20"/>
          <w:color w:val="auto"/>
        </w:rPr>
      </w:pPr>
      <w:r>
        <w:rPr>
          <w:rFonts w:ascii="Arial" w:cs="Arial" w:eastAsia="Arial" w:hAnsi="Arial"/>
          <w:sz w:val="18"/>
          <w:szCs w:val="18"/>
          <w:color w:val="auto"/>
        </w:rPr>
        <w:t>In the event that our sponsor, initial stockholders, directors, executive officers, advisors or their respective affiliates purchase shares in privately negotiated transactions from public stockholders who have already elected to exercise their redemption rights, such selling stockholders would be required to revoke their prior elections to redeem their shares. The purpose of any such purchases of shares could be to vote such shares in favor of the business combination and thereby increase the likelihood of obtaining the requisite stockholder approval of the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We expect any such purchases will be reported pursuant to Section 13 and Section 16 of the Exchange Act to the extent such purchasers are subject to such reporting requirements. See “Proposed Business — Permitted purchases of our securities” for a description of how our sponsor, directors, executive officers, advisors or any of their affiliates will select which stockholders to purchase securities from in any private transaction.</w:t>
      </w:r>
    </w:p>
    <w:p>
      <w:pPr>
        <w:spacing w:after="0" w:line="116" w:lineRule="exact"/>
        <w:rPr>
          <w:sz w:val="20"/>
          <w:szCs w:val="20"/>
          <w:color w:val="auto"/>
        </w:rPr>
      </w:pPr>
    </w:p>
    <w:p>
      <w:pPr>
        <w:ind w:left="460" w:right="659"/>
        <w:spacing w:after="0" w:line="248" w:lineRule="auto"/>
        <w:rPr>
          <w:sz w:val="20"/>
          <w:szCs w:val="20"/>
          <w:color w:val="auto"/>
        </w:rPr>
      </w:pPr>
      <w:r>
        <w:rPr>
          <w:rFonts w:ascii="Arial" w:cs="Arial" w:eastAsia="Arial" w:hAnsi="Arial"/>
          <w:sz w:val="18"/>
          <w:szCs w:val="18"/>
          <w:color w:val="auto"/>
        </w:rPr>
        <w:t>In addition, if such purchases are made, the public “float” of our Class A common stock or public warrants and the number of beneficial holders of our securities may be reduced, possibly making it difficult to obtain or maintain the quotation, listing or trading of our securities on a national securities exchange.</w:t>
      </w:r>
    </w:p>
    <w:p>
      <w:pPr>
        <w:spacing w:after="0" w:line="168" w:lineRule="exact"/>
        <w:rPr>
          <w:sz w:val="20"/>
          <w:szCs w:val="20"/>
          <w:color w:val="auto"/>
        </w:rPr>
      </w:pPr>
    </w:p>
    <w:p>
      <w:pPr>
        <w:jc w:val="both"/>
        <w:ind w:left="460" w:right="619"/>
        <w:spacing w:after="0" w:line="261" w:lineRule="auto"/>
        <w:rPr>
          <w:sz w:val="20"/>
          <w:szCs w:val="20"/>
          <w:color w:val="auto"/>
        </w:rPr>
      </w:pPr>
      <w:r>
        <w:rPr>
          <w:rFonts w:ascii="Arial" w:cs="Arial" w:eastAsia="Arial" w:hAnsi="Arial"/>
          <w:sz w:val="18"/>
          <w:szCs w:val="18"/>
          <w:b w:val="1"/>
          <w:bCs w:val="1"/>
          <w:color w:val="auto"/>
        </w:rPr>
        <w:t>If a stockholder fails to receive notice of our offer to redeem our public shares in connection with our initial business combination, or fails to comply with the procedures for tendering its shares, such shares may not be redeemed.</w:t>
      </w:r>
    </w:p>
    <w:p>
      <w:pPr>
        <w:spacing w:after="0" w:line="69" w:lineRule="exact"/>
        <w:rPr>
          <w:sz w:val="20"/>
          <w:szCs w:val="20"/>
          <w:color w:val="auto"/>
        </w:rPr>
      </w:pPr>
    </w:p>
    <w:p>
      <w:pPr>
        <w:ind w:left="460" w:right="499"/>
        <w:spacing w:after="0" w:line="239" w:lineRule="auto"/>
        <w:rPr>
          <w:sz w:val="20"/>
          <w:szCs w:val="20"/>
          <w:color w:val="auto"/>
        </w:rPr>
      </w:pPr>
      <w:r>
        <w:rPr>
          <w:rFonts w:ascii="Arial" w:cs="Arial" w:eastAsia="Arial" w:hAnsi="Arial"/>
          <w:sz w:val="18"/>
          <w:szCs w:val="18"/>
          <w:color w:val="auto"/>
        </w:rPr>
        <w:t>We will comply with the proxy rules or tender offer rules, as applicable, when conducting redemptions in connection with our initial business combination. Despite our compliance with these rules, if a stockholder fails to receive our proxy materials or tender offer documents, as applicable, such stockholder may not become aware of the opportunity to redeem its shares. In addition, proxy materials or tender offer documents, as applicable, that we will furnish to holders of our public shares in connection with our initial business combination will describe the various procedures that must be complied with in order to validly tender or submit public shares for redemption. For example, we intend to require our public stockholders seeking to exercise their redemption rights, whether they are record holders or hold their shares in “street name,” to, at the holder’s option, either deliver their stock certificates to our transfer</w:t>
      </w:r>
    </w:p>
    <w:p>
      <w:pPr>
        <w:sectPr>
          <w:pgSz w:w="11900" w:h="16838" w:orient="portrait"/>
          <w:cols w:equalWidth="0" w:num="1">
            <w:col w:w="9019"/>
          </w:cols>
          <w:pgMar w:left="1440" w:top="265" w:right="1440" w:bottom="1440" w:gutter="0" w:footer="0" w:header="0"/>
        </w:sectPr>
      </w:pP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19050</wp:posOffset>
            </wp:positionV>
            <wp:extent cx="51435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8" w:name="page39"/>
    <w:bookmarkEnd w:id="38"/>
    <w:p>
      <w:pPr>
        <w:ind w:left="460" w:right="459"/>
        <w:spacing w:after="0" w:line="239" w:lineRule="auto"/>
        <w:rPr>
          <w:sz w:val="20"/>
          <w:szCs w:val="20"/>
          <w:color w:val="auto"/>
        </w:rPr>
      </w:pPr>
      <w:r>
        <w:rPr>
          <w:rFonts w:ascii="Arial" w:cs="Arial" w:eastAsia="Arial" w:hAnsi="Arial"/>
          <w:sz w:val="18"/>
          <w:szCs w:val="18"/>
          <w:color w:val="auto"/>
        </w:rPr>
        <w:t>agent, or to deliver their shares to our transfer agent electronically prior to the date set forth in the proxy materials or tender offer documents, as applicable. In the case of proxy materials, this date may be up to two business days prior to the date on which the vote on the proposal to approve the initial business combination is to be held. In addition, if we conduct redemptions in connection with a stockholder vote, we intend to require a public stockholder seeking redemption of its public shares to also submit a written request for redemption to our transfer agent two business days prior to the vote in which the name of the beneficial owner of such shares is included. In the event that a stockholder fails to comply with these or any other procedures disclosed in the proxy or tender offer materials, as applicable, its shares may not be redeemed. See the section of this prospectus entitled “Proposed Business — Submitting Stock Certificates in Connection with Redemption Rights.”</w:t>
      </w:r>
    </w:p>
    <w:p>
      <w:pPr>
        <w:spacing w:after="0" w:line="178" w:lineRule="exact"/>
        <w:rPr>
          <w:sz w:val="20"/>
          <w:szCs w:val="20"/>
          <w:color w:val="auto"/>
        </w:rPr>
      </w:pPr>
    </w:p>
    <w:p>
      <w:pPr>
        <w:jc w:val="both"/>
        <w:ind w:left="460" w:right="539"/>
        <w:spacing w:after="0" w:line="261" w:lineRule="auto"/>
        <w:rPr>
          <w:sz w:val="20"/>
          <w:szCs w:val="20"/>
          <w:color w:val="auto"/>
        </w:rPr>
      </w:pPr>
      <w:r>
        <w:rPr>
          <w:rFonts w:ascii="Arial" w:cs="Arial" w:eastAsia="Arial" w:hAnsi="Arial"/>
          <w:sz w:val="18"/>
          <w:szCs w:val="18"/>
          <w:b w:val="1"/>
          <w:bCs w:val="1"/>
          <w:color w:val="auto"/>
        </w:rPr>
        <w:t>You will not have any rights or interests in funds from the trust account, except under certain limited circumstances. Therefore, to liquidate your investment, you may be forced to sell your public shares or warrants, potentially at a loss.</w:t>
      </w:r>
    </w:p>
    <w:p>
      <w:pPr>
        <w:spacing w:after="0" w:line="69"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Our public stockholders will be entitled to receive funds from the trust account only upon the earlier to occur of: (i) our completion of an initial business combination, and then only in connection with those shares of Class A common stock that such stockholder properly elected to redeem, subject to the limitations described herein, (ii) the redemption of any public shares properly tendered in connection with a stockholder vote to amend our amended and restated certificate of incorporation to modify the substance or timing of our obligation to redeem 100% of our public shares if we do not complete our initial business combination within 24 months from the closing of this offering or with respect to any other material provisions relating to stockholders’ rights or pre-initial business combination activity, and (iii) the redemption of our public shares if we are unable to complete an initial business combination within 24 months from the closing of this offering, subject to applicable law and as further described herein. In addition, if our plan to redeem our public shares if we are unable to complete an initial business combination within 24 months from the closing of this offering is not completed for any reason, compliance with Delaware law may require that we submit a plan of dissolution to our then-existing stockholders for approval prior to the distribution of the proceeds held in our trust account. In that case, public stockholders may be forced to wait beyond 24 months from the closing of this offering before they receive funds from our trust account. In no other circumstances will a public stockholder have any right or interest of any kind in the trust account. Holders of warrants will not have any right to the proceeds held in the trust account with respect to the warrants. Accordingly, to liquidate your investment, you may be forced to sell your public shares or warrants, potentially at a loss.</w:t>
      </w:r>
    </w:p>
    <w:p>
      <w:pPr>
        <w:spacing w:after="0" w:line="176" w:lineRule="exact"/>
        <w:rPr>
          <w:sz w:val="20"/>
          <w:szCs w:val="20"/>
          <w:color w:val="auto"/>
        </w:rPr>
      </w:pPr>
    </w:p>
    <w:p>
      <w:pPr>
        <w:ind w:left="460" w:right="579"/>
        <w:spacing w:after="0" w:line="319" w:lineRule="auto"/>
        <w:rPr>
          <w:sz w:val="20"/>
          <w:szCs w:val="20"/>
          <w:color w:val="auto"/>
        </w:rPr>
      </w:pPr>
      <w:r>
        <w:rPr>
          <w:rFonts w:ascii="Arial" w:cs="Arial" w:eastAsia="Arial" w:hAnsi="Arial"/>
          <w:sz w:val="17"/>
          <w:szCs w:val="17"/>
          <w:b w:val="1"/>
          <w:bCs w:val="1"/>
          <w:color w:val="auto"/>
        </w:rPr>
        <w:t>Nasdaq may delist our securities from trading on its exchange, which could limit investors’ ability to make transactions in our securities and subject us to additional trading restrictions.</w:t>
      </w:r>
    </w:p>
    <w:p>
      <w:pPr>
        <w:spacing w:after="0" w:line="36" w:lineRule="exact"/>
        <w:rPr>
          <w:sz w:val="20"/>
          <w:szCs w:val="20"/>
          <w:color w:val="auto"/>
        </w:rPr>
      </w:pPr>
    </w:p>
    <w:p>
      <w:pPr>
        <w:ind w:left="460" w:right="519"/>
        <w:spacing w:after="0" w:line="237" w:lineRule="auto"/>
        <w:rPr>
          <w:sz w:val="20"/>
          <w:szCs w:val="20"/>
          <w:color w:val="auto"/>
        </w:rPr>
      </w:pPr>
      <w:r>
        <w:rPr>
          <w:rFonts w:ascii="Arial" w:cs="Arial" w:eastAsia="Arial" w:hAnsi="Arial"/>
          <w:sz w:val="18"/>
          <w:szCs w:val="18"/>
          <w:color w:val="auto"/>
        </w:rPr>
        <w:t>We have been approved to have our units listed on Nasdaq on or promptly after the date of this prospectus and our Class A common stock and warrants on or promptly after their date of separation. Although after giving effect to this offering we expect to meet, on a pro forma basis, the minimum initial listing standards set forth in Nasdaq listing standards, we cannot assure you that our securities will be, or will continue to be, listed on Nasdaq in the future or prior to our initial business combination. In order to continue listing our securities on Nasdaq prior to our initial business combination, we must maintain certain financial, distribution and share price levels. Generally, we must maintain a minimum amount in stockholders’ equity (generally $2,500,000) and a minimum number of holders of our securities (generally 300 public holders). Additionally, in connection with our initial business combination, we will be required to demonstrate compliance with Nasdaq’s initial listing requirements, which are more rigorous than Nasdaq’s continued listing requirements, in order to continue to maintain the listing of our securities on Nasdaq. For instance, our share price would generally be required to be at least $4.00 per share and our stockholder’s equity would generally be required to be at least $5,000,000. We cannot assure you that we will be able to meet those initial listing requirements at that time.</w:t>
      </w:r>
    </w:p>
    <w:p>
      <w:pPr>
        <w:spacing w:after="0" w:line="120" w:lineRule="exact"/>
        <w:rPr>
          <w:sz w:val="20"/>
          <w:szCs w:val="20"/>
          <w:color w:val="auto"/>
        </w:rPr>
      </w:pPr>
    </w:p>
    <w:p>
      <w:pPr>
        <w:ind w:left="460" w:right="579"/>
        <w:spacing w:after="0" w:line="246" w:lineRule="auto"/>
        <w:rPr>
          <w:sz w:val="20"/>
          <w:szCs w:val="20"/>
          <w:color w:val="auto"/>
        </w:rPr>
      </w:pPr>
      <w:r>
        <w:rPr>
          <w:rFonts w:ascii="Arial" w:cs="Arial" w:eastAsia="Arial" w:hAnsi="Arial"/>
          <w:sz w:val="18"/>
          <w:szCs w:val="18"/>
          <w:color w:val="auto"/>
        </w:rPr>
        <w:t>If Nasdaq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spacing w:after="0" w:line="2" w:lineRule="exact"/>
        <w:rPr>
          <w:sz w:val="20"/>
          <w:szCs w:val="20"/>
          <w:color w:val="auto"/>
        </w:rPr>
      </w:pPr>
    </w:p>
    <w:p>
      <w:pPr>
        <w:ind w:left="1100" w:hanging="322"/>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36" w:lineRule="exact"/>
        <w:rPr>
          <w:rFonts w:ascii="Arial" w:cs="Arial" w:eastAsia="Arial" w:hAnsi="Arial"/>
          <w:sz w:val="18"/>
          <w:szCs w:val="18"/>
          <w:color w:val="auto"/>
        </w:rPr>
      </w:pPr>
    </w:p>
    <w:p>
      <w:pPr>
        <w:ind w:left="1100" w:right="459" w:hanging="322"/>
        <w:spacing w:after="0" w:line="255" w:lineRule="auto"/>
        <w:tabs>
          <w:tab w:leader="none" w:pos="1089"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determination that our Class A common stock is a “penny stock” which will require brokers trading in our Class A common stock to adhere to more stringent rules and possibly result in a reduced level of trading activity in the secondary trading market for our securities;</w:t>
      </w:r>
    </w:p>
    <w:p>
      <w:pPr>
        <w:sectPr>
          <w:pgSz w:w="11900" w:h="16838" w:orient="portrait"/>
          <w:cols w:equalWidth="0" w:num="1">
            <w:col w:w="9019"/>
          </w:cols>
          <w:pgMar w:left="1440" w:top="265" w:right="1440" w:bottom="1440" w:gutter="0" w:footer="0" w:header="0"/>
        </w:sectPr>
      </w:pP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19050</wp:posOffset>
            </wp:positionV>
            <wp:extent cx="51435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9" w:name="page40"/>
    <w:bookmarkEnd w:id="39"/>
    <w:p>
      <w:pPr>
        <w:ind w:left="1100" w:hanging="322"/>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35" w:lineRule="exact"/>
        <w:rPr>
          <w:rFonts w:ascii="Arial" w:cs="Arial" w:eastAsia="Arial" w:hAnsi="Arial"/>
          <w:sz w:val="18"/>
          <w:szCs w:val="18"/>
          <w:color w:val="auto"/>
        </w:rPr>
      </w:pPr>
    </w:p>
    <w:p>
      <w:pPr>
        <w:ind w:left="1100" w:hanging="322"/>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31" w:lineRule="exact"/>
        <w:rPr>
          <w:sz w:val="20"/>
          <w:szCs w:val="20"/>
          <w:color w:val="auto"/>
        </w:rPr>
      </w:pPr>
    </w:p>
    <w:p>
      <w:pPr>
        <w:ind w:left="460" w:right="519"/>
        <w:spacing w:after="0" w:line="238" w:lineRule="auto"/>
        <w:rPr>
          <w:sz w:val="20"/>
          <w:szCs w:val="20"/>
          <w:color w:val="auto"/>
        </w:rPr>
      </w:pPr>
      <w:r>
        <w:rPr>
          <w:rFonts w:ascii="Arial" w:cs="Arial" w:eastAsia="Arial" w:hAnsi="Arial"/>
          <w:sz w:val="18"/>
          <w:szCs w:val="18"/>
          <w:color w:val="auto"/>
        </w:rPr>
        <w:t>The National Securities Markets Improvement Act of 1996, which is a federal statute, prevents or preempts the states from regulating the sale of certain securities, which are referred to as “covered securities.” Because we expect that our units and eventually our Class A common stock and warrants will be listed on Nasdaq, our units, Class A common stock and warrants will qualify as covered securities under the statute.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qualify as covered securities under the statute and we would be subject to regulation in each state in which we offer our securities.</w:t>
      </w:r>
    </w:p>
    <w:p>
      <w:pPr>
        <w:spacing w:after="0" w:line="175" w:lineRule="exact"/>
        <w:rPr>
          <w:sz w:val="20"/>
          <w:szCs w:val="20"/>
          <w:color w:val="auto"/>
        </w:rPr>
      </w:pPr>
    </w:p>
    <w:p>
      <w:pPr>
        <w:ind w:left="460" w:right="979"/>
        <w:spacing w:after="0" w:line="287" w:lineRule="auto"/>
        <w:rPr>
          <w:sz w:val="20"/>
          <w:szCs w:val="20"/>
          <w:color w:val="auto"/>
        </w:rPr>
      </w:pPr>
      <w:r>
        <w:rPr>
          <w:rFonts w:ascii="Arial" w:cs="Arial" w:eastAsia="Arial" w:hAnsi="Arial"/>
          <w:sz w:val="18"/>
          <w:szCs w:val="18"/>
          <w:b w:val="1"/>
          <w:bCs w:val="1"/>
          <w:color w:val="auto"/>
        </w:rPr>
        <w:t>You will not be entitled to protections normally afforded to investors of many other blank check companies.</w:t>
      </w:r>
    </w:p>
    <w:p>
      <w:pPr>
        <w:spacing w:after="0" w:line="60" w:lineRule="exact"/>
        <w:rPr>
          <w:sz w:val="20"/>
          <w:szCs w:val="20"/>
          <w:color w:val="auto"/>
        </w:rPr>
      </w:pPr>
    </w:p>
    <w:p>
      <w:pPr>
        <w:ind w:left="460" w:right="479"/>
        <w:spacing w:after="0" w:line="251" w:lineRule="auto"/>
        <w:rPr>
          <w:sz w:val="20"/>
          <w:szCs w:val="20"/>
          <w:color w:val="auto"/>
        </w:rPr>
      </w:pPr>
      <w:r>
        <w:rPr>
          <w:rFonts w:ascii="Arial" w:cs="Arial" w:eastAsia="Arial" w:hAnsi="Arial"/>
          <w:sz w:val="17"/>
          <w:szCs w:val="17"/>
          <w:color w:val="auto"/>
        </w:rPr>
        <w:t>Since the net proceeds of this offering and the sale of the private placement warrants are intended to be used to complete an initial business combination with a target business that has not been selected, we may be deemed to be a “blank check” company under the United States securities laws. However, because we will have net tangible assets in excess of $5,000,000 upon the completion of this offering and the sale of the private placement warrants and will file a Current Report on Form 8-K, including an audited balance sheet demonstrating this fact, we are exempt from rules promulgated by the SEC to protect investors in blank check companies, such as Rule 419. Accordingly, investors will not be afforded the benefits or protections of those rules. Among other things, this means our units will be immediately tradable and we will have a longer period of time to complete our initial business combination than do companies subject to Rule 419. Moreover, if this offering were subject to</w:t>
      </w:r>
    </w:p>
    <w:p>
      <w:pPr>
        <w:spacing w:after="0" w:line="3" w:lineRule="exact"/>
        <w:rPr>
          <w:sz w:val="20"/>
          <w:szCs w:val="20"/>
          <w:color w:val="auto"/>
        </w:rPr>
      </w:pPr>
    </w:p>
    <w:p>
      <w:pPr>
        <w:ind w:left="460" w:right="499"/>
        <w:spacing w:after="0" w:line="239" w:lineRule="auto"/>
        <w:rPr>
          <w:sz w:val="20"/>
          <w:szCs w:val="20"/>
          <w:color w:val="auto"/>
        </w:rPr>
      </w:pPr>
      <w:r>
        <w:rPr>
          <w:rFonts w:ascii="Arial" w:cs="Arial" w:eastAsia="Arial" w:hAnsi="Arial"/>
          <w:sz w:val="18"/>
          <w:szCs w:val="18"/>
          <w:color w:val="auto"/>
        </w:rPr>
        <w:t>Rule 419, that rule would prohibit the release of any interest earned on funds held in the trust account to us unless and until the funds in the trust account were released to us in connection with our completion of an initial business combination. For a more detailed comparison of our offering to offerings that comply with Rule 419, please see “Proposed Business — Comparison of This Offering to Those of Blank Check Companies Subject to Rule 419.”</w:t>
      </w:r>
    </w:p>
    <w:p>
      <w:pPr>
        <w:spacing w:after="0" w:line="174" w:lineRule="exact"/>
        <w:rPr>
          <w:sz w:val="20"/>
          <w:szCs w:val="20"/>
          <w:color w:val="auto"/>
        </w:rPr>
      </w:pPr>
    </w:p>
    <w:p>
      <w:pPr>
        <w:jc w:val="both"/>
        <w:ind w:left="460" w:right="799"/>
        <w:spacing w:after="0" w:line="252" w:lineRule="auto"/>
        <w:rPr>
          <w:sz w:val="20"/>
          <w:szCs w:val="20"/>
          <w:color w:val="auto"/>
        </w:rPr>
      </w:pPr>
      <w:r>
        <w:rPr>
          <w:rFonts w:ascii="Arial" w:cs="Arial" w:eastAsia="Arial" w:hAnsi="Arial"/>
          <w:sz w:val="18"/>
          <w:szCs w:val="18"/>
          <w:b w:val="1"/>
          <w:bCs w:val="1"/>
          <w:color w:val="auto"/>
        </w:rPr>
        <w:t>If we seek stockholder approval of our initial business combination and we do not conduct redemptions pursuant to the tender offer rules, and if you or a “group” of stockholders are deemed to hold in excess of 20% of our Class A common stock, you will lose the ability to redeem all such shares in excess of 20% of our Class A common stock.</w:t>
      </w:r>
    </w:p>
    <w:p>
      <w:pPr>
        <w:spacing w:after="0" w:line="78"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seeking redemption rights with respect to more than an aggregate of 20% of the shares sold in this offering without our prior consent, which we refer to as the “Excess Shares.” However, we would not be restricting our stockholders’ ability to vote all of 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that number of shares exceeding 20% and, in order to dispose of such shares, would be required to sell your shares in open market transactions, potentially at a loss.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57" w:right="1440" w:bottom="1440" w:gutter="0" w:footer="0" w:header="0"/>
        </w:sectPr>
      </w:pPr>
    </w:p>
    <w:bookmarkStart w:id="40" w:name="page41"/>
    <w:bookmarkEnd w:id="40"/>
    <w:p>
      <w:pPr>
        <w:ind w:left="460" w:right="579"/>
        <w:spacing w:after="0" w:line="245" w:lineRule="auto"/>
        <w:rPr>
          <w:sz w:val="20"/>
          <w:szCs w:val="20"/>
          <w:color w:val="auto"/>
        </w:rPr>
      </w:pPr>
      <w:r>
        <w:rPr>
          <w:rFonts w:ascii="Arial" w:cs="Arial" w:eastAsia="Arial" w:hAnsi="Arial"/>
          <w:sz w:val="18"/>
          <w:szCs w:val="18"/>
          <w:b w:val="1"/>
          <w:bCs w:val="1"/>
          <w:color w:val="auto"/>
        </w:rPr>
        <w:t>Because of our limited resources and the significant competition for business combination opportunities, it may be more difficult for us to complete our initial business combination. If we are unable to complete our initial business combination within the required time period, our public stockholders may receive only their pro rata portion of the funds in the trust account that are available for distribution to public stockholders, and our warrants will expire worthless.</w:t>
      </w:r>
    </w:p>
    <w:p>
      <w:pPr>
        <w:spacing w:after="0" w:line="98" w:lineRule="exact"/>
        <w:rPr>
          <w:sz w:val="20"/>
          <w:szCs w:val="20"/>
          <w:color w:val="auto"/>
        </w:rPr>
      </w:pPr>
    </w:p>
    <w:p>
      <w:pPr>
        <w:ind w:left="460" w:right="499"/>
        <w:spacing w:after="0" w:line="251" w:lineRule="auto"/>
        <w:rPr>
          <w:sz w:val="20"/>
          <w:szCs w:val="20"/>
          <w:color w:val="auto"/>
        </w:rPr>
      </w:pPr>
      <w:r>
        <w:rPr>
          <w:rFonts w:ascii="Arial" w:cs="Arial" w:eastAsia="Arial" w:hAnsi="Arial"/>
          <w:sz w:val="17"/>
          <w:szCs w:val="17"/>
          <w:color w:val="auto"/>
        </w:rPr>
        <w:t>We expect to encounter competition from other entities having a business objective similar to ours, including private investors (which may be individuals or investment partnerships), other blank check companies and other entities, domestic and international, competing for the types of businesses we intend to acquire. Many of these individuals and entities are well-established and have extensive experience in identifying and effecting, directly or indirectly, acquisitions of companies operating in or providing services to various industries. Many of these competitors possess similar or greater technical, human and other resources to ours or more local industry knowledge than we do and our financial resources will be relatively limited when contrasted with those of many of these competitors. While we believe there are numerous target businesses we could potentially acquire with the net proceeds of this offering and the sale of the private placement warrants,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we are obligated to offer holders of our public shares the right to redeem their shares for cash at the time of our initial business combination in conjunction with a stockholder vote or via a tender offer. Target companies will be aware that this may reduce the resources available to us for our initial business combination. Any of these obligations may place us at a competitive disadvantage in successfully negotiating a business combination. If we are unable to complete our initial business combination within the required time period, our public stockholders may receive only their pro rata portion of the funds in the trust account that are available for distribution to public stockholders, and our warrants will expire worthless.</w:t>
      </w:r>
    </w:p>
    <w:p>
      <w:pPr>
        <w:spacing w:after="0" w:line="175" w:lineRule="exact"/>
        <w:rPr>
          <w:sz w:val="20"/>
          <w:szCs w:val="20"/>
          <w:color w:val="auto"/>
        </w:rPr>
      </w:pPr>
    </w:p>
    <w:p>
      <w:pPr>
        <w:ind w:left="460" w:right="599"/>
        <w:spacing w:after="0" w:line="248" w:lineRule="auto"/>
        <w:rPr>
          <w:sz w:val="20"/>
          <w:szCs w:val="20"/>
          <w:color w:val="auto"/>
        </w:rPr>
      </w:pPr>
      <w:r>
        <w:rPr>
          <w:rFonts w:ascii="Arial" w:cs="Arial" w:eastAsia="Arial" w:hAnsi="Arial"/>
          <w:sz w:val="18"/>
          <w:szCs w:val="18"/>
          <w:b w:val="1"/>
          <w:bCs w:val="1"/>
          <w:color w:val="auto"/>
        </w:rPr>
        <w:t>If the net proceeds of this offering not being held in the trust account are insufficient to allow us to operate for at least the 24 months following the closing of the offering, it could limit the amount available to fund our search for a target business or businesses and complete our initial business combination, and we will depend on loans from our sponsor or management team to fund our search and to complete our initial business combination.</w:t>
      </w:r>
    </w:p>
    <w:p>
      <w:pPr>
        <w:spacing w:after="0" w:line="80" w:lineRule="exact"/>
        <w:rPr>
          <w:sz w:val="20"/>
          <w:szCs w:val="20"/>
          <w:color w:val="auto"/>
        </w:rPr>
      </w:pPr>
    </w:p>
    <w:p>
      <w:pPr>
        <w:ind w:left="460" w:right="539"/>
        <w:spacing w:after="0" w:line="238" w:lineRule="auto"/>
        <w:rPr>
          <w:sz w:val="20"/>
          <w:szCs w:val="20"/>
          <w:color w:val="auto"/>
        </w:rPr>
      </w:pPr>
      <w:r>
        <w:rPr>
          <w:rFonts w:ascii="Arial" w:cs="Arial" w:eastAsia="Arial" w:hAnsi="Arial"/>
          <w:sz w:val="18"/>
          <w:szCs w:val="18"/>
          <w:color w:val="auto"/>
        </w:rPr>
        <w:t>Of the net proceeds of this offering, only $1,000,000 will be available to us initially outside the trust account to fund our working capital requirements. We believe that, upon closing of this offering, the funds available to us outside of the trust account will be sufficient to allow us to operate for at least the 24 months following such closing; however, we cannot assure you that our estimate is accurate.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or merger agreements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 letter of intent or merger agreement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w:t>
      </w:r>
    </w:p>
    <w:p>
      <w:pPr>
        <w:spacing w:after="0" w:line="110" w:lineRule="exact"/>
        <w:rPr>
          <w:sz w:val="20"/>
          <w:szCs w:val="20"/>
          <w:color w:val="auto"/>
        </w:rPr>
      </w:pPr>
    </w:p>
    <w:p>
      <w:pPr>
        <w:ind w:left="460" w:right="519"/>
        <w:spacing w:after="0" w:line="238" w:lineRule="auto"/>
        <w:rPr>
          <w:sz w:val="20"/>
          <w:szCs w:val="20"/>
          <w:color w:val="auto"/>
        </w:rPr>
      </w:pPr>
      <w:r>
        <w:rPr>
          <w:rFonts w:ascii="Arial" w:cs="Arial" w:eastAsia="Arial" w:hAnsi="Arial"/>
          <w:sz w:val="18"/>
          <w:szCs w:val="18"/>
          <w:color w:val="auto"/>
        </w:rPr>
        <w:t>In the event that our offering expenses exceed our estimate of $1,000,000, we may fund such excess with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 The amount held in the trust account will not be impacted as a result of such increase or decrease. If we are required to seek additional capital, we would need to borrow funds from our sponsor, management team or other third parties to operate or may be forced to liquidate. Neither our sponsor, members of our management team nor any of their affiliates is under any obligation to advance funds to us in such circumstances. Any such advances would be repaid only from funds held outside the trust account or from funds released to us upon completion of our initial business combination. Up to $1,500,000 of such loans may be convertible into warrants of the post-business combination entity at a price of $1.50 per warrant at the option of the lender. The warrants would</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sectPr>
      </w:pPr>
    </w:p>
    <w:bookmarkStart w:id="41" w:name="page42"/>
    <w:bookmarkEnd w:id="41"/>
    <w:p>
      <w:pPr>
        <w:ind w:left="460" w:right="579"/>
        <w:spacing w:after="0"/>
        <w:rPr>
          <w:sz w:val="20"/>
          <w:szCs w:val="20"/>
          <w:color w:val="auto"/>
        </w:rPr>
      </w:pPr>
      <w:r>
        <w:rPr>
          <w:rFonts w:ascii="Arial" w:cs="Arial" w:eastAsia="Arial" w:hAnsi="Arial"/>
          <w:sz w:val="18"/>
          <w:szCs w:val="18"/>
          <w:color w:val="auto"/>
        </w:rPr>
        <w:t>be identical to the private placement warrants.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 If we are unable to complete our initial business combination within the required time period because we do not have sufficient funds available to us, we will be forced to cease operations and liquidate the trust account. Consequently, our public stockholders may only receive an estimated $ 10.00 per public share, or possibly less, on our redemption of our public shares, and our warrants will expire worthless.</w:t>
      </w:r>
    </w:p>
    <w:p>
      <w:pPr>
        <w:spacing w:after="0" w:line="178" w:lineRule="exact"/>
        <w:rPr>
          <w:sz w:val="20"/>
          <w:szCs w:val="20"/>
          <w:color w:val="auto"/>
        </w:rPr>
      </w:pPr>
    </w:p>
    <w:p>
      <w:pPr>
        <w:ind w:left="460" w:right="499"/>
        <w:spacing w:after="0" w:line="252" w:lineRule="auto"/>
        <w:rPr>
          <w:sz w:val="20"/>
          <w:szCs w:val="20"/>
          <w:color w:val="auto"/>
        </w:rPr>
      </w:pPr>
      <w:r>
        <w:rPr>
          <w:rFonts w:ascii="Arial" w:cs="Arial" w:eastAsia="Arial" w:hAnsi="Arial"/>
          <w:sz w:val="18"/>
          <w:szCs w:val="18"/>
          <w:b w:val="1"/>
          <w:bCs w:val="1"/>
          <w:color w:val="auto"/>
        </w:rPr>
        <w:t>Subsequent to our completion of our initial business combination, we may be required to take write-downs or write-offs, restructuring and impairment or other charges that could have a significant negative effect on our financial condition, results of operations and the price of our securities, which could cause you to lose some or all of your investment.</w:t>
      </w:r>
    </w:p>
    <w:p>
      <w:pPr>
        <w:spacing w:after="0" w:line="78"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Even if we conduct extensive due diligence on a target business with which we combine, we cannot assure you that this diligence will identify all material issues that may be present with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debt financing to partially finance the initial business combination or thereafter. Accordingly, any stockholders or warrant holders who choose to remain stockholders or warrant holders following the business combination could suffer a reduction in the value of their securities. Such stockholders or warrant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materials or tender offer documents, as applicable, relating to the business combination contained an actionable material misstatement or material omission.</w:t>
      </w:r>
    </w:p>
    <w:p>
      <w:pPr>
        <w:spacing w:after="0" w:line="174" w:lineRule="exact"/>
        <w:rPr>
          <w:sz w:val="20"/>
          <w:szCs w:val="20"/>
          <w:color w:val="auto"/>
        </w:rPr>
      </w:pPr>
    </w:p>
    <w:p>
      <w:pPr>
        <w:ind w:left="460" w:right="859"/>
        <w:spacing w:after="0" w:line="261" w:lineRule="auto"/>
        <w:rPr>
          <w:sz w:val="20"/>
          <w:szCs w:val="20"/>
          <w:color w:val="auto"/>
        </w:rPr>
      </w:pPr>
      <w:r>
        <w:rPr>
          <w:rFonts w:ascii="Arial" w:cs="Arial" w:eastAsia="Arial" w:hAnsi="Arial"/>
          <w:sz w:val="18"/>
          <w:szCs w:val="18"/>
          <w:b w:val="1"/>
          <w:bCs w:val="1"/>
          <w:color w:val="auto"/>
        </w:rPr>
        <w:t>If third parties bring claims against us, the proceeds held in the trust account could be reduced and the per-share redemption amount received by stockholders may be less than $10.00 per public share.</w:t>
      </w:r>
    </w:p>
    <w:p>
      <w:pPr>
        <w:spacing w:after="0" w:line="83"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Our placing of funds in the trust account may not protect those funds from third party claims against us. Although we will seek to have all vendors, service providers, prospective target businesses and other entities (except for our independent registered public accounting firm) with which we do business execute agreements with us waiving any right, title, interest or claim of any kind in or to any monies held in the trust account for the benefit of our public stockholders,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consider whether competitive alternatives are reasonably available to us and will only enter into an agreement with such third party if management believes that such third party’s engagement would be in the best interests of the company under the circumstances. The underwriters of this offering as well as our registered independent public accounting firm will not execute agreements with us waiving such claims to the monies held in the trust account.</w:t>
      </w:r>
    </w:p>
    <w:p>
      <w:pPr>
        <w:spacing w:after="0" w:line="118" w:lineRule="exact"/>
        <w:rPr>
          <w:sz w:val="20"/>
          <w:szCs w:val="20"/>
          <w:color w:val="auto"/>
        </w:rPr>
      </w:pPr>
    </w:p>
    <w:p>
      <w:pPr>
        <w:ind w:left="460" w:right="519"/>
        <w:spacing w:after="0" w:line="245" w:lineRule="auto"/>
        <w:rPr>
          <w:sz w:val="20"/>
          <w:szCs w:val="20"/>
          <w:color w:val="auto"/>
        </w:rPr>
      </w:pPr>
      <w:r>
        <w:rPr>
          <w:rFonts w:ascii="Arial" w:cs="Arial" w:eastAsia="Arial" w:hAnsi="Arial"/>
          <w:sz w:val="18"/>
          <w:szCs w:val="18"/>
          <w:color w:val="auto"/>
        </w:rPr>
        <w:t>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 w:name="page43"/>
    <w:bookmarkEnd w:id="42"/>
    <w:p>
      <w:pPr>
        <w:ind w:left="460" w:right="479"/>
        <w:spacing w:after="0" w:line="250" w:lineRule="auto"/>
        <w:rPr>
          <w:sz w:val="20"/>
          <w:szCs w:val="20"/>
          <w:color w:val="auto"/>
        </w:rPr>
      </w:pPr>
      <w:r>
        <w:rPr>
          <w:rFonts w:ascii="Arial" w:cs="Arial" w:eastAsia="Arial" w:hAnsi="Arial"/>
          <w:sz w:val="17"/>
          <w:szCs w:val="17"/>
          <w:color w:val="auto"/>
        </w:rPr>
        <w:t>that 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initial business combination within the required time period, or upon the exercise of a redemption right in connection with our initial business combination, we will be required to provide for payment of claims of creditors that were not waived that may be brought against us within the 10 years following redemption. Accordingly, the per-share redemption amount received by public stockholders could be less than the $10.00 per public share initially held in the trust account, due to claims of such creditors. Pursuant to the letter agreement, our sponsor has agreed that it will be liable to us if and to the extent any claims by a third party for services rendered or products sold to us, or a prospective target business with which we have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$ 10.00 per public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this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386" w:lineRule="exact"/>
        <w:rPr>
          <w:sz w:val="20"/>
          <w:szCs w:val="20"/>
          <w:color w:val="auto"/>
        </w:rPr>
      </w:pPr>
    </w:p>
    <w:p>
      <w:pPr>
        <w:ind w:left="460" w:right="499"/>
        <w:spacing w:after="0" w:line="261" w:lineRule="auto"/>
        <w:rPr>
          <w:sz w:val="20"/>
          <w:szCs w:val="20"/>
          <w:color w:val="auto"/>
        </w:rPr>
      </w:pPr>
      <w:r>
        <w:rPr>
          <w:rFonts w:ascii="Arial" w:cs="Arial" w:eastAsia="Arial" w:hAnsi="Arial"/>
          <w:sz w:val="18"/>
          <w:szCs w:val="18"/>
          <w:b w:val="1"/>
          <w:bCs w:val="1"/>
          <w:color w:val="auto"/>
        </w:rPr>
        <w:t>Our directors may decide not to enforce the indemnification obligations of our sponsor, resulting in a reduction in the amount of funds in the trust account available for distribution to our public stockholders.</w:t>
      </w:r>
    </w:p>
    <w:p>
      <w:pPr>
        <w:spacing w:after="0" w:line="69" w:lineRule="exact"/>
        <w:rPr>
          <w:sz w:val="20"/>
          <w:szCs w:val="20"/>
          <w:color w:val="auto"/>
        </w:rPr>
      </w:pPr>
    </w:p>
    <w:p>
      <w:pPr>
        <w:ind w:left="460" w:right="519"/>
        <w:spacing w:after="0" w:line="238" w:lineRule="auto"/>
        <w:rPr>
          <w:sz w:val="20"/>
          <w:szCs w:val="20"/>
          <w:color w:val="auto"/>
        </w:rPr>
      </w:pPr>
      <w:r>
        <w:rPr>
          <w:rFonts w:ascii="Arial" w:cs="Arial" w:eastAsia="Arial" w:hAnsi="Arial"/>
          <w:sz w:val="18"/>
          <w:szCs w:val="18"/>
          <w:color w:val="auto"/>
        </w:rPr>
        <w:t>In the event that the proceeds in the trust account are reduced below the lesser of (i) $10.00 per share and (ii) the actual amount per public share held in the trust account as of the date of the liquidation of the trust account if less than $10.00 per public share due to reductions in the value of the trust assets, in each case less taxes payable, and our sponsor asserts that it is unable to satisfy its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our independent directors choose not to enforce these indemnification obligations, the amount of funds in the trust account available for distribution to our public stockholders may be reduced below $10.00 per public share.</w:t>
      </w:r>
    </w:p>
    <w:p>
      <w:pPr>
        <w:spacing w:after="0" w:line="181" w:lineRule="exact"/>
        <w:rPr>
          <w:sz w:val="20"/>
          <w:szCs w:val="20"/>
          <w:color w:val="auto"/>
        </w:rPr>
      </w:pPr>
    </w:p>
    <w:p>
      <w:pPr>
        <w:ind w:left="460" w:right="1259"/>
        <w:spacing w:after="0" w:line="287" w:lineRule="auto"/>
        <w:rPr>
          <w:sz w:val="20"/>
          <w:szCs w:val="20"/>
          <w:color w:val="auto"/>
        </w:rPr>
      </w:pPr>
      <w:r>
        <w:rPr>
          <w:rFonts w:ascii="Arial" w:cs="Arial" w:eastAsia="Arial" w:hAnsi="Arial"/>
          <w:sz w:val="18"/>
          <w:szCs w:val="18"/>
          <w:b w:val="1"/>
          <w:bCs w:val="1"/>
          <w:color w:val="auto"/>
        </w:rPr>
        <w:t>We may not have sufficient funds to satisfy indemnification claims of our officers and directors.</w:t>
      </w:r>
    </w:p>
    <w:p>
      <w:pPr>
        <w:spacing w:after="0" w:line="60" w:lineRule="exact"/>
        <w:rPr>
          <w:sz w:val="20"/>
          <w:szCs w:val="20"/>
          <w:color w:val="auto"/>
        </w:rPr>
      </w:pPr>
    </w:p>
    <w:p>
      <w:pPr>
        <w:ind w:left="460" w:right="559"/>
        <w:spacing w:after="0" w:line="255" w:lineRule="auto"/>
        <w:rPr>
          <w:sz w:val="20"/>
          <w:szCs w:val="20"/>
          <w:color w:val="auto"/>
        </w:rPr>
      </w:pPr>
      <w:r>
        <w:rPr>
          <w:rFonts w:ascii="Arial" w:cs="Arial" w:eastAsia="Arial" w:hAnsi="Arial"/>
          <w:sz w:val="17"/>
          <w:szCs w:val="17"/>
          <w:color w:val="auto"/>
        </w:rPr>
        <w:t>We have agreed to indemnify our officers and directors to the fullest extent permitted by law. However, our officers and directors have agreed to waive any right, title, interest or claim of any kind in or to any monies in the trust account and to not seek recourse against the trust account for any reason whatsoever. Accordingly, any indemnification provided will be able to be satisfied by us only if</w:t>
      </w:r>
    </w:p>
    <w:p>
      <w:pPr>
        <w:spacing w:after="0" w:line="1" w:lineRule="exact"/>
        <w:rPr>
          <w:sz w:val="20"/>
          <w:szCs w:val="20"/>
          <w:color w:val="auto"/>
        </w:rPr>
      </w:pPr>
    </w:p>
    <w:p>
      <w:pPr>
        <w:ind w:left="460" w:right="539" w:hanging="6"/>
        <w:spacing w:after="0" w:line="237" w:lineRule="auto"/>
        <w:tabs>
          <w:tab w:leader="none" w:pos="67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sufficient funds outside of the trust account or (ii) we consummate an initial business combination. Our obligation to indemnify our officers and directors may discourage stockholders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stockholders. Furthermore, a stockholder’s investment may be adversely affected to the extent we pay the costs of settlement and damage awards against our officers and directors pursuant to these indemnification provisions.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 w:name="page44"/>
    <w:bookmarkEnd w:id="43"/>
    <w:p>
      <w:pPr>
        <w:ind w:left="460" w:right="719"/>
        <w:spacing w:after="0" w:line="245" w:lineRule="auto"/>
        <w:rPr>
          <w:sz w:val="20"/>
          <w:szCs w:val="20"/>
          <w:color w:val="auto"/>
        </w:rPr>
      </w:pPr>
      <w:r>
        <w:rPr>
          <w:rFonts w:ascii="Arial" w:cs="Arial" w:eastAsia="Arial" w:hAnsi="Arial"/>
          <w:sz w:val="18"/>
          <w:szCs w:val="18"/>
          <w:b w:val="1"/>
          <w:bCs w:val="1"/>
          <w:color w:val="auto"/>
        </w:rPr>
        <w:t>If, after we distribute the proceeds in the trust account to our public stockholders, we file a bankruptcy petition or an involuntary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98" w:lineRule="exact"/>
        <w:rPr>
          <w:sz w:val="20"/>
          <w:szCs w:val="20"/>
          <w:color w:val="auto"/>
        </w:rPr>
      </w:pPr>
    </w:p>
    <w:p>
      <w:pPr>
        <w:ind w:left="460" w:right="499"/>
        <w:spacing w:after="0"/>
        <w:rPr>
          <w:sz w:val="20"/>
          <w:szCs w:val="20"/>
          <w:color w:val="auto"/>
        </w:rPr>
      </w:pPr>
      <w:r>
        <w:rPr>
          <w:rFonts w:ascii="Arial" w:cs="Arial" w:eastAsia="Arial" w:hAnsi="Arial"/>
          <w:sz w:val="18"/>
          <w:szCs w:val="18"/>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some or all amounts received by our stockholders. In addition, our board of directors may be viewed as having breached its fiduciary duty to our creditors and/or having acted in bad faith, by paying public stockholders from the trust account prior to addressing the claims of creditors, thereby exposing itself and us to claims of punitive damages.</w:t>
      </w:r>
    </w:p>
    <w:p>
      <w:pPr>
        <w:spacing w:after="0" w:line="178" w:lineRule="exact"/>
        <w:rPr>
          <w:sz w:val="20"/>
          <w:szCs w:val="20"/>
          <w:color w:val="auto"/>
        </w:rPr>
      </w:pPr>
    </w:p>
    <w:p>
      <w:pPr>
        <w:ind w:left="460" w:right="499"/>
        <w:spacing w:after="0" w:line="248" w:lineRule="auto"/>
        <w:rPr>
          <w:sz w:val="20"/>
          <w:szCs w:val="20"/>
          <w:color w:val="auto"/>
        </w:rPr>
      </w:pPr>
      <w:r>
        <w:rPr>
          <w:rFonts w:ascii="Arial" w:cs="Arial" w:eastAsia="Arial" w:hAnsi="Arial"/>
          <w:sz w:val="18"/>
          <w:szCs w:val="18"/>
          <w:b w:val="1"/>
          <w:bCs w:val="1"/>
          <w:color w:val="auto"/>
        </w:rPr>
        <w:t>If, before distributing the proceeds in the trust account to our public stockholders, we file a bankruptcy petition or an involuntary bankruptcy petition is filed against us that is not dismissed, the claims of creditors in such proceeding may have priority over the claims of our stockholders and the per-share amount that would otherwise be received by our stockholders in connection with our liquidation may be reduced.</w:t>
      </w:r>
    </w:p>
    <w:p>
      <w:pPr>
        <w:spacing w:after="0" w:line="80" w:lineRule="exact"/>
        <w:rPr>
          <w:sz w:val="20"/>
          <w:szCs w:val="20"/>
          <w:color w:val="auto"/>
        </w:rPr>
      </w:pPr>
    </w:p>
    <w:p>
      <w:pPr>
        <w:ind w:left="460" w:right="499"/>
        <w:spacing w:after="0" w:line="241" w:lineRule="auto"/>
        <w:rPr>
          <w:sz w:val="20"/>
          <w:szCs w:val="20"/>
          <w:color w:val="auto"/>
        </w:rPr>
      </w:pPr>
      <w:r>
        <w:rPr>
          <w:rFonts w:ascii="Arial" w:cs="Arial" w:eastAsia="Arial" w:hAnsi="Arial"/>
          <w:sz w:val="18"/>
          <w:szCs w:val="18"/>
          <w:color w:val="auto"/>
        </w:rPr>
        <w:t>If, before distributing the proceeds in the trust account to our public stockholders,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per-share amount that would otherwise be received by our stockholders in connection with our liquidation may be reduced.</w:t>
      </w:r>
    </w:p>
    <w:p>
      <w:pPr>
        <w:spacing w:after="0" w:line="177" w:lineRule="exact"/>
        <w:rPr>
          <w:sz w:val="20"/>
          <w:szCs w:val="20"/>
          <w:color w:val="auto"/>
        </w:rPr>
      </w:pPr>
    </w:p>
    <w:p>
      <w:pPr>
        <w:ind w:left="460" w:right="699"/>
        <w:spacing w:after="0" w:line="283" w:lineRule="auto"/>
        <w:rPr>
          <w:sz w:val="20"/>
          <w:szCs w:val="20"/>
          <w:color w:val="auto"/>
        </w:rPr>
      </w:pPr>
      <w:r>
        <w:rPr>
          <w:rFonts w:ascii="Arial" w:cs="Arial" w:eastAsia="Arial" w:hAnsi="Arial"/>
          <w:sz w:val="17"/>
          <w:szCs w:val="17"/>
          <w:b w:val="1"/>
          <w:b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67" w:lineRule="exact"/>
        <w:rPr>
          <w:sz w:val="20"/>
          <w:szCs w:val="20"/>
          <w:color w:val="auto"/>
        </w:rPr>
      </w:pPr>
    </w:p>
    <w:p>
      <w:pPr>
        <w:ind w:left="460" w:right="799"/>
        <w:spacing w:after="0" w:line="258" w:lineRule="auto"/>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w:t>
      </w:r>
    </w:p>
    <w:p>
      <w:pPr>
        <w:ind w:left="1100" w:hanging="322"/>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35" w:lineRule="exact"/>
        <w:rPr>
          <w:rFonts w:ascii="Arial" w:cs="Arial" w:eastAsia="Arial" w:hAnsi="Arial"/>
          <w:sz w:val="18"/>
          <w:szCs w:val="18"/>
          <w:color w:val="auto"/>
        </w:rPr>
      </w:pPr>
    </w:p>
    <w:p>
      <w:pPr>
        <w:ind w:left="1100" w:hanging="322"/>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restrictions on the issuance of securities,</w:t>
      </w:r>
    </w:p>
    <w:p>
      <w:pPr>
        <w:spacing w:after="0" w:line="131" w:lineRule="exact"/>
        <w:rPr>
          <w:sz w:val="20"/>
          <w:szCs w:val="20"/>
          <w:color w:val="auto"/>
        </w:rPr>
      </w:pPr>
    </w:p>
    <w:p>
      <w:pPr>
        <w:ind w:left="460" w:right="539"/>
        <w:spacing w:after="0" w:line="258" w:lineRule="auto"/>
        <w:rPr>
          <w:sz w:val="20"/>
          <w:szCs w:val="20"/>
          <w:color w:val="auto"/>
        </w:rPr>
      </w:pPr>
      <w:r>
        <w:rPr>
          <w:rFonts w:ascii="Arial" w:cs="Arial" w:eastAsia="Arial" w:hAnsi="Arial"/>
          <w:sz w:val="18"/>
          <w:szCs w:val="18"/>
          <w:color w:val="auto"/>
        </w:rPr>
        <w:t>each of which may make it difficult for us to complete our initial business combination. In addition, we may have imposed upon us burdensome requirements, including:</w:t>
      </w:r>
    </w:p>
    <w:p>
      <w:pPr>
        <w:ind w:left="1100" w:hanging="322"/>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registration as an investment company with the SEC;</w:t>
      </w:r>
    </w:p>
    <w:p>
      <w:pPr>
        <w:spacing w:after="0" w:line="35" w:lineRule="exact"/>
        <w:rPr>
          <w:rFonts w:ascii="Arial" w:cs="Arial" w:eastAsia="Arial" w:hAnsi="Arial"/>
          <w:sz w:val="18"/>
          <w:szCs w:val="18"/>
          <w:color w:val="auto"/>
        </w:rPr>
      </w:pPr>
    </w:p>
    <w:p>
      <w:pPr>
        <w:ind w:left="1100" w:hanging="322"/>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22" w:lineRule="exact"/>
        <w:rPr>
          <w:rFonts w:ascii="Arial" w:cs="Arial" w:eastAsia="Arial" w:hAnsi="Arial"/>
          <w:sz w:val="18"/>
          <w:szCs w:val="18"/>
          <w:color w:val="auto"/>
        </w:rPr>
      </w:pPr>
    </w:p>
    <w:p>
      <w:pPr>
        <w:ind w:left="1100" w:right="899" w:hanging="322"/>
        <w:spacing w:after="0" w:line="276" w:lineRule="auto"/>
        <w:tabs>
          <w:tab w:leader="none" w:pos="1089"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reporting, record keeping, voting, proxy and disclosure requirements and other rules and regulations that we are not currently subject to.</w:t>
      </w:r>
    </w:p>
    <w:p>
      <w:pPr>
        <w:spacing w:after="0" w:line="77" w:lineRule="exact"/>
        <w:rPr>
          <w:sz w:val="20"/>
          <w:szCs w:val="20"/>
          <w:color w:val="auto"/>
        </w:rPr>
      </w:pPr>
    </w:p>
    <w:p>
      <w:pPr>
        <w:ind w:left="460" w:right="639"/>
        <w:spacing w:after="0"/>
        <w:rPr>
          <w:sz w:val="20"/>
          <w:szCs w:val="20"/>
          <w:color w:val="auto"/>
        </w:rPr>
      </w:pPr>
      <w:r>
        <w:rPr>
          <w:rFonts w:ascii="Arial" w:cs="Arial" w:eastAsia="Arial" w:hAnsi="Arial"/>
          <w:sz w:val="18"/>
          <w:szCs w:val="18"/>
          <w:color w:val="auto"/>
        </w:rPr>
        <w:t>In order not to be regulated as an investment company under the Investment Company Act, unless we can qualify for an exclusion, we must ensure that we are engaged primarily in a business other than investing, reinvesting or trading of securities and that our activities do not include investing, reinvesting, owning, holding or trading “investment securities” constituting more than 40% of our assets (exclusive of U.S. government securities and cash items) on an unconsolidated basis. Our business will be to identify and complete a business combination and thereafter to operate the post-transaction business or assets for the long term. We do not plan to buy businesses or assets with a view to resale or profit from their resale. We do not plan to buy unrelated businesses or assets or to be a passive investor.</w:t>
      </w:r>
    </w:p>
    <w:p>
      <w:pPr>
        <w:spacing w:after="0" w:line="95" w:lineRule="exact"/>
        <w:rPr>
          <w:sz w:val="20"/>
          <w:szCs w:val="20"/>
          <w:color w:val="auto"/>
        </w:rPr>
      </w:pPr>
    </w:p>
    <w:p>
      <w:pPr>
        <w:ind w:left="460" w:right="479"/>
        <w:spacing w:after="0" w:line="256" w:lineRule="auto"/>
        <w:rPr>
          <w:sz w:val="20"/>
          <w:szCs w:val="20"/>
          <w:color w:val="auto"/>
        </w:rPr>
      </w:pPr>
      <w:r>
        <w:rPr>
          <w:rFonts w:ascii="Arial" w:cs="Arial" w:eastAsia="Arial" w:hAnsi="Arial"/>
          <w:sz w:val="17"/>
          <w:szCs w:val="17"/>
          <w:color w:val="auto"/>
        </w:rPr>
        <w:t>We do not believe that our anticipated principal activities will subject us to the Investment Company Act. To this end, the proceeds held in the trust account may only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w:t>
      </w:r>
    </w:p>
    <w:p>
      <w:pPr>
        <w:sectPr>
          <w:pgSz w:w="11900" w:h="16838" w:orient="portrait"/>
          <w:cols w:equalWidth="0" w:num="1">
            <w:col w:w="9019"/>
          </w:cols>
          <w:pgMar w:left="1440" w:top="331" w:right="1440" w:bottom="1440" w:gutter="0" w:footer="0" w:header="0"/>
        </w:sectPr>
      </w:pP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19050</wp:posOffset>
            </wp:positionV>
            <wp:extent cx="5143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type w:val="continuous"/>
        </w:sectPr>
      </w:pPr>
    </w:p>
    <w:bookmarkStart w:id="44" w:name="page45"/>
    <w:bookmarkEnd w:id="44"/>
    <w:p>
      <w:pPr>
        <w:ind w:left="460" w:right="659"/>
        <w:spacing w:after="0" w:line="239" w:lineRule="auto"/>
        <w:rPr>
          <w:sz w:val="20"/>
          <w:szCs w:val="20"/>
          <w:color w:val="auto"/>
        </w:rPr>
      </w:pPr>
      <w:r>
        <w:rPr>
          <w:rFonts w:ascii="Arial" w:cs="Arial" w:eastAsia="Arial" w:hAnsi="Arial"/>
          <w:sz w:val="18"/>
          <w:szCs w:val="18"/>
          <w:color w:val="auto"/>
        </w:rPr>
        <w:t>than on buying and selling businesses in the manner of a merchant bank or private equity fund), we intend to avoid being deemed an “investment company” within the meaning of the Investment Company Act. This offering is not intended for persons who are seeking a return on investments in government securities or investment securities. The trust account is intended as a holding place for funds pending the earliest to occur of either: (i) the completion of our initial business combination;</w:t>
      </w:r>
    </w:p>
    <w:p>
      <w:pPr>
        <w:spacing w:after="0" w:line="4" w:lineRule="exact"/>
        <w:rPr>
          <w:sz w:val="20"/>
          <w:szCs w:val="20"/>
          <w:color w:val="auto"/>
        </w:rPr>
      </w:pPr>
    </w:p>
    <w:p>
      <w:pPr>
        <w:ind w:left="460" w:right="499" w:hanging="6"/>
        <w:spacing w:after="0" w:line="236" w:lineRule="auto"/>
        <w:tabs>
          <w:tab w:leader="none" w:pos="71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redemption of any public shares properly tendered in connection with a stockholder vote to amend our amended and restated certificate of incorporation to modify the substance or timing of our obligation to redeem 100% of our public shares if we do not complete our initial business combination within 24 months from the closing of this offering; and (iii) absent an initial business combination within 24 months from the closing of this offering or with respect to any other material provisions relating to stockholders’ rights or pre-initial business combination activity, our return of the funds held in the trust account to our public stockholders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complete a business combination. If we are unable to complete our initial business combination within the required time period, our public stockholders may only receive their pro rata portion of the funds in the trust account that are available for distribution to public stockholders, and our warrants will expire worthless.</w:t>
      </w:r>
    </w:p>
    <w:p>
      <w:pPr>
        <w:spacing w:after="0" w:line="178" w:lineRule="exact"/>
        <w:rPr>
          <w:sz w:val="20"/>
          <w:szCs w:val="20"/>
          <w:color w:val="auto"/>
        </w:rPr>
      </w:pPr>
    </w:p>
    <w:p>
      <w:pPr>
        <w:ind w:left="460" w:right="919"/>
        <w:spacing w:after="0" w:line="261" w:lineRule="auto"/>
        <w:rPr>
          <w:sz w:val="20"/>
          <w:szCs w:val="20"/>
          <w:color w:val="auto"/>
        </w:rPr>
      </w:pPr>
      <w:r>
        <w:rPr>
          <w:rFonts w:ascii="Arial" w:cs="Arial" w:eastAsia="Arial" w:hAnsi="Arial"/>
          <w:sz w:val="18"/>
          <w:szCs w:val="18"/>
          <w:b w:val="1"/>
          <w:b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69" w:lineRule="exact"/>
        <w:rPr>
          <w:sz w:val="20"/>
          <w:szCs w:val="20"/>
          <w:color w:val="auto"/>
        </w:rPr>
      </w:pPr>
    </w:p>
    <w:p>
      <w:pPr>
        <w:ind w:left="460" w:right="479"/>
        <w:spacing w:after="0"/>
        <w:rPr>
          <w:sz w:val="20"/>
          <w:szCs w:val="20"/>
          <w:color w:val="auto"/>
        </w:rPr>
      </w:pPr>
      <w:r>
        <w:rPr>
          <w:rFonts w:ascii="Arial" w:cs="Arial" w:eastAsia="Arial" w:hAnsi="Arial"/>
          <w:sz w:val="18"/>
          <w:szCs w:val="18"/>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w:t>
      </w:r>
    </w:p>
    <w:p>
      <w:pPr>
        <w:spacing w:after="0" w:line="178" w:lineRule="exact"/>
        <w:rPr>
          <w:sz w:val="20"/>
          <w:szCs w:val="20"/>
          <w:color w:val="auto"/>
        </w:rPr>
      </w:pPr>
    </w:p>
    <w:p>
      <w:pPr>
        <w:ind w:left="460" w:right="939"/>
        <w:spacing w:after="0" w:line="287" w:lineRule="auto"/>
        <w:rPr>
          <w:sz w:val="20"/>
          <w:szCs w:val="20"/>
          <w:color w:val="auto"/>
        </w:rPr>
      </w:pPr>
      <w:r>
        <w:rPr>
          <w:rFonts w:ascii="Arial" w:cs="Arial" w:eastAsia="Arial" w:hAnsi="Arial"/>
          <w:sz w:val="18"/>
          <w:szCs w:val="18"/>
          <w:b w:val="1"/>
          <w:bCs w:val="1"/>
          <w:color w:val="auto"/>
        </w:rPr>
        <w:t>Our stockholders may be held liable for claims by third parties against us to the extent of distributions received by them upon redemption of their shares.</w:t>
      </w:r>
    </w:p>
    <w:p>
      <w:pPr>
        <w:spacing w:after="0" w:line="60"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Under the DGCL, stockholders may be held liable for claims by third parties against a corporation to the extent of distributions received by them in a dissolution. The pro rata portion of our trust account distributed to our public stockholders upon the redemption of our public shares in the event we do not complete our initial business combination within 24 months from the closing of this offering may be considered a liquidating distribution under Delaware law. If a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 However, it is our intention to redeem our public shares as soon as reasonably possible following the 24</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month from the closing of this offering in the event we do not complete our initial business combination and, therefore, we do not intend to comply with the foregoing procedures.</w:t>
      </w:r>
    </w:p>
    <w:p>
      <w:pPr>
        <w:spacing w:after="0" w:line="110" w:lineRule="exact"/>
        <w:rPr>
          <w:sz w:val="20"/>
          <w:szCs w:val="20"/>
          <w:color w:val="auto"/>
        </w:rPr>
      </w:pPr>
    </w:p>
    <w:p>
      <w:pPr>
        <w:ind w:left="460" w:right="539"/>
        <w:spacing w:after="0" w:line="239" w:lineRule="auto"/>
        <w:rPr>
          <w:sz w:val="20"/>
          <w:szCs w:val="20"/>
          <w:color w:val="auto"/>
        </w:rPr>
      </w:pPr>
      <w:r>
        <w:rPr>
          <w:rFonts w:ascii="Arial" w:cs="Arial" w:eastAsia="Arial" w:hAnsi="Arial"/>
          <w:sz w:val="18"/>
          <w:szCs w:val="18"/>
          <w:color w:val="auto"/>
        </w:rPr>
        <w:t>Because we will not be complying with Section 280, Section 281(b) of the DGCL requires us to adopt a plan, based on facts known to us at such time that will provide for our payment of all existing and pending claims or claims that may be potentially brought against us within the 10 years following our dissolution. However, because we are a blank check company, rather than an operating company, and our operations will be limited to searching for prospective target businesses to acquire, the only likely claims to arise would be from our vendors (such as lawyers, investment bankers, etc.) or prospective target businesses. If our plan of distribution complies with Section 281(b) of the DGCL, any liability of stockholders with respect to a liquidating distribution is limited to the lesser of such stockholder’s pro rata share of the claim or the amount distributed to the stockholder, and any liability of the stockholder would likely be barred after the third anniversary of the dissolution. We cannot assure you that we will properly assess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 w:name="page46"/>
    <w:bookmarkEnd w:id="45"/>
    <w:p>
      <w:pPr>
        <w:ind w:left="460" w:right="659"/>
        <w:spacing w:after="0" w:line="239" w:lineRule="auto"/>
        <w:rPr>
          <w:sz w:val="20"/>
          <w:szCs w:val="20"/>
          <w:color w:val="auto"/>
        </w:rPr>
      </w:pPr>
      <w:r>
        <w:rPr>
          <w:rFonts w:ascii="Arial" w:cs="Arial" w:eastAsia="Arial" w:hAnsi="Arial"/>
          <w:sz w:val="18"/>
          <w:szCs w:val="18"/>
          <w:color w:val="auto"/>
        </w:rPr>
        <w:t>all claims that may be potentially brought against us. As such, our stockholders could potentially be liable for any claims to the extent of distributions received by them (but no more) and any liability of our stockholders may extend beyond the third anniversary of such date. Furthermore, if the pro rata portion of our trust account distributed to our public stockholders upon the redemption of our public shares in the event we do not complete our initial business combination within 24 months from the closing of this offering is not considered a liquidating distribution under Delaware law and such redemption distribution is deemed to be unlawful (potentially due to the imposition of legal proceedings that a party may bring or due to other circumstances that are currently unknown), then pursuant to Section 174 of the DGCL, the statute of limitations for claims of creditors could then be six years after the unlawful redemption distribution, instead of three years, as in the case of a liquidating distribution.</w:t>
      </w:r>
    </w:p>
    <w:p>
      <w:pPr>
        <w:spacing w:after="0" w:line="174" w:lineRule="exact"/>
        <w:rPr>
          <w:sz w:val="20"/>
          <w:szCs w:val="20"/>
          <w:color w:val="auto"/>
        </w:rPr>
      </w:pPr>
    </w:p>
    <w:p>
      <w:pPr>
        <w:ind w:left="460" w:right="519"/>
        <w:spacing w:after="0" w:line="261" w:lineRule="auto"/>
        <w:rPr>
          <w:sz w:val="20"/>
          <w:szCs w:val="20"/>
          <w:color w:val="auto"/>
        </w:rPr>
      </w:pPr>
      <w:r>
        <w:rPr>
          <w:rFonts w:ascii="Arial" w:cs="Arial" w:eastAsia="Arial" w:hAnsi="Arial"/>
          <w:sz w:val="18"/>
          <w:szCs w:val="18"/>
          <w:b w:val="1"/>
          <w:bCs w:val="1"/>
          <w:color w:val="auto"/>
        </w:rPr>
        <w:t>We may not hold an annual meeting of stockholders until after the consummation of our initial business combination, which could delay the opportunity for our stockholders to elect directors.</w:t>
      </w:r>
    </w:p>
    <w:p>
      <w:pPr>
        <w:spacing w:after="0" w:line="69" w:lineRule="exact"/>
        <w:rPr>
          <w:sz w:val="20"/>
          <w:szCs w:val="20"/>
          <w:color w:val="auto"/>
        </w:rPr>
      </w:pPr>
    </w:p>
    <w:p>
      <w:pPr>
        <w:ind w:left="460" w:right="479"/>
        <w:spacing w:after="0" w:line="239" w:lineRule="auto"/>
        <w:rPr>
          <w:sz w:val="20"/>
          <w:szCs w:val="20"/>
          <w:color w:val="auto"/>
        </w:rPr>
      </w:pPr>
      <w:r>
        <w:rPr>
          <w:rFonts w:ascii="Arial" w:cs="Arial" w:eastAsia="Arial" w:hAnsi="Arial"/>
          <w:sz w:val="18"/>
          <w:szCs w:val="18"/>
          <w:color w:val="auto"/>
        </w:rPr>
        <w:t>In accordance with Nasdaq’s corporate governance requirements, we are not required to hold an annual meeting until no later than one year after our first fiscal year end following our listing on Nasdaq. Under Section 211(b) of the DGCL, we are, however, required to hold an annual meeting of stockholders for the 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DGCL.</w:t>
      </w:r>
    </w:p>
    <w:p>
      <w:pPr>
        <w:spacing w:after="0" w:line="178" w:lineRule="exact"/>
        <w:rPr>
          <w:sz w:val="20"/>
          <w:szCs w:val="20"/>
          <w:color w:val="auto"/>
        </w:rPr>
      </w:pPr>
    </w:p>
    <w:p>
      <w:pPr>
        <w:ind w:left="460" w:right="1279"/>
        <w:spacing w:after="0" w:line="287" w:lineRule="auto"/>
        <w:rPr>
          <w:sz w:val="20"/>
          <w:szCs w:val="20"/>
          <w:color w:val="auto"/>
        </w:rPr>
      </w:pPr>
      <w:r>
        <w:rPr>
          <w:rFonts w:ascii="Arial" w:cs="Arial" w:eastAsia="Arial" w:hAnsi="Arial"/>
          <w:sz w:val="18"/>
          <w:szCs w:val="18"/>
          <w:b w:val="1"/>
          <w:bCs w:val="1"/>
          <w:color w:val="auto"/>
        </w:rPr>
        <w:t>You will not be permitted to exercise your warrants unless we register and qualify the underlying Class A common stock or certain exemptions are available.</w:t>
      </w:r>
    </w:p>
    <w:p>
      <w:pPr>
        <w:spacing w:after="0" w:line="60" w:lineRule="exact"/>
        <w:rPr>
          <w:sz w:val="20"/>
          <w:szCs w:val="20"/>
          <w:color w:val="auto"/>
        </w:rPr>
      </w:pPr>
    </w:p>
    <w:p>
      <w:pPr>
        <w:ind w:left="460" w:right="519"/>
        <w:spacing w:after="0" w:line="243" w:lineRule="auto"/>
        <w:rPr>
          <w:sz w:val="20"/>
          <w:szCs w:val="20"/>
          <w:color w:val="auto"/>
        </w:rPr>
      </w:pPr>
      <w:r>
        <w:rPr>
          <w:rFonts w:ascii="Arial" w:cs="Arial" w:eastAsia="Arial" w:hAnsi="Arial"/>
          <w:sz w:val="18"/>
          <w:szCs w:val="18"/>
          <w:color w:val="auto"/>
        </w:rPr>
        <w:t>If the issuance of the Class A common stock upon exercise of the warrants is not registered, qualified or exempt from registration or qualification under the Securities Act and applicable state securities laws, holders of warrants will not be entitled to exercise such warrants and such warrants may have no value and expire worthless. In such event, holders who acquired their warrants as part of a purchase of units will have paid the full unit purchase price solely for the Class A common stock included in the units.</w:t>
      </w:r>
    </w:p>
    <w:p>
      <w:pPr>
        <w:spacing w:after="0" w:line="106" w:lineRule="exact"/>
        <w:rPr>
          <w:sz w:val="20"/>
          <w:szCs w:val="20"/>
          <w:color w:val="auto"/>
        </w:rPr>
      </w:pPr>
    </w:p>
    <w:p>
      <w:pPr>
        <w:ind w:left="460" w:right="519"/>
        <w:spacing w:after="0" w:line="238" w:lineRule="auto"/>
        <w:rPr>
          <w:sz w:val="20"/>
          <w:szCs w:val="20"/>
          <w:color w:val="auto"/>
        </w:rPr>
      </w:pPr>
      <w:r>
        <w:rPr>
          <w:rFonts w:ascii="Arial" w:cs="Arial" w:eastAsia="Arial" w:hAnsi="Arial"/>
          <w:sz w:val="18"/>
          <w:szCs w:val="18"/>
          <w:color w:val="auto"/>
        </w:rPr>
        <w:t>We are not registering the Class A common stock issuable upon exercise of the warrants under the Securities Act or any state securities laws at this time. However, under the terms of the warrant agreement, we have agreed that, as soon as practicable, but in no event later than 15 business days, after the closing of our initial business combination, we will use our best efforts to file with the SEC a registration statement covering the registration under the Securities Act of the Class A common stock issuable upon exercise of the warrants and thereafter will use our best efforts to cause the same to become effective within 60 business days following our initial business combination and to maintain a current prospectus relating to the Class A common stock issuable upon exercise of the warrants until the expiration of the warrants in accordance with the provisions of the warrant agreement.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or correct or the SEC issues a stop order.</w:t>
      </w:r>
    </w:p>
    <w:p>
      <w:pPr>
        <w:spacing w:after="0" w:line="99" w:lineRule="exact"/>
        <w:rPr>
          <w:sz w:val="20"/>
          <w:szCs w:val="20"/>
          <w:color w:val="auto"/>
        </w:rPr>
      </w:pPr>
    </w:p>
    <w:p>
      <w:pPr>
        <w:ind w:left="460" w:right="599"/>
        <w:spacing w:after="0" w:line="268" w:lineRule="auto"/>
        <w:rPr>
          <w:sz w:val="20"/>
          <w:szCs w:val="20"/>
          <w:color w:val="auto"/>
        </w:rPr>
      </w:pPr>
      <w:r>
        <w:rPr>
          <w:rFonts w:ascii="Arial" w:cs="Arial" w:eastAsia="Arial" w:hAnsi="Arial"/>
          <w:sz w:val="17"/>
          <w:szCs w:val="17"/>
          <w:color w:val="auto"/>
        </w:rPr>
        <w:t>If the shares of Class A common stock issuable upon exercise of the warrants are not registered under the Securities Act, under the terms of the warrant agreement, holders of warrants who seek to exercise their warrants will not be permitted to do so for cash and, instead, will be required to do so on a cashless basis in accordance with Section 3(a)(9) of the Securities Act or another exemption.</w:t>
      </w:r>
    </w:p>
    <w:p>
      <w:pPr>
        <w:spacing w:after="0" w:line="85" w:lineRule="exact"/>
        <w:rPr>
          <w:sz w:val="20"/>
          <w:szCs w:val="20"/>
          <w:color w:val="auto"/>
        </w:rPr>
      </w:pPr>
    </w:p>
    <w:p>
      <w:pPr>
        <w:ind w:left="460" w:right="599"/>
        <w:spacing w:after="0" w:line="248" w:lineRule="auto"/>
        <w:rPr>
          <w:sz w:val="20"/>
          <w:szCs w:val="20"/>
          <w:color w:val="auto"/>
        </w:rPr>
      </w:pPr>
      <w:r>
        <w:rPr>
          <w:rFonts w:ascii="Arial" w:cs="Arial" w:eastAsia="Arial" w:hAnsi="Arial"/>
          <w:sz w:val="18"/>
          <w:szCs w:val="18"/>
          <w:color w:val="auto"/>
        </w:rPr>
        <w:t>In no event will warrants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or qualification is available.</w:t>
      </w:r>
    </w:p>
    <w:p>
      <w:pPr>
        <w:spacing w:after="0" w:line="103" w:lineRule="exact"/>
        <w:rPr>
          <w:sz w:val="20"/>
          <w:szCs w:val="20"/>
          <w:color w:val="auto"/>
        </w:rPr>
      </w:pPr>
    </w:p>
    <w:p>
      <w:pPr>
        <w:ind w:left="460" w:right="519"/>
        <w:spacing w:after="0" w:line="248" w:lineRule="auto"/>
        <w:rPr>
          <w:sz w:val="20"/>
          <w:szCs w:val="20"/>
          <w:color w:val="auto"/>
        </w:rPr>
      </w:pPr>
      <w:r>
        <w:rPr>
          <w:rFonts w:ascii="Arial" w:cs="Arial" w:eastAsia="Arial" w:hAnsi="Arial"/>
          <w:sz w:val="18"/>
          <w:szCs w:val="18"/>
          <w:color w:val="auto"/>
        </w:rPr>
        <w:t>If our shares of Class A common stock are at the time of any exercise of a warrant not listed on a national securities exchange such that they satisfy the definition of “covered securities” under Section 18(b)(1) of the Securities Act, we may, at our option, not permit holders of warrants who seek to exercise their warrants to do so for cash and,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6" w:name="page47"/>
    <w:bookmarkEnd w:id="46"/>
    <w:p>
      <w:pPr>
        <w:ind w:left="460" w:right="579"/>
        <w:spacing w:after="0" w:line="243" w:lineRule="auto"/>
        <w:rPr>
          <w:sz w:val="20"/>
          <w:szCs w:val="20"/>
          <w:color w:val="auto"/>
        </w:rPr>
      </w:pPr>
      <w:r>
        <w:rPr>
          <w:rFonts w:ascii="Arial" w:cs="Arial" w:eastAsia="Arial" w:hAnsi="Arial"/>
          <w:sz w:val="18"/>
          <w:szCs w:val="18"/>
          <w:color w:val="auto"/>
        </w:rPr>
        <w:t>instead, require them to do so on a cashless basis in accordance with Section 3(a)(9) of the Securities Act; in the event we so elect, we will not be required to file or maintain in effect a registration statement or register or qualify the shares underlying the warrants under applicable state securities laws, and in the event we do not so elect, we will use our best efforts to register or qualify the shares underlying the warrants under applicable state securities laws to the extent an exemption is not available.</w:t>
      </w:r>
    </w:p>
    <w:p>
      <w:pPr>
        <w:spacing w:after="0" w:line="93" w:lineRule="exact"/>
        <w:rPr>
          <w:sz w:val="20"/>
          <w:szCs w:val="20"/>
          <w:color w:val="auto"/>
        </w:rPr>
      </w:pPr>
    </w:p>
    <w:p>
      <w:pPr>
        <w:ind w:left="460" w:right="499"/>
        <w:spacing w:after="0" w:line="248" w:lineRule="auto"/>
        <w:rPr>
          <w:sz w:val="20"/>
          <w:szCs w:val="20"/>
          <w:color w:val="auto"/>
        </w:rPr>
      </w:pPr>
      <w:r>
        <w:rPr>
          <w:rFonts w:ascii="Arial" w:cs="Arial" w:eastAsia="Arial" w:hAnsi="Arial"/>
          <w:sz w:val="18"/>
          <w:szCs w:val="18"/>
          <w:color w:val="auto"/>
        </w:rPr>
        <w:t>In no event will we be required to net cash settle any warrant, or issue securities (other than upon a cashless exercise as described above) or other compensation in exchange for the warrants in the event that we are unable to register or qualify the shares underlying the warrants under the Securities Act or applicable state securities laws.</w:t>
      </w:r>
    </w:p>
    <w:p>
      <w:pPr>
        <w:spacing w:after="0" w:line="168" w:lineRule="exact"/>
        <w:rPr>
          <w:sz w:val="20"/>
          <w:szCs w:val="20"/>
          <w:color w:val="auto"/>
        </w:rPr>
      </w:pPr>
    </w:p>
    <w:p>
      <w:pPr>
        <w:ind w:left="460" w:right="559"/>
        <w:spacing w:after="0" w:line="261" w:lineRule="auto"/>
        <w:rPr>
          <w:sz w:val="20"/>
          <w:szCs w:val="20"/>
          <w:color w:val="auto"/>
        </w:rPr>
      </w:pPr>
      <w:r>
        <w:rPr>
          <w:rFonts w:ascii="Arial" w:cs="Arial" w:eastAsia="Arial" w:hAnsi="Arial"/>
          <w:sz w:val="18"/>
          <w:szCs w:val="18"/>
          <w:b w:val="1"/>
          <w:bCs w:val="1"/>
          <w:color w:val="auto"/>
        </w:rPr>
        <w:t>You may only be able to exercise your public warrants on a “cashless basis” under certain circumstances, and if you do so, you will receive fewer shares of Class A common stock from such exercise than if you were to exercise such warrants for cash.</w:t>
      </w:r>
    </w:p>
    <w:p>
      <w:pPr>
        <w:spacing w:after="0" w:line="83" w:lineRule="exact"/>
        <w:rPr>
          <w:sz w:val="20"/>
          <w:szCs w:val="20"/>
          <w:color w:val="auto"/>
        </w:rPr>
      </w:pPr>
    </w:p>
    <w:p>
      <w:pPr>
        <w:ind w:left="460" w:right="539"/>
        <w:spacing w:after="0" w:line="237" w:lineRule="auto"/>
        <w:rPr>
          <w:sz w:val="20"/>
          <w:szCs w:val="20"/>
          <w:color w:val="auto"/>
        </w:rPr>
      </w:pPr>
      <w:r>
        <w:rPr>
          <w:rFonts w:ascii="Arial" w:cs="Arial" w:eastAsia="Arial" w:hAnsi="Arial"/>
          <w:sz w:val="18"/>
          <w:szCs w:val="18"/>
          <w:color w:val="auto"/>
        </w:rPr>
        <w:t>The warrant agreement provides that in the following circumstances holders of warrants who seek to exercise their warrants will not be permitted to do for cash and will, instead, be required to do so on a cashless basis in accordance with Section 3(a)(9) of the Securities Act: (i) if the shares of Class A common stock issuable upon exercise of the warrants are not registered under the Securities Act in accordance with the terms of the warrant agreement; and (ii) if we have so elected and the shares of Class A common stock is at the time of any exercise of a warrant not listed on a national securities exchange such that they satisfy the definition of “covered securities” under Section 18(b)(1) of the Securities Act. If you exercise your public warrants on a cashless basis under the circumstances described in clauses (i) and (ii) in the preceding sentence, you would pay the warrant exercise price by surrendering the warrants for that number of shares of Class A common stock equal to the quotient obtained by dividing (x) the product of the number of shares of Class A common stock underlying the warrants, multiplied by the excess of the “fair market value” of our shares of Class A common stock (as defined in the next sentence) over the exercise price of the warrants by (y) the fair market value. The “fair market value” is the average reported closing price of the shares of Class A common stock for the 10 trading days ending on the third trading day prior to the date on which the notice of exercise is received by the warrant agent or on which the notice of redemption is sent to the holders of warrants, as applicable. As a result, you would receive fewer shares of Class A common stock from such exercise than if you were to exercise such warrants for cash.</w:t>
      </w:r>
    </w:p>
    <w:p>
      <w:pPr>
        <w:spacing w:after="0" w:line="180" w:lineRule="exact"/>
        <w:rPr>
          <w:sz w:val="20"/>
          <w:szCs w:val="20"/>
          <w:color w:val="auto"/>
        </w:rPr>
      </w:pPr>
    </w:p>
    <w:p>
      <w:pPr>
        <w:ind w:left="460" w:right="639"/>
        <w:spacing w:after="0" w:line="248" w:lineRule="auto"/>
        <w:rPr>
          <w:sz w:val="20"/>
          <w:szCs w:val="20"/>
          <w:color w:val="auto"/>
        </w:rPr>
      </w:pPr>
      <w:r>
        <w:rPr>
          <w:rFonts w:ascii="Arial" w:cs="Arial" w:eastAsia="Arial" w:hAnsi="Arial"/>
          <w:sz w:val="18"/>
          <w:szCs w:val="18"/>
          <w:b w:val="1"/>
          <w:bCs w:val="1"/>
          <w:color w:val="auto"/>
        </w:rPr>
        <w:t>The grant of registration rights to our initial stockholders and their permitted transferees, holders of our private placement warrants and their permitted transferees and holders of our forward purchase shares and their permitted transferees may make it more difficult to complete our initial business combination, and the future exercise of such rights may adversely affect the market price of our shares of Class A common stock.</w:t>
      </w:r>
    </w:p>
    <w:p>
      <w:pPr>
        <w:spacing w:after="0" w:line="94" w:lineRule="exact"/>
        <w:rPr>
          <w:sz w:val="20"/>
          <w:szCs w:val="20"/>
          <w:color w:val="auto"/>
        </w:rPr>
      </w:pPr>
    </w:p>
    <w:p>
      <w:pPr>
        <w:ind w:left="460" w:right="519"/>
        <w:spacing w:after="0" w:line="237" w:lineRule="auto"/>
        <w:rPr>
          <w:sz w:val="20"/>
          <w:szCs w:val="20"/>
          <w:color w:val="auto"/>
        </w:rPr>
      </w:pPr>
      <w:r>
        <w:rPr>
          <w:rFonts w:ascii="Arial" w:cs="Arial" w:eastAsia="Arial" w:hAnsi="Arial"/>
          <w:sz w:val="18"/>
          <w:szCs w:val="18"/>
          <w:color w:val="auto"/>
        </w:rPr>
        <w:t>Pursuant to an agreement to be entered into concurrently with or prior to the issuance and sale of the securities in this offering, at or after the time of our initial business combination, our initial stockholders and their permitted transferees can demand that we register the shares of Class A common stock into which founder shares are convertible, holders of our private placement warrants and their permitted transferees can demand that we register the private placement warrants and the Class A common stock issuable upon exercise of the private placement warrants, holders of our forward purchase shares and their permitted transferees can demand that we register their forward purchase shares and holders of warrants that may be issued upon conversion of working capital loans may demand that we register such warrants or the Class A common stock issuable upon conversion of such warrants. The registration rights will be exercisable with respect to the founder shares, the forward purchase shares, the private placement warrants and the Class A common stock issuable upon exercise of such private placement warrants. We will bear the cost of registering these securities. The registration and availability of such a significant number of securities for trading in the public market may have an adverse effect on the market price of our Class A common stock. In addition, the existence of the registration rights may make our initial business combination more costly or difficult to conclude. This is because the stockholders of the target business may increase the equity stake they seek in the combined entity or ask for more cash consideration to offset the negative impact on the market price of our Class A common stock that is expected when the shares of common stock owned by our initial stockholders, holders of our private placement warrants or holders of our working capital loans or holders of our forward purchase shares or their respective permitted transferees are registered.</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7" w:name="page48"/>
    <w:bookmarkEnd w:id="47"/>
    <w:p>
      <w:pPr>
        <w:ind w:left="460" w:right="619"/>
        <w:spacing w:after="0" w:line="252" w:lineRule="auto"/>
        <w:rPr>
          <w:sz w:val="20"/>
          <w:szCs w:val="20"/>
          <w:color w:val="auto"/>
        </w:rPr>
      </w:pPr>
      <w:r>
        <w:rPr>
          <w:rFonts w:ascii="Arial" w:cs="Arial" w:eastAsia="Arial" w:hAnsi="Arial"/>
          <w:sz w:val="18"/>
          <w:szCs w:val="18"/>
          <w:b w:val="1"/>
          <w:bCs w:val="1"/>
          <w:color w:val="auto"/>
        </w:rPr>
        <w:t>Because we are neither limited to evaluating a target business in a particular industry, sector or geographic region nor have we selected any specific target businesses with which to pursue our initial business combination, you will be unable to ascertain the merits or risks of any particular target business’s operations.</w:t>
      </w:r>
    </w:p>
    <w:p>
      <w:pPr>
        <w:spacing w:after="0" w:line="91" w:lineRule="exact"/>
        <w:rPr>
          <w:sz w:val="20"/>
          <w:szCs w:val="20"/>
          <w:color w:val="auto"/>
        </w:rPr>
      </w:pPr>
    </w:p>
    <w:p>
      <w:pPr>
        <w:ind w:left="460" w:right="459"/>
        <w:spacing w:after="0"/>
        <w:rPr>
          <w:sz w:val="20"/>
          <w:szCs w:val="20"/>
          <w:color w:val="auto"/>
        </w:rPr>
      </w:pPr>
      <w:r>
        <w:rPr>
          <w:rFonts w:ascii="Arial" w:cs="Arial" w:eastAsia="Arial" w:hAnsi="Arial"/>
          <w:sz w:val="18"/>
          <w:szCs w:val="18"/>
          <w:color w:val="auto"/>
        </w:rPr>
        <w:t>Our efforts to identify a prospective initial business combination target will not be limited to a particular industry, sector or geographic region. While we may pursue an initial business combination opportunity in any industry, sector or geographic region, we expect to focus our efforts on the life sciences sector and intend to capitalize on the ability of our management team to identify, acquire and operate a business or businesses that can benefit from our management team’s established global relationships and operating experience. Our management team has extensive experience in identifying and executing strategic investments globally and has done so successfully in a number of sectors. Our amended and restated certificate of incorporation prohibits us from effectuating a business combination with another blank check company or similar company with nominal operations.</w:t>
      </w:r>
    </w:p>
    <w:p>
      <w:pPr>
        <w:spacing w:after="0" w:line="95"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Because we have not yet selected any specific target business with respect to a business combination, there is no basis to evaluate the possible merits or risks of any particular target business’s operations, results of operations, cash flows, liquidity, financial condition or prospects. To the extent we complete our initial business combination, we may be affected by numerous risks inherent in the business operations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cannot assure you that we will properly ascertain or assess all of the significant risk factors or that we will have adequate time to complete due diligence. Furthermore, some of these risks may be outside of our control and leave us with no ability to control or reduce the chances that those risks will adversely impact a target business. We also cannot assure you that an investment in our units will ultimately prove to be more favorable to investors than a direct investment, if such opportunity were available, in a business combination target. Accordingly, any stockholders or warrant holders who choose to remain stockholders or warrant holders following the business combination could suffer a reduction in the value of their securities. Such stockholders or warrant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materials or tender offer documents, as applicable, relating to the business combination contained an actionable material misstatement or material omission.</w:t>
      </w:r>
    </w:p>
    <w:p>
      <w:pPr>
        <w:spacing w:after="0" w:line="174" w:lineRule="exact"/>
        <w:rPr>
          <w:sz w:val="20"/>
          <w:szCs w:val="20"/>
          <w:color w:val="auto"/>
        </w:rPr>
      </w:pPr>
    </w:p>
    <w:p>
      <w:pPr>
        <w:ind w:left="460" w:right="1279"/>
        <w:spacing w:after="0" w:line="287" w:lineRule="auto"/>
        <w:rPr>
          <w:sz w:val="20"/>
          <w:szCs w:val="20"/>
          <w:color w:val="auto"/>
        </w:rPr>
      </w:pPr>
      <w:r>
        <w:rPr>
          <w:rFonts w:ascii="Arial" w:cs="Arial" w:eastAsia="Arial" w:hAnsi="Arial"/>
          <w:sz w:val="18"/>
          <w:szCs w:val="18"/>
          <w:b w:val="1"/>
          <w:bCs w:val="1"/>
          <w:color w:val="auto"/>
        </w:rPr>
        <w:t>Past performance by our management team and their respective affiliates may not be indicative of future performance of an investment in us.</w:t>
      </w:r>
    </w:p>
    <w:p>
      <w:pPr>
        <w:spacing w:after="0" w:line="60" w:lineRule="exact"/>
        <w:rPr>
          <w:sz w:val="20"/>
          <w:szCs w:val="20"/>
          <w:color w:val="auto"/>
        </w:rPr>
      </w:pPr>
    </w:p>
    <w:p>
      <w:pPr>
        <w:ind w:left="460" w:right="619"/>
        <w:spacing w:after="0"/>
        <w:rPr>
          <w:sz w:val="20"/>
          <w:szCs w:val="20"/>
          <w:color w:val="auto"/>
        </w:rPr>
      </w:pPr>
      <w:r>
        <w:rPr>
          <w:rFonts w:ascii="Arial" w:cs="Arial" w:eastAsia="Arial" w:hAnsi="Arial"/>
          <w:sz w:val="18"/>
          <w:szCs w:val="18"/>
          <w:color w:val="auto"/>
        </w:rPr>
        <w:t>Information regarding performance by, or businesses associated with, our management team or businesses associated with them is presented for informational purposes only. Past performance by our management team and their respective affiliates is not a guarantee either (i) of success with respect to any business combination we may consummate or (ii) that we will be able to locate a suitable candidate for our initial business combination. You should not rely on the historical record of the performance of our management team’s or businesses associated with them as indicative of our future performance of an investment in us or the returns we will, or is likely to, generate going forward.</w:t>
      </w:r>
    </w:p>
    <w:p>
      <w:pPr>
        <w:spacing w:after="0" w:line="178" w:lineRule="exact"/>
        <w:rPr>
          <w:sz w:val="20"/>
          <w:szCs w:val="20"/>
          <w:color w:val="auto"/>
        </w:rPr>
      </w:pPr>
    </w:p>
    <w:p>
      <w:pPr>
        <w:ind w:left="460" w:right="779"/>
        <w:spacing w:after="0" w:line="243" w:lineRule="auto"/>
        <w:rPr>
          <w:sz w:val="20"/>
          <w:szCs w:val="20"/>
          <w:color w:val="auto"/>
        </w:rPr>
      </w:pPr>
      <w:r>
        <w:rPr>
          <w:rFonts w:ascii="Arial" w:cs="Arial" w:eastAsia="Arial" w:hAnsi="Arial"/>
          <w:sz w:val="18"/>
          <w:szCs w:val="18"/>
          <w:b w:val="1"/>
          <w:bCs w:val="1"/>
          <w:color w:val="auto"/>
        </w:rPr>
        <w:t>In evaluating a prospective target business for our initial business combination, our management will consider the availability of funds from the sale of the forward purchase shares, which may be used as part of the consideration to the sellers in the initial business combination. If all or some of the forward purchase shares are not purchased under the forward purchase agreement, we may decide not to consummate our initial business combination, or if we decide to, we may lack sufficient funds to consummate our initial business combination.</w:t>
      </w:r>
    </w:p>
    <w:p>
      <w:pPr>
        <w:spacing w:after="0" w:line="101" w:lineRule="exact"/>
        <w:rPr>
          <w:sz w:val="20"/>
          <w:szCs w:val="20"/>
          <w:color w:val="auto"/>
        </w:rPr>
      </w:pPr>
    </w:p>
    <w:p>
      <w:pPr>
        <w:ind w:left="460" w:right="459"/>
        <w:spacing w:after="0" w:line="255" w:lineRule="auto"/>
        <w:rPr>
          <w:sz w:val="20"/>
          <w:szCs w:val="20"/>
          <w:color w:val="auto"/>
        </w:rPr>
      </w:pPr>
      <w:r>
        <w:rPr>
          <w:rFonts w:ascii="Arial" w:cs="Arial" w:eastAsia="Arial" w:hAnsi="Arial"/>
          <w:sz w:val="17"/>
          <w:szCs w:val="17"/>
          <w:color w:val="auto"/>
        </w:rPr>
        <w:t>In connection with the consummation of this offering, we have entered into separate forward purchase agreements with affiliates of our sponsor, Casdin Capital and Corvex Management, in their capacities as investment advisors on behalf of their Clients, pursuant to which, subject to the conditions described below, they will cause certain Clients to purchase from us up to an aggregate amount of 15,000,000 shares of Class A common stock, or the forward purchase shares, for $10.00 per forward purchase share, or an aggregate amount of up to $150,000,000, in a private placement that will close concurrently with the closing of our initial business combination. The proceeds from the sale of these forward purchase shares, together with the amounts available to us from the trust account (after giving effect to any redemptions of public shares) and any other equity or debt financing obtained</w:t>
      </w:r>
    </w:p>
    <w:p>
      <w:pPr>
        <w:sectPr>
          <w:pgSz w:w="11900" w:h="16838" w:orient="portrait"/>
          <w:cols w:equalWidth="0" w:num="1">
            <w:col w:w="9019"/>
          </w:cols>
          <w:pgMar w:left="1440" w:top="331" w:right="1440" w:bottom="1440" w:gutter="0" w:footer="0" w:header="0"/>
        </w:sectPr>
      </w:pP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19050</wp:posOffset>
            </wp:positionV>
            <wp:extent cx="51435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type w:val="continuous"/>
        </w:sectPr>
      </w:pPr>
    </w:p>
    <w:bookmarkStart w:id="48" w:name="page49"/>
    <w:bookmarkEnd w:id="48"/>
    <w:p>
      <w:pPr>
        <w:ind w:left="460" w:right="559"/>
        <w:spacing w:after="0" w:line="243" w:lineRule="auto"/>
        <w:rPr>
          <w:sz w:val="20"/>
          <w:szCs w:val="20"/>
          <w:color w:val="auto"/>
        </w:rPr>
      </w:pPr>
      <w:r>
        <w:rPr>
          <w:rFonts w:ascii="Arial" w:cs="Arial" w:eastAsia="Arial" w:hAnsi="Arial"/>
          <w:sz w:val="18"/>
          <w:szCs w:val="18"/>
          <w:color w:val="auto"/>
        </w:rPr>
        <w:t>by us in connection with the business combination, will be used to satisfy the cash requirements of the business combination, including funding the purchase price and paying expenses and retaining specified amounts to be used by the post-business combination company for working capital or other purposes. The amount of forward purchase shares sold pursuant to the forward purchase agreements will be determined in our discretion based on our need for additional capital to consummate the initial business combination.</w:t>
      </w:r>
    </w:p>
    <w:p>
      <w:pPr>
        <w:spacing w:after="0" w:line="93"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Each of Casdin Capital’s and Corvex Management’s obligation to cause Clients to purchase forward purchase shares will, among other things, be conditioned on our completing an initial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Capital or Corvex Management, as relevant, as investment advisors on behalf of such Clients. In determining whether a target is reasonably acceptable to Clients, we expect that Casdin Capital or Corvex Management, as relevant, would consider many of the same criteria as we will consider, but will also consider whether the investment is an appropriate investment for such Clients, including whether the investment complies with any guidelines, restrictions or conflicts of interest provisions applicable to such Clients. Accordingly, if either Casdin Capital or Corvex Management, as relevant, determines, as an investment advisor on behalf of such Clients that the initial business combination falls outside the investment objects of such Clients or is not reasonably acceptable to such Clients, it would not be obligated to purchase any forward purchase shares. In addition, the obligation to purchase forward purchase shares will be subject to fulfillment of customary closing conditions, including that our initial business combination must be consummated substantially concurrently with the purchase of forward purchase shares. If the sale of forward purchase shares does not close for any reason, including by reason of the failure to fund the purchase price, for example, we may lack sufficient funds to consummate our initial business combination.</w:t>
      </w:r>
    </w:p>
    <w:p>
      <w:pPr>
        <w:spacing w:after="0" w:line="176" w:lineRule="exact"/>
        <w:rPr>
          <w:sz w:val="20"/>
          <w:szCs w:val="20"/>
          <w:color w:val="auto"/>
        </w:rPr>
      </w:pPr>
    </w:p>
    <w:p>
      <w:pPr>
        <w:ind w:left="460" w:right="479"/>
        <w:spacing w:after="0" w:line="287" w:lineRule="auto"/>
        <w:rPr>
          <w:sz w:val="20"/>
          <w:szCs w:val="20"/>
          <w:color w:val="auto"/>
        </w:rPr>
      </w:pPr>
      <w:r>
        <w:rPr>
          <w:rFonts w:ascii="Arial" w:cs="Arial" w:eastAsia="Arial" w:hAnsi="Arial"/>
          <w:sz w:val="18"/>
          <w:szCs w:val="18"/>
          <w:b w:val="1"/>
          <w:bCs w:val="1"/>
          <w:color w:val="auto"/>
        </w:rPr>
        <w:t>We may seek business combination opportunities in industries, sectors or geographic regions that may be outside of our management’s areas of expertise.</w:t>
      </w:r>
    </w:p>
    <w:p>
      <w:pPr>
        <w:spacing w:after="0" w:line="60" w:lineRule="exact"/>
        <w:rPr>
          <w:sz w:val="20"/>
          <w:szCs w:val="20"/>
          <w:color w:val="auto"/>
        </w:rPr>
      </w:pPr>
    </w:p>
    <w:p>
      <w:pPr>
        <w:ind w:left="460" w:right="519"/>
        <w:spacing w:after="0" w:line="237" w:lineRule="auto"/>
        <w:rPr>
          <w:sz w:val="20"/>
          <w:szCs w:val="20"/>
          <w:color w:val="auto"/>
        </w:rPr>
      </w:pPr>
      <w:r>
        <w:rPr>
          <w:rFonts w:ascii="Arial" w:cs="Arial" w:eastAsia="Arial" w:hAnsi="Arial"/>
          <w:sz w:val="18"/>
          <w:szCs w:val="18"/>
          <w:color w:val="auto"/>
        </w:rPr>
        <w:t>Although we expect to focus our search for a target business in the life sciences sector, we will consider a business combination in industries, sectors or geographic regions outside of our management’s areas of expertise if a business combination candidate is presented to us and we determine that such candidate offers an attractive business combination opportunity for our company. Although our management will endeavor to evaluate the risks inherent in any particular business combination candidate, we cannot assure you that we will adequately ascertain or assess all of the significant risk factors. We also cannot assure you that an investment in our units will not ultimately prove to be less favorable to investors in this offering than a direct investment, if an opportunity were available, in a business combination candidate. In the event we elect to pursue a business combination outside of the areas of our management’s expertise, our management’s expertise may not be directly applicable to its evaluation or operation, and the information contained in this prospectus regarding the areas of our management’s expertise would not be relevant to an understanding of the business that we elect to acquire. As a result, our management may not be able to ascertain or assess adequately all of the relevant risk factors. Accordingly, any stockholders or warrant holders who choose to remain stockholders or warrant holders, respectively, following our initial business combination could suffer a reduction in the value of their shares. Such stockholders or warrant holders are unlikely to have a remedy for such reduction in value.</w:t>
      </w:r>
    </w:p>
    <w:p>
      <w:pPr>
        <w:spacing w:after="0" w:line="182" w:lineRule="exact"/>
        <w:rPr>
          <w:sz w:val="20"/>
          <w:szCs w:val="20"/>
          <w:color w:val="auto"/>
        </w:rPr>
      </w:pPr>
    </w:p>
    <w:p>
      <w:pPr>
        <w:ind w:left="460" w:right="599"/>
        <w:spacing w:after="0" w:line="248" w:lineRule="auto"/>
        <w:rPr>
          <w:sz w:val="20"/>
          <w:szCs w:val="20"/>
          <w:color w:val="auto"/>
        </w:rPr>
      </w:pPr>
      <w:r>
        <w:rPr>
          <w:rFonts w:ascii="Arial" w:cs="Arial" w:eastAsia="Arial" w:hAnsi="Arial"/>
          <w:sz w:val="18"/>
          <w:szCs w:val="18"/>
          <w:b w:val="1"/>
          <w:bCs w:val="1"/>
          <w:color w:val="auto"/>
        </w:rPr>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94"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Although we have identified general criteria and guidelines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stockholders may exercise their redemption rights, which may make it difficult for us to meet any closing condition with a target business that requires us to have a minimum net worth or a certain amount of cash. In addition, if stockholder approval of the transaction is required by law or stock exchange listing rules, or we decide to obtain stockholder approval for business or other legal reasons, it may be more difficult for us to attain stockholder approval of our initial business combination if the</w:t>
      </w:r>
    </w:p>
    <w:p>
      <w:pPr>
        <w:sectPr>
          <w:pgSz w:w="11900" w:h="16838" w:orient="portrait"/>
          <w:cols w:equalWidth="0" w:num="1">
            <w:col w:w="9019"/>
          </w:cols>
          <w:pgMar w:left="1440" w:top="265" w:right="1440" w:bottom="1440" w:gutter="0" w:footer="0" w:header="0"/>
        </w:sectPr>
      </w:pP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19050</wp:posOffset>
            </wp:positionV>
            <wp:extent cx="51435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9" w:name="page50"/>
    <w:bookmarkEnd w:id="49"/>
    <w:p>
      <w:pPr>
        <w:ind w:left="460" w:right="719"/>
        <w:spacing w:after="0" w:line="248" w:lineRule="auto"/>
        <w:rPr>
          <w:sz w:val="20"/>
          <w:szCs w:val="20"/>
          <w:color w:val="auto"/>
        </w:rPr>
      </w:pPr>
      <w:r>
        <w:rPr>
          <w:rFonts w:ascii="Arial" w:cs="Arial" w:eastAsia="Arial" w:hAnsi="Arial"/>
          <w:sz w:val="18"/>
          <w:szCs w:val="18"/>
          <w:color w:val="auto"/>
        </w:rPr>
        <w:t>target business does not meet our general criteria and guidelines. If we are unable to complete our initial business combination, our public stockholders may only receive their pro rata portion of the funds in the trust account that are available for distribution to public stockholders, and our warrants will expire worthless.</w:t>
      </w:r>
    </w:p>
    <w:p>
      <w:pPr>
        <w:spacing w:after="0" w:line="168" w:lineRule="exact"/>
        <w:rPr>
          <w:sz w:val="20"/>
          <w:szCs w:val="20"/>
          <w:color w:val="auto"/>
        </w:rPr>
      </w:pPr>
    </w:p>
    <w:p>
      <w:pPr>
        <w:ind w:left="460" w:right="479"/>
        <w:spacing w:after="0" w:line="252" w:lineRule="auto"/>
        <w:rPr>
          <w:sz w:val="20"/>
          <w:szCs w:val="20"/>
          <w:color w:val="auto"/>
        </w:rPr>
      </w:pPr>
      <w:r>
        <w:rPr>
          <w:rFonts w:ascii="Arial" w:cs="Arial" w:eastAsia="Arial" w:hAnsi="Arial"/>
          <w:sz w:val="18"/>
          <w:szCs w:val="18"/>
          <w:b w:val="1"/>
          <w:bCs w:val="1"/>
          <w:color w:val="auto"/>
        </w:rPr>
        <w:t>We are not required to obtain an opinion from an independent investment banking firm or from a valuation or appraisal firm, and consequently, you may have no assurance from an independent source that the price we are paying for the business is fair to our stockholders from a financial point of view.</w:t>
      </w:r>
    </w:p>
    <w:p>
      <w:pPr>
        <w:spacing w:after="0" w:line="78" w:lineRule="exact"/>
        <w:rPr>
          <w:sz w:val="20"/>
          <w:szCs w:val="20"/>
          <w:color w:val="auto"/>
        </w:rPr>
      </w:pPr>
    </w:p>
    <w:p>
      <w:pPr>
        <w:ind w:left="460" w:right="519"/>
        <w:spacing w:after="0"/>
        <w:rPr>
          <w:sz w:val="20"/>
          <w:szCs w:val="20"/>
          <w:color w:val="auto"/>
        </w:rPr>
      </w:pPr>
      <w:r>
        <w:rPr>
          <w:rFonts w:ascii="Arial" w:cs="Arial" w:eastAsia="Arial" w:hAnsi="Arial"/>
          <w:sz w:val="18"/>
          <w:szCs w:val="18"/>
          <w:color w:val="auto"/>
        </w:rPr>
        <w:t>Unless we complete our initial business combination with an affiliated entity or our board of directors cannot independently determine the fair market value of the target business or businesses (including with the assistance of financial advisors), we are not required to obtain an opinion from an independent investment banking firm which is a member of FINRA or from a valuation or appraisal firm that the price we are paying is fair to our stockholders from a financial point of view. If no opinion is obtained, our stockholders will be relying on the judgment of our board of directors, who will determine fair market value based on standards generally accepted by the financial community. Such standards used will be disclosed in our proxy materials or tender offer documents, as applicable, related to our initial business combination.</w:t>
      </w:r>
    </w:p>
    <w:p>
      <w:pPr>
        <w:spacing w:after="0" w:line="174" w:lineRule="exact"/>
        <w:rPr>
          <w:sz w:val="20"/>
          <w:szCs w:val="20"/>
          <w:color w:val="auto"/>
        </w:rPr>
      </w:pPr>
    </w:p>
    <w:p>
      <w:pPr>
        <w:ind w:left="460" w:right="519"/>
        <w:spacing w:after="0" w:line="243" w:lineRule="auto"/>
        <w:rPr>
          <w:sz w:val="20"/>
          <w:szCs w:val="20"/>
          <w:color w:val="auto"/>
        </w:rPr>
      </w:pPr>
      <w:r>
        <w:rPr>
          <w:rFonts w:ascii="Arial" w:cs="Arial" w:eastAsia="Arial" w:hAnsi="Arial"/>
          <w:sz w:val="18"/>
          <w:szCs w:val="18"/>
          <w:b w:val="1"/>
          <w:bCs w:val="1"/>
          <w:color w:val="auto"/>
        </w:rPr>
        <w:t>We may issue additional shares of Class A common stock or shares of preferred stock to complete our initial business combination or under an employee incentive plan after completion of our initial business combination. We may also issue shares of Class A common stock upon the conversion of the founder shares at a ratio greater than one-to-one at the time of our initial business combination as a result of the anti-dilution provisions contained in our amended and restated certificate of incorporation. Any such issuances would dilute the interest of our stockholders and likely present other risks.</w:t>
      </w:r>
    </w:p>
    <w:p>
      <w:pPr>
        <w:spacing w:after="0" w:line="101" w:lineRule="exact"/>
        <w:rPr>
          <w:sz w:val="20"/>
          <w:szCs w:val="20"/>
          <w:color w:val="auto"/>
        </w:rPr>
      </w:pPr>
    </w:p>
    <w:p>
      <w:pPr>
        <w:ind w:left="460" w:right="519"/>
        <w:spacing w:after="0" w:line="253" w:lineRule="auto"/>
        <w:rPr>
          <w:sz w:val="20"/>
          <w:szCs w:val="20"/>
          <w:color w:val="auto"/>
        </w:rPr>
      </w:pPr>
      <w:r>
        <w:rPr>
          <w:rFonts w:ascii="Arial" w:cs="Arial" w:eastAsia="Arial" w:hAnsi="Arial"/>
          <w:sz w:val="17"/>
          <w:szCs w:val="17"/>
          <w:color w:val="auto"/>
        </w:rPr>
        <w:t>Our amended and restated certificate of incorporation authorizes the issuance of up to 380,000,000 shares of Class A common stock, par value $ 0.0001 per share, 20,000,000 shares of Class B common stock, par value $0.0001 per share, and 1,000,000 shares of preferred stock, par value $0.0001 per share. Immediately after this offering, there will be 341,500,000 and 10,375,000 (assuming in each case that the underwriters have not exercised their over-allotment option and the forfeiture by our sponsor of 1,443,750 shares of Class B common stock) authorized but unissued shares of Class A common stock and Class B common stock, respectively, available for issuance which amount does not take into account shares reserved for issuance upon exercise of outstanding warrants or shares issuable upon conversion of the Class B common stock. The Class B common stock is automatically convertible into Class A common stock concurrently with or immediately following the consummation of our initial business combination, initially at a one-for-one ratio but subject to adjustment as set forth herein and in our amended and restated certificate of incorporation. Immediately after this offering, there will be no shares of preferred stock issued and outstanding.</w:t>
      </w:r>
    </w:p>
    <w:p>
      <w:pPr>
        <w:spacing w:after="0" w:line="102"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We may issue a substantial number of additional shares of Class A common stock or shares of preferred stock to complete our initial business combination or under an employee incentive plan after completion of our initial business combination. We may also issue shares of Class A common stock upon conversion of the Class B common stock at a ratio greater than one-to-one at the time of our initial business combination as a result of the anti-dilution provisions as set forth therein. However, our amended and restated certificate of incorporation provides, among other things, that prior to our initial business combination, we may not issue additional shares that would entitle the holders thereof to (i) receive funds from the trust account or (ii) vote as a class with our public shares (a) on any initial business combination or (b) to approve an amendment to our amended and restated certificate of incorporation to (x) extend the time we have to consummate a business combination beyond 24 months from the closing of this offering or (y) amend the foregoing provisions. These provisions of our amended and restated certificate of incorporation, like all provisions of our amended and restated certificate of incorporation, may be amended with a stockholder vote. The issuance of additional shares of common stock or shares of preferred stock:</w:t>
      </w:r>
    </w:p>
    <w:p>
      <w:pPr>
        <w:spacing w:after="0" w:line="2" w:lineRule="exact"/>
        <w:rPr>
          <w:sz w:val="20"/>
          <w:szCs w:val="20"/>
          <w:color w:val="auto"/>
        </w:rPr>
      </w:pPr>
    </w:p>
    <w:p>
      <w:pPr>
        <w:ind w:left="1100" w:hanging="322"/>
        <w:spacing w:after="0"/>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this offering;</w:t>
      </w:r>
    </w:p>
    <w:p>
      <w:pPr>
        <w:spacing w:after="0" w:line="22" w:lineRule="exact"/>
        <w:rPr>
          <w:rFonts w:ascii="Arial" w:cs="Arial" w:eastAsia="Arial" w:hAnsi="Arial"/>
          <w:sz w:val="18"/>
          <w:szCs w:val="18"/>
          <w:color w:val="auto"/>
        </w:rPr>
      </w:pPr>
    </w:p>
    <w:p>
      <w:pPr>
        <w:ind w:left="1100" w:right="719" w:hanging="322"/>
        <w:spacing w:after="0" w:line="258" w:lineRule="auto"/>
        <w:tabs>
          <w:tab w:leader="none" w:pos="1089"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may subordinate the rights of holders of Class A common stock if shares of preferred stock are issued with rights senior to those afforded our Class A common stock;</w:t>
      </w:r>
    </w:p>
    <w:p>
      <w:pPr>
        <w:ind w:left="1100" w:right="499" w:hanging="322"/>
        <w:spacing w:after="0" w:line="246" w:lineRule="auto"/>
        <w:tabs>
          <w:tab w:leader="none" w:pos="1089"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could cause a change in control if a substantial number of shares of Class A common stock is issued, which may affect, among other things, our ability to use our net operating loss carry forwards, if any, and could result in the resignation or removal of our present officers and directors; and</w:t>
      </w:r>
    </w:p>
    <w:p>
      <w:pPr>
        <w:spacing w:after="0" w:line="1" w:lineRule="exact"/>
        <w:rPr>
          <w:rFonts w:ascii="Arial" w:cs="Arial" w:eastAsia="Arial" w:hAnsi="Arial"/>
          <w:sz w:val="18"/>
          <w:szCs w:val="18"/>
          <w:color w:val="auto"/>
        </w:rPr>
      </w:pPr>
    </w:p>
    <w:p>
      <w:pPr>
        <w:ind w:left="1100" w:right="859" w:hanging="322"/>
        <w:spacing w:after="0" w:line="260" w:lineRule="auto"/>
        <w:tabs>
          <w:tab w:leader="none" w:pos="1089"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units, Class A common stock and/or warrants.</w:t>
      </w:r>
    </w:p>
    <w:p>
      <w:pPr>
        <w:sectPr>
          <w:pgSz w:w="11900" w:h="16838" w:orient="portrait"/>
          <w:cols w:equalWidth="0" w:num="1">
            <w:col w:w="9019"/>
          </w:cols>
          <w:pgMar w:left="1440" w:top="265" w:right="1440" w:bottom="1440" w:gutter="0" w:footer="0" w:header="0"/>
        </w:sectPr>
      </w:pP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19050</wp:posOffset>
            </wp:positionV>
            <wp:extent cx="5143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0" w:name="page51"/>
    <w:bookmarkEnd w:id="50"/>
    <w:p>
      <w:pPr>
        <w:jc w:val="both"/>
        <w:ind w:left="460" w:right="959"/>
        <w:spacing w:after="0" w:line="261" w:lineRule="auto"/>
        <w:rPr>
          <w:sz w:val="20"/>
          <w:szCs w:val="20"/>
          <w:color w:val="auto"/>
        </w:rPr>
      </w:pPr>
      <w:r>
        <w:rPr>
          <w:rFonts w:ascii="Arial" w:cs="Arial" w:eastAsia="Arial" w:hAnsi="Arial"/>
          <w:sz w:val="18"/>
          <w:szCs w:val="18"/>
          <w:b w:val="1"/>
          <w:bCs w:val="1"/>
          <w:color w:val="auto"/>
        </w:rPr>
        <w:t>Unlike some other similarly structured special purpose acquisition companies, our initial stockholders will receive additional shares of Class A common stock if we issue certain shares to consummate an initial business combination.</w:t>
      </w:r>
    </w:p>
    <w:p>
      <w:pPr>
        <w:spacing w:after="0" w:line="83"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The founder shares will automatically convert into shares of Class A common stock concurrently with or immediately following the consummation of our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connection with our initial business combination, the number of shares of Class A common stock issuable upon conversion of all founder shares will equal, in the aggregate, on an as-converted basis, 20% of the total number of shares of Class A common stock outstanding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the initial business combination (including any forward purchase shares), excluding any shares of Class A common stock or equity-linked securities or rights exercisable for or convertible into shares of Class A common stock issued, or to be issued, to any seller in the initial business combination and any private placement warrants issued to our sponsor, officers or directors upon conversion of working capital loans, provided that such conversion of founder shares will never occur on a less than one-for-one basis. This is different than some other similarly structured special purpose acquisition companies in which the initial stockholders will only be issued an aggregate of 20% of the total number of shares to be outstanding prior to our initial business combination.</w:t>
      </w:r>
    </w:p>
    <w:p>
      <w:pPr>
        <w:spacing w:after="0" w:line="176" w:lineRule="exact"/>
        <w:rPr>
          <w:sz w:val="20"/>
          <w:szCs w:val="20"/>
          <w:color w:val="auto"/>
        </w:rPr>
      </w:pPr>
    </w:p>
    <w:p>
      <w:pPr>
        <w:ind w:left="460" w:right="499"/>
        <w:spacing w:after="0" w:line="245" w:lineRule="auto"/>
        <w:rPr>
          <w:sz w:val="20"/>
          <w:szCs w:val="20"/>
          <w:color w:val="auto"/>
        </w:rPr>
      </w:pPr>
      <w:r>
        <w:rPr>
          <w:rFonts w:ascii="Arial" w:cs="Arial" w:eastAsia="Arial" w:hAnsi="Arial"/>
          <w:sz w:val="18"/>
          <w:szCs w:val="18"/>
          <w:b w:val="1"/>
          <w:bCs w:val="1"/>
          <w:color w:val="auto"/>
        </w:rPr>
        <w:t>Resources could be wasted in researching business combinations that are not completed, which could materially adversely affect subsequent attempts to locate and acquire or merge with another business. If we are unable to complete our initial business combination within the required time period, our public stockholders may only receive their pro rata portion of the funds in the trust account that are available for distribution to public stockholders, and our warrants will expire worthless.</w:t>
      </w:r>
    </w:p>
    <w:p>
      <w:pPr>
        <w:spacing w:after="0" w:line="84" w:lineRule="exact"/>
        <w:rPr>
          <w:sz w:val="20"/>
          <w:szCs w:val="20"/>
          <w:color w:val="auto"/>
        </w:rPr>
      </w:pPr>
    </w:p>
    <w:p>
      <w:pPr>
        <w:ind w:left="460" w:right="539"/>
        <w:spacing w:after="0" w:line="238" w:lineRule="auto"/>
        <w:rPr>
          <w:sz w:val="20"/>
          <w:szCs w:val="20"/>
          <w:color w:val="auto"/>
        </w:rPr>
      </w:pPr>
      <w:r>
        <w:rPr>
          <w:rFonts w:ascii="Arial" w:cs="Arial" w:eastAsia="Arial" w:hAnsi="Arial"/>
          <w:sz w:val="18"/>
          <w:szCs w:val="18"/>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within the required time period, our public stockholders may only receive their pro rata portion of the funds in the trust account that are available for distribution to public stockholders, and our warrants will expire worthless.</w:t>
      </w:r>
    </w:p>
    <w:p>
      <w:pPr>
        <w:spacing w:after="0" w:line="181" w:lineRule="exact"/>
        <w:rPr>
          <w:sz w:val="20"/>
          <w:szCs w:val="20"/>
          <w:color w:val="auto"/>
        </w:rPr>
      </w:pPr>
    </w:p>
    <w:p>
      <w:pPr>
        <w:ind w:left="460" w:right="799"/>
        <w:spacing w:after="0" w:line="287" w:lineRule="auto"/>
        <w:rPr>
          <w:sz w:val="20"/>
          <w:szCs w:val="20"/>
          <w:color w:val="auto"/>
        </w:rPr>
      </w:pPr>
      <w:r>
        <w:rPr>
          <w:rFonts w:ascii="Arial" w:cs="Arial" w:eastAsia="Arial" w:hAnsi="Arial"/>
          <w:sz w:val="18"/>
          <w:szCs w:val="18"/>
          <w:b w:val="1"/>
          <w:bCs w:val="1"/>
          <w:color w:val="auto"/>
        </w:rPr>
        <w:t>We are dependent upon our executive officers and directors and their loss could adversely affect our ability to operate.</w:t>
      </w:r>
    </w:p>
    <w:p>
      <w:pPr>
        <w:spacing w:after="0" w:line="60" w:lineRule="exact"/>
        <w:rPr>
          <w:sz w:val="20"/>
          <w:szCs w:val="20"/>
          <w:color w:val="auto"/>
        </w:rPr>
      </w:pPr>
    </w:p>
    <w:p>
      <w:pPr>
        <w:ind w:left="460" w:right="479"/>
        <w:spacing w:after="0"/>
        <w:rPr>
          <w:sz w:val="20"/>
          <w:szCs w:val="20"/>
          <w:color w:val="auto"/>
        </w:rPr>
      </w:pPr>
      <w:r>
        <w:rPr>
          <w:rFonts w:ascii="Arial" w:cs="Arial" w:eastAsia="Arial" w:hAnsi="Arial"/>
          <w:sz w:val="18"/>
          <w:szCs w:val="18"/>
          <w:color w:val="auto"/>
        </w:rPr>
        <w:t>Our operations are dependent upon a relatively small group of individuals and, in particular, our executive officers and directors. We believe that our success depends on the continued service of our officers and directors, at least until we have completed our initial business combination. In addition, our executive officers and directors are not required to commit any specified amount of time to our affairs and, accordingly, will have conflicts of interest in allocating their time among various business activities, including identifying potential business combinations and monitoring the related due diligence. We do not have an employment agreement with, or key-man insurance on the life of, any of our directors or executive officers. The unexpected loss of the services of one or more of our directors or executive officers could have a detrimental effect on us.</w:t>
      </w:r>
    </w:p>
    <w:p>
      <w:pPr>
        <w:spacing w:after="0" w:line="174" w:lineRule="exact"/>
        <w:rPr>
          <w:sz w:val="20"/>
          <w:szCs w:val="20"/>
          <w:color w:val="auto"/>
        </w:rPr>
      </w:pPr>
    </w:p>
    <w:p>
      <w:pPr>
        <w:ind w:left="460" w:right="539"/>
        <w:spacing w:after="0" w:line="252" w:lineRule="auto"/>
        <w:rPr>
          <w:sz w:val="20"/>
          <w:szCs w:val="20"/>
          <w:color w:val="auto"/>
        </w:rPr>
      </w:pPr>
      <w:r>
        <w:rPr>
          <w:rFonts w:ascii="Arial" w:cs="Arial" w:eastAsia="Arial" w:hAnsi="Arial"/>
          <w:sz w:val="18"/>
          <w:szCs w:val="18"/>
          <w:b w:val="1"/>
          <w:bCs w:val="1"/>
          <w:color w:val="auto"/>
        </w:rPr>
        <w:t>Our ability to successfully effect our initial business combination and to be successful thereafter will be dependent upon the efforts of our key personnel, some of whom may join us following our initial business combination. The loss of key personnel could negatively impact the operations and profitability of our post-combination business.</w:t>
      </w:r>
    </w:p>
    <w:p>
      <w:pPr>
        <w:spacing w:after="0" w:line="91" w:lineRule="exact"/>
        <w:rPr>
          <w:sz w:val="20"/>
          <w:szCs w:val="20"/>
          <w:color w:val="auto"/>
        </w:rPr>
      </w:pPr>
    </w:p>
    <w:p>
      <w:pPr>
        <w:ind w:left="460" w:right="619"/>
        <w:spacing w:after="0" w:line="248" w:lineRule="auto"/>
        <w:rPr>
          <w:sz w:val="20"/>
          <w:szCs w:val="20"/>
          <w:color w:val="auto"/>
        </w:rPr>
      </w:pPr>
      <w:r>
        <w:rPr>
          <w:rFonts w:ascii="Arial" w:cs="Arial" w:eastAsia="Arial" w:hAnsi="Arial"/>
          <w:sz w:val="18"/>
          <w:szCs w:val="18"/>
          <w:color w:val="auto"/>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or advisory positions following our initial</w:t>
      </w:r>
    </w:p>
    <w:p>
      <w:pPr>
        <w:sectPr>
          <w:pgSz w:w="11900" w:h="16838" w:orient="portrait"/>
          <w:cols w:equalWidth="0" w:num="1">
            <w:col w:w="9019"/>
          </w:cols>
          <w:pgMar w:left="1440" w:top="331" w:right="1440" w:bottom="1440" w:gutter="0" w:footer="0" w:header="0"/>
        </w:sectPr>
      </w:pP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19050</wp:posOffset>
            </wp:positionV>
            <wp:extent cx="51435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type w:val="continuous"/>
        </w:sectPr>
      </w:pPr>
    </w:p>
    <w:bookmarkStart w:id="51" w:name="page52"/>
    <w:bookmarkEnd w:id="51"/>
    <w:p>
      <w:pPr>
        <w:ind w:left="460" w:right="479"/>
        <w:spacing w:after="0" w:line="243" w:lineRule="auto"/>
        <w:rPr>
          <w:sz w:val="20"/>
          <w:szCs w:val="20"/>
          <w:color w:val="auto"/>
        </w:rPr>
      </w:pPr>
      <w:r>
        <w:rPr>
          <w:rFonts w:ascii="Arial" w:cs="Arial" w:eastAsia="Arial" w:hAnsi="Arial"/>
          <w:sz w:val="18"/>
          <w:szCs w:val="18"/>
          <w:color w:val="auto"/>
        </w:rPr>
        <w:t>business combination, it is likely that some or all of the management of the target business will remain in place. While we intend to closely scrutinize any individuals we engage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w:t>
      </w:r>
    </w:p>
    <w:p>
      <w:pPr>
        <w:spacing w:after="0" w:line="172" w:lineRule="exact"/>
        <w:rPr>
          <w:sz w:val="20"/>
          <w:szCs w:val="20"/>
          <w:color w:val="auto"/>
        </w:rPr>
      </w:pPr>
    </w:p>
    <w:p>
      <w:pPr>
        <w:ind w:left="460" w:right="519"/>
        <w:spacing w:after="0" w:line="245" w:lineRule="auto"/>
        <w:rPr>
          <w:sz w:val="20"/>
          <w:szCs w:val="20"/>
          <w:color w:val="auto"/>
        </w:rPr>
      </w:pPr>
      <w:r>
        <w:rPr>
          <w:rFonts w:ascii="Arial" w:cs="Arial" w:eastAsia="Arial" w:hAnsi="Arial"/>
          <w:sz w:val="18"/>
          <w:szCs w:val="18"/>
          <w:b w:val="1"/>
          <w:bCs w:val="1"/>
          <w:color w:val="auto"/>
        </w:rPr>
        <w:t>Our key personnel may negotiate employment or consulting agreements with a target business in connection with a particular business combination, and a particular business combination may be conditioned on the retention or resignation of such key personnel.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84" w:lineRule="exact"/>
        <w:rPr>
          <w:sz w:val="20"/>
          <w:szCs w:val="20"/>
          <w:color w:val="auto"/>
        </w:rPr>
      </w:pPr>
    </w:p>
    <w:p>
      <w:pPr>
        <w:ind w:left="460" w:right="519"/>
        <w:spacing w:after="0"/>
        <w:rPr>
          <w:sz w:val="20"/>
          <w:szCs w:val="20"/>
          <w:color w:val="auto"/>
        </w:rPr>
      </w:pPr>
      <w:r>
        <w:rPr>
          <w:rFonts w:ascii="Arial" w:cs="Arial" w:eastAsia="Arial" w:hAnsi="Arial"/>
          <w:sz w:val="18"/>
          <w:szCs w:val="18"/>
          <w:color w:val="auto"/>
        </w:rPr>
        <w:t>Our key personnel may be able to remain with our company after the completion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completion of the business combination. Such negotiations also could make such key personnel’s retention or resignation a condition to any such agreement. The personal and financial interests of such individuals may influence their motivation in identifying and selecting a target business, subject to their fiduciary duties under Delaware law.</w:t>
      </w:r>
    </w:p>
    <w:p>
      <w:pPr>
        <w:spacing w:after="0" w:line="174" w:lineRule="exact"/>
        <w:rPr>
          <w:sz w:val="20"/>
          <w:szCs w:val="20"/>
          <w:color w:val="auto"/>
        </w:rPr>
      </w:pPr>
    </w:p>
    <w:p>
      <w:pPr>
        <w:ind w:left="460" w:right="499"/>
        <w:spacing w:after="0" w:line="261" w:lineRule="auto"/>
        <w:rPr>
          <w:sz w:val="20"/>
          <w:szCs w:val="20"/>
          <w:color w:val="auto"/>
        </w:rPr>
      </w:pPr>
      <w:r>
        <w:rPr>
          <w:rFonts w:ascii="Arial" w:cs="Arial" w:eastAsia="Arial" w:hAnsi="Arial"/>
          <w:sz w:val="18"/>
          <w:szCs w:val="18"/>
          <w:b w:val="1"/>
          <w:bCs w:val="1"/>
          <w:color w:val="auto"/>
        </w:rPr>
        <w:t>We may have a limited ability to assess the management of a prospective target business and, as a result, may effect our initial business combination with a target business whose management may not have the skills, qualifications or abilities to manage a public company.</w:t>
      </w:r>
    </w:p>
    <w:p>
      <w:pPr>
        <w:spacing w:after="0" w:line="83" w:lineRule="exact"/>
        <w:rPr>
          <w:sz w:val="20"/>
          <w:szCs w:val="20"/>
          <w:color w:val="auto"/>
        </w:rPr>
      </w:pPr>
    </w:p>
    <w:p>
      <w:pPr>
        <w:ind w:left="460" w:right="459"/>
        <w:spacing w:after="0" w:line="238" w:lineRule="auto"/>
        <w:rPr>
          <w:sz w:val="20"/>
          <w:szCs w:val="20"/>
          <w:color w:val="auto"/>
        </w:rPr>
      </w:pPr>
      <w:r>
        <w:rPr>
          <w:rFonts w:ascii="Arial" w:cs="Arial" w:eastAsia="Arial" w:hAnsi="Arial"/>
          <w:sz w:val="18"/>
          <w:szCs w:val="18"/>
          <w:color w:val="auto"/>
        </w:rPr>
        <w:t>When evaluating the desirability of effecting our initial business combination with a prospective target business, our ability to assess the target business’s management may be limited due to a lack of time, resources or information. Our assessment of the capabilities of the target business’s management, therefore, may prove to be incorrect and such management may lack the skills, qualifications or abilities we suspected. Should the target business’s management not possess the skills, qualifications or abilities necessary to manage a public company, the operations and profitability of the post-combination business may be negatively impacted. Accordingly, any stockholders or warrant holders who choose to remain stockholders or warrant holders following the business combination could suffer a reduction in the value of their securities. Such stockholders or warrant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175" w:lineRule="exact"/>
        <w:rPr>
          <w:sz w:val="20"/>
          <w:szCs w:val="20"/>
          <w:color w:val="auto"/>
        </w:rPr>
      </w:pPr>
    </w:p>
    <w:p>
      <w:pPr>
        <w:ind w:left="460" w:right="519"/>
        <w:spacing w:after="0" w:line="261" w:lineRule="auto"/>
        <w:rPr>
          <w:sz w:val="20"/>
          <w:szCs w:val="20"/>
          <w:color w:val="auto"/>
        </w:rPr>
      </w:pPr>
      <w:r>
        <w:rPr>
          <w:rFonts w:ascii="Arial" w:cs="Arial" w:eastAsia="Arial" w:hAnsi="Arial"/>
          <w:sz w:val="18"/>
          <w:szCs w:val="18"/>
          <w:b w:val="1"/>
          <w:bCs w:val="1"/>
          <w:color w:val="auto"/>
        </w:rPr>
        <w:t>The officers and directors of an acquisition candidate may resign upon completion of our initial business combination. The loss of a business combination target’s key personnel could negatively impact the operations and profitability of our post-combination business.</w:t>
      </w:r>
    </w:p>
    <w:p>
      <w:pPr>
        <w:spacing w:after="0" w:line="83" w:lineRule="exact"/>
        <w:rPr>
          <w:sz w:val="20"/>
          <w:szCs w:val="20"/>
          <w:color w:val="auto"/>
        </w:rPr>
      </w:pPr>
    </w:p>
    <w:p>
      <w:pPr>
        <w:ind w:left="460" w:right="539"/>
        <w:spacing w:after="0" w:line="245" w:lineRule="auto"/>
        <w:rPr>
          <w:sz w:val="20"/>
          <w:szCs w:val="20"/>
          <w:color w:val="auto"/>
        </w:rPr>
      </w:pPr>
      <w:r>
        <w:rPr>
          <w:rFonts w:ascii="Arial" w:cs="Arial" w:eastAsia="Arial" w:hAnsi="Arial"/>
          <w:sz w:val="18"/>
          <w:szCs w:val="18"/>
          <w:color w:val="auto"/>
        </w:rPr>
        <w:t>The role of an acquisition candidate’s key personnel upon the completion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members of the management of an acquisition candidate will not wish to remain in place.</w:t>
      </w:r>
    </w:p>
    <w:p>
      <w:pPr>
        <w:spacing w:after="0" w:line="170" w:lineRule="exact"/>
        <w:rPr>
          <w:sz w:val="20"/>
          <w:szCs w:val="20"/>
          <w:color w:val="auto"/>
        </w:rPr>
      </w:pPr>
    </w:p>
    <w:p>
      <w:pPr>
        <w:ind w:left="460" w:right="819"/>
        <w:spacing w:after="0" w:line="252" w:lineRule="auto"/>
        <w:rPr>
          <w:sz w:val="20"/>
          <w:szCs w:val="20"/>
          <w:color w:val="auto"/>
        </w:rPr>
      </w:pPr>
      <w:r>
        <w:rPr>
          <w:rFonts w:ascii="Arial" w:cs="Arial" w:eastAsia="Arial" w:hAnsi="Arial"/>
          <w:sz w:val="18"/>
          <w:szCs w:val="18"/>
          <w:b w:val="1"/>
          <w:bCs w:val="1"/>
          <w:color w:val="auto"/>
        </w:rPr>
        <w:t>Our executive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78" w:lineRule="exact"/>
        <w:rPr>
          <w:sz w:val="20"/>
          <w:szCs w:val="20"/>
          <w:color w:val="auto"/>
        </w:rPr>
      </w:pPr>
    </w:p>
    <w:p>
      <w:pPr>
        <w:ind w:left="460" w:right="459"/>
        <w:spacing w:after="0" w:line="243" w:lineRule="auto"/>
        <w:rPr>
          <w:sz w:val="20"/>
          <w:szCs w:val="20"/>
          <w:color w:val="auto"/>
        </w:rPr>
      </w:pPr>
      <w:r>
        <w:rPr>
          <w:rFonts w:ascii="Arial" w:cs="Arial" w:eastAsia="Arial" w:hAnsi="Arial"/>
          <w:sz w:val="18"/>
          <w:szCs w:val="18"/>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executive officers is engaged in several other business endeavors for which he may be entitled to substantial compensation, and our executive officers are not obligated to contribute any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2" w:name="page53"/>
    <w:bookmarkEnd w:id="52"/>
    <w:p>
      <w:pPr>
        <w:ind w:left="460" w:right="479"/>
        <w:spacing w:after="0" w:line="241" w:lineRule="auto"/>
        <w:rPr>
          <w:sz w:val="20"/>
          <w:szCs w:val="20"/>
          <w:color w:val="auto"/>
        </w:rPr>
      </w:pPr>
      <w:r>
        <w:rPr>
          <w:rFonts w:ascii="Arial" w:cs="Arial" w:eastAsia="Arial" w:hAnsi="Arial"/>
          <w:sz w:val="18"/>
          <w:szCs w:val="18"/>
          <w:color w:val="auto"/>
        </w:rPr>
        <w:t>specific number of hours per week to our affairs. Our independent directors also serve as officers and board members for other entities. If our executive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For a complete discussion of our executive officers’ and directors’ other business affairs, please see “Management — Officers, Directors and Director Nominees.”</w:t>
      </w:r>
    </w:p>
    <w:p>
      <w:pPr>
        <w:spacing w:after="0" w:line="177" w:lineRule="exact"/>
        <w:rPr>
          <w:sz w:val="20"/>
          <w:szCs w:val="20"/>
          <w:color w:val="auto"/>
        </w:rPr>
      </w:pPr>
    </w:p>
    <w:p>
      <w:pPr>
        <w:ind w:left="460" w:right="559"/>
        <w:spacing w:after="0" w:line="283" w:lineRule="auto"/>
        <w:rPr>
          <w:sz w:val="20"/>
          <w:szCs w:val="20"/>
          <w:color w:val="auto"/>
        </w:rPr>
      </w:pPr>
      <w:r>
        <w:rPr>
          <w:rFonts w:ascii="Arial" w:cs="Arial" w:eastAsia="Arial" w:hAnsi="Arial"/>
          <w:sz w:val="17"/>
          <w:szCs w:val="17"/>
          <w:b w:val="1"/>
          <w:bCs w:val="1"/>
          <w:color w:val="auto"/>
        </w:rPr>
        <w:t>Our officers and directors presently have, and any of them in the future may have additional, fiduciary or contractual obligations to other entities and, accordingly, may have conflicts of interest in determining to which entity a particular business opportunity should be presented.</w:t>
      </w:r>
    </w:p>
    <w:p>
      <w:pPr>
        <w:spacing w:after="0" w:line="53" w:lineRule="exact"/>
        <w:rPr>
          <w:sz w:val="20"/>
          <w:szCs w:val="20"/>
          <w:color w:val="auto"/>
        </w:rPr>
      </w:pPr>
    </w:p>
    <w:p>
      <w:pPr>
        <w:ind w:left="460" w:right="559"/>
        <w:spacing w:after="0" w:line="237" w:lineRule="auto"/>
        <w:rPr>
          <w:sz w:val="20"/>
          <w:szCs w:val="20"/>
          <w:color w:val="auto"/>
        </w:rPr>
      </w:pPr>
      <w:r>
        <w:rPr>
          <w:rFonts w:ascii="Arial" w:cs="Arial" w:eastAsia="Arial" w:hAnsi="Arial"/>
          <w:sz w:val="18"/>
          <w:szCs w:val="18"/>
          <w:color w:val="auto"/>
        </w:rPr>
        <w:t>Following the completion of this offering and until we consummate our initial business combination, we intend to engage in the business of identifying and combining with one or more businesses. Each of our officers and directors presently has, and any of them in the future may have, additional fiduciary or contractual obligations to other entities pursuant to which such officer or director is or will be required to present a business combination opportunity to such entity. Accordingly, they may have conflicts of interest in determining to which entity a particular business opportunity should be presented. These conflicts may not be resolved in our favor and a potential target business may be presented to another entity prior to its presentation to us. Our amended and restated certificate of incorporation provides that we renounce our interest in any corporate opportunity offered to any director or officer unless such opportunity is expressly offered to such person solely in his or her capacity as a director or officer of the company and such opportunity is one we are legally and contractually permitted to undertake and would otherwise be reasonable for us to pursue, and to the extent the director or officer is permitted to refer that opportunity to us without violating another legal obligation. In addition, 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ventures may present additional conflicts of interest in pursuing an initial business combination. However, we do not believe that any such potential conflicts would materially affect our ability to complete our initial business combination.</w:t>
      </w:r>
    </w:p>
    <w:p>
      <w:pPr>
        <w:spacing w:after="0" w:line="112" w:lineRule="exact"/>
        <w:rPr>
          <w:sz w:val="20"/>
          <w:szCs w:val="20"/>
          <w:color w:val="auto"/>
        </w:rPr>
      </w:pPr>
    </w:p>
    <w:p>
      <w:pPr>
        <w:ind w:left="460" w:right="639"/>
        <w:spacing w:after="0" w:line="248" w:lineRule="auto"/>
        <w:rPr>
          <w:sz w:val="20"/>
          <w:szCs w:val="20"/>
          <w:color w:val="auto"/>
        </w:rPr>
      </w:pPr>
      <w:r>
        <w:rPr>
          <w:rFonts w:ascii="Arial" w:cs="Arial" w:eastAsia="Arial" w:hAnsi="Arial"/>
          <w:sz w:val="18"/>
          <w:szCs w:val="18"/>
          <w:color w:val="auto"/>
        </w:rPr>
        <w:t>For a complete discussion of our executive officers’ and directors’ business affiliations and the potential conflicts of interest that you should be aware of, please see “Management — Officers, Directors and Director Nominees,” “Management — Conflicts of Interest” and “Certain Relationships and Related Party Transactions.”</w:t>
      </w:r>
    </w:p>
    <w:p>
      <w:pPr>
        <w:spacing w:after="0" w:line="168" w:lineRule="exact"/>
        <w:rPr>
          <w:sz w:val="20"/>
          <w:szCs w:val="20"/>
          <w:color w:val="auto"/>
        </w:rPr>
      </w:pPr>
    </w:p>
    <w:p>
      <w:pPr>
        <w:ind w:left="460" w:right="919"/>
        <w:spacing w:after="0" w:line="287" w:lineRule="auto"/>
        <w:rPr>
          <w:sz w:val="20"/>
          <w:szCs w:val="20"/>
          <w:color w:val="auto"/>
        </w:rPr>
      </w:pPr>
      <w:r>
        <w:rPr>
          <w:rFonts w:ascii="Arial" w:cs="Arial" w:eastAsia="Arial" w:hAnsi="Arial"/>
          <w:sz w:val="18"/>
          <w:szCs w:val="18"/>
          <w:b w:val="1"/>
          <w:bCs w:val="1"/>
          <w:color w:val="auto"/>
        </w:rPr>
        <w:t>Our executive officers, directors, security holders and their respective affiliates may have competitive pecuniary interests that conflict with our interests.</w:t>
      </w:r>
    </w:p>
    <w:p>
      <w:pPr>
        <w:spacing w:after="0" w:line="60" w:lineRule="exact"/>
        <w:rPr>
          <w:sz w:val="20"/>
          <w:szCs w:val="20"/>
          <w:color w:val="auto"/>
        </w:rPr>
      </w:pPr>
    </w:p>
    <w:p>
      <w:pPr>
        <w:ind w:left="460" w:right="499"/>
        <w:spacing w:after="0" w:line="241" w:lineRule="auto"/>
        <w:rPr>
          <w:sz w:val="20"/>
          <w:szCs w:val="20"/>
          <w:color w:val="auto"/>
        </w:rPr>
      </w:pPr>
      <w:r>
        <w:rPr>
          <w:rFonts w:ascii="Arial" w:cs="Arial" w:eastAsia="Arial" w:hAnsi="Arial"/>
          <w:sz w:val="18"/>
          <w:szCs w:val="18"/>
          <w:color w:val="auto"/>
        </w:rPr>
        <w:t>We have not adopted a policy that expressly prohibits our directors, executive officers, security holders or affiliates from having a direct or indirect pecuniary or financial interest in any investment to be acquired or disposed of by us or in any transaction to which we are a party or have an interest. In fact, we may enter into a business combination with a target business that is affiliated with our sponsor, our directors or executive officers. Nor do we have a policy that expressly prohibits any such persons from engaging for their own account in business activities of the types conducted by us. Accordingly, such persons or entities may have a conflict between their interests and ours.</w:t>
      </w:r>
    </w:p>
    <w:p>
      <w:pPr>
        <w:spacing w:after="0" w:line="98" w:lineRule="exact"/>
        <w:rPr>
          <w:sz w:val="20"/>
          <w:szCs w:val="20"/>
          <w:color w:val="auto"/>
        </w:rPr>
      </w:pPr>
    </w:p>
    <w:p>
      <w:pPr>
        <w:ind w:left="460" w:right="479"/>
        <w:spacing w:after="0"/>
        <w:rPr>
          <w:sz w:val="20"/>
          <w:szCs w:val="20"/>
          <w:color w:val="auto"/>
        </w:rPr>
      </w:pPr>
      <w:r>
        <w:rPr>
          <w:rFonts w:ascii="Arial" w:cs="Arial" w:eastAsia="Arial" w:hAnsi="Arial"/>
          <w:sz w:val="18"/>
          <w:szCs w:val="18"/>
          <w:color w:val="auto"/>
        </w:rPr>
        <w:t>The personal and financial interests of our directors and officers may influence their motivation in timely identifying and selecting a target business and completing a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stockholders’ best interest. If this were the case, it would be a breach of their fiduciary duties to us as a matter of Delaware law and we or our stockholders might have a claim against such individuals for infringing on our stockholders’ rights. However, we might not ultimately be successful in any claim we may make against them for such reason.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3" w:name="page54"/>
    <w:bookmarkEnd w:id="53"/>
    <w:p>
      <w:pPr>
        <w:ind w:left="460" w:right="519"/>
        <w:spacing w:after="0" w:line="261" w:lineRule="auto"/>
        <w:rPr>
          <w:sz w:val="20"/>
          <w:szCs w:val="20"/>
          <w:color w:val="auto"/>
        </w:rPr>
      </w:pPr>
      <w:r>
        <w:rPr>
          <w:rFonts w:ascii="Arial" w:cs="Arial" w:eastAsia="Arial" w:hAnsi="Arial"/>
          <w:sz w:val="18"/>
          <w:szCs w:val="18"/>
          <w:b w:val="1"/>
          <w:bCs w:val="1"/>
          <w:color w:val="auto"/>
        </w:rPr>
        <w:t>We may engage in a business combination with one or more target businesses that have relationships with entities that may be affiliated with our sponsor, executive officers, directors or existing holders which may raise potential conflicts of interest.</w:t>
      </w:r>
    </w:p>
    <w:p>
      <w:pPr>
        <w:spacing w:after="0" w:line="83" w:lineRule="exact"/>
        <w:rPr>
          <w:sz w:val="20"/>
          <w:szCs w:val="20"/>
          <w:color w:val="auto"/>
        </w:rPr>
      </w:pPr>
    </w:p>
    <w:p>
      <w:pPr>
        <w:ind w:left="460" w:right="559"/>
        <w:spacing w:after="0" w:line="237" w:lineRule="auto"/>
        <w:rPr>
          <w:sz w:val="20"/>
          <w:szCs w:val="20"/>
          <w:color w:val="auto"/>
        </w:rPr>
      </w:pPr>
      <w:r>
        <w:rPr>
          <w:rFonts w:ascii="Arial" w:cs="Arial" w:eastAsia="Arial" w:hAnsi="Arial"/>
          <w:sz w:val="18"/>
          <w:szCs w:val="18"/>
          <w:color w:val="auto"/>
        </w:rPr>
        <w:t>In light of the involvement of our sponsor, executive officers and directors with other entities, we may decide to acquire one or more businesses affiliated with our sponsor, executive officers, directors or existing holders. Our directors and officers also serve as officers and board members for other entities, including, without limitation, those described under “Management — Conflicts of Interest.” Such entities may compete with us for business combination opportunities. Our sponsor, officers and directors are not currently aware of any specific opportunities for us to complete our initial business combination with any entities with which they are affiliated, and there have been no substantive discussions concerning a business combination with any such entity or entities. We would pursue such a transaction if we determined that such affiliated entity met our criteria for a business combination as set forth in “Proposed Business — Acquisition Strategy” and such transaction was approved by a majority of our independent and disinterested directors. Despite our agreement to obtain an opinion from an independent investment banking firm which is a member of FINRA or a valuation or appraisal firm regarding the fairness to our company from a financial point of view of a business combination with one or more domestic or international businesses affiliated with our sponsor, executive officers, directors or existing holders, potential conflicts of interest still may exist and, as a result, the terms of the business combination may not be as advantageous to our public stockholders as they would be absent any conflicts of interest.</w:t>
      </w:r>
    </w:p>
    <w:p>
      <w:pPr>
        <w:spacing w:after="0" w:line="182" w:lineRule="exact"/>
        <w:rPr>
          <w:sz w:val="20"/>
          <w:szCs w:val="20"/>
          <w:color w:val="auto"/>
        </w:rPr>
      </w:pPr>
    </w:p>
    <w:p>
      <w:pPr>
        <w:ind w:left="460" w:right="479"/>
        <w:spacing w:after="0" w:line="248" w:lineRule="auto"/>
        <w:rPr>
          <w:sz w:val="20"/>
          <w:szCs w:val="20"/>
          <w:color w:val="auto"/>
        </w:rPr>
      </w:pPr>
      <w:r>
        <w:rPr>
          <w:rFonts w:ascii="Arial" w:cs="Arial" w:eastAsia="Arial" w:hAnsi="Arial"/>
          <w:sz w:val="18"/>
          <w:szCs w:val="18"/>
          <w:b w:val="1"/>
          <w:bCs w:val="1"/>
          <w:color w:val="auto"/>
        </w:rPr>
        <w:t>Since our sponsor, executive officers and directors will lose their entire investment in us if our initial business combination is not completed (other than with respect to public shares they may acquire during or after this offering), a conflict of interest may arise in determining whether a particular business combination target is appropriate for our initial business combination.</w:t>
      </w:r>
    </w:p>
    <w:p>
      <w:pPr>
        <w:spacing w:after="0" w:line="80" w:lineRule="exact"/>
        <w:rPr>
          <w:sz w:val="20"/>
          <w:szCs w:val="20"/>
          <w:color w:val="auto"/>
        </w:rPr>
      </w:pPr>
    </w:p>
    <w:p>
      <w:pPr>
        <w:ind w:left="460" w:right="479"/>
        <w:spacing w:after="0" w:line="250" w:lineRule="auto"/>
        <w:rPr>
          <w:sz w:val="20"/>
          <w:szCs w:val="20"/>
          <w:color w:val="auto"/>
        </w:rPr>
      </w:pPr>
      <w:r>
        <w:rPr>
          <w:rFonts w:ascii="Arial" w:cs="Arial" w:eastAsia="Arial" w:hAnsi="Arial"/>
          <w:sz w:val="17"/>
          <w:szCs w:val="17"/>
          <w:color w:val="auto"/>
        </w:rPr>
        <w:t>During the period ended July 16, 2020, our sponsor paid $25,000, or approximately $0.002 per share, to cover certain of our offering costs in consideration of 10,062,500 founder shares. In August 2020, our sponsor transferred 25,000 founder shares to each of Mr. Islam, Dr. Leproust and Mr. Turner. On September 1, 2020, we effected a 1:1.1 stock split of our Class B common stock, resulting in our sponsor holding an aggregate of 10,993,750 founder shares and there being an aggregate of 11,068,750 founder shares outstanding. Prior to the initial investment in the company of $25,000 by the sponsor, the company had no assets, tangible or intangible. The purchase price of the founder shares was determined by dividing the amount of cash contributed to the company by the number of founder shares issued. The number of founder shares outstanding was determined based on the expectation that the total size of this offering would be a maximum of 44,275,000 units if the underwriters’ over-allotment option is exercised in full, and therefore that such founder shares would represent 20% of the outstanding shares after this offering. Up to 1,443,750 of the founder shares will be forfeited by our sponsor depending on the extent to which the underwriters’ over-allotment is exercised. The founder shares will be worthless if we do not complete an initial business combination. In addition, our sponsor and certain of our independent director nominees have severally committed to purchase an aggregate of 6,466,667 private placement warrants (or 7,236,667 warrants if the underwriters’ over-allotment option is exercised in full), each exercisable for one share of Class A common stock at $11.50 per share, for an aggregate purchase price of $9,700,000 (or $10,855,000 if the underwriters’ over-allotment option is exercised in full), or $1.50 per warrant, that will also be worthless if we do not complete our initial business combination. The personal and financial interests of our executive officers and directors may influence their motivation in identifying and selecting a target business combination, completing an initial business combination and influencing the operation of the business following the initial business combination. This risk may become more acute as the</w:t>
      </w:r>
    </w:p>
    <w:p>
      <w:pPr>
        <w:spacing w:after="0" w:line="200" w:lineRule="exact"/>
        <w:rPr>
          <w:sz w:val="20"/>
          <w:szCs w:val="20"/>
          <w:color w:val="auto"/>
        </w:rPr>
      </w:pPr>
    </w:p>
    <w:p>
      <w:pPr>
        <w:jc w:val="both"/>
        <w:ind w:left="460" w:right="579"/>
        <w:spacing w:after="0" w:line="250" w:lineRule="auto"/>
        <w:rPr>
          <w:sz w:val="20"/>
          <w:szCs w:val="20"/>
          <w:color w:val="auto"/>
        </w:rPr>
      </w:pPr>
      <w:r>
        <w:rPr>
          <w:rFonts w:ascii="Arial" w:cs="Arial" w:eastAsia="Arial" w:hAnsi="Arial"/>
          <w:sz w:val="18"/>
          <w:szCs w:val="18"/>
          <w:color w:val="auto"/>
        </w:rPr>
        <w:t>24-month anniversary of the closing of this offering nears, which is the deadline for our completion of an initial business combination.</w:t>
      </w:r>
    </w:p>
    <w:p>
      <w:pPr>
        <w:spacing w:after="0" w:line="166" w:lineRule="exact"/>
        <w:rPr>
          <w:sz w:val="20"/>
          <w:szCs w:val="20"/>
          <w:color w:val="auto"/>
        </w:rPr>
      </w:pPr>
    </w:p>
    <w:p>
      <w:pPr>
        <w:jc w:val="both"/>
        <w:ind w:left="460" w:right="579"/>
        <w:spacing w:after="0" w:line="261" w:lineRule="auto"/>
        <w:rPr>
          <w:sz w:val="20"/>
          <w:szCs w:val="20"/>
          <w:color w:val="auto"/>
        </w:rPr>
      </w:pPr>
      <w:r>
        <w:rPr>
          <w:rFonts w:ascii="Arial" w:cs="Arial" w:eastAsia="Arial" w:hAnsi="Arial"/>
          <w:sz w:val="18"/>
          <w:szCs w:val="18"/>
          <w:b w:val="1"/>
          <w:bCs w:val="1"/>
          <w:color w:val="auto"/>
        </w:rPr>
        <w:t>We may issue notes or other debt securities, or otherwise incur substantial debt, to complete a business combination, which may adversely affect our leverage and financial condition and thus negatively impact the value of our stockholders’ investment in us.</w:t>
      </w:r>
    </w:p>
    <w:p>
      <w:pPr>
        <w:spacing w:after="0" w:line="83" w:lineRule="exact"/>
        <w:rPr>
          <w:sz w:val="20"/>
          <w:szCs w:val="20"/>
          <w:color w:val="auto"/>
        </w:rPr>
      </w:pPr>
    </w:p>
    <w:p>
      <w:pPr>
        <w:ind w:left="460" w:right="599"/>
        <w:spacing w:after="0" w:line="245" w:lineRule="auto"/>
        <w:rPr>
          <w:sz w:val="20"/>
          <w:szCs w:val="20"/>
          <w:color w:val="auto"/>
        </w:rPr>
      </w:pPr>
      <w:r>
        <w:rPr>
          <w:rFonts w:ascii="Arial" w:cs="Arial" w:eastAsia="Arial" w:hAnsi="Arial"/>
          <w:sz w:val="18"/>
          <w:szCs w:val="18"/>
          <w:color w:val="auto"/>
        </w:rPr>
        <w:t>Although we have no commitments as of the date of this prospectus to issue any notes or other debt securities, or to otherwise incur outstanding debt following this offering, we may choose to incur substantial debt to complete our initial business combination. We and our officers have agreed that we will not incur any indebtedness unless we have obtained from the lender a waiver of any right, title, interest or claim of any kind in or to the monies held in the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sectPr>
      </w:pPr>
    </w:p>
    <w:bookmarkStart w:id="54" w:name="page55"/>
    <w:bookmarkEnd w:id="54"/>
    <w:p>
      <w:pPr>
        <w:jc w:val="both"/>
        <w:ind w:left="460" w:right="619"/>
        <w:spacing w:after="0" w:line="250" w:lineRule="auto"/>
        <w:rPr>
          <w:sz w:val="20"/>
          <w:szCs w:val="20"/>
          <w:color w:val="auto"/>
        </w:rPr>
      </w:pPr>
      <w:r>
        <w:rPr>
          <w:rFonts w:ascii="Arial" w:cs="Arial" w:eastAsia="Arial" w:hAnsi="Arial"/>
          <w:sz w:val="18"/>
          <w:szCs w:val="18"/>
          <w:color w:val="auto"/>
        </w:rPr>
        <w:t>trust account. As such, no issuance of debt will affect the per share amount available for redemption from the trust account. Nevertheless, the incurrence of debt could have a variety of negative effects, including:</w:t>
      </w:r>
    </w:p>
    <w:p>
      <w:pPr>
        <w:spacing w:after="0" w:line="1" w:lineRule="exact"/>
        <w:rPr>
          <w:sz w:val="20"/>
          <w:szCs w:val="20"/>
          <w:color w:val="auto"/>
        </w:rPr>
      </w:pPr>
    </w:p>
    <w:p>
      <w:pPr>
        <w:ind w:left="1100" w:right="1039" w:hanging="322"/>
        <w:spacing w:after="0" w:line="250" w:lineRule="auto"/>
        <w:tabs>
          <w:tab w:leader="none" w:pos="1089"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ind w:left="1100" w:right="639" w:hanging="322"/>
        <w:spacing w:after="0" w:line="250" w:lineRule="auto"/>
        <w:tabs>
          <w:tab w:leader="none" w:pos="1089"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 w:lineRule="exact"/>
        <w:rPr>
          <w:rFonts w:ascii="Arial" w:cs="Arial" w:eastAsia="Arial" w:hAnsi="Arial"/>
          <w:sz w:val="18"/>
          <w:szCs w:val="18"/>
          <w:color w:val="auto"/>
        </w:rPr>
      </w:pPr>
    </w:p>
    <w:p>
      <w:pPr>
        <w:ind w:left="1100" w:right="699" w:hanging="322"/>
        <w:spacing w:after="0" w:line="258" w:lineRule="auto"/>
        <w:tabs>
          <w:tab w:leader="none" w:pos="1089"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ind w:left="1100" w:right="559" w:hanging="322"/>
        <w:spacing w:after="0" w:line="250" w:lineRule="auto"/>
        <w:tabs>
          <w:tab w:leader="none" w:pos="1089"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is outstanding;</w:t>
      </w:r>
    </w:p>
    <w:p>
      <w:pPr>
        <w:ind w:left="1100" w:hanging="322"/>
        <w:spacing w:after="0"/>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pay dividends on our Class A common stock;</w:t>
      </w:r>
    </w:p>
    <w:p>
      <w:pPr>
        <w:spacing w:after="0" w:line="36" w:lineRule="exact"/>
        <w:rPr>
          <w:rFonts w:ascii="Arial" w:cs="Arial" w:eastAsia="Arial" w:hAnsi="Arial"/>
          <w:sz w:val="18"/>
          <w:szCs w:val="18"/>
          <w:color w:val="auto"/>
        </w:rPr>
      </w:pPr>
    </w:p>
    <w:p>
      <w:pPr>
        <w:ind w:left="1100" w:right="759" w:hanging="322"/>
        <w:spacing w:after="0" w:line="265" w:lineRule="auto"/>
        <w:tabs>
          <w:tab w:leader="none" w:pos="1089" w:val="left"/>
        </w:tabs>
        <w:numPr>
          <w:ilvl w:val="0"/>
          <w:numId w:val="22"/>
        </w:numPr>
        <w:rPr>
          <w:rFonts w:ascii="Arial" w:cs="Arial" w:eastAsia="Arial" w:hAnsi="Arial"/>
          <w:sz w:val="17"/>
          <w:szCs w:val="17"/>
          <w:color w:val="auto"/>
        </w:rPr>
      </w:pPr>
      <w:r>
        <w:rPr>
          <w:rFonts w:ascii="Arial" w:cs="Arial" w:eastAsia="Arial" w:hAnsi="Arial"/>
          <w:sz w:val="17"/>
          <w:szCs w:val="17"/>
          <w:color w:val="auto"/>
        </w:rPr>
        <w:t>using a substantial portion of our cash flow to pay principal and interest on our debt, which will reduce the funds available for dividends on our Class A common stock if declared, expenses, capital expenditures, acquisitions and other general corporate purposes;</w:t>
      </w:r>
    </w:p>
    <w:p>
      <w:pPr>
        <w:ind w:left="1100" w:right="579" w:hanging="322"/>
        <w:spacing w:after="0" w:line="250" w:lineRule="auto"/>
        <w:tabs>
          <w:tab w:leader="none" w:pos="1089"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ind w:left="1100" w:right="819" w:hanging="322"/>
        <w:spacing w:after="0" w:line="258" w:lineRule="auto"/>
        <w:tabs>
          <w:tab w:leader="none" w:pos="1089"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jc w:val="both"/>
        <w:ind w:left="1100" w:right="779" w:hanging="322"/>
        <w:spacing w:after="0" w:line="255" w:lineRule="auto"/>
        <w:tabs>
          <w:tab w:leader="none" w:pos="1089"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62" w:lineRule="exact"/>
        <w:rPr>
          <w:sz w:val="20"/>
          <w:szCs w:val="20"/>
          <w:color w:val="auto"/>
        </w:rPr>
      </w:pPr>
    </w:p>
    <w:p>
      <w:pPr>
        <w:ind w:left="460" w:right="479"/>
        <w:spacing w:after="0" w:line="248" w:lineRule="auto"/>
        <w:rPr>
          <w:sz w:val="20"/>
          <w:szCs w:val="20"/>
          <w:color w:val="auto"/>
        </w:rPr>
      </w:pPr>
      <w:r>
        <w:rPr>
          <w:rFonts w:ascii="Arial" w:cs="Arial" w:eastAsia="Arial" w:hAnsi="Arial"/>
          <w:sz w:val="18"/>
          <w:szCs w:val="18"/>
          <w:b w:val="1"/>
          <w:bCs w:val="1"/>
          <w:color w:val="auto"/>
        </w:rPr>
        <w:t>We may only be able to complete one business combination with the proceeds of this offering, the sale of the private placement warrants and the sale of forward purchase shares, which will cause us to be solely dependent on a single business which may have a limited number of products or services. This lack of diversification may negatively impact our operations and profitability.</w:t>
      </w:r>
    </w:p>
    <w:p>
      <w:pPr>
        <w:spacing w:after="0" w:line="80" w:lineRule="exact"/>
        <w:rPr>
          <w:sz w:val="20"/>
          <w:szCs w:val="20"/>
          <w:color w:val="auto"/>
        </w:rPr>
      </w:pPr>
    </w:p>
    <w:p>
      <w:pPr>
        <w:ind w:left="460" w:right="759"/>
        <w:spacing w:after="0" w:line="243" w:lineRule="auto"/>
        <w:rPr>
          <w:sz w:val="20"/>
          <w:szCs w:val="20"/>
          <w:color w:val="auto"/>
        </w:rPr>
      </w:pPr>
      <w:r>
        <w:rPr>
          <w:rFonts w:ascii="Arial" w:cs="Arial" w:eastAsia="Arial" w:hAnsi="Arial"/>
          <w:sz w:val="18"/>
          <w:szCs w:val="18"/>
          <w:color w:val="auto"/>
        </w:rPr>
        <w:t>The net proceeds held in the trust account from this offering and the private placement of warrants will provide us with $371,525,000 (or $427,253,750 if the underwriters’ over-allotment option is exercised in full) that we may use to complete our initial business combination (after taking into account the $13,475,000, or up to $15,496,250 if the over-allotment option is exercised in full, of deferred underwriting commissions being held in the trust account). The proceeds from the sale of forward purchase shares will be up to $150,000,000.</w:t>
      </w:r>
    </w:p>
    <w:p>
      <w:pPr>
        <w:spacing w:after="0" w:line="106" w:lineRule="exact"/>
        <w:rPr>
          <w:sz w:val="20"/>
          <w:szCs w:val="20"/>
          <w:color w:val="auto"/>
        </w:rPr>
      </w:pPr>
    </w:p>
    <w:p>
      <w:pPr>
        <w:ind w:left="460" w:right="459"/>
        <w:spacing w:after="0" w:line="253" w:lineRule="auto"/>
        <w:rPr>
          <w:sz w:val="20"/>
          <w:szCs w:val="20"/>
          <w:color w:val="auto"/>
        </w:rPr>
      </w:pPr>
      <w:r>
        <w:rPr>
          <w:rFonts w:ascii="Arial" w:cs="Arial" w:eastAsia="Arial" w:hAnsi="Arial"/>
          <w:sz w:val="17"/>
          <w:szCs w:val="17"/>
          <w:color w:val="auto"/>
        </w:rPr>
        <w:t>We may effectuate our initial business combination with a single target business or multiple 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completing our initial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1" w:lineRule="exact"/>
        <w:rPr>
          <w:sz w:val="20"/>
          <w:szCs w:val="20"/>
          <w:color w:val="auto"/>
        </w:rPr>
      </w:pPr>
    </w:p>
    <w:p>
      <w:pPr>
        <w:ind w:left="1100" w:hanging="322"/>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property or asset, or</w:t>
      </w:r>
    </w:p>
    <w:p>
      <w:pPr>
        <w:spacing w:after="0" w:line="35" w:lineRule="exact"/>
        <w:rPr>
          <w:rFonts w:ascii="Arial" w:cs="Arial" w:eastAsia="Arial" w:hAnsi="Arial"/>
          <w:sz w:val="18"/>
          <w:szCs w:val="18"/>
          <w:color w:val="auto"/>
        </w:rPr>
      </w:pPr>
    </w:p>
    <w:p>
      <w:pPr>
        <w:ind w:left="1100" w:right="959" w:hanging="322"/>
        <w:spacing w:after="0" w:line="260" w:lineRule="auto"/>
        <w:tabs>
          <w:tab w:leader="none" w:pos="1089"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92" w:lineRule="exact"/>
        <w:rPr>
          <w:sz w:val="20"/>
          <w:szCs w:val="20"/>
          <w:color w:val="auto"/>
        </w:rPr>
      </w:pPr>
    </w:p>
    <w:p>
      <w:pPr>
        <w:jc w:val="both"/>
        <w:ind w:left="460" w:right="719"/>
        <w:spacing w:after="0" w:line="255" w:lineRule="auto"/>
        <w:rPr>
          <w:sz w:val="20"/>
          <w:szCs w:val="20"/>
          <w:color w:val="auto"/>
        </w:rPr>
      </w:pPr>
      <w:r>
        <w:rPr>
          <w:rFonts w:ascii="Arial" w:cs="Arial" w:eastAsia="Arial" w:hAnsi="Arial"/>
          <w:sz w:val="18"/>
          <w:szCs w:val="18"/>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5" w:name="page56"/>
    <w:bookmarkEnd w:id="55"/>
    <w:p>
      <w:pPr>
        <w:ind w:left="460" w:right="519"/>
        <w:spacing w:after="0" w:line="283" w:lineRule="auto"/>
        <w:rPr>
          <w:sz w:val="20"/>
          <w:szCs w:val="20"/>
          <w:color w:val="auto"/>
        </w:rPr>
      </w:pPr>
      <w:r>
        <w:rPr>
          <w:rFonts w:ascii="Arial" w:cs="Arial" w:eastAsia="Arial" w:hAnsi="Arial"/>
          <w:sz w:val="17"/>
          <w:szCs w:val="17"/>
          <w:b w:val="1"/>
          <w:b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67" w:lineRule="exact"/>
        <w:rPr>
          <w:sz w:val="20"/>
          <w:szCs w:val="20"/>
          <w:color w:val="auto"/>
        </w:rPr>
      </w:pPr>
    </w:p>
    <w:p>
      <w:pPr>
        <w:ind w:left="460" w:right="499"/>
        <w:spacing w:after="0"/>
        <w:rPr>
          <w:sz w:val="20"/>
          <w:szCs w:val="20"/>
          <w:color w:val="auto"/>
        </w:rPr>
      </w:pPr>
      <w:r>
        <w:rPr>
          <w:rFonts w:ascii="Arial" w:cs="Arial" w:eastAsia="Arial" w:hAnsi="Arial"/>
          <w:sz w:val="18"/>
          <w:szCs w:val="18"/>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74" w:lineRule="exact"/>
        <w:rPr>
          <w:sz w:val="20"/>
          <w:szCs w:val="20"/>
          <w:color w:val="auto"/>
        </w:rPr>
      </w:pPr>
    </w:p>
    <w:p>
      <w:pPr>
        <w:ind w:left="460" w:right="739"/>
        <w:spacing w:after="0" w:line="261" w:lineRule="auto"/>
        <w:rPr>
          <w:sz w:val="20"/>
          <w:szCs w:val="20"/>
          <w:color w:val="auto"/>
        </w:rPr>
      </w:pPr>
      <w:r>
        <w:rPr>
          <w:rFonts w:ascii="Arial" w:cs="Arial" w:eastAsia="Arial" w:hAnsi="Arial"/>
          <w:sz w:val="18"/>
          <w:szCs w:val="18"/>
          <w:b w:val="1"/>
          <w:bCs w:val="1"/>
          <w:color w:val="auto"/>
        </w:rPr>
        <w:t>We may attempt to complete our initial business combination with a private company about which little information is available, which may result in a business combination with a company that is not as profitable as we suspected, if at all.</w:t>
      </w:r>
    </w:p>
    <w:p>
      <w:pPr>
        <w:spacing w:after="0" w:line="69" w:lineRule="exact"/>
        <w:rPr>
          <w:sz w:val="20"/>
          <w:szCs w:val="20"/>
          <w:color w:val="auto"/>
        </w:rPr>
      </w:pPr>
    </w:p>
    <w:p>
      <w:pPr>
        <w:ind w:left="460" w:right="519"/>
        <w:spacing w:after="0" w:line="245" w:lineRule="auto"/>
        <w:rPr>
          <w:sz w:val="20"/>
          <w:szCs w:val="20"/>
          <w:color w:val="auto"/>
        </w:rPr>
      </w:pPr>
      <w:r>
        <w:rPr>
          <w:rFonts w:ascii="Arial" w:cs="Arial" w:eastAsia="Arial" w:hAnsi="Arial"/>
          <w:sz w:val="18"/>
          <w:szCs w:val="18"/>
          <w:color w:val="auto"/>
        </w:rPr>
        <w:t>In pursuing our business combination strategy, we may seek to effectuate our initial business combination with a privately held company. Very little public information generally exists about private companies, and we could be required to make our decision on whether to pursue a potential initial business combination on the basis of limited information, which may result in a business combination with a company that is not as profitable as we suspected, if at all.</w:t>
      </w:r>
    </w:p>
    <w:p>
      <w:pPr>
        <w:spacing w:after="0" w:line="170" w:lineRule="exact"/>
        <w:rPr>
          <w:sz w:val="20"/>
          <w:szCs w:val="20"/>
          <w:color w:val="auto"/>
        </w:rPr>
      </w:pPr>
    </w:p>
    <w:p>
      <w:pPr>
        <w:ind w:left="460" w:right="839"/>
        <w:spacing w:after="0" w:line="252" w:lineRule="auto"/>
        <w:rPr>
          <w:sz w:val="20"/>
          <w:szCs w:val="20"/>
          <w:color w:val="auto"/>
        </w:rPr>
      </w:pPr>
      <w:r>
        <w:rPr>
          <w:rFonts w:ascii="Arial" w:cs="Arial" w:eastAsia="Arial" w:hAnsi="Arial"/>
          <w:sz w:val="18"/>
          <w:szCs w:val="18"/>
          <w:b w:val="1"/>
          <w:bCs w:val="1"/>
          <w:color w:val="auto"/>
        </w:rPr>
        <w:t>Our management may not maintain control of a target business after our initial business combination. We cannot provide assurance that, upon loss of control of a target business, new management will possess the skills, qualifications or abilities necessary to profitably operate such business.</w:t>
      </w:r>
    </w:p>
    <w:p>
      <w:pPr>
        <w:spacing w:after="0" w:line="91"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We may structure our initial business combination so that the post-transaction company in which our public stockholders own shares will own less than 100% of the equity interests or assets of a target business, but we will only complete such business combination if the post-transaction company owns or acquires 50% or more of the outstanding voting securities of the target or otherwise acquires a controlling interest in the target sufficient for us not to be required to register as an investment company under the Investment Company Act. We will not consider any transaction that does not meet such criteria. Even if the post-transaction company owns 50% or more of the voting securities of the target, our stockholders prior to the business combination may collectively own a minority interest in the post business combination company, depending on valuations ascribed to the target and us in the business combination. For example, we could pursue a transaction in which we issue a substantial number of new shares of Class A common stock in exchange for all of the outstanding capital stock of a target. In this case, we would acquire a 100% interest in the target. However, as a result of the issuance of a substantial number of new shares of Class A common stock, our stockholders immediately prior to such transaction could own less than a majority of our outstanding Class A common stock subsequent to such transaction. In addition, other minority stockholders may subsequently combine their holdings resulting in a single person or group obtaining a larger share of the company’s shares than we initially acquired. Accordingly, this may make it more likely that our management will not maintain control of the target business.</w:t>
      </w:r>
    </w:p>
    <w:p>
      <w:pPr>
        <w:spacing w:after="0" w:line="180" w:lineRule="exact"/>
        <w:rPr>
          <w:sz w:val="20"/>
          <w:szCs w:val="20"/>
          <w:color w:val="auto"/>
        </w:rPr>
      </w:pPr>
    </w:p>
    <w:p>
      <w:pPr>
        <w:ind w:left="460" w:right="659"/>
        <w:spacing w:after="0" w:line="252" w:lineRule="auto"/>
        <w:rPr>
          <w:sz w:val="20"/>
          <w:szCs w:val="20"/>
          <w:color w:val="auto"/>
        </w:rPr>
      </w:pPr>
      <w:r>
        <w:rPr>
          <w:rFonts w:ascii="Arial" w:cs="Arial" w:eastAsia="Arial" w:hAnsi="Arial"/>
          <w:sz w:val="18"/>
          <w:szCs w:val="18"/>
          <w:b w:val="1"/>
          <w:bCs w:val="1"/>
          <w:color w:val="auto"/>
        </w:rPr>
        <w:t>We do not have a specified maximum redemption threshold. The absence of such a redemption threshold may make it possible for us to complete our initial business combination with which a substantial majority of our stockholders or warrant holders do not agree.</w:t>
      </w:r>
    </w:p>
    <w:p>
      <w:pPr>
        <w:spacing w:after="0" w:line="91" w:lineRule="exact"/>
        <w:rPr>
          <w:sz w:val="20"/>
          <w:szCs w:val="20"/>
          <w:color w:val="auto"/>
        </w:rPr>
      </w:pPr>
    </w:p>
    <w:p>
      <w:pPr>
        <w:ind w:left="460" w:right="539"/>
        <w:spacing w:after="0" w:line="239" w:lineRule="auto"/>
        <w:rPr>
          <w:sz w:val="20"/>
          <w:szCs w:val="20"/>
          <w:color w:val="auto"/>
        </w:rPr>
      </w:pPr>
      <w:r>
        <w:rPr>
          <w:rFonts w:ascii="Arial" w:cs="Arial" w:eastAsia="Arial" w:hAnsi="Arial"/>
          <w:sz w:val="18"/>
          <w:szCs w:val="18"/>
          <w:color w:val="auto"/>
        </w:rPr>
        <w:t>Our amended and restated certificate of incorporation does not provide a specified maximum redemption threshold, except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 (ii) cash for working capital or other general corporate purposes or (iii) the retention of cash to satisfy other conditions. As a result, we may be able to complete our initial business combination even though a substantial majority of our public stockholders do not agree with the transaction and have redeemed their shares or, if we seek stockholder approval of our initial business combination and do not conduct redemptions in connection with our initial business combination pursuant to the tender offer rules, have entered into privately negotiated agreements to sell their shares to our sponsor, officers,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sectPr>
      </w:pPr>
    </w:p>
    <w:bookmarkStart w:id="56" w:name="page57"/>
    <w:bookmarkEnd w:id="56"/>
    <w:p>
      <w:pPr>
        <w:ind w:left="460" w:right="479"/>
        <w:spacing w:after="0" w:line="241" w:lineRule="auto"/>
        <w:rPr>
          <w:sz w:val="20"/>
          <w:szCs w:val="20"/>
          <w:color w:val="auto"/>
        </w:rPr>
      </w:pPr>
      <w:r>
        <w:rPr>
          <w:rFonts w:ascii="Arial" w:cs="Arial" w:eastAsia="Arial" w:hAnsi="Arial"/>
          <w:sz w:val="18"/>
          <w:szCs w:val="18"/>
          <w:color w:val="auto"/>
        </w:rPr>
        <w:t>directors, advisors or any of their respective affiliates. In the event the aggregate cash consideration we would be required to pay for all shares of Class A common stock that are validly submitted for redemption plus any amount required to satisfy cash conditions pursuant to the terms of the proposed business combination exceed the aggregate amount of cash available to us, we will not complete the business combination or redeem any shares in connection with such initial business combination, all shares of Class A common stock submitted for redemption will be returned to the holders thereof, and we instead may search for an alternate business combination.</w:t>
      </w:r>
    </w:p>
    <w:p>
      <w:pPr>
        <w:spacing w:after="0" w:line="177" w:lineRule="exact"/>
        <w:rPr>
          <w:sz w:val="20"/>
          <w:szCs w:val="20"/>
          <w:color w:val="auto"/>
        </w:rPr>
      </w:pPr>
    </w:p>
    <w:p>
      <w:pPr>
        <w:ind w:left="460" w:right="539"/>
        <w:spacing w:after="0" w:line="245" w:lineRule="auto"/>
        <w:rPr>
          <w:sz w:val="20"/>
          <w:szCs w:val="20"/>
          <w:color w:val="auto"/>
        </w:rPr>
      </w:pPr>
      <w:r>
        <w:rPr>
          <w:rFonts w:ascii="Arial" w:cs="Arial" w:eastAsia="Arial" w:hAnsi="Arial"/>
          <w:sz w:val="18"/>
          <w:szCs w:val="18"/>
          <w:b w:val="1"/>
          <w:bCs w:val="1"/>
          <w:color w:val="auto"/>
        </w:rPr>
        <w:t>In order to effectuate an initial business combination, special purpose acquisition companies have, in the recent past, amended various provisions of their charters and other governing instruments, including their warrant agreements. We cannot assure you that we will not seek to amend our amended and restated certificate of incorporation or governing instruments in a manner that will make it easier for us to complete our initial business combination that our stockholders may not support.</w:t>
      </w:r>
    </w:p>
    <w:p>
      <w:pPr>
        <w:spacing w:after="0" w:line="84"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In order to effectuate a business combination, special purpose acquisition companies have, in the recent past, amended various provisions of their charters and governing instruments, including their warrant agreements. For example, special purpose acquisition companies have amended the definition of business combination, increased redemption thresholds and extended the time to consummate an initial business combination and, with respect to their warrants, amended their warrant agreements to require the warrants to be exchanged for cash and/or other securities. Amending our amended and restated certificate of incorporation will require the approval of holders of 65% of our common stock, and amending our warrant agreement will require a vote of holders of at least 50% of the public warrants and, solely with respect to any amendment to the terms of the private placement warrants or any provision of the warrant agreement with respect to the private placement warrants, 50% of the number of the then outstanding private placement warrants. In addition, our amended and restated certificate of incorporation requires us to provide our public stockholders with the opportunity to redeem their public shares for cash if we propose an amendment to our amended and restated certificate of incorporation to modify the substance or timing of our obligation to redeem 100% of our public shares if we do not complete an initial business combination within 24 months of the closing of this offering or with respect to any other material provisions relating to stockholders’ rights or pre-initial business combination activity. To the extent any of such amendments would be deemed to fundamentally change the nature of the securities offered hereby, we would register, or seek an exemption from registration for, the affected securities. We cannot assure you that we will not seek to amend our charter or governing instruments or extend the time to consummate an initial business combination in order to effectuate our initial business combination.</w:t>
      </w:r>
    </w:p>
    <w:p>
      <w:pPr>
        <w:spacing w:after="0" w:line="174" w:lineRule="exact"/>
        <w:rPr>
          <w:sz w:val="20"/>
          <w:szCs w:val="20"/>
          <w:color w:val="auto"/>
        </w:rPr>
      </w:pPr>
    </w:p>
    <w:p>
      <w:pPr>
        <w:ind w:left="460" w:right="539"/>
        <w:spacing w:after="0" w:line="243" w:lineRule="auto"/>
        <w:rPr>
          <w:sz w:val="20"/>
          <w:szCs w:val="20"/>
          <w:color w:val="auto"/>
        </w:rPr>
      </w:pPr>
      <w:r>
        <w:rPr>
          <w:rFonts w:ascii="Arial" w:cs="Arial" w:eastAsia="Arial" w:hAnsi="Arial"/>
          <w:sz w:val="18"/>
          <w:szCs w:val="18"/>
          <w:b w:val="1"/>
          <w:bCs w:val="1"/>
          <w:color w:val="auto"/>
        </w:rPr>
        <w:t>The provisions of our amended and restated certificate of incorporation that relate to our pre-business combination activity (and corresponding provisions of the agreement governing the release of funds from our trust account) may be amended with the approval of holders of 65% of our common stock, which is a lower amendment threshold than that of some other special purpose acquisition companies. It may be easier for us, therefore, to amend our amended and restated certificate of incorporation to facilitate the completion of an initial business combination that some of our stockholders may not support.</w:t>
      </w:r>
    </w:p>
    <w:p>
      <w:pPr>
        <w:spacing w:after="0" w:line="101"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Our amended and restated certificate of incorporation provides that any of its provisions related to pre-business combination activity (including the requirement to deposit proceeds of this offering and the private placement of warrants into the trust account and not release such amounts except in specified circumstances, and to provide redemption rights to public stockholders as described herein) may be amended if approved by holders of 65% of our common stock entitled to vote thereon and corresponding provisions of the trust agreement governing the release of funds from our trust account may be amended if approved by holders of 65% of our common stock entitled to vote thereon. In all other instances, our amended and restated certificate of incorporation may be amended by holders of a majority of our outstanding common stock entitled to vote thereon, subject to applicable provisions of the DGCL or applicable stock exchange rules. Our initial stockholders, who will collectively beneficially own 20% of our common stock upon the closing of this offering (assuming they do not purchase any units in this offering), may participate in any vote to amend our amended and restated certificate of incorporation and/or trust agreement and will have the discretion to vote in any manner they choose. As a result, we may be able to amend the provisions of our amended and restated certificate of incorporation which govern our pre-business combination behavior more easily than some other special purpose acquisition companies, and this may increase our ability to complete a business combination with which you do not agree. Our stockholders may pursue remedies against us for any breach of our amended and restated certificate of incorporation.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7" w:name="page58"/>
    <w:bookmarkEnd w:id="57"/>
    <w:p>
      <w:pPr>
        <w:ind w:left="460" w:right="479"/>
        <w:spacing w:after="0" w:line="238" w:lineRule="auto"/>
        <w:rPr>
          <w:sz w:val="20"/>
          <w:szCs w:val="20"/>
          <w:color w:val="auto"/>
        </w:rPr>
      </w:pPr>
      <w:r>
        <w:rPr>
          <w:rFonts w:ascii="Arial" w:cs="Arial" w:eastAsia="Arial" w:hAnsi="Arial"/>
          <w:sz w:val="18"/>
          <w:szCs w:val="18"/>
          <w:color w:val="auto"/>
        </w:rPr>
        <w:t>Our sponsor, executive officers, directors and director nominees have agreed, pursuant to written agreements with us, that they will not propose any amendment to our amended and restated certificate of incorporation to modify the substance or timing of our obligation to redeem 100% of our public shares if we do not complete our initial business combination within 24 months from the closing of this offering or with respect to any other material provisions relating to stockholders’ rights or pre-initial business combination activity, unless we provide our public stockholders with the opportunity to redeem their Class A common stock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Our stockholders are not parties to, or third-party beneficiaries of, these agreements and, as a result, will not have the ability to pursue remedies against our sponsor, executive officers, directors or director nominees for any breach of these agreements. As a result, in the event of a breach, our stockholders would need to pursue a stockholder derivative action, subject to applicable law.</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Certain agreements related to this offering may be amended without stockholder approval.</w:t>
      </w:r>
    </w:p>
    <w:p>
      <w:pPr>
        <w:spacing w:after="0" w:line="133"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Each of the agreements related to this offering to which we are a party, other than the warrant agreement and the investment management trust agreement, may be amended without stockholder approval. Such agreements are: the underwriting agreement; the letter agreement among us and our initial stockholders, sponsor, officers and directors; the registration rights agreement among us and our initial stockholders; and the private placement warrants purchase agreement between us, our sponsor and certain of our independent director nominees. These agreements contain various provisions that our public stockholders might deem to be material. For example, our letter agreement and the underwriting agreement contain certain lock-up provisions with respect to the founder shares, private placement warrants and other securities held by our initial stockholders, sponsor, officers and directors. Amendments to such agreements would require the consent of the applicable parties thereto and would need to be approved by our board of directors, which may do so for a variety of reasons, including to facilitate our initial business combination. While we do not expect our board of directors to approve any amendment to any of these agreements prior to our initial business combination, it may be possible that our board of directors, in exercising its business judgment and subject to its fiduciary duties, chooses to approve one or more amendments to any such agreement. Any amendment entered into in connection with the consummation of our initial business combination will be disclosed in our proxy materials or tender offer documents, as applicable, related to such initial business combination, and any other material amendment to any of our material agreements will be disclosed in a filing with the SEC. Any such amendments would not require approval from our stockholders, may result in the completion of our initial business combination that may not otherwise have been possible, and may have an adverse effect on the value of an investment in our securities. For example, amendments to the lock-up provision discussed above may result in our initial stockholders selling their securities earlier than they would otherwise be permitted, which may have an adverse effect on the price of our securities.</w:t>
      </w:r>
    </w:p>
    <w:p>
      <w:pPr>
        <w:spacing w:after="0" w:line="189" w:lineRule="exact"/>
        <w:rPr>
          <w:sz w:val="20"/>
          <w:szCs w:val="20"/>
          <w:color w:val="auto"/>
        </w:rPr>
      </w:pPr>
    </w:p>
    <w:p>
      <w:pPr>
        <w:ind w:left="460" w:right="579"/>
        <w:spacing w:after="0" w:line="261" w:lineRule="auto"/>
        <w:rPr>
          <w:sz w:val="20"/>
          <w:szCs w:val="20"/>
          <w:color w:val="auto"/>
        </w:rPr>
      </w:pPr>
      <w:r>
        <w:rPr>
          <w:rFonts w:ascii="Arial" w:cs="Arial" w:eastAsia="Arial" w:hAnsi="Arial"/>
          <w:sz w:val="18"/>
          <w:szCs w:val="18"/>
          <w:b w:val="1"/>
          <w:bCs w:val="1"/>
          <w:color w:val="auto"/>
        </w:rPr>
        <w:t>We may be unable to obtain additional financing to complete our initial business combination or to fund the operations and growth of a target business, which could compel us to restructure or abandon a particular business combination.</w:t>
      </w:r>
    </w:p>
    <w:p>
      <w:pPr>
        <w:spacing w:after="0" w:line="83"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We have not selected any specific business combination target but may target businesses with enterprise values that are greater than we could acquire with the net proceeds of this offering, the sale of the private placement warrants and the sale of the forward purchase shares. As a result, if the cash portion of the purchase price exceeds the amount available from the trust account and the sale of forward purchase shares, net of amounts needed to satisfy any redemption by public stockholders, or if the forward purchase shares are not purchased under the forward purchase agreement, we may be required to seek additional financing to complete such proposed initial business combination. We cannot assure you that such financing will be available on acceptable terms, if at all.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Further, we may be required to obtain additional financing in connection with the closing of our initial business combination for general corporate purposes, including for maintenance or expansion of operations of the post-transaction businesses, the payment of principal or interest due on indebtedness incurred in completing our initial business combination, or to fund the purchase of other companies. If we are unable to complete our initial business combination within the required time period, our public stockholders may only receive their pro rata portion of the funds in the trust account that are available for distribution to public</w:t>
      </w:r>
    </w:p>
    <w:p>
      <w:pPr>
        <w:sectPr>
          <w:pgSz w:w="11900" w:h="16838" w:orient="portrait"/>
          <w:cols w:equalWidth="0" w:num="1">
            <w:col w:w="9019"/>
          </w:cols>
          <w:pgMar w:left="1440" w:top="265" w:right="1440" w:bottom="1440" w:gutter="0" w:footer="0" w:header="0"/>
        </w:sectPr>
      </w:pP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19050</wp:posOffset>
            </wp:positionV>
            <wp:extent cx="51435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8" w:name="page59"/>
    <w:bookmarkEnd w:id="58"/>
    <w:p>
      <w:pPr>
        <w:ind w:left="460" w:right="539"/>
        <w:spacing w:after="0" w:line="243" w:lineRule="auto"/>
        <w:rPr>
          <w:sz w:val="20"/>
          <w:szCs w:val="20"/>
          <w:color w:val="auto"/>
        </w:rPr>
      </w:pPr>
      <w:r>
        <w:rPr>
          <w:rFonts w:ascii="Arial" w:cs="Arial" w:eastAsia="Arial" w:hAnsi="Arial"/>
          <w:sz w:val="18"/>
          <w:szCs w:val="18"/>
          <w:color w:val="auto"/>
        </w:rPr>
        <w:t>stockholders, and our warrants will expire worthless.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stockholders is required to provide any financing to us in connection with or after our initial business combination.</w:t>
      </w:r>
    </w:p>
    <w:p>
      <w:pPr>
        <w:spacing w:after="0" w:line="172" w:lineRule="exact"/>
        <w:rPr>
          <w:sz w:val="20"/>
          <w:szCs w:val="20"/>
          <w:color w:val="auto"/>
        </w:rPr>
      </w:pPr>
    </w:p>
    <w:p>
      <w:pPr>
        <w:ind w:left="460" w:right="739"/>
        <w:spacing w:after="0" w:line="261" w:lineRule="auto"/>
        <w:rPr>
          <w:sz w:val="20"/>
          <w:szCs w:val="20"/>
          <w:color w:val="auto"/>
        </w:rPr>
      </w:pPr>
      <w:r>
        <w:rPr>
          <w:rFonts w:ascii="Arial" w:cs="Arial" w:eastAsia="Arial" w:hAnsi="Arial"/>
          <w:sz w:val="18"/>
          <w:szCs w:val="18"/>
          <w:b w:val="1"/>
          <w:bCs w:val="1"/>
          <w:color w:val="auto"/>
        </w:rPr>
        <w:t>Our initial stockholders control a substantial interest in us and thus may exert a substantial influence on actions requiring a stockholder vote, potentially in a manner that you do not support.</w:t>
      </w:r>
    </w:p>
    <w:p>
      <w:pPr>
        <w:spacing w:after="0" w:line="69"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Upon closing of this offering, our initial stockholders will own 20% of our issued and outstanding common stock (assuming they do not purchase any units in this offering). Accordingly, they may exert a substantial influence on actions requiring a stockholder vote, potentially in a manner that you do not support, including amendments to our amended and restated certificate of incorporation. If our initial stockholders purchase any units in this offering or if our initial stockholders purchase any additional Class A common stock in the aftermarket or in privately negotiated transactions, this would increase their control. Neither our initial stockholders nor, to our knowledge, any of our officers or directors, have any current intention to purchase additional securities, other than as disclosed in this prospectus. Factors that would be considered in making such additional purchases would include consideration of the current trading price of our Class A common stock. In addition, our board of directors, whose members were elected by our sponsor, is and will be divided into three classes, each of which will generally serve for a terms for three years with only one class of directors being elected in each year. We may not hold an annual meeting of stockholders to elect new directors prior to the completion of our initial business combination, in which case all of the current directors will continue in office until at least the completion of the business combination. If there is an annual meeting, as a consequence of our “staggered” board of directors, only a minority of the board of directors will be considered for election and our initial stockholders, because of their ownership position, will have considerable influence regarding the outcome. Accordingly, our initial stockholders will continue to exert control at least until the completion of our initial business combination. Any forward purchase shares will not be issued until completion of our initial business combination, and, accordingly, will not be included in any stockholder vote until such time.</w:t>
      </w:r>
    </w:p>
    <w:p>
      <w:pPr>
        <w:spacing w:after="0" w:line="174" w:lineRule="exact"/>
        <w:rPr>
          <w:sz w:val="20"/>
          <w:szCs w:val="20"/>
          <w:color w:val="auto"/>
        </w:rPr>
      </w:pPr>
    </w:p>
    <w:p>
      <w:pPr>
        <w:ind w:left="460" w:right="639"/>
        <w:spacing w:after="0" w:line="252" w:lineRule="auto"/>
        <w:rPr>
          <w:sz w:val="20"/>
          <w:szCs w:val="20"/>
          <w:color w:val="auto"/>
        </w:rPr>
      </w:pPr>
      <w:r>
        <w:rPr>
          <w:rFonts w:ascii="Arial" w:cs="Arial" w:eastAsia="Arial" w:hAnsi="Arial"/>
          <w:sz w:val="18"/>
          <w:szCs w:val="18"/>
          <w:b w:val="1"/>
          <w:bCs w:val="1"/>
          <w:color w:val="auto"/>
        </w:rPr>
        <w:t>Our initial stockholders paid an aggregate of $25,000 to cover certain of our offering costs in exchange for 11,068,750 founder shares, or approximately $0.002 per founder share and, accordingly, you will experience immediate and substantial dilution from the purchase of our shares of Class A common stock.</w:t>
      </w:r>
    </w:p>
    <w:p>
      <w:pPr>
        <w:spacing w:after="0" w:line="91" w:lineRule="exact"/>
        <w:rPr>
          <w:sz w:val="20"/>
          <w:szCs w:val="20"/>
          <w:color w:val="auto"/>
        </w:rPr>
      </w:pPr>
    </w:p>
    <w:p>
      <w:pPr>
        <w:ind w:left="460" w:right="559"/>
        <w:spacing w:after="0" w:line="237" w:lineRule="auto"/>
        <w:rPr>
          <w:sz w:val="20"/>
          <w:szCs w:val="20"/>
          <w:color w:val="auto"/>
        </w:rPr>
      </w:pPr>
      <w:r>
        <w:rPr>
          <w:rFonts w:ascii="Arial" w:cs="Arial" w:eastAsia="Arial" w:hAnsi="Arial"/>
          <w:sz w:val="18"/>
          <w:szCs w:val="18"/>
          <w:color w:val="auto"/>
        </w:rPr>
        <w:t>The difference between the public offering price per share (allocating all of the unit purchase price to the share of Class A common stock and none to the warrant included in the unit) and the pro forma net tangible book value per share of our Class A common stock after this offering constitutes the dilution to you and the other investors in this offering. Our initial stockholders acquired the founder shares at a nominal price, significantly contributing to this dilution. Upon closing of this offering, and assuming no value is ascribed to the warrants included in the units, you and the other public stockholders will incur an immediate and substantial dilution of approximately 95.6% or $9.56 per share, assuming no exercise of the underwriters’ over-allotment option), the difference between the pro forma net tangible book value per share after this offering of $ 0.44 and the initial offering price of $10.00 per unit. This dilution would increase to the extent that the anti-dilution provisions of the founder shares result in the issuance of shares of Class A common stock on a greater than one-to-one basis upon conversion of the founder shares at the time of our initial business combination and would become exacerbated to the extent that public stockholders seek redemptions from the trust for their public shares. In addition, because of the anti-dilution protection in the founder shares, any equity or equity-linked securities issued in connection with our initial business combination would be disproportionately dilutive to our Class A common stock.</w:t>
      </w:r>
    </w:p>
    <w:p>
      <w:pPr>
        <w:spacing w:after="0" w:line="184" w:lineRule="exact"/>
        <w:rPr>
          <w:sz w:val="20"/>
          <w:szCs w:val="20"/>
          <w:color w:val="auto"/>
        </w:rPr>
      </w:pPr>
    </w:p>
    <w:p>
      <w:pPr>
        <w:ind w:left="460" w:right="499"/>
        <w:spacing w:after="0" w:line="248" w:lineRule="auto"/>
        <w:rPr>
          <w:sz w:val="20"/>
          <w:szCs w:val="20"/>
          <w:color w:val="auto"/>
        </w:rPr>
      </w:pPr>
      <w:r>
        <w:rPr>
          <w:rFonts w:ascii="Arial" w:cs="Arial" w:eastAsia="Arial" w:hAnsi="Arial"/>
          <w:sz w:val="18"/>
          <w:szCs w:val="18"/>
          <w:b w:val="1"/>
          <w:bCs w:val="1"/>
          <w:color w:val="auto"/>
        </w:rPr>
        <w:t>We may amend the terms of the warrants in a manner that may be adverse to holders of public warrants with the approval by the holders of at least 50% of the then outstanding public warrants. As a result, the exercise price of your warrants could be increased, the exercise period could be shortened and the number of shares of Class A common stock purchasable upon exercise of a warrant could be decreased, all without your approval.</w:t>
      </w:r>
    </w:p>
    <w:p>
      <w:pPr>
        <w:spacing w:after="0" w:line="94" w:lineRule="exact"/>
        <w:rPr>
          <w:sz w:val="20"/>
          <w:szCs w:val="20"/>
          <w:color w:val="auto"/>
        </w:rPr>
      </w:pPr>
    </w:p>
    <w:p>
      <w:pPr>
        <w:ind w:left="460" w:right="539"/>
        <w:spacing w:after="0" w:line="245" w:lineRule="auto"/>
        <w:rPr>
          <w:sz w:val="20"/>
          <w:szCs w:val="20"/>
          <w:color w:val="auto"/>
        </w:rPr>
      </w:pPr>
      <w:r>
        <w:rPr>
          <w:rFonts w:ascii="Arial" w:cs="Arial" w:eastAsia="Arial" w:hAnsi="Arial"/>
          <w:sz w:val="18"/>
          <w:szCs w:val="18"/>
          <w:color w:val="auto"/>
        </w:rPr>
        <w:t>Our warrants will be issued in registered form under a warrant agreement between Continental Stock Transfer &amp; Trust Company, as warrant agent, and us. The warrant agreement provides that the terms of the warrants may be amended without the consent of any holder for the purpose of (i) curing any ambiguity or to correct any defective provision or mistake, including to conform the provisions of the warrant agreement to the description of the terms of the warrants</w:t>
      </w:r>
    </w:p>
    <w:p>
      <w:pPr>
        <w:sectPr>
          <w:pgSz w:w="11900" w:h="16838" w:orient="portrait"/>
          <w:cols w:equalWidth="0" w:num="1">
            <w:col w:w="9019"/>
          </w:cols>
          <w:pgMar w:left="1440" w:top="265" w:right="1440" w:bottom="1440" w:gutter="0" w:footer="0" w:header="0"/>
        </w:sectPr>
      </w:pP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19050</wp:posOffset>
            </wp:positionV>
            <wp:extent cx="5143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9" w:name="page60"/>
    <w:bookmarkEnd w:id="59"/>
    <w:p>
      <w:pPr>
        <w:ind w:left="460" w:right="499"/>
        <w:spacing w:after="0" w:line="238" w:lineRule="auto"/>
        <w:rPr>
          <w:sz w:val="20"/>
          <w:szCs w:val="20"/>
          <w:color w:val="auto"/>
        </w:rPr>
      </w:pPr>
      <w:r>
        <w:rPr>
          <w:rFonts w:ascii="Arial" w:cs="Arial" w:eastAsia="Arial" w:hAnsi="Arial"/>
          <w:sz w:val="18"/>
          <w:szCs w:val="18"/>
          <w:color w:val="auto"/>
        </w:rPr>
        <w:t>and the warrant agreement set forth in this prospectus or (iii)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provided that the approval by the holders of at least 50% of the then outstanding public warrants is required to make any change that adversely affects the interests of the registered holders of the public warrants. Accordingly, we may amend the terms of the public warrants in a manner adverse to a holder if holders of at least 50% of the then outstanding public warrants approve of such amendment. Although our ability to amend the terms of the public warrants with the consent of at least 50% of the then outstanding public warrants is unlimited, examples of such amendments could be amendments to, among other things, increase the exercise price of the warrants, convert the warrants into cash or stock (at a ratio different than initially provided), shorten the exercise period or decrease the number of shares of Class A common stock purchasable upon exercise of a warrant.</w:t>
      </w:r>
    </w:p>
    <w:p>
      <w:pPr>
        <w:spacing w:after="0" w:line="178" w:lineRule="exact"/>
        <w:rPr>
          <w:sz w:val="20"/>
          <w:szCs w:val="20"/>
          <w:color w:val="auto"/>
        </w:rPr>
      </w:pPr>
    </w:p>
    <w:p>
      <w:pPr>
        <w:ind w:left="460" w:right="519"/>
        <w:spacing w:after="0" w:line="248" w:lineRule="auto"/>
        <w:rPr>
          <w:sz w:val="20"/>
          <w:szCs w:val="20"/>
          <w:color w:val="auto"/>
        </w:rPr>
      </w:pPr>
      <w:r>
        <w:rPr>
          <w:rFonts w:ascii="Arial" w:cs="Arial" w:eastAsia="Arial" w:hAnsi="Arial"/>
          <w:sz w:val="18"/>
          <w:szCs w:val="18"/>
          <w:b w:val="1"/>
          <w:bCs w:val="1"/>
          <w:color w:val="auto"/>
        </w:rPr>
        <w:t>Our warrant agreement designates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w:t>
      </w:r>
    </w:p>
    <w:p>
      <w:pPr>
        <w:spacing w:after="0" w:line="80" w:lineRule="exact"/>
        <w:rPr>
          <w:sz w:val="20"/>
          <w:szCs w:val="20"/>
          <w:color w:val="auto"/>
        </w:rPr>
      </w:pPr>
    </w:p>
    <w:p>
      <w:pPr>
        <w:ind w:left="460" w:right="779"/>
        <w:spacing w:after="0" w:line="243" w:lineRule="auto"/>
        <w:rPr>
          <w:sz w:val="20"/>
          <w:szCs w:val="20"/>
          <w:color w:val="auto"/>
        </w:rPr>
      </w:pPr>
      <w:r>
        <w:rPr>
          <w:rFonts w:ascii="Arial" w:cs="Arial" w:eastAsia="Arial" w:hAnsi="Arial"/>
          <w:sz w:val="18"/>
          <w:szCs w:val="18"/>
          <w:color w:val="auto"/>
        </w:rPr>
        <w:t>Our warrant agreement provides that, subject to applicable law, (i) any action, proceeding or claim against us arising out of or relating in any way to the warrant agreement, including under the Securities Act, will be brought and enforced in the courts of the State of New York or the</w:t>
      </w:r>
    </w:p>
    <w:p>
      <w:pPr>
        <w:spacing w:after="0" w:line="1" w:lineRule="exact"/>
        <w:rPr>
          <w:sz w:val="20"/>
          <w:szCs w:val="20"/>
          <w:color w:val="auto"/>
        </w:rPr>
      </w:pPr>
    </w:p>
    <w:p>
      <w:pPr>
        <w:ind w:left="460" w:right="459"/>
        <w:spacing w:after="0"/>
        <w:rPr>
          <w:sz w:val="20"/>
          <w:szCs w:val="20"/>
          <w:color w:val="auto"/>
        </w:rPr>
      </w:pPr>
      <w:r>
        <w:rPr>
          <w:rFonts w:ascii="Arial" w:cs="Arial" w:eastAsia="Arial" w:hAnsi="Arial"/>
          <w:sz w:val="18"/>
          <w:szCs w:val="18"/>
          <w:color w:val="auto"/>
        </w:rPr>
        <w:t>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w:t>
      </w:r>
    </w:p>
    <w:p>
      <w:pPr>
        <w:spacing w:after="0" w:line="109"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shall be deemed to have notice of and to have consented to the forum provisions in our warrant agreement. If any action, the subject matter of which is within the scope the forum provisions of the warrant agreement, is filed in a court other than a court of the State of New York or the United States District Court for the Southern District of New York (a “foreign action”) in the name of any holder of our warrants, such holder shall be deemed to have consented to: (x) the personal jurisdiction of the state and federal courts located in the State of New York in connection with any action brought in any such court to enforce the forum provisions (an “enforcement action”), and (y) having service of process made upon such warrant holder in any such enforcement action by service upon such warrant holder’s counsel in the foreign action as agent for such warrant holder.</w:t>
      </w:r>
    </w:p>
    <w:p>
      <w:pPr>
        <w:spacing w:after="0" w:line="113" w:lineRule="exact"/>
        <w:rPr>
          <w:sz w:val="20"/>
          <w:szCs w:val="20"/>
          <w:color w:val="auto"/>
        </w:rPr>
      </w:pPr>
    </w:p>
    <w:p>
      <w:pPr>
        <w:ind w:left="460" w:right="479"/>
        <w:spacing w:after="0" w:line="241" w:lineRule="auto"/>
        <w:rPr>
          <w:sz w:val="20"/>
          <w:szCs w:val="20"/>
          <w:color w:val="auto"/>
        </w:rPr>
      </w:pPr>
      <w:r>
        <w:rPr>
          <w:rFonts w:ascii="Arial" w:cs="Arial" w:eastAsia="Arial" w:hAnsi="Arial"/>
          <w:sz w:val="18"/>
          <w:szCs w:val="18"/>
          <w:color w:val="auto"/>
        </w:rPr>
        <w:t>This choice-of-forum provision may limit a warrant holder’s ability to bring a claim in a judicial forum that it finds favorable for disputes with our company, which may discourage such lawsuits.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177" w:lineRule="exact"/>
        <w:rPr>
          <w:sz w:val="20"/>
          <w:szCs w:val="20"/>
          <w:color w:val="auto"/>
        </w:rPr>
      </w:pPr>
    </w:p>
    <w:p>
      <w:pPr>
        <w:ind w:left="460" w:right="1799"/>
        <w:spacing w:after="0" w:line="287" w:lineRule="auto"/>
        <w:rPr>
          <w:sz w:val="20"/>
          <w:szCs w:val="20"/>
          <w:color w:val="auto"/>
        </w:rPr>
      </w:pPr>
      <w:r>
        <w:rPr>
          <w:rFonts w:ascii="Arial" w:cs="Arial" w:eastAsia="Arial" w:hAnsi="Arial"/>
          <w:sz w:val="18"/>
          <w:szCs w:val="18"/>
          <w:b w:val="1"/>
          <w:bCs w:val="1"/>
          <w:color w:val="auto"/>
        </w:rPr>
        <w:t>We may redeem your unexpired warrants prior to their exercise at a time that is disadvantageous to you, thereby making your warrants worthless.</w:t>
      </w:r>
    </w:p>
    <w:p>
      <w:pPr>
        <w:spacing w:after="0" w:line="47"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We have the ability to redeem the outstanding public warrants at any time after they become exercisable and prior to their expiration, at a price of $0.01 per warrant, provided that the closing price of our Class A common stock equals or exceeds $18.00 per share (as adjusted for adjustments to the number of shares issuable upon exercise or the exercise price of a warrant as described under the heading “Description of Securities — Warrants — Public Stockholders’ Warrants — Anti-Dilution Adjustments”) for any 20 trading days within a 30 trading-day period ending on the third trading day prior to proper notice of such redemption and provided that certain other conditions are met. If and when the warrants become redeemable by us, we may exercise our redemption right even if we are unable to register or qualify the underlying securities for sale under all applicable state securities laws. As a result, we may redeem the warrants as set forth above even if the holders are otherwise unable to exercise the warrants. Redemption of the outstanding warrants could force you to</w:t>
      </w:r>
    </w:p>
    <w:p>
      <w:pPr>
        <w:spacing w:after="0" w:line="1" w:lineRule="exact"/>
        <w:rPr>
          <w:sz w:val="20"/>
          <w:szCs w:val="20"/>
          <w:color w:val="auto"/>
        </w:rPr>
      </w:pPr>
    </w:p>
    <w:p>
      <w:pPr>
        <w:ind w:left="460" w:right="1119" w:hanging="6"/>
        <w:spacing w:after="0" w:line="279" w:lineRule="auto"/>
        <w:tabs>
          <w:tab w:leader="none" w:pos="67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exercise your warrants and pay the exercise price therefor at a time when it may be disadvantageous for you to do so, (ii) sell your warrants at the then-current market price when</w:t>
      </w:r>
    </w:p>
    <w:p>
      <w:pPr>
        <w:sectPr>
          <w:pgSz w:w="11900" w:h="16838" w:orient="portrait"/>
          <w:cols w:equalWidth="0" w:num="1">
            <w:col w:w="9019"/>
          </w:cols>
          <w:pgMar w:left="1440" w:top="265" w:right="1440" w:bottom="1440" w:gutter="0" w:footer="0" w:header="0"/>
        </w:sectPr>
      </w:pP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19050</wp:posOffset>
            </wp:positionV>
            <wp:extent cx="5143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0" w:name="page61"/>
    <w:bookmarkEnd w:id="60"/>
    <w:p>
      <w:pPr>
        <w:ind w:left="460" w:right="499"/>
        <w:spacing w:after="0" w:line="241" w:lineRule="auto"/>
        <w:rPr>
          <w:sz w:val="20"/>
          <w:szCs w:val="20"/>
          <w:color w:val="auto"/>
        </w:rPr>
      </w:pPr>
      <w:r>
        <w:rPr>
          <w:rFonts w:ascii="Arial" w:cs="Arial" w:eastAsia="Arial" w:hAnsi="Arial"/>
          <w:sz w:val="18"/>
          <w:szCs w:val="18"/>
          <w:color w:val="auto"/>
        </w:rPr>
        <w:t>you might otherwise wish to hold your warrants or (iii) accept the nominal redemption price which, at the time the outstanding warrants are called for redemption, we expect would be substantially less than the market value of your warrants. None of the private placement warrants will be redeemable by us (except as described below under “Description of Securities — Redeemable Warrants — Public Stockholders’ Warrants — Redemption of warrants when the price per share of Class A common stock equals or exceeds $10.00”) so long as they are held by the initial purchasers of the private placement warrants or their permitted transferees.</w:t>
      </w:r>
    </w:p>
    <w:p>
      <w:pPr>
        <w:spacing w:after="0" w:line="98" w:lineRule="exact"/>
        <w:rPr>
          <w:sz w:val="20"/>
          <w:szCs w:val="20"/>
          <w:color w:val="auto"/>
        </w:rPr>
      </w:pPr>
    </w:p>
    <w:p>
      <w:pPr>
        <w:ind w:left="460" w:right="479"/>
        <w:spacing w:after="0" w:line="250" w:lineRule="auto"/>
        <w:rPr>
          <w:sz w:val="20"/>
          <w:szCs w:val="20"/>
          <w:color w:val="auto"/>
        </w:rPr>
      </w:pPr>
      <w:r>
        <w:rPr>
          <w:rFonts w:ascii="Arial" w:cs="Arial" w:eastAsia="Arial" w:hAnsi="Arial"/>
          <w:sz w:val="17"/>
          <w:szCs w:val="17"/>
          <w:color w:val="auto"/>
        </w:rPr>
        <w:t xml:space="preserve">In addition, we have the ability to redeem the outstanding public warrants at any time after they become exercisable and prior to their expiration, at a price of $0.10 per warrant upon a minimum of 30 days’ prior written notice of redemption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closing price of our Class A common stock equals or exceeds $ 10.00 per share (as adjusted for adjustments to the number of shares issuable upon exercise or the exercise price of a warrant as described under the heading “Description of Securities — Warrants — Public Stockholders’ Warrants — Anti-Dilution Adjustments”) for any 20 trading days within a 30 trading-day period ending on the third trading day prior to proper notice of such redemption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certain other conditions are met, including that (i) if the closing price of our Class A common stock for any 20 trading days within a 30-trading day period ending three trading days before we send notice of redemption to the warrant holders is less than $18.00 per share (as adjusted for adjustments to the number of shares issuable upon exercise or the exercise price of a warrant as described under the heading “Description of Securities — Warrants — Public Shareholders’ Warrants — Anti-dilution Adjustments”), the private placement warrants must also be concurrently called for redemption on the same terms as the outstanding public warrants and</w:t>
      </w:r>
    </w:p>
    <w:p>
      <w:pPr>
        <w:spacing w:after="0" w:line="6" w:lineRule="exact"/>
        <w:rPr>
          <w:sz w:val="20"/>
          <w:szCs w:val="20"/>
          <w:color w:val="auto"/>
        </w:rPr>
      </w:pPr>
    </w:p>
    <w:p>
      <w:pPr>
        <w:ind w:left="460" w:right="499" w:hanging="6"/>
        <w:spacing w:after="0"/>
        <w:tabs>
          <w:tab w:leader="none" w:pos="71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holders will be able to exercise their warrants prior to redemption for a number of shares of Class A common stock determined based on the redemption date and the fair market value of our Class A common stock. Please see “Description of Securities — Warrants — Public Stockholders’ Warrants — Redemption of warrants when the price per share of Class A common stock equals or exceeds $10.00.” The value received upon exercise of the warrants (i) may be less than the value the holders would have received if they had exercised their warrants at a later time where the underlying share price is higher and (ii) may not compensate the holders for the value of the warrants, including because the number of shares of Class A common stock received is capped at 0.361 shares of Class A common stock per warrant (subject to adjustment) irrespective of the remaining life of the warrants.</w:t>
      </w:r>
    </w:p>
    <w:p>
      <w:pPr>
        <w:spacing w:after="0" w:line="354" w:lineRule="exact"/>
        <w:rPr>
          <w:sz w:val="20"/>
          <w:szCs w:val="20"/>
          <w:color w:val="auto"/>
        </w:rPr>
      </w:pPr>
    </w:p>
    <w:p>
      <w:pPr>
        <w:ind w:left="460" w:right="699"/>
        <w:spacing w:after="0" w:line="261" w:lineRule="auto"/>
        <w:rPr>
          <w:sz w:val="20"/>
          <w:szCs w:val="20"/>
          <w:color w:val="auto"/>
        </w:rPr>
      </w:pPr>
      <w:r>
        <w:rPr>
          <w:rFonts w:ascii="Arial" w:cs="Arial" w:eastAsia="Arial" w:hAnsi="Arial"/>
          <w:sz w:val="18"/>
          <w:szCs w:val="18"/>
          <w:b w:val="1"/>
          <w:bCs w:val="1"/>
          <w:color w:val="auto"/>
        </w:rPr>
        <w:t>Our warrants and founder shares may have an adverse effect on the market price of our shares of Class A common stock and make it more difficult to effectuate our initial business combination.</w:t>
      </w:r>
    </w:p>
    <w:p>
      <w:pPr>
        <w:spacing w:after="0" w:line="83"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We will be issuing warrants to purchase 12,833,333 shares of our Class A common stock (or up to 14,758,333 shares of Class A common stock if the underwriters’ over-allotment option is exercised in full) as part of the units offered by this prospectus and, simultaneously with the closing of this offering, we will be issuing in a private placement an aggregate of 6,466,667 private placement warrants (or 7,236,667 warrants if the underwriters’ over-allotment option is exercised in full), each exercisable to purchase one share of Class A common stock at $11.50 per share. Our initial stockholders currently hold 11,068,750 shares of Class B common stock (up to 1,443,750 of which are subject to forfeiture by our sponsor depending on the extent to which the underwriters’ over-allotment option is exercised). The Class B common stock are convertible into shares of Class A common stock on a one-for-one basis, subject to adjustment as set forth herein. In addition, if our sponsor or an affiliate of our sponsor or certain of our officers and directors makes any working capital loans, such lender may convert those loans into up to an additional 1,500,000 private placement warrants, at the price of $1.50 per warrant. To the extent we issue common stock to effectuate a business transaction, the potential for the issuance of a substantial number of additional shares of Class A common stock upon exercise of these warrants or conversion of these founder shares could make us a less attractive acquisition vehicle to a target business. Such issuance will increase the number of issued and outstanding shares of Class A common stock and reduce the value of the Class A common stock issued to complete the business transaction. Therefore, our warrants and founder shares may make it more difficult to effectuate a business transaction or increase the cost of acquiring the target business.</w:t>
      </w:r>
    </w:p>
    <w:p>
      <w:pPr>
        <w:spacing w:after="0" w:line="176" w:lineRule="exact"/>
        <w:rPr>
          <w:sz w:val="20"/>
          <w:szCs w:val="20"/>
          <w:color w:val="auto"/>
        </w:rPr>
      </w:pPr>
    </w:p>
    <w:p>
      <w:pPr>
        <w:jc w:val="both"/>
        <w:ind w:left="460" w:right="1199"/>
        <w:spacing w:after="0" w:line="261" w:lineRule="auto"/>
        <w:rPr>
          <w:sz w:val="20"/>
          <w:szCs w:val="20"/>
          <w:color w:val="auto"/>
        </w:rPr>
      </w:pPr>
      <w:r>
        <w:rPr>
          <w:rFonts w:ascii="Arial" w:cs="Arial" w:eastAsia="Arial" w:hAnsi="Arial"/>
          <w:sz w:val="18"/>
          <w:szCs w:val="18"/>
          <w:b w:val="1"/>
          <w:bCs w:val="1"/>
          <w:color w:val="auto"/>
        </w:rPr>
        <w:t>Because each unit contains one-third of one warrant and only a whole warrant may be exercised, the units may be worth less than units of other special purpose acquisition companies.</w:t>
      </w:r>
    </w:p>
    <w:p>
      <w:pPr>
        <w:spacing w:after="0" w:line="83" w:lineRule="exact"/>
        <w:rPr>
          <w:sz w:val="20"/>
          <w:szCs w:val="20"/>
          <w:color w:val="auto"/>
        </w:rPr>
      </w:pPr>
    </w:p>
    <w:p>
      <w:pPr>
        <w:ind w:left="460" w:right="579"/>
        <w:spacing w:after="0" w:line="248" w:lineRule="auto"/>
        <w:rPr>
          <w:sz w:val="20"/>
          <w:szCs w:val="20"/>
          <w:color w:val="auto"/>
        </w:rPr>
      </w:pPr>
      <w:r>
        <w:rPr>
          <w:rFonts w:ascii="Arial" w:cs="Arial" w:eastAsia="Arial" w:hAnsi="Arial"/>
          <w:sz w:val="18"/>
          <w:szCs w:val="18"/>
          <w:color w:val="auto"/>
        </w:rPr>
        <w:t>Each unit contains one-third of one warrant. Pursuant to the warrant agreement, no fractional warrants will be issued upon separation of the units, and only whole units will trade. If, upon exercise of the warrants, a holder would be entitled to receive a fractional interest in a share, we will, upon exercise, round down to the nearest whole number</w:t>
      </w:r>
    </w:p>
    <w:p>
      <w:pPr>
        <w:sectPr>
          <w:pgSz w:w="11900" w:h="16838" w:orient="portrait"/>
          <w:cols w:equalWidth="0" w:num="1">
            <w:col w:w="9019"/>
          </w:cols>
          <w:pgMar w:left="1440" w:top="265" w:right="1440" w:bottom="1440" w:gutter="0" w:footer="0" w:header="0"/>
        </w:sectPr>
      </w:pP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19050</wp:posOffset>
            </wp:positionV>
            <wp:extent cx="51435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1" w:name="page62"/>
    <w:bookmarkEnd w:id="61"/>
    <w:p>
      <w:pPr>
        <w:ind w:left="460" w:right="559"/>
        <w:spacing w:after="0"/>
        <w:rPr>
          <w:sz w:val="20"/>
          <w:szCs w:val="20"/>
          <w:color w:val="auto"/>
        </w:rPr>
      </w:pPr>
      <w:r>
        <w:rPr>
          <w:rFonts w:ascii="Arial" w:cs="Arial" w:eastAsia="Arial" w:hAnsi="Arial"/>
          <w:sz w:val="18"/>
          <w:szCs w:val="18"/>
          <w:color w:val="auto"/>
        </w:rPr>
        <w:t>the number of shares of Class A common stock to be issued to the warrant holder. This is different from other offerings similar to ours whose units include one common share and one warrant to purchase one whole share. We have established the components of the units in this way in order to reduce the dilutive effect of the warrants upon completion of a business combination since the warrants will be exercisable in the aggregate for one-third of the number of shares compared to units that each contain a whole warrant to purchase one share, thus making us, we believe, a more attractive merger partner for target businesses. Nevertheless, this unit structure may cause our units to be worth less than if it included a warrant to purchase one whole share.</w:t>
      </w:r>
    </w:p>
    <w:p>
      <w:pPr>
        <w:spacing w:after="0" w:line="178" w:lineRule="exact"/>
        <w:rPr>
          <w:sz w:val="20"/>
          <w:szCs w:val="20"/>
          <w:color w:val="auto"/>
        </w:rPr>
      </w:pPr>
    </w:p>
    <w:p>
      <w:pPr>
        <w:ind w:left="460" w:right="699"/>
        <w:spacing w:after="0" w:line="248" w:lineRule="auto"/>
        <w:rPr>
          <w:sz w:val="20"/>
          <w:szCs w:val="20"/>
          <w:color w:val="auto"/>
        </w:rPr>
      </w:pPr>
      <w:r>
        <w:rPr>
          <w:rFonts w:ascii="Arial" w:cs="Arial" w:eastAsia="Arial" w:hAnsi="Arial"/>
          <w:sz w:val="18"/>
          <w:szCs w:val="18"/>
          <w:b w:val="1"/>
          <w:bCs w:val="1"/>
          <w:color w:val="auto"/>
        </w:rPr>
        <w:t>The determination of the offering price of our units, the size of this offering and terms of the units is more arbitrary than the pricing of securities and size of an offering of an operating company in a particular industry. You may have less assurance, therefore, that the offering price of our units properly reflects the value of such units than you would have in a typical offering of an operating company.</w:t>
      </w:r>
    </w:p>
    <w:p>
      <w:pPr>
        <w:spacing w:after="0" w:line="80" w:lineRule="exact"/>
        <w:rPr>
          <w:sz w:val="20"/>
          <w:szCs w:val="20"/>
          <w:color w:val="auto"/>
        </w:rPr>
      </w:pPr>
    </w:p>
    <w:p>
      <w:pPr>
        <w:ind w:left="460" w:right="499"/>
        <w:spacing w:after="0" w:line="241" w:lineRule="auto"/>
        <w:rPr>
          <w:sz w:val="20"/>
          <w:szCs w:val="20"/>
          <w:color w:val="auto"/>
        </w:rPr>
      </w:pPr>
      <w:r>
        <w:rPr>
          <w:rFonts w:ascii="Arial" w:cs="Arial" w:eastAsia="Arial" w:hAnsi="Arial"/>
          <w:sz w:val="18"/>
          <w:szCs w:val="18"/>
          <w:color w:val="auto"/>
        </w:rPr>
        <w:t>Prior to this offering there has been no public market for any of our securities. The public offering price of the units and the terms of the warrants were negotiated between us and the underwriters. In determining the size of this offering, management held customary organizational meetings with representatives of the underwriters, both prior to our inception and thereafter, with respect to the state of capital markets, generally, and the amount the underwriters believed they reasonably could raise on our behalf. Factors considered in determining the size of this offering, prices and terms of the units, including the Class A common stock and warrants underlying the units, include:</w:t>
      </w:r>
    </w:p>
    <w:p>
      <w:pPr>
        <w:spacing w:after="0" w:line="3" w:lineRule="exact"/>
        <w:rPr>
          <w:sz w:val="20"/>
          <w:szCs w:val="20"/>
          <w:color w:val="auto"/>
        </w:rPr>
      </w:pPr>
    </w:p>
    <w:p>
      <w:pPr>
        <w:ind w:left="1100" w:right="699" w:hanging="322"/>
        <w:spacing w:after="0" w:line="258" w:lineRule="auto"/>
        <w:tabs>
          <w:tab w:leader="none" w:pos="1089"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history and prospects of companies whose principal business is the acquisition of other companies;</w:t>
      </w:r>
    </w:p>
    <w:p>
      <w:pPr>
        <w:ind w:left="1100" w:hanging="322"/>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35" w:lineRule="exact"/>
        <w:rPr>
          <w:rFonts w:ascii="Arial" w:cs="Arial" w:eastAsia="Arial" w:hAnsi="Arial"/>
          <w:sz w:val="18"/>
          <w:szCs w:val="18"/>
          <w:color w:val="auto"/>
        </w:rPr>
      </w:pPr>
    </w:p>
    <w:p>
      <w:pPr>
        <w:ind w:left="1100" w:hanging="322"/>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prospects for acquiring an operating business at attractive values;</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review of debt to equity ratios in leveraged transactions;</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35" w:lineRule="exact"/>
        <w:rPr>
          <w:rFonts w:ascii="Arial" w:cs="Arial" w:eastAsia="Arial" w:hAnsi="Arial"/>
          <w:sz w:val="18"/>
          <w:szCs w:val="18"/>
          <w:color w:val="auto"/>
        </w:rPr>
      </w:pPr>
    </w:p>
    <w:p>
      <w:pPr>
        <w:ind w:left="1100" w:hanging="322"/>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assessment of our management and their experience in identifying operating companies;</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this offering; and</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131" w:lineRule="exact"/>
        <w:rPr>
          <w:sz w:val="20"/>
          <w:szCs w:val="20"/>
          <w:color w:val="auto"/>
        </w:rPr>
      </w:pPr>
    </w:p>
    <w:p>
      <w:pPr>
        <w:ind w:left="460" w:right="539"/>
        <w:spacing w:after="0" w:line="255" w:lineRule="auto"/>
        <w:rPr>
          <w:sz w:val="20"/>
          <w:szCs w:val="20"/>
          <w:color w:val="auto"/>
        </w:rPr>
      </w:pPr>
      <w:r>
        <w:rPr>
          <w:rFonts w:ascii="Arial" w:cs="Arial" w:eastAsia="Arial" w:hAnsi="Arial"/>
          <w:sz w:val="18"/>
          <w:szCs w:val="18"/>
          <w:color w:val="auto"/>
        </w:rPr>
        <w:t>Although these factors were considered, the determination of our offering size, price and terms of the units is more arbitrary than the pricing of securities of an operating company in a particular industry since we have no historical operations or financial results.</w:t>
      </w:r>
    </w:p>
    <w:p>
      <w:pPr>
        <w:spacing w:after="0" w:line="162" w:lineRule="exact"/>
        <w:rPr>
          <w:sz w:val="20"/>
          <w:szCs w:val="20"/>
          <w:color w:val="auto"/>
        </w:rPr>
      </w:pPr>
    </w:p>
    <w:p>
      <w:pPr>
        <w:ind w:left="460" w:right="1199"/>
        <w:spacing w:after="0" w:line="287" w:lineRule="auto"/>
        <w:rPr>
          <w:sz w:val="20"/>
          <w:szCs w:val="20"/>
          <w:color w:val="auto"/>
        </w:rPr>
      </w:pPr>
      <w:r>
        <w:rPr>
          <w:rFonts w:ascii="Arial" w:cs="Arial" w:eastAsia="Arial" w:hAnsi="Arial"/>
          <w:sz w:val="18"/>
          <w:szCs w:val="18"/>
          <w:b w:val="1"/>
          <w:bCs w:val="1"/>
          <w:color w:val="auto"/>
        </w:rPr>
        <w:t>There is currently no market for our securities and a market for our securities may not develop, which would adversely affect the liquidity and price of our securities.</w:t>
      </w:r>
    </w:p>
    <w:p>
      <w:pPr>
        <w:spacing w:after="0" w:line="60" w:lineRule="exact"/>
        <w:rPr>
          <w:sz w:val="20"/>
          <w:szCs w:val="20"/>
          <w:color w:val="auto"/>
        </w:rPr>
      </w:pPr>
    </w:p>
    <w:p>
      <w:pPr>
        <w:ind w:left="460" w:right="459"/>
        <w:spacing w:after="0"/>
        <w:rPr>
          <w:sz w:val="20"/>
          <w:szCs w:val="20"/>
          <w:color w:val="auto"/>
        </w:rPr>
      </w:pPr>
      <w:r>
        <w:rPr>
          <w:rFonts w:ascii="Arial" w:cs="Arial" w:eastAsia="Arial" w:hAnsi="Arial"/>
          <w:sz w:val="18"/>
          <w:szCs w:val="18"/>
          <w:color w:val="auto"/>
        </w:rPr>
        <w:t>There is currently no market for our securities. Stockholders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including as a result of the COVID-19 outbreak and other events (such as terrorist attacks, natural disasters or a significant outbreak of other infectious diseases). Furthermore, an active trading market for our securities may never develop or, if developed, it may not be sustained. You may be unable to sell your securities unless a market can be established and sustained.</w:t>
      </w:r>
    </w:p>
    <w:p>
      <w:pPr>
        <w:spacing w:after="0" w:line="178" w:lineRule="exact"/>
        <w:rPr>
          <w:sz w:val="20"/>
          <w:szCs w:val="20"/>
          <w:color w:val="auto"/>
        </w:rPr>
      </w:pPr>
    </w:p>
    <w:p>
      <w:pPr>
        <w:ind w:left="460" w:right="559"/>
        <w:spacing w:after="0" w:line="261" w:lineRule="auto"/>
        <w:rPr>
          <w:sz w:val="20"/>
          <w:szCs w:val="20"/>
          <w:color w:val="auto"/>
        </w:rPr>
      </w:pPr>
      <w:r>
        <w:rPr>
          <w:rFonts w:ascii="Arial" w:cs="Arial" w:eastAsia="Arial" w:hAnsi="Arial"/>
          <w:sz w:val="18"/>
          <w:szCs w:val="18"/>
          <w:b w:val="1"/>
          <w:bCs w:val="1"/>
          <w:color w:val="auto"/>
        </w:rPr>
        <w:t>Because we must furnish our stockholders with target business financial statements, we may lose the ability to complete an otherwise advantageous initial business combination with some prospective target businesses.</w:t>
      </w:r>
    </w:p>
    <w:p>
      <w:pPr>
        <w:spacing w:after="0" w:line="83" w:lineRule="exact"/>
        <w:rPr>
          <w:sz w:val="20"/>
          <w:szCs w:val="20"/>
          <w:color w:val="auto"/>
        </w:rPr>
      </w:pPr>
    </w:p>
    <w:p>
      <w:pPr>
        <w:ind w:left="460" w:right="519"/>
        <w:spacing w:after="0" w:line="239" w:lineRule="auto"/>
        <w:rPr>
          <w:sz w:val="20"/>
          <w:szCs w:val="20"/>
          <w:color w:val="auto"/>
        </w:rPr>
      </w:pPr>
      <w:r>
        <w:rPr>
          <w:rFonts w:ascii="Arial" w:cs="Arial" w:eastAsia="Arial" w:hAnsi="Arial"/>
          <w:sz w:val="18"/>
          <w:szCs w:val="18"/>
          <w:color w:val="auto"/>
        </w:rPr>
        <w:t>The federal proxy rules require that the proxy statement with respect to the vote on an initial business combination include historical and pro forma financial statement disclosure.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(“GAAP”), or international financial reporting standards as issued by the International Accounting Standards Board (“IFRS”), depending on the circumstances and the historical financial statements may be required to be audited in accordance with the standards of the Public Company Accounting Oversight Board (United States) (“PCAOB”). These financial statement requirements may limit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2" w:name="page63"/>
    <w:bookmarkEnd w:id="62"/>
    <w:p>
      <w:pPr>
        <w:ind w:left="460" w:right="759"/>
        <w:spacing w:after="0" w:line="277" w:lineRule="auto"/>
        <w:rPr>
          <w:sz w:val="20"/>
          <w:szCs w:val="20"/>
          <w:color w:val="auto"/>
        </w:rPr>
      </w:pPr>
      <w:r>
        <w:rPr>
          <w:rFonts w:ascii="Arial" w:cs="Arial" w:eastAsia="Arial" w:hAnsi="Arial"/>
          <w:sz w:val="17"/>
          <w:szCs w:val="17"/>
          <w:color w:val="auto"/>
        </w:rPr>
        <w:t>the pool of potential target businesses we may acquire because some targets may be unable to provide such financial statements in time for us to disclose such statements in accordance with federal proxy rules and complete our initial business combination within the prescribed time frame.</w:t>
      </w:r>
    </w:p>
    <w:p>
      <w:pPr>
        <w:spacing w:after="0" w:line="145" w:lineRule="exact"/>
        <w:rPr>
          <w:sz w:val="20"/>
          <w:szCs w:val="20"/>
          <w:color w:val="auto"/>
        </w:rPr>
      </w:pPr>
    </w:p>
    <w:p>
      <w:pPr>
        <w:ind w:left="460" w:right="599"/>
        <w:spacing w:after="0" w:line="248" w:lineRule="auto"/>
        <w:rPr>
          <w:sz w:val="20"/>
          <w:szCs w:val="20"/>
          <w:color w:val="auto"/>
        </w:rPr>
      </w:pPr>
      <w:r>
        <w:rPr>
          <w:rFonts w:ascii="Arial" w:cs="Arial" w:eastAsia="Arial" w:hAnsi="Arial"/>
          <w:sz w:val="18"/>
          <w:szCs w:val="18"/>
          <w:b w:val="1"/>
          <w:b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80"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internal controls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 We could be an emerging growth company for up to five years, although circumstances could cause us to lose that status earlier, including if the market value of our Class A common stock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16"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10" w:lineRule="exact"/>
        <w:rPr>
          <w:sz w:val="20"/>
          <w:szCs w:val="20"/>
          <w:color w:val="auto"/>
        </w:rPr>
      </w:pPr>
    </w:p>
    <w:p>
      <w:pPr>
        <w:ind w:left="460" w:right="459"/>
        <w:spacing w:after="0" w:line="234"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prior June 30</w:t>
      </w:r>
      <w:r>
        <w:rPr>
          <w:rFonts w:ascii="Arial" w:cs="Arial" w:eastAsia="Arial" w:hAnsi="Arial"/>
          <w:sz w:val="20"/>
          <w:szCs w:val="20"/>
          <w:color w:val="auto"/>
          <w:vertAlign w:val="superscript"/>
        </w:rPr>
        <w:t>th</w:t>
      </w:r>
      <w:r>
        <w:rPr>
          <w:rFonts w:ascii="Arial" w:cs="Arial" w:eastAsia="Arial" w:hAnsi="Arial"/>
          <w:sz w:val="18"/>
          <w:szCs w:val="18"/>
          <w:color w:val="auto"/>
        </w:rPr>
        <w:t>, or (2) our annual revenues exceeded $100 million during such completed fiscal year and the market value of our common stock held by non-affiliates exceeds $700 million as of the prior June 30</w:t>
      </w:r>
      <w:r>
        <w:rPr>
          <w:rFonts w:ascii="Arial" w:cs="Arial" w:eastAsia="Arial" w:hAnsi="Arial"/>
          <w:sz w:val="20"/>
          <w:szCs w:val="20"/>
          <w:color w:val="auto"/>
          <w:vertAlign w:val="superscript"/>
        </w:rPr>
        <w:t>th</w:t>
      </w:r>
      <w:r>
        <w:rPr>
          <w:rFonts w:ascii="Arial" w:cs="Arial" w:eastAsia="Arial" w:hAnsi="Arial"/>
          <w:sz w:val="18"/>
          <w:szCs w:val="18"/>
          <w:color w:val="auto"/>
        </w:rPr>
        <w:t>. To the extent we take advantage of such reduced disclosure obligations, it may also make comparison of our financial statements with other public companies difficult or impossible.</w:t>
      </w:r>
    </w:p>
    <w:p>
      <w:pPr>
        <w:spacing w:after="0" w:line="175" w:lineRule="exact"/>
        <w:rPr>
          <w:sz w:val="20"/>
          <w:szCs w:val="20"/>
          <w:color w:val="auto"/>
        </w:rPr>
      </w:pPr>
    </w:p>
    <w:p>
      <w:pPr>
        <w:jc w:val="both"/>
        <w:ind w:left="460" w:right="859"/>
        <w:spacing w:after="0" w:line="283" w:lineRule="auto"/>
        <w:rPr>
          <w:sz w:val="20"/>
          <w:szCs w:val="20"/>
          <w:color w:val="auto"/>
        </w:rPr>
      </w:pPr>
      <w:r>
        <w:rPr>
          <w:rFonts w:ascii="Arial" w:cs="Arial" w:eastAsia="Arial" w:hAnsi="Arial"/>
          <w:sz w:val="17"/>
          <w:szCs w:val="17"/>
          <w:b w:val="1"/>
          <w:bCs w:val="1"/>
          <w:color w:val="auto"/>
        </w:rPr>
        <w:t>Compliance obligations under the Sarbanes-Oxley Act may make it more difficult for us to effectuate our initial business combination, require substantial financial and management resources, and increase the time and costs of completing an initial business combination.</w:t>
      </w:r>
    </w:p>
    <w:p>
      <w:pPr>
        <w:spacing w:after="0" w:line="53" w:lineRule="exact"/>
        <w:rPr>
          <w:sz w:val="20"/>
          <w:szCs w:val="20"/>
          <w:color w:val="auto"/>
        </w:rPr>
      </w:pPr>
    </w:p>
    <w:p>
      <w:pPr>
        <w:ind w:left="460" w:right="519"/>
        <w:spacing w:after="0" w:line="241" w:lineRule="auto"/>
        <w:rPr>
          <w:sz w:val="20"/>
          <w:szCs w:val="20"/>
          <w:color w:val="auto"/>
        </w:rPr>
      </w:pPr>
      <w:r>
        <w:rPr>
          <w:rFonts w:ascii="Arial" w:cs="Arial" w:eastAsia="Arial" w:hAnsi="Arial"/>
          <w:sz w:val="18"/>
          <w:szCs w:val="18"/>
          <w:color w:val="auto"/>
        </w:rPr>
        <w:t>Section 404 of the Sarbanes-Oxley Act requires that we evaluate and report on our system of internal controls beginning with our Annual Report on Form 10-K for the year ending December 31, 2021. 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Further, for as long as we remain an emerging growth company, we will not be required to comply with the independent registered public accounting firm attestation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3" w:name="page64"/>
    <w:bookmarkEnd w:id="63"/>
    <w:p>
      <w:pPr>
        <w:ind w:left="460" w:right="539"/>
        <w:spacing w:after="0" w:line="241" w:lineRule="auto"/>
        <w:rPr>
          <w:sz w:val="20"/>
          <w:szCs w:val="20"/>
          <w:color w:val="auto"/>
        </w:rPr>
      </w:pPr>
      <w:r>
        <w:rPr>
          <w:rFonts w:ascii="Arial" w:cs="Arial" w:eastAsia="Arial" w:hAnsi="Arial"/>
          <w:sz w:val="18"/>
          <w:szCs w:val="18"/>
          <w:color w:val="auto"/>
        </w:rPr>
        <w:t>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business combination.</w:t>
      </w:r>
    </w:p>
    <w:p>
      <w:pPr>
        <w:spacing w:after="0" w:line="177" w:lineRule="exact"/>
        <w:rPr>
          <w:sz w:val="20"/>
          <w:szCs w:val="20"/>
          <w:color w:val="auto"/>
        </w:rPr>
      </w:pPr>
    </w:p>
    <w:p>
      <w:pPr>
        <w:jc w:val="both"/>
        <w:ind w:left="460" w:right="839"/>
        <w:spacing w:after="0" w:line="261" w:lineRule="auto"/>
        <w:rPr>
          <w:sz w:val="20"/>
          <w:szCs w:val="20"/>
          <w:color w:val="auto"/>
        </w:rPr>
      </w:pPr>
      <w:r>
        <w:rPr>
          <w:rFonts w:ascii="Arial" w:cs="Arial" w:eastAsia="Arial" w:hAnsi="Arial"/>
          <w:sz w:val="18"/>
          <w:szCs w:val="18"/>
          <w:b w:val="1"/>
          <w:bCs w:val="1"/>
          <w:color w:val="auto"/>
        </w:rPr>
        <w:t>Provisions in our amended and restated certificate of incorporation and Delaware law may inhibit a takeover of us, which could limit the price investors might be willing to pay in the future for our shares of Class A common stock and could entrench management.</w:t>
      </w:r>
    </w:p>
    <w:p>
      <w:pPr>
        <w:spacing w:after="0" w:line="69" w:lineRule="exact"/>
        <w:rPr>
          <w:sz w:val="20"/>
          <w:szCs w:val="20"/>
          <w:color w:val="auto"/>
        </w:rPr>
      </w:pPr>
    </w:p>
    <w:p>
      <w:pPr>
        <w:ind w:left="460" w:right="539"/>
        <w:spacing w:after="0" w:line="243" w:lineRule="auto"/>
        <w:rPr>
          <w:sz w:val="20"/>
          <w:szCs w:val="20"/>
          <w:color w:val="auto"/>
        </w:rPr>
      </w:pPr>
      <w:r>
        <w:rPr>
          <w:rFonts w:ascii="Arial" w:cs="Arial" w:eastAsia="Arial" w:hAnsi="Arial"/>
          <w:sz w:val="18"/>
          <w:szCs w:val="18"/>
          <w:color w:val="auto"/>
        </w:rPr>
        <w:t>Our amended and restated certificate of incorporation contains provisions that may discourage unsolicited takeover proposals that stockholders may consider to be in their best interests. These provisions include a staggered board of directors and the ability of the board of directors to designate the terms of and issue new series of preferred stock, which may make more difficult the removal of management and may discourage transactions that otherwise could involve payment of a premium over prevailing market prices for our securities.</w:t>
      </w:r>
    </w:p>
    <w:p>
      <w:pPr>
        <w:spacing w:after="0" w:line="106" w:lineRule="exact"/>
        <w:rPr>
          <w:sz w:val="20"/>
          <w:szCs w:val="20"/>
          <w:color w:val="auto"/>
        </w:rPr>
      </w:pPr>
    </w:p>
    <w:p>
      <w:pPr>
        <w:ind w:left="460" w:right="599"/>
        <w:spacing w:after="0" w:line="248" w:lineRule="auto"/>
        <w:rPr>
          <w:sz w:val="20"/>
          <w:szCs w:val="20"/>
          <w:color w:val="auto"/>
        </w:rPr>
      </w:pPr>
      <w:r>
        <w:rPr>
          <w:rFonts w:ascii="Arial" w:cs="Arial" w:eastAsia="Arial" w:hAnsi="Arial"/>
          <w:sz w:val="18"/>
          <w:szCs w:val="18"/>
          <w:color w:val="auto"/>
        </w:rPr>
        <w:t>We are also subject to anti-takeover provisions under Delaware law, which could delay or prevent a change of control. Together these provisions may make the removal of management more difficult and may discourage transactions that otherwise could involve payment of a premium over prevailing market prices for our securities.</w:t>
      </w:r>
    </w:p>
    <w:p>
      <w:pPr>
        <w:spacing w:after="0" w:line="168" w:lineRule="exact"/>
        <w:rPr>
          <w:sz w:val="20"/>
          <w:szCs w:val="20"/>
          <w:color w:val="auto"/>
        </w:rPr>
      </w:pPr>
    </w:p>
    <w:p>
      <w:pPr>
        <w:ind w:left="460" w:right="839"/>
        <w:spacing w:after="0" w:line="287" w:lineRule="auto"/>
        <w:rPr>
          <w:sz w:val="20"/>
          <w:szCs w:val="20"/>
          <w:color w:val="auto"/>
        </w:rPr>
      </w:pPr>
      <w:r>
        <w:rPr>
          <w:rFonts w:ascii="Arial" w:cs="Arial" w:eastAsia="Arial" w:hAnsi="Arial"/>
          <w:sz w:val="18"/>
          <w:szCs w:val="18"/>
          <w:b w:val="1"/>
          <w:bCs w:val="1"/>
          <w:color w:val="auto"/>
        </w:rPr>
        <w:t>Provisions in our amended and restated certificate of incorporation and Delaware law may have the effect of discouraging lawsuits against our directors and officers.</w:t>
      </w:r>
    </w:p>
    <w:p>
      <w:pPr>
        <w:spacing w:after="0" w:line="60" w:lineRule="exact"/>
        <w:rPr>
          <w:sz w:val="20"/>
          <w:szCs w:val="20"/>
          <w:color w:val="auto"/>
        </w:rPr>
      </w:pPr>
    </w:p>
    <w:p>
      <w:pPr>
        <w:jc w:val="both"/>
        <w:ind w:left="460" w:right="759"/>
        <w:spacing w:after="0" w:line="262" w:lineRule="auto"/>
        <w:rPr>
          <w:sz w:val="20"/>
          <w:szCs w:val="20"/>
          <w:color w:val="auto"/>
        </w:rPr>
      </w:pPr>
      <w:r>
        <w:rPr>
          <w:rFonts w:ascii="Arial" w:cs="Arial" w:eastAsia="Arial" w:hAnsi="Arial"/>
          <w:sz w:val="17"/>
          <w:szCs w:val="17"/>
          <w:color w:val="auto"/>
        </w:rPr>
        <w:t>Our amended and restated certificate of incorporation requires, unless we consent in writing to the selection of an alternative forum, that (i) any derivative action or proceeding brought on our behalf,</w:t>
      </w:r>
    </w:p>
    <w:p>
      <w:pPr>
        <w:ind w:left="460" w:right="479" w:hanging="6"/>
        <w:spacing w:after="0" w:line="235" w:lineRule="auto"/>
        <w:tabs>
          <w:tab w:leader="none" w:pos="71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director, officer or other employee to us or our stockholders, (iii) any action asserting a claim against us, our directors, officers or employees arising pursuant to any provision of the DGCL or our amended and restated certificate of incorporation or bylaws, or (iv) any action asserting a claim against us, our directors, officers or employees governed by the internal affairs doctrine may be brought only in the Court of Chancery in the State of Delaware, except any claim (A) as to which the Court of Chancery of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as to which the Court of Chancery and the federal district court for the District of Delaware shall have concurrent jurisdiction. If an action is brought outside of Delaware, the stockholder bringing the suit will be deemed to have consented to service of process on such stockholder’s counsel. Although we believe this provision benefits us by providing increased consistency in the application of Delaware law in the types of lawsuits to which it applies, a court may determine that this provision is unenforceable, and to the extent it is enforceable, the provision may have the effect of discouraging lawsuits against our directors and officers, although our stockholders will not be deemed to have waived our compliance with federal securities laws and the rules and regulations thereunder.</w:t>
      </w:r>
    </w:p>
    <w:p>
      <w:pPr>
        <w:spacing w:after="0" w:line="110" w:lineRule="exact"/>
        <w:rPr>
          <w:sz w:val="20"/>
          <w:szCs w:val="20"/>
          <w:color w:val="auto"/>
        </w:rPr>
      </w:pPr>
    </w:p>
    <w:p>
      <w:pPr>
        <w:ind w:left="460" w:right="479"/>
        <w:spacing w:after="0" w:line="245" w:lineRule="auto"/>
        <w:rPr>
          <w:sz w:val="20"/>
          <w:szCs w:val="20"/>
          <w:color w:val="auto"/>
        </w:rPr>
      </w:pPr>
      <w:r>
        <w:rPr>
          <w:rFonts w:ascii="Arial" w:cs="Arial" w:eastAsia="Arial" w:hAnsi="Arial"/>
          <w:sz w:val="18"/>
          <w:szCs w:val="18"/>
          <w:color w:val="auto"/>
        </w:rPr>
        <w:t>Notwithstanding the foregoing, our amended and restated certificate of incorporation provides that the exclusive forum provision will not apply to suits brought to enforce a duty or liability created by the Exchange Act or any other claim for which the federal courts have exclusive jurisdiction. Section 27 of the Exchange Act creates exclusive federal jurisdiction over all suits brought to enforce any duty or liability created by the Exchange Act or the rules and regulations thereunder.</w:t>
      </w:r>
    </w:p>
    <w:p>
      <w:pPr>
        <w:spacing w:after="0" w:line="105" w:lineRule="exact"/>
        <w:rPr>
          <w:sz w:val="20"/>
          <w:szCs w:val="20"/>
          <w:color w:val="auto"/>
        </w:rPr>
      </w:pPr>
    </w:p>
    <w:p>
      <w:pPr>
        <w:jc w:val="both"/>
        <w:ind w:left="460" w:right="719"/>
        <w:spacing w:after="0" w:line="257" w:lineRule="auto"/>
        <w:rPr>
          <w:sz w:val="20"/>
          <w:szCs w:val="20"/>
          <w:color w:val="auto"/>
        </w:rPr>
      </w:pPr>
      <w:r>
        <w:rPr>
          <w:rFonts w:ascii="Arial" w:cs="Arial" w:eastAsia="Arial" w:hAnsi="Arial"/>
          <w:sz w:val="17"/>
          <w:szCs w:val="17"/>
          <w:color w:val="auto"/>
        </w:rPr>
        <w:t>Additionally, unless we consent in writing to the selection of an alternative forum, the federal courts shall be the exclusive forum for the resolution of any complaint asserting a cause of action arising under the Securities Act against us or any of our directors, officers, other employees or agents.</w:t>
      </w:r>
    </w:p>
    <w:p>
      <w:pPr>
        <w:spacing w:after="0" w:line="2"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Section 22 of the Securities Act, however, created concurrent jurisdiction for federal and state courts over all suits brought to enforce any duty or liability created by the Securities Act or the rules and regulations thereunder. Accordingly, there is uncertainty as to whether a court would enforce such provisions, and the enforceability of similar choice of forum provisions in other companies’ charter documents has been challenged in legal proceedings. While the Delaware courts have determined that such exclusive forum provisions are facially valid, a stockholder may nevertheless seek to bring a claim in a venue other than those</w:t>
      </w:r>
    </w:p>
    <w:p>
      <w:pPr>
        <w:sectPr>
          <w:pgSz w:w="11900" w:h="16838" w:orient="portrait"/>
          <w:cols w:equalWidth="0" w:num="1">
            <w:col w:w="9019"/>
          </w:cols>
          <w:pgMar w:left="1440" w:top="265" w:right="1440" w:bottom="1440" w:gutter="0" w:footer="0" w:header="0"/>
        </w:sectPr>
      </w:pP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19050</wp:posOffset>
            </wp:positionV>
            <wp:extent cx="51435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4" w:name="page65"/>
    <w:bookmarkEnd w:id="64"/>
    <w:p>
      <w:pPr>
        <w:ind w:left="460" w:right="519"/>
        <w:spacing w:after="0" w:line="245" w:lineRule="auto"/>
        <w:rPr>
          <w:sz w:val="20"/>
          <w:szCs w:val="20"/>
          <w:color w:val="auto"/>
        </w:rPr>
      </w:pPr>
      <w:r>
        <w:rPr>
          <w:rFonts w:ascii="Arial" w:cs="Arial" w:eastAsia="Arial" w:hAnsi="Arial"/>
          <w:sz w:val="18"/>
          <w:szCs w:val="18"/>
          <w:color w:val="auto"/>
        </w:rPr>
        <w:t>designated in the exclusive forum provisions, and there can be no assurance that such provisions will be enforced by a court in those other jurisdictions. Any person or entity purchasing or otherwise acquiring any interest in our securities shall be deemed to have notice of and consented to these provisions; however, we note that investors cannot waive compliance with the federal securities laws and the rules and regulations thereunder.</w:t>
      </w:r>
    </w:p>
    <w:p>
      <w:pPr>
        <w:spacing w:after="0" w:line="91" w:lineRule="exact"/>
        <w:rPr>
          <w:sz w:val="20"/>
          <w:szCs w:val="20"/>
          <w:color w:val="auto"/>
        </w:rPr>
      </w:pPr>
    </w:p>
    <w:p>
      <w:pPr>
        <w:ind w:left="460" w:right="479"/>
        <w:spacing w:after="0" w:line="248" w:lineRule="auto"/>
        <w:rPr>
          <w:sz w:val="20"/>
          <w:szCs w:val="20"/>
          <w:color w:val="auto"/>
        </w:rPr>
      </w:pPr>
      <w:r>
        <w:rPr>
          <w:rFonts w:ascii="Arial" w:cs="Arial" w:eastAsia="Arial" w:hAnsi="Arial"/>
          <w:sz w:val="18"/>
          <w:szCs w:val="18"/>
          <w:color w:val="auto"/>
        </w:rPr>
        <w:t>Although we believe this provision benefits us by providing increased consistency in the application of Delaware law in the types of lawsuits to which it applies, the provision may limit our stockholders’ ability to obtain a favorable judicial forum for disputes with us and may have the effect of discouraging lawsuits against our directors and officers.</w:t>
      </w:r>
    </w:p>
    <w:p>
      <w:pPr>
        <w:spacing w:after="0" w:line="168" w:lineRule="exact"/>
        <w:rPr>
          <w:sz w:val="20"/>
          <w:szCs w:val="20"/>
          <w:color w:val="auto"/>
        </w:rPr>
      </w:pPr>
    </w:p>
    <w:p>
      <w:pPr>
        <w:ind w:left="460" w:right="859"/>
        <w:spacing w:after="0" w:line="287" w:lineRule="auto"/>
        <w:rPr>
          <w:sz w:val="20"/>
          <w:szCs w:val="20"/>
          <w:color w:val="auto"/>
        </w:rPr>
      </w:pPr>
      <w:r>
        <w:rPr>
          <w:rFonts w:ascii="Arial" w:cs="Arial" w:eastAsia="Arial" w:hAnsi="Arial"/>
          <w:sz w:val="18"/>
          <w:szCs w:val="18"/>
          <w:b w:val="1"/>
          <w:bCs w:val="1"/>
          <w:color w:val="auto"/>
        </w:rPr>
        <w:t>Cyber incidents or attacks directed at us could result in information theft, data corruption, operational disruption and/or financial loss.</w:t>
      </w:r>
    </w:p>
    <w:p>
      <w:pPr>
        <w:spacing w:after="0" w:line="60" w:lineRule="exact"/>
        <w:rPr>
          <w:sz w:val="20"/>
          <w:szCs w:val="20"/>
          <w:color w:val="auto"/>
        </w:rPr>
      </w:pPr>
    </w:p>
    <w:p>
      <w:pPr>
        <w:ind w:left="460" w:right="599"/>
        <w:spacing w:after="0"/>
        <w:rPr>
          <w:sz w:val="20"/>
          <w:szCs w:val="20"/>
          <w:color w:val="auto"/>
        </w:rPr>
      </w:pPr>
      <w:r>
        <w:rPr>
          <w:rFonts w:ascii="Arial" w:cs="Arial" w:eastAsia="Arial" w:hAnsi="Arial"/>
          <w:sz w:val="18"/>
          <w:szCs w:val="18"/>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 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If we effect our initial business combination with a company located outside of the</w:t>
      </w:r>
    </w:p>
    <w:p>
      <w:pPr>
        <w:spacing w:after="0" w:line="2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United States, we would be subject to a variety of additional risks that may adversely affect us.</w:t>
      </w:r>
    </w:p>
    <w:p>
      <w:pPr>
        <w:spacing w:after="0" w:line="134" w:lineRule="exact"/>
        <w:rPr>
          <w:sz w:val="20"/>
          <w:szCs w:val="20"/>
          <w:color w:val="auto"/>
        </w:rPr>
      </w:pPr>
    </w:p>
    <w:p>
      <w:pPr>
        <w:ind w:left="460" w:right="759"/>
        <w:spacing w:after="0" w:line="245" w:lineRule="auto"/>
        <w:rPr>
          <w:sz w:val="20"/>
          <w:szCs w:val="20"/>
          <w:color w:val="auto"/>
        </w:rPr>
      </w:pPr>
      <w:r>
        <w:rPr>
          <w:rFonts w:ascii="Arial" w:cs="Arial" w:eastAsia="Arial" w:hAnsi="Arial"/>
          <w:sz w:val="18"/>
          <w:szCs w:val="18"/>
          <w:color w:val="auto"/>
        </w:rPr>
        <w:t>If we pursue a target company with operations or opportunities outside of the United States for our initial business combination, we may face additional burdens in connection with investigating, agreeing to and completing such initial business combination, and if we effect such initial business combination, we would be subject to a variety of additional risks that may negatively impact our operations.</w:t>
      </w:r>
    </w:p>
    <w:p>
      <w:pPr>
        <w:spacing w:after="0" w:line="91" w:lineRule="exact"/>
        <w:rPr>
          <w:sz w:val="20"/>
          <w:szCs w:val="20"/>
          <w:color w:val="auto"/>
        </w:rPr>
      </w:pPr>
    </w:p>
    <w:p>
      <w:pPr>
        <w:ind w:left="460" w:right="499"/>
        <w:spacing w:after="0" w:line="243" w:lineRule="auto"/>
        <w:rPr>
          <w:sz w:val="20"/>
          <w:szCs w:val="20"/>
          <w:color w:val="auto"/>
        </w:rPr>
      </w:pPr>
      <w:r>
        <w:rPr>
          <w:rFonts w:ascii="Arial" w:cs="Arial" w:eastAsia="Arial" w:hAnsi="Arial"/>
          <w:sz w:val="18"/>
          <w:szCs w:val="18"/>
          <w:color w:val="auto"/>
        </w:rPr>
        <w:t>If we pursue a target a company with operations or opportunities outside of the United States for our initial business combination, we would be subject to risks associated with cross-border business combinations, including in connection with investigating, agreeing to and completing our initial business combination, conducting due diligence in a foreign jurisdiction, having such transaction approved by any local governments, regulators or agencies and changes in the purchase price based on fluctuations in foreign exchange rates.</w:t>
      </w:r>
    </w:p>
    <w:p>
      <w:pPr>
        <w:spacing w:after="0" w:line="106" w:lineRule="exact"/>
        <w:rPr>
          <w:sz w:val="20"/>
          <w:szCs w:val="20"/>
          <w:color w:val="auto"/>
        </w:rPr>
      </w:pPr>
    </w:p>
    <w:p>
      <w:pPr>
        <w:jc w:val="both"/>
        <w:ind w:left="460" w:right="559"/>
        <w:spacing w:after="0" w:line="250" w:lineRule="auto"/>
        <w:rPr>
          <w:sz w:val="20"/>
          <w:szCs w:val="20"/>
          <w:color w:val="auto"/>
        </w:rPr>
      </w:pPr>
      <w:r>
        <w:rPr>
          <w:rFonts w:ascii="Arial" w:cs="Arial" w:eastAsia="Arial" w:hAnsi="Arial"/>
          <w:sz w:val="18"/>
          <w:szCs w:val="18"/>
          <w:color w:val="auto"/>
        </w:rPr>
        <w:t>If we effect our initial business combination with such a company, we would be subject to any special considerations or risks associated with companies operating in an international setting, including any of the following:</w:t>
      </w:r>
    </w:p>
    <w:p>
      <w:pPr>
        <w:spacing w:after="0" w:line="1" w:lineRule="exact"/>
        <w:rPr>
          <w:sz w:val="20"/>
          <w:szCs w:val="20"/>
          <w:color w:val="auto"/>
        </w:rPr>
      </w:pPr>
    </w:p>
    <w:p>
      <w:pPr>
        <w:ind w:left="1100" w:hanging="322"/>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and difficulties inherent in managing cross-border business operations;</w:t>
      </w:r>
    </w:p>
    <w:p>
      <w:pPr>
        <w:spacing w:after="0" w:line="35" w:lineRule="exact"/>
        <w:rPr>
          <w:rFonts w:ascii="Arial" w:cs="Arial" w:eastAsia="Arial" w:hAnsi="Arial"/>
          <w:sz w:val="18"/>
          <w:szCs w:val="18"/>
          <w:color w:val="auto"/>
        </w:rPr>
      </w:pPr>
    </w:p>
    <w:p>
      <w:pPr>
        <w:ind w:left="1100" w:hanging="322"/>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rules and regulations regarding currency redemption;</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complex corporate withholding taxes on individuals;</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laws governing the manner in which future business combinations may be effected;</w:t>
      </w:r>
    </w:p>
    <w:p>
      <w:pPr>
        <w:spacing w:after="0" w:line="35" w:lineRule="exact"/>
        <w:rPr>
          <w:rFonts w:ascii="Arial" w:cs="Arial" w:eastAsia="Arial" w:hAnsi="Arial"/>
          <w:sz w:val="18"/>
          <w:szCs w:val="18"/>
          <w:color w:val="auto"/>
        </w:rPr>
      </w:pPr>
    </w:p>
    <w:p>
      <w:pPr>
        <w:ind w:left="1100" w:hanging="322"/>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exchange listing and/or delisting requirements;</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35" w:lineRule="exact"/>
        <w:rPr>
          <w:rFonts w:ascii="Arial" w:cs="Arial" w:eastAsia="Arial" w:hAnsi="Arial"/>
          <w:sz w:val="18"/>
          <w:szCs w:val="18"/>
          <w:color w:val="auto"/>
        </w:rPr>
      </w:pPr>
    </w:p>
    <w:p>
      <w:pPr>
        <w:ind w:left="1100" w:hanging="322"/>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local or regional economic policies and market conditions;</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challenges in managing and staffing international operations;</w:t>
      </w:r>
    </w:p>
    <w:p>
      <w:pPr>
        <w:spacing w:after="0" w:line="35" w:lineRule="exact"/>
        <w:rPr>
          <w:rFonts w:ascii="Arial" w:cs="Arial" w:eastAsia="Arial" w:hAnsi="Arial"/>
          <w:sz w:val="18"/>
          <w:szCs w:val="18"/>
          <w:color w:val="auto"/>
        </w:rPr>
      </w:pPr>
    </w:p>
    <w:p>
      <w:pPr>
        <w:ind w:left="1100" w:hanging="322"/>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22" w:lineRule="exact"/>
        <w:rPr>
          <w:rFonts w:ascii="Arial" w:cs="Arial" w:eastAsia="Arial" w:hAnsi="Arial"/>
          <w:sz w:val="18"/>
          <w:szCs w:val="18"/>
          <w:color w:val="auto"/>
        </w:rPr>
      </w:pPr>
    </w:p>
    <w:p>
      <w:pPr>
        <w:ind w:left="1100" w:right="1419" w:hanging="322"/>
        <w:spacing w:after="0" w:line="258" w:lineRule="auto"/>
        <w:tabs>
          <w:tab w:leader="none" w:pos="1089"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tax issues, such as tax law changes and variations in tax laws as compared to the United States;</w:t>
      </w:r>
    </w:p>
    <w:p>
      <w:pPr>
        <w:ind w:left="1100" w:hanging="322"/>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rates of inflation;</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challenges in collecting accounts receivable;</w:t>
      </w:r>
    </w:p>
    <w:p>
      <w:pPr>
        <w:spacing w:after="0" w:line="35" w:lineRule="exact"/>
        <w:rPr>
          <w:rFonts w:ascii="Arial" w:cs="Arial" w:eastAsia="Arial" w:hAnsi="Arial"/>
          <w:sz w:val="18"/>
          <w:szCs w:val="18"/>
          <w:color w:val="auto"/>
        </w:rPr>
      </w:pPr>
    </w:p>
    <w:p>
      <w:pPr>
        <w:ind w:left="1100" w:hanging="322"/>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5" w:name="page66"/>
    <w:bookmarkEnd w:id="65"/>
    <w:p>
      <w:pPr>
        <w:ind w:left="1100" w:hanging="322"/>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35" w:lineRule="exact"/>
        <w:rPr>
          <w:rFonts w:ascii="Arial" w:cs="Arial" w:eastAsia="Arial" w:hAnsi="Arial"/>
          <w:sz w:val="18"/>
          <w:szCs w:val="18"/>
          <w:color w:val="auto"/>
        </w:rPr>
      </w:pPr>
    </w:p>
    <w:p>
      <w:pPr>
        <w:ind w:left="1100" w:hanging="322"/>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underdeveloped or unpredictable legal or regulatory systems;</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corruption;</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protection of intellectual property;</w:t>
      </w:r>
    </w:p>
    <w:p>
      <w:pPr>
        <w:spacing w:after="0" w:line="35" w:lineRule="exact"/>
        <w:rPr>
          <w:rFonts w:ascii="Arial" w:cs="Arial" w:eastAsia="Arial" w:hAnsi="Arial"/>
          <w:sz w:val="18"/>
          <w:szCs w:val="18"/>
          <w:color w:val="auto"/>
        </w:rPr>
      </w:pPr>
    </w:p>
    <w:p>
      <w:pPr>
        <w:ind w:left="1100" w:hanging="322"/>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social unrest, crime, strikes, riots and civil disturbances;</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regime changes and political upheaval;</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terrorist attacks and wars; and</w:t>
      </w:r>
    </w:p>
    <w:p>
      <w:pPr>
        <w:spacing w:after="0" w:line="35" w:lineRule="exact"/>
        <w:rPr>
          <w:rFonts w:ascii="Arial" w:cs="Arial" w:eastAsia="Arial" w:hAnsi="Arial"/>
          <w:sz w:val="18"/>
          <w:szCs w:val="18"/>
          <w:color w:val="auto"/>
        </w:rPr>
      </w:pPr>
    </w:p>
    <w:p>
      <w:pPr>
        <w:ind w:left="1100" w:hanging="322"/>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w:t>
      </w:r>
    </w:p>
    <w:p>
      <w:pPr>
        <w:spacing w:after="0" w:line="131" w:lineRule="exact"/>
        <w:rPr>
          <w:sz w:val="20"/>
          <w:szCs w:val="20"/>
          <w:color w:val="auto"/>
        </w:rPr>
      </w:pPr>
    </w:p>
    <w:p>
      <w:pPr>
        <w:ind w:left="460" w:right="479"/>
        <w:spacing w:after="0" w:line="248" w:lineRule="auto"/>
        <w:rPr>
          <w:sz w:val="20"/>
          <w:szCs w:val="20"/>
          <w:color w:val="auto"/>
        </w:rPr>
      </w:pPr>
      <w:r>
        <w:rPr>
          <w:rFonts w:ascii="Arial" w:cs="Arial" w:eastAsia="Arial" w:hAnsi="Arial"/>
          <w:sz w:val="18"/>
          <w:szCs w:val="18"/>
          <w:color w:val="auto"/>
        </w:rPr>
        <w:t>We may not be able to adequately address these additional risks. If we were unable to do so, we may be unable to complete such initial business combination, or, if we complete such initial business combination, our operations might suffer, either of which may adversely impact our business, financial condition and results of operations.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57" w:right="1440"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6" w:lineRule="exact"/>
        <w:rPr>
          <w:sz w:val="20"/>
          <w:szCs w:val="20"/>
          <w:color w:val="auto"/>
        </w:rPr>
      </w:pPr>
    </w:p>
    <w:p>
      <w:pPr>
        <w:ind w:left="460" w:right="479"/>
        <w:spacing w:after="0" w:line="239" w:lineRule="auto"/>
        <w:rPr>
          <w:sz w:val="20"/>
          <w:szCs w:val="20"/>
          <w:color w:val="auto"/>
        </w:rPr>
      </w:pPr>
      <w:r>
        <w:rPr>
          <w:rFonts w:ascii="Arial" w:cs="Arial" w:eastAsia="Arial" w:hAnsi="Arial"/>
          <w:sz w:val="18"/>
          <w:szCs w:val="18"/>
          <w:color w:val="auto"/>
        </w:rPr>
        <w:t>Some of the statements contained in this prospectus may constitute “forward-looking statements” for purposes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Forward-looking statements in this prospectus may include, for example, statements about:</w:t>
      </w:r>
    </w:p>
    <w:p>
      <w:pPr>
        <w:spacing w:after="0" w:line="4" w:lineRule="exact"/>
        <w:rPr>
          <w:sz w:val="20"/>
          <w:szCs w:val="20"/>
          <w:color w:val="auto"/>
        </w:rPr>
      </w:pPr>
    </w:p>
    <w:p>
      <w:pPr>
        <w:ind w:left="1100" w:hanging="322"/>
        <w:spacing w:after="0"/>
        <w:tabs>
          <w:tab w:leader="none" w:pos="11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select an appropriate target business or businesses;</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complete our initial business combination;</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expectations around the performance of the prospective target business or businesses;</w:t>
      </w:r>
    </w:p>
    <w:p>
      <w:pPr>
        <w:spacing w:after="0" w:line="35" w:lineRule="exact"/>
        <w:rPr>
          <w:rFonts w:ascii="Arial" w:cs="Arial" w:eastAsia="Arial" w:hAnsi="Arial"/>
          <w:sz w:val="18"/>
          <w:szCs w:val="18"/>
          <w:color w:val="auto"/>
        </w:rPr>
      </w:pPr>
    </w:p>
    <w:p>
      <w:pPr>
        <w:ind w:left="1100" w:right="659" w:hanging="322"/>
        <w:spacing w:after="0" w:line="250" w:lineRule="auto"/>
        <w:tabs>
          <w:tab w:leader="none" w:pos="1089"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following our initial business combination;</w:t>
      </w:r>
    </w:p>
    <w:p>
      <w:pPr>
        <w:ind w:left="1100" w:right="959" w:hanging="322"/>
        <w:spacing w:after="0" w:line="273" w:lineRule="auto"/>
        <w:tabs>
          <w:tab w:leader="none" w:pos="1089"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officers and directors allocating their time to other businesses and potentially having conflicts of interest with our business or in approving our initial business combination;</w:t>
      </w:r>
    </w:p>
    <w:p>
      <w:pPr>
        <w:ind w:left="1100" w:hanging="322"/>
        <w:spacing w:after="0"/>
        <w:tabs>
          <w:tab w:leader="none" w:pos="11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proceeds of forward purchase shares being available to us;</w:t>
      </w:r>
    </w:p>
    <w:p>
      <w:pPr>
        <w:spacing w:after="0" w:line="35" w:lineRule="exact"/>
        <w:rPr>
          <w:rFonts w:ascii="Arial" w:cs="Arial" w:eastAsia="Arial" w:hAnsi="Arial"/>
          <w:sz w:val="18"/>
          <w:szCs w:val="18"/>
          <w:color w:val="auto"/>
        </w:rPr>
      </w:pPr>
    </w:p>
    <w:p>
      <w:pPr>
        <w:ind w:left="1100" w:hanging="322"/>
        <w:spacing w:after="0"/>
        <w:tabs>
          <w:tab w:leader="none" w:pos="11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potential ability to obtain additional financing to complete our initial business combination;</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pool of prospective target businesses;</w:t>
      </w:r>
    </w:p>
    <w:p>
      <w:pPr>
        <w:spacing w:after="0" w:line="36" w:lineRule="exact"/>
        <w:rPr>
          <w:rFonts w:ascii="Arial" w:cs="Arial" w:eastAsia="Arial" w:hAnsi="Arial"/>
          <w:sz w:val="18"/>
          <w:szCs w:val="18"/>
          <w:color w:val="auto"/>
        </w:rPr>
      </w:pPr>
    </w:p>
    <w:p>
      <w:pPr>
        <w:ind w:left="1100" w:right="459" w:hanging="322"/>
        <w:spacing w:after="0" w:line="258" w:lineRule="auto"/>
        <w:tabs>
          <w:tab w:leader="none" w:pos="1089"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consummate an initial business combination due to the uncertainty resulting from the COVID-19 pandemic;</w:t>
      </w:r>
    </w:p>
    <w:p>
      <w:pPr>
        <w:ind w:left="1100" w:right="1479" w:hanging="322"/>
        <w:spacing w:after="0" w:line="250" w:lineRule="auto"/>
        <w:tabs>
          <w:tab w:leader="none" w:pos="1089"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business combination opportunities;</w:t>
      </w:r>
    </w:p>
    <w:p>
      <w:pPr>
        <w:ind w:left="1100" w:hanging="322"/>
        <w:spacing w:after="0"/>
        <w:tabs>
          <w:tab w:leader="none" w:pos="11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35" w:lineRule="exact"/>
        <w:rPr>
          <w:rFonts w:ascii="Arial" w:cs="Arial" w:eastAsia="Arial" w:hAnsi="Arial"/>
          <w:sz w:val="18"/>
          <w:szCs w:val="18"/>
          <w:color w:val="auto"/>
        </w:rPr>
      </w:pPr>
    </w:p>
    <w:p>
      <w:pPr>
        <w:ind w:left="1100" w:right="739" w:hanging="322"/>
        <w:spacing w:after="0" w:line="250" w:lineRule="auto"/>
        <w:tabs>
          <w:tab w:leader="none" w:pos="1089"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use of proceeds not held in the trust account or available to us from interest income on the trust account balance;</w:t>
      </w:r>
    </w:p>
    <w:p>
      <w:pPr>
        <w:ind w:left="1100" w:hanging="322"/>
        <w:spacing w:after="0"/>
        <w:tabs>
          <w:tab w:leader="none" w:pos="11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trust account not being subject to claims of third parties; or</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financial performance following this offering.</w:t>
      </w:r>
    </w:p>
    <w:p>
      <w:pPr>
        <w:spacing w:after="0" w:line="131" w:lineRule="exact"/>
        <w:rPr>
          <w:sz w:val="20"/>
          <w:szCs w:val="20"/>
          <w:color w:val="auto"/>
        </w:rPr>
      </w:pPr>
    </w:p>
    <w:p>
      <w:pPr>
        <w:ind w:left="460" w:right="459"/>
        <w:spacing w:after="0" w:line="238" w:lineRule="auto"/>
        <w:rPr>
          <w:sz w:val="20"/>
          <w:szCs w:val="20"/>
          <w:color w:val="auto"/>
        </w:rPr>
      </w:pPr>
      <w:r>
        <w:rPr>
          <w:rFonts w:ascii="Arial" w:cs="Arial" w:eastAsia="Arial" w:hAnsi="Arial"/>
          <w:sz w:val="18"/>
          <w:szCs w:val="18"/>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46" w:lineRule="exact"/>
        <w:rPr>
          <w:sz w:val="20"/>
          <w:szCs w:val="20"/>
          <w:color w:val="auto"/>
        </w:rPr>
      </w:pPr>
    </w:p>
    <w:p>
      <w:pPr>
        <w:ind w:left="460" w:right="499"/>
        <w:spacing w:after="0" w:line="255" w:lineRule="auto"/>
        <w:rPr>
          <w:sz w:val="20"/>
          <w:szCs w:val="20"/>
          <w:color w:val="auto"/>
        </w:rPr>
      </w:pPr>
      <w:r>
        <w:rPr>
          <w:rFonts w:ascii="Arial" w:cs="Arial" w:eastAsia="Arial" w:hAnsi="Arial"/>
          <w:sz w:val="18"/>
          <w:szCs w:val="18"/>
          <w:color w:val="auto"/>
        </w:rPr>
        <w:t>We are offering 38,500,000 units at an offering price of $10.00 per unit. We estimate that the net proceeds of this offering together with the funds we will receive from the sale of the private placement warrants will be used as set forth in the following table.</w:t>
      </w:r>
    </w:p>
    <w:p>
      <w:pPr>
        <w:spacing w:after="0" w:line="131"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Without</w:t>
            </w:r>
          </w:p>
        </w:tc>
        <w:tc>
          <w:tcPr>
            <w:tcW w:w="120" w:type="dxa"/>
            <w:vAlign w:val="bottom"/>
          </w:tcPr>
          <w:p>
            <w:pPr>
              <w:spacing w:after="0"/>
              <w:rPr>
                <w:sz w:val="14"/>
                <w:szCs w:val="14"/>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Over-allotment</w:t>
            </w:r>
          </w:p>
        </w:tc>
        <w:tc>
          <w:tcPr>
            <w:tcW w:w="0" w:type="dxa"/>
            <w:vAlign w:val="bottom"/>
          </w:tcPr>
          <w:p>
            <w:pPr>
              <w:spacing w:after="0"/>
              <w:rPr>
                <w:sz w:val="1"/>
                <w:szCs w:val="1"/>
                <w:color w:val="auto"/>
              </w:rPr>
            </w:pPr>
          </w:p>
        </w:tc>
      </w:tr>
      <w:tr>
        <w:trPr>
          <w:trHeight w:val="162"/>
        </w:trPr>
        <w:tc>
          <w:tcPr>
            <w:tcW w:w="5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Over-allotment</w:t>
            </w:r>
          </w:p>
        </w:tc>
        <w:tc>
          <w:tcPr>
            <w:tcW w:w="120" w:type="dxa"/>
            <w:vAlign w:val="bottom"/>
          </w:tcPr>
          <w:p>
            <w:pPr>
              <w:spacing w:after="0"/>
              <w:rPr>
                <w:sz w:val="14"/>
                <w:szCs w:val="14"/>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211"/>
        </w:trPr>
        <w:tc>
          <w:tcPr>
            <w:tcW w:w="5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Option</w:t>
            </w:r>
          </w:p>
        </w:tc>
        <w:tc>
          <w:tcPr>
            <w:tcW w:w="12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Exercised</w:t>
            </w:r>
          </w:p>
        </w:tc>
        <w:tc>
          <w:tcPr>
            <w:tcW w:w="0" w:type="dxa"/>
            <w:vAlign w:val="bottom"/>
          </w:tcPr>
          <w:p>
            <w:pPr>
              <w:spacing w:after="0"/>
              <w:rPr>
                <w:sz w:val="1"/>
                <w:szCs w:val="1"/>
                <w:color w:val="auto"/>
              </w:rPr>
            </w:pPr>
          </w:p>
        </w:tc>
      </w:tr>
      <w:tr>
        <w:trPr>
          <w:trHeight w:val="263"/>
        </w:trPr>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Gross proceeds</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1020" w:type="dxa"/>
            <w:vAlign w:val="bottom"/>
            <w:tcBorders>
              <w:top w:val="single" w:sz="8" w:color="auto"/>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5240" w:type="dxa"/>
            <w:vAlign w:val="bottom"/>
          </w:tcPr>
          <w:p>
            <w:pPr>
              <w:ind w:left="180"/>
              <w:spacing w:after="0"/>
              <w:rPr>
                <w:sz w:val="20"/>
                <w:szCs w:val="20"/>
                <w:color w:val="auto"/>
              </w:rPr>
            </w:pPr>
            <w:r>
              <w:rPr>
                <w:rFonts w:ascii="Arial" w:cs="Arial" w:eastAsia="Arial" w:hAnsi="Arial"/>
                <w:sz w:val="18"/>
                <w:szCs w:val="18"/>
                <w:color w:val="auto"/>
              </w:rPr>
              <w:t>Gross proceeds from units offered to public</w:t>
            </w:r>
            <w:r>
              <w:rPr>
                <w:rFonts w:ascii="Arial" w:cs="Arial" w:eastAsia="Arial" w:hAnsi="Arial"/>
                <w:sz w:val="20"/>
                <w:szCs w:val="20"/>
                <w:color w:val="auto"/>
                <w:vertAlign w:val="superscript"/>
              </w:rPr>
              <w:t>(1)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385,000,000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442,750,000</w:t>
            </w:r>
          </w:p>
        </w:tc>
        <w:tc>
          <w:tcPr>
            <w:tcW w:w="0" w:type="dxa"/>
            <w:vAlign w:val="bottom"/>
          </w:tcPr>
          <w:p>
            <w:pPr>
              <w:spacing w:after="0"/>
              <w:rPr>
                <w:sz w:val="1"/>
                <w:szCs w:val="1"/>
                <w:color w:val="auto"/>
              </w:rPr>
            </w:pPr>
          </w:p>
        </w:tc>
      </w:tr>
      <w:tr>
        <w:trPr>
          <w:trHeight w:val="180"/>
        </w:trPr>
        <w:tc>
          <w:tcPr>
            <w:tcW w:w="5240" w:type="dxa"/>
            <w:vAlign w:val="bottom"/>
            <w:shd w:val="clear" w:color="auto" w:fill="CCEEFF"/>
          </w:tcPr>
          <w:p>
            <w:pPr>
              <w:ind w:left="180"/>
              <w:spacing w:after="0" w:line="180" w:lineRule="exact"/>
              <w:rPr>
                <w:sz w:val="20"/>
                <w:szCs w:val="20"/>
                <w:color w:val="auto"/>
              </w:rPr>
            </w:pPr>
            <w:r>
              <w:rPr>
                <w:rFonts w:ascii="Arial" w:cs="Arial" w:eastAsia="Arial" w:hAnsi="Arial"/>
                <w:sz w:val="18"/>
                <w:szCs w:val="18"/>
                <w:color w:val="auto"/>
              </w:rPr>
              <w:t>Gross proceeds from private placement warrants offered in the</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private placement</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9,700,000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10,855,000</w:t>
            </w:r>
          </w:p>
        </w:tc>
        <w:tc>
          <w:tcPr>
            <w:tcW w:w="0" w:type="dxa"/>
            <w:vAlign w:val="bottom"/>
          </w:tcPr>
          <w:p>
            <w:pPr>
              <w:spacing w:after="0"/>
              <w:rPr>
                <w:sz w:val="1"/>
                <w:szCs w:val="1"/>
                <w:color w:val="auto"/>
              </w:rPr>
            </w:pPr>
          </w:p>
        </w:tc>
      </w:tr>
      <w:tr>
        <w:trPr>
          <w:trHeight w:val="20"/>
        </w:trPr>
        <w:tc>
          <w:tcPr>
            <w:tcW w:w="5240" w:type="dxa"/>
            <w:vAlign w:val="bottom"/>
            <w:vMerge w:val="restart"/>
          </w:tcPr>
          <w:p>
            <w:pPr>
              <w:ind w:left="360"/>
              <w:spacing w:after="0"/>
              <w:rPr>
                <w:sz w:val="20"/>
                <w:szCs w:val="20"/>
                <w:color w:val="auto"/>
              </w:rPr>
            </w:pPr>
            <w:r>
              <w:rPr>
                <w:rFonts w:ascii="Arial" w:cs="Arial" w:eastAsia="Arial" w:hAnsi="Arial"/>
                <w:sz w:val="18"/>
                <w:szCs w:val="18"/>
                <w:color w:val="auto"/>
              </w:rPr>
              <w:t>Total gross proceeds</w:t>
            </w: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52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394,700,000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453,605,000</w:t>
            </w:r>
          </w:p>
        </w:tc>
        <w:tc>
          <w:tcPr>
            <w:tcW w:w="0" w:type="dxa"/>
            <w:vAlign w:val="bottom"/>
          </w:tcPr>
          <w:p>
            <w:pPr>
              <w:spacing w:after="0"/>
              <w:rPr>
                <w:sz w:val="1"/>
                <w:szCs w:val="1"/>
                <w:color w:val="auto"/>
              </w:rPr>
            </w:pPr>
          </w:p>
        </w:tc>
      </w:tr>
      <w:tr>
        <w:trPr>
          <w:trHeight w:val="282"/>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Estimated offering expenses</w:t>
            </w:r>
            <w:r>
              <w:rPr>
                <w:rFonts w:ascii="Arial" w:cs="Arial" w:eastAsia="Arial" w:hAnsi="Arial"/>
                <w:sz w:val="20"/>
                <w:szCs w:val="20"/>
                <w:color w:val="auto"/>
                <w:vertAlign w:val="superscript"/>
              </w:rPr>
              <w:t>(2)</w:t>
            </w:r>
          </w:p>
        </w:tc>
        <w:tc>
          <w:tcPr>
            <w:tcW w:w="8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1100" w:type="dxa"/>
            <w:vAlign w:val="bottom"/>
            <w:tcBorders>
              <w:top w:val="single" w:sz="8" w:color="auto"/>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240" w:type="dxa"/>
            <w:vAlign w:val="bottom"/>
          </w:tcPr>
          <w:p>
            <w:pPr>
              <w:ind w:left="180"/>
              <w:spacing w:after="0" w:line="180" w:lineRule="exact"/>
              <w:rPr>
                <w:sz w:val="20"/>
                <w:szCs w:val="20"/>
                <w:color w:val="auto"/>
              </w:rPr>
            </w:pPr>
            <w:r>
              <w:rPr>
                <w:rFonts w:ascii="Arial" w:cs="Arial" w:eastAsia="Arial" w:hAnsi="Arial"/>
                <w:sz w:val="18"/>
                <w:szCs w:val="18"/>
                <w:color w:val="auto"/>
              </w:rPr>
              <w:t>Underwriting commissions (2.0% of gross proceeds from units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5240" w:type="dxa"/>
            <w:vAlign w:val="bottom"/>
          </w:tcPr>
          <w:p>
            <w:pPr>
              <w:ind w:left="360"/>
              <w:spacing w:after="0"/>
              <w:rPr>
                <w:sz w:val="20"/>
                <w:szCs w:val="20"/>
                <w:color w:val="auto"/>
              </w:rPr>
            </w:pPr>
            <w:r>
              <w:rPr>
                <w:rFonts w:ascii="Arial" w:cs="Arial" w:eastAsia="Arial" w:hAnsi="Arial"/>
                <w:sz w:val="18"/>
                <w:szCs w:val="18"/>
                <w:color w:val="auto"/>
              </w:rPr>
              <w:t>offered to public, excluding deferred portion)</w:t>
            </w:r>
            <w:r>
              <w:rPr>
                <w:rFonts w:ascii="Arial" w:cs="Arial" w:eastAsia="Arial" w:hAnsi="Arial"/>
                <w:sz w:val="20"/>
                <w:szCs w:val="20"/>
                <w:color w:val="auto"/>
                <w:vertAlign w:val="superscript"/>
              </w:rPr>
              <w:t>(3)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7,700,000</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8,855,000</w:t>
            </w:r>
          </w:p>
        </w:tc>
        <w:tc>
          <w:tcPr>
            <w:tcW w:w="0" w:type="dxa"/>
            <w:vAlign w:val="bottom"/>
          </w:tcPr>
          <w:p>
            <w:pPr>
              <w:spacing w:after="0"/>
              <w:rPr>
                <w:sz w:val="1"/>
                <w:szCs w:val="1"/>
                <w:color w:val="auto"/>
              </w:rPr>
            </w:pPr>
          </w:p>
        </w:tc>
      </w:tr>
      <w:tr>
        <w:trPr>
          <w:trHeight w:val="263"/>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Legal fees and expenses</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325,000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325,000</w:t>
            </w:r>
          </w:p>
        </w:tc>
        <w:tc>
          <w:tcPr>
            <w:tcW w:w="0" w:type="dxa"/>
            <w:vAlign w:val="bottom"/>
          </w:tcPr>
          <w:p>
            <w:pPr>
              <w:spacing w:after="0"/>
              <w:rPr>
                <w:sz w:val="1"/>
                <w:szCs w:val="1"/>
                <w:color w:val="auto"/>
              </w:rPr>
            </w:pPr>
          </w:p>
        </w:tc>
      </w:tr>
      <w:tr>
        <w:trPr>
          <w:trHeight w:val="261"/>
        </w:trPr>
        <w:tc>
          <w:tcPr>
            <w:tcW w:w="5240" w:type="dxa"/>
            <w:vAlign w:val="bottom"/>
          </w:tcPr>
          <w:p>
            <w:pPr>
              <w:ind w:left="180"/>
              <w:spacing w:after="0"/>
              <w:rPr>
                <w:sz w:val="20"/>
                <w:szCs w:val="20"/>
                <w:color w:val="auto"/>
              </w:rPr>
            </w:pPr>
            <w:r>
              <w:rPr>
                <w:rFonts w:ascii="Arial" w:cs="Arial" w:eastAsia="Arial" w:hAnsi="Arial"/>
                <w:sz w:val="18"/>
                <w:szCs w:val="18"/>
                <w:color w:val="auto"/>
              </w:rPr>
              <w:t>Printing and engraving expenses</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Accounting fees and expenses</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61"/>
        </w:trPr>
        <w:tc>
          <w:tcPr>
            <w:tcW w:w="5240" w:type="dxa"/>
            <w:vAlign w:val="bottom"/>
          </w:tcPr>
          <w:p>
            <w:pPr>
              <w:ind w:left="180"/>
              <w:spacing w:after="0"/>
              <w:rPr>
                <w:sz w:val="20"/>
                <w:szCs w:val="20"/>
                <w:color w:val="auto"/>
              </w:rPr>
            </w:pPr>
            <w:r>
              <w:rPr>
                <w:rFonts w:ascii="Arial" w:cs="Arial" w:eastAsia="Arial" w:hAnsi="Arial"/>
                <w:sz w:val="18"/>
                <w:szCs w:val="18"/>
                <w:color w:val="auto"/>
              </w:rPr>
              <w:t>SEC/FINRA Expenses</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124,382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124,382</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Road show expenses</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61"/>
        </w:trPr>
        <w:tc>
          <w:tcPr>
            <w:tcW w:w="5240" w:type="dxa"/>
            <w:vAlign w:val="bottom"/>
          </w:tcPr>
          <w:p>
            <w:pPr>
              <w:ind w:left="180"/>
              <w:spacing w:after="0"/>
              <w:rPr>
                <w:sz w:val="20"/>
                <w:szCs w:val="20"/>
                <w:color w:val="auto"/>
              </w:rPr>
            </w:pPr>
            <w:r>
              <w:rPr>
                <w:rFonts w:ascii="Arial" w:cs="Arial" w:eastAsia="Arial" w:hAnsi="Arial"/>
                <w:sz w:val="18"/>
                <w:szCs w:val="18"/>
                <w:color w:val="auto"/>
              </w:rPr>
              <w:t>Nasdaq listing and filing fees</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Directors and officers insurance</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79"/>
        </w:trPr>
        <w:tc>
          <w:tcPr>
            <w:tcW w:w="5240" w:type="dxa"/>
            <w:vAlign w:val="bottom"/>
          </w:tcPr>
          <w:p>
            <w:pPr>
              <w:ind w:left="180"/>
              <w:spacing w:after="0"/>
              <w:rPr>
                <w:sz w:val="20"/>
                <w:szCs w:val="20"/>
                <w:color w:val="auto"/>
              </w:rPr>
            </w:pPr>
            <w:r>
              <w:rPr>
                <w:rFonts w:ascii="Arial" w:cs="Arial" w:eastAsia="Arial" w:hAnsi="Arial"/>
                <w:sz w:val="18"/>
                <w:szCs w:val="18"/>
                <w:color w:val="auto"/>
              </w:rPr>
              <w:t>Miscellaneous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235,618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235,618</w:t>
            </w:r>
          </w:p>
        </w:tc>
        <w:tc>
          <w:tcPr>
            <w:tcW w:w="0" w:type="dxa"/>
            <w:vAlign w:val="bottom"/>
          </w:tcPr>
          <w:p>
            <w:pPr>
              <w:spacing w:after="0"/>
              <w:rPr>
                <w:sz w:val="1"/>
                <w:szCs w:val="1"/>
                <w:color w:val="auto"/>
              </w:rPr>
            </w:pPr>
          </w:p>
        </w:tc>
      </w:tr>
      <w:tr>
        <w:trPr>
          <w:trHeight w:val="164"/>
        </w:trPr>
        <w:tc>
          <w:tcPr>
            <w:tcW w:w="5240" w:type="dxa"/>
            <w:vAlign w:val="bottom"/>
            <w:tcBorders>
              <w:top w:val="single" w:sz="8" w:color="CCEEFF"/>
            </w:tcBorders>
            <w:shd w:val="clear" w:color="auto" w:fill="CCEEFF"/>
          </w:tcPr>
          <w:p>
            <w:pPr>
              <w:ind w:left="360"/>
              <w:spacing w:after="0" w:line="164" w:lineRule="exact"/>
              <w:rPr>
                <w:sz w:val="20"/>
                <w:szCs w:val="20"/>
                <w:color w:val="auto"/>
              </w:rPr>
            </w:pPr>
            <w:r>
              <w:rPr>
                <w:rFonts w:ascii="Arial" w:cs="Arial" w:eastAsia="Arial" w:hAnsi="Arial"/>
                <w:sz w:val="18"/>
                <w:szCs w:val="18"/>
                <w:color w:val="auto"/>
              </w:rPr>
              <w:t>Total offering expenses (other than underwriting</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5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commissions)</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Proceeds after estimated offering expenses</w:t>
            </w: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386,000,000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443,750,000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Held in trust account</w:t>
            </w:r>
            <w:r>
              <w:rPr>
                <w:rFonts w:ascii="Arial" w:cs="Arial" w:eastAsia="Arial" w:hAnsi="Arial"/>
                <w:sz w:val="20"/>
                <w:szCs w:val="20"/>
                <w:color w:val="auto"/>
                <w:vertAlign w:val="superscript"/>
              </w:rPr>
              <w:t>(3)</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385,000,000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442,750,000</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 of public offering size</w:t>
            </w: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7"/>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Not held in trust account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460" w:right="779"/>
        <w:spacing w:after="0" w:line="299" w:lineRule="auto"/>
        <w:rPr>
          <w:sz w:val="20"/>
          <w:szCs w:val="20"/>
          <w:color w:val="auto"/>
        </w:rPr>
      </w:pPr>
      <w:r>
        <w:rPr>
          <w:rFonts w:ascii="Arial" w:cs="Arial" w:eastAsia="Arial" w:hAnsi="Arial"/>
          <w:sz w:val="18"/>
          <w:szCs w:val="18"/>
          <w:color w:val="auto"/>
        </w:rPr>
        <w:t>The following table shows the use of the approximately $1,000,000 of net proceeds not held in the trust account</w:t>
      </w:r>
      <w:r>
        <w:rPr>
          <w:rFonts w:ascii="Arial" w:cs="Arial" w:eastAsia="Arial" w:hAnsi="Arial"/>
          <w:sz w:val="20"/>
          <w:szCs w:val="20"/>
          <w:color w:val="auto"/>
          <w:vertAlign w:val="superscript"/>
        </w:rPr>
        <w:t>(4)</w:t>
      </w:r>
    </w:p>
    <w:p>
      <w:pPr>
        <w:spacing w:after="0" w:line="125" w:lineRule="exact"/>
        <w:rPr>
          <w:sz w:val="20"/>
          <w:szCs w:val="20"/>
          <w:color w:val="auto"/>
        </w:rPr>
      </w:pPr>
    </w:p>
    <w:tbl>
      <w:tblPr>
        <w:tblLayout w:type="fixed"/>
        <w:tblInd w:w="460" w:type="dxa"/>
        <w:tblCellMar>
          <w:top w:w="0" w:type="dxa"/>
          <w:left w:w="0" w:type="dxa"/>
          <w:bottom w:w="0" w:type="dxa"/>
          <w:right w:w="0" w:type="dxa"/>
        </w:tblCellMar>
      </w:tblPr>
      <w:tr>
        <w:trPr>
          <w:trHeight w:val="211"/>
        </w:trPr>
        <w:tc>
          <w:tcPr>
            <w:tcW w:w="5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14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of Total</w:t>
            </w:r>
          </w:p>
        </w:tc>
      </w:tr>
      <w:tr>
        <w:trPr>
          <w:trHeight w:val="166"/>
        </w:trPr>
        <w:tc>
          <w:tcPr>
            <w:tcW w:w="5360" w:type="dxa"/>
            <w:vAlign w:val="bottom"/>
            <w:tcBorders>
              <w:top w:val="single" w:sz="8" w:color="CCEEFF"/>
            </w:tcBorders>
            <w:shd w:val="clear" w:color="auto" w:fill="CCEEFF"/>
          </w:tcPr>
          <w:p>
            <w:pPr>
              <w:spacing w:after="0" w:line="166" w:lineRule="exact"/>
              <w:rPr>
                <w:sz w:val="20"/>
                <w:szCs w:val="20"/>
                <w:color w:val="auto"/>
              </w:rPr>
            </w:pPr>
            <w:r>
              <w:rPr>
                <w:rFonts w:ascii="Arial" w:cs="Arial" w:eastAsia="Arial" w:hAnsi="Arial"/>
                <w:sz w:val="18"/>
                <w:szCs w:val="18"/>
                <w:color w:val="auto"/>
              </w:rPr>
              <w:t>Legal, accounting, due diligence, travel, and other expenses in</w:t>
            </w:r>
          </w:p>
        </w:tc>
        <w:tc>
          <w:tcPr>
            <w:tcW w:w="2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r>
      <w:tr>
        <w:trPr>
          <w:trHeight w:val="266"/>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connection with any business combination</w:t>
            </w:r>
            <w:r>
              <w:rPr>
                <w:rFonts w:ascii="Arial" w:cs="Arial" w:eastAsia="Arial" w:hAnsi="Arial"/>
                <w:sz w:val="20"/>
                <w:szCs w:val="20"/>
                <w:color w:val="auto"/>
                <w:vertAlign w:val="superscript"/>
              </w:rPr>
              <w:t>(5)</w:t>
            </w:r>
          </w:p>
        </w:tc>
        <w:tc>
          <w:tcPr>
            <w:tcW w:w="2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740,000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74.0%</w:t>
            </w:r>
          </w:p>
        </w:tc>
      </w:tr>
      <w:tr>
        <w:trPr>
          <w:trHeight w:val="180"/>
        </w:trPr>
        <w:tc>
          <w:tcPr>
            <w:tcW w:w="5360" w:type="dxa"/>
            <w:vAlign w:val="bottom"/>
          </w:tcPr>
          <w:p>
            <w:pPr>
              <w:spacing w:after="0" w:line="180" w:lineRule="exact"/>
              <w:rPr>
                <w:sz w:val="20"/>
                <w:szCs w:val="20"/>
                <w:color w:val="auto"/>
              </w:rPr>
            </w:pPr>
            <w:r>
              <w:rPr>
                <w:rFonts w:ascii="Arial" w:cs="Arial" w:eastAsia="Arial" w:hAnsi="Arial"/>
                <w:sz w:val="18"/>
                <w:szCs w:val="18"/>
                <w:color w:val="auto"/>
              </w:rPr>
              <w:t>Legal and accounting fees related to regulatory reporting</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43"/>
        </w:trPr>
        <w:tc>
          <w:tcPr>
            <w:tcW w:w="5360" w:type="dxa"/>
            <w:vAlign w:val="bottom"/>
          </w:tcPr>
          <w:p>
            <w:pPr>
              <w:ind w:left="180"/>
              <w:spacing w:after="0"/>
              <w:rPr>
                <w:sz w:val="20"/>
                <w:szCs w:val="20"/>
                <w:color w:val="auto"/>
              </w:rPr>
            </w:pPr>
            <w:r>
              <w:rPr>
                <w:rFonts w:ascii="Arial" w:cs="Arial" w:eastAsia="Arial" w:hAnsi="Arial"/>
                <w:sz w:val="18"/>
                <w:szCs w:val="18"/>
                <w:color w:val="auto"/>
              </w:rPr>
              <w:t>obligations</w:t>
            </w:r>
          </w:p>
        </w:tc>
        <w:tc>
          <w:tcPr>
            <w:tcW w:w="24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85,000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8.5%</w:t>
            </w:r>
          </w:p>
        </w:tc>
      </w:tr>
      <w:tr>
        <w:trPr>
          <w:trHeight w:val="23"/>
        </w:trPr>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63"/>
        </w:trPr>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Nasdaq and other regulatory fees</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180"/>
        </w:trPr>
        <w:tc>
          <w:tcPr>
            <w:tcW w:w="5360" w:type="dxa"/>
            <w:vAlign w:val="bottom"/>
          </w:tcPr>
          <w:p>
            <w:pPr>
              <w:spacing w:after="0" w:line="180" w:lineRule="exact"/>
              <w:rPr>
                <w:sz w:val="20"/>
                <w:szCs w:val="20"/>
                <w:color w:val="auto"/>
              </w:rPr>
            </w:pPr>
            <w:r>
              <w:rPr>
                <w:rFonts w:ascii="Arial" w:cs="Arial" w:eastAsia="Arial" w:hAnsi="Arial"/>
                <w:sz w:val="18"/>
                <w:szCs w:val="18"/>
                <w:color w:val="auto"/>
              </w:rPr>
              <w:t>Consulting, travel and miscellaneous expenses incurred during</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43"/>
        </w:trPr>
        <w:tc>
          <w:tcPr>
            <w:tcW w:w="5360" w:type="dxa"/>
            <w:vAlign w:val="bottom"/>
          </w:tcPr>
          <w:p>
            <w:pPr>
              <w:ind w:left="180"/>
              <w:spacing w:after="0"/>
              <w:rPr>
                <w:sz w:val="20"/>
                <w:szCs w:val="20"/>
                <w:color w:val="auto"/>
              </w:rPr>
            </w:pPr>
            <w:r>
              <w:rPr>
                <w:rFonts w:ascii="Arial" w:cs="Arial" w:eastAsia="Arial" w:hAnsi="Arial"/>
                <w:sz w:val="18"/>
                <w:szCs w:val="18"/>
                <w:color w:val="auto"/>
              </w:rPr>
              <w:t>search for initial business combination target</w:t>
            </w:r>
          </w:p>
        </w:tc>
        <w:tc>
          <w:tcPr>
            <w:tcW w:w="24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75,000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7.5%</w:t>
            </w:r>
          </w:p>
        </w:tc>
      </w:tr>
      <w:tr>
        <w:trPr>
          <w:trHeight w:val="23"/>
        </w:trPr>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79"/>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to cover miscellaneous expenses</w:t>
            </w: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5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95"/>
        </w:trPr>
        <w:tc>
          <w:tcPr>
            <w:tcW w:w="536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1,000,000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64"/>
        </w:trPr>
        <w:tc>
          <w:tcPr>
            <w:tcW w:w="536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r>
    </w:tbl>
    <w:p>
      <w:pPr>
        <w:spacing w:after="0" w:line="3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7" w:lineRule="exact"/>
        <w:rPr>
          <w:sz w:val="20"/>
          <w:szCs w:val="20"/>
          <w:color w:val="auto"/>
        </w:rPr>
      </w:pPr>
    </w:p>
    <w:p>
      <w:pPr>
        <w:ind w:left="880" w:right="639" w:hanging="426"/>
        <w:spacing w:after="0" w:line="216" w:lineRule="auto"/>
        <w:tabs>
          <w:tab w:leader="none" w:pos="882" w:val="left"/>
        </w:tabs>
        <w:numPr>
          <w:ilvl w:val="0"/>
          <w:numId w:val="31"/>
        </w:numPr>
        <w:rPr>
          <w:rFonts w:ascii="Arial" w:cs="Arial" w:eastAsia="Arial" w:hAnsi="Arial"/>
          <w:sz w:val="13"/>
          <w:szCs w:val="13"/>
          <w:color w:val="auto"/>
        </w:rPr>
      </w:pPr>
      <w:r>
        <w:rPr>
          <w:rFonts w:ascii="Arial" w:cs="Arial" w:eastAsia="Arial" w:hAnsi="Arial"/>
          <w:sz w:val="13"/>
          <w:szCs w:val="13"/>
          <w:color w:val="auto"/>
        </w:rPr>
        <w:t>Includes amounts payable to public stockholders who properly redeem their shares in connection with our successful completion of our initial business combination.</w:t>
      </w:r>
    </w:p>
    <w:p>
      <w:pPr>
        <w:ind w:left="880" w:right="499" w:hanging="426"/>
        <w:spacing w:after="0" w:line="224" w:lineRule="auto"/>
        <w:tabs>
          <w:tab w:leader="none" w:pos="875" w:val="left"/>
        </w:tabs>
        <w:numPr>
          <w:ilvl w:val="0"/>
          <w:numId w:val="31"/>
        </w:numPr>
        <w:rPr>
          <w:rFonts w:ascii="Arial" w:cs="Arial" w:eastAsia="Arial" w:hAnsi="Arial"/>
          <w:sz w:val="13"/>
          <w:szCs w:val="13"/>
          <w:color w:val="auto"/>
        </w:rPr>
      </w:pPr>
      <w:r>
        <w:rPr>
          <w:rFonts w:ascii="Arial" w:cs="Arial" w:eastAsia="Arial" w:hAnsi="Arial"/>
          <w:sz w:val="13"/>
          <w:szCs w:val="13"/>
          <w:color w:val="auto"/>
        </w:rPr>
        <w:t>A portion of the offering expenses will be paid from the proceeds of loans from our sponsor of up to $300,000 as described in this prospectus. These loans will be repaid upon completion of this offering out of the $1,000,000 of offering proceeds that has been allocated for the payment of offering expenses other than underwriting commissions. In the event that offering expenses are less than set forth in this table, any such amounts will be used for post-closing working capital expenses.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sectPr>
      </w:pPr>
    </w:p>
    <w:bookmarkStart w:id="68" w:name="page69"/>
    <w:bookmarkEnd w:id="68"/>
    <w:p>
      <w:pPr>
        <w:ind w:left="880" w:right="499" w:hanging="426"/>
        <w:spacing w:after="0" w:line="219" w:lineRule="auto"/>
        <w:tabs>
          <w:tab w:leader="none" w:pos="8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underwriters have agreed to defer underwriting commissions of 3.5% of the gross proceeds of this offering. Upon and concurrently with the completion of our initial business combination, up to $13,475,000, which constitutes the underwriters’ deferred commissions (or up to $15,496,250 if the underwriters’ over-allotment option is exercised in full) will be paid to the underwriters from the funds held in the trust account. See “Underwriting”. The remaining funds, less amounts released to the trustee to pay redeeming stockholders, will be released to us and can be used to pay all or a portion of the purchase price of the business or businesses with which our initial business combination occurs or for general corporate purposes, including payment of principal or interest on indebtedness incurred in connection with our initial business combination, to fund the purchases of other companies or for working capital. The underwriters will not be entitled to any interest accrued on the deferred underwriting discounts and commissions.</w:t>
      </w:r>
    </w:p>
    <w:p>
      <w:pPr>
        <w:spacing w:after="0" w:line="4" w:lineRule="exact"/>
        <w:rPr>
          <w:rFonts w:ascii="Arial" w:cs="Arial" w:eastAsia="Arial" w:hAnsi="Arial"/>
          <w:sz w:val="13"/>
          <w:szCs w:val="13"/>
          <w:color w:val="auto"/>
        </w:rPr>
      </w:pPr>
    </w:p>
    <w:p>
      <w:pPr>
        <w:ind w:left="880" w:right="479" w:hanging="426"/>
        <w:spacing w:after="0" w:line="216" w:lineRule="auto"/>
        <w:tabs>
          <w:tab w:leader="none" w:pos="8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These expenses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such business combination. In the event we identify a business combination target in a specific industry subject to specific regulations, we may incur additional expenses associated with legal due diligence and the engagement of special legal counsel. In addition, our staffing needs may vary and as a result, we may engage a number of consultants to assist with legal and financial due diligence. We do not anticipate any change in our intended use of proceeds, other than fluctuations among the current categories of allocated expenses, which fluctuations, to the extent they exceed current estimates for any specific category of expenses, would not be available for our expenses. The amount in the table above does not include interest available to us from the trust account. 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We estimate the interest earned on the trust account will be approximately $385,000 per year, assuming an interest rate of 0.1% per year; however, we can provide no assurances regarding this amount.</w:t>
      </w:r>
    </w:p>
    <w:p>
      <w:pPr>
        <w:spacing w:after="0" w:line="5" w:lineRule="exact"/>
        <w:rPr>
          <w:rFonts w:ascii="Arial" w:cs="Arial" w:eastAsia="Arial" w:hAnsi="Arial"/>
          <w:sz w:val="13"/>
          <w:szCs w:val="13"/>
          <w:color w:val="auto"/>
        </w:rPr>
      </w:pPr>
    </w:p>
    <w:p>
      <w:pPr>
        <w:ind w:left="880" w:right="599" w:hanging="426"/>
        <w:spacing w:after="0" w:line="231" w:lineRule="auto"/>
        <w:tabs>
          <w:tab w:leader="none" w:pos="882" w:val="left"/>
        </w:tabs>
        <w:numPr>
          <w:ilvl w:val="0"/>
          <w:numId w:val="32"/>
        </w:numPr>
        <w:rPr>
          <w:rFonts w:ascii="Arial" w:cs="Arial" w:eastAsia="Arial" w:hAnsi="Arial"/>
          <w:sz w:val="13"/>
          <w:szCs w:val="13"/>
          <w:color w:val="auto"/>
        </w:rPr>
      </w:pPr>
      <w:r>
        <w:rPr>
          <w:rFonts w:ascii="Arial" w:cs="Arial" w:eastAsia="Arial" w:hAnsi="Arial"/>
          <w:sz w:val="13"/>
          <w:szCs w:val="13"/>
          <w:color w:val="auto"/>
        </w:rPr>
        <w:t>Includes estimated amounts that may also be used in connection with our initial business combination to fund a “no shop” provision and commitment fees for financing.</w:t>
      </w:r>
    </w:p>
    <w:p>
      <w:pPr>
        <w:spacing w:after="0" w:line="114"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Nasdaq rules provide that at least 90% of the gross proceeds from this offering and the sale of the private placement warrants be deposited in a trust account. Of the $394.70 million in gross proceeds we receive from this offering and the sale of the private placement warrants described in this prospectus, or approximately $453.61 million if the underwriters’ over-allotment option is exercised in full, $385.00 million ($10.00 per unit), or $442.75 million if the underwriters’ over-allotment option is exercised in full ($10.00 per unit), will be deposited into a trust account with Continental Stock Transfer &amp; Trust Company acting as trustee, after deducting $ 7.70 million in underwriting discounts and commissions payable upon the closing of this offering (or approximately $8.86 million if the underwriters’ over-allotment option is exercised in full) and an aggregate of $2.00 million to pay fees and expenses in connection with the closing of this offering and for working capital following this offering. The proceeds held in the trust account will be invested only in U.S. government treasury bills with a maturity of 185 days or less or in money market funds meeting certain conditions under Rule 2a-7 under the Investment Company Act which invest only in direct U.S. government treasury obligations. We estimate the interest earned on the trust account will be approximately $385,000 per year, assuming an interest rate of 0.1% per year; however, we can provide no assurances regarding this amount.</w:t>
      </w:r>
    </w:p>
    <w:p>
      <w:pPr>
        <w:spacing w:after="0" w:line="105" w:lineRule="exact"/>
        <w:rPr>
          <w:sz w:val="20"/>
          <w:szCs w:val="20"/>
          <w:color w:val="auto"/>
        </w:rPr>
      </w:pPr>
    </w:p>
    <w:p>
      <w:pPr>
        <w:ind w:left="460" w:right="559"/>
        <w:spacing w:after="0" w:line="255" w:lineRule="auto"/>
        <w:rPr>
          <w:sz w:val="20"/>
          <w:szCs w:val="20"/>
          <w:color w:val="auto"/>
        </w:rPr>
      </w:pPr>
      <w:r>
        <w:rPr>
          <w:rFonts w:ascii="Arial" w:cs="Arial" w:eastAsia="Arial" w:hAnsi="Arial"/>
          <w:sz w:val="17"/>
          <w:szCs w:val="17"/>
          <w:color w:val="auto"/>
        </w:rPr>
        <w:t>We expect that the interest earned on the trust account will be sufficient to pay income taxes. We will not be permitted to withdraw any of the principal or interest held in the trust account, except for the withdrawal of interest to pay our taxes, until the earliest of (i) the completion of our initial business combination, (ii) the redemption of our public shares if we are unable to complete our initial business combination within 24 months from the closing of this offering, subject to applicable law, and (iii) the redemption of our public shares properly submitted in connection with a stockholder vote to approve an amendment to our amended and restated certificate of incorporation to modify the substance or timing of our obligation to redeem 100% of our public shares if we have not consummated our initial business combination within 24 months from the closing of this offering or with respect to any other material provisions relating to stockholders’ rights or pre-initial business combination activity.</w:t>
      </w:r>
    </w:p>
    <w:p>
      <w:pPr>
        <w:spacing w:after="0" w:line="97"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The net proceeds held in the trust account may be used as consideration to pay the sellers of a target business with which we ultimately complete our initial business combination. If our initial business combination is paid for using equity or debt securities, or not all of the funds released from the trust account are used for payment of the consideration in connection with our initial business combination, we may apply the balance of the cash released from the trust account for general corporate purposes, including for maintenance or expansion of operations of the post-transaction company, the payment of principal or interest due on indebtedness incurred in completing our initial business combination, to fund the purchase of other companies or for working capital. There is no limitation on our ability to raise funds through the issuance of equity-linked securities or through loans, advances or other indebtedness in connection with our initial business combination, including pursuant to forward purchase agreements or backstop arrangements we may enter into following consummation of this offering. However, our amended and restated certificate of incorporation provides that, following this offering and prior to the consummation of our initial business combination, we will be prohibited from issuing additional securities that would entitle the holders thereof to (i) receive funds from the trust account or (ii) vote as a class with our public shares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9" w:name="page70"/>
    <w:bookmarkEnd w:id="69"/>
    <w:p>
      <w:pPr>
        <w:ind w:left="460" w:right="519" w:hanging="6"/>
        <w:spacing w:after="0" w:line="277" w:lineRule="auto"/>
        <w:tabs>
          <w:tab w:leader="none" w:pos="73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on any initial business combination or (b) to approve an amendment to our amended and restated certificate of incorporation to (x) extend the time we have to consummate a business combination beyond 24 months from the closing of this offering or (y) amend the foregoing provisions.</w:t>
      </w:r>
    </w:p>
    <w:p>
      <w:pPr>
        <w:spacing w:after="0" w:line="66" w:lineRule="exact"/>
        <w:rPr>
          <w:sz w:val="20"/>
          <w:szCs w:val="20"/>
          <w:color w:val="auto"/>
        </w:rPr>
      </w:pPr>
    </w:p>
    <w:p>
      <w:pPr>
        <w:ind w:left="460" w:right="539"/>
        <w:spacing w:after="0" w:line="238" w:lineRule="auto"/>
        <w:rPr>
          <w:sz w:val="20"/>
          <w:szCs w:val="20"/>
          <w:color w:val="auto"/>
        </w:rPr>
      </w:pPr>
      <w:r>
        <w:rPr>
          <w:rFonts w:ascii="Arial" w:cs="Arial" w:eastAsia="Arial" w:hAnsi="Arial"/>
          <w:sz w:val="18"/>
          <w:szCs w:val="18"/>
          <w:color w:val="auto"/>
        </w:rPr>
        <w:t>We believe that amounts not held in trust will be sufficient to pay the costs and expenses to which such proceeds are allocated. This belief is based on the fact that while we may begin preliminary due diligence of a target business in connection with an indication of interest, we intend to undertake in-depth due diligence, depending on the circumstances of the relevant prospective business combination, only after we have negotiated and signed a letter of intent or other preliminary agreement that addresses the terms of a business combination. However, if our estimate of the costs of undertaking in-depth due diligence and negotiating a business combination is less than the actual amount necessary to do so, we may be required to raise additional capital, the amount, availability and cost of which is currently unascertainable. If we are required to seek additional capital, we could seek such additional capital through loans or additional investments from our sponsor, members of our management team or any of their affiliates, but such persons are not under any obligation to advance funds to, or invest in, us.</w:t>
      </w:r>
    </w:p>
    <w:p>
      <w:pPr>
        <w:spacing w:after="0" w:line="115" w:lineRule="exact"/>
        <w:rPr>
          <w:sz w:val="20"/>
          <w:szCs w:val="20"/>
          <w:color w:val="auto"/>
        </w:rPr>
      </w:pPr>
    </w:p>
    <w:p>
      <w:pPr>
        <w:ind w:left="460" w:right="519"/>
        <w:spacing w:after="0" w:line="245" w:lineRule="auto"/>
        <w:rPr>
          <w:sz w:val="20"/>
          <w:szCs w:val="20"/>
          <w:color w:val="auto"/>
        </w:rPr>
      </w:pPr>
      <w:r>
        <w:rPr>
          <w:rFonts w:ascii="Arial" w:cs="Arial" w:eastAsia="Arial" w:hAnsi="Arial"/>
          <w:sz w:val="18"/>
          <w:szCs w:val="18"/>
          <w:color w:val="auto"/>
        </w:rPr>
        <w:t>Prior to the closing of this offering, our sponsor has agreed to loan us up to $300,000 to be used for a portion of the expenses of this offering. These loans are non-interest bearing, unsecured and are due at the earlier of December 31, 2020 or the closing of this offering. The loan will be repaid upon the closing of this offering out of the $1,000,000 of offering proceeds that has been allocated to the payment of offering expenses.</w:t>
      </w:r>
    </w:p>
    <w:p>
      <w:pPr>
        <w:spacing w:after="0" w:line="105" w:lineRule="exact"/>
        <w:rPr>
          <w:sz w:val="20"/>
          <w:szCs w:val="20"/>
          <w:color w:val="auto"/>
        </w:rPr>
      </w:pPr>
    </w:p>
    <w:p>
      <w:pPr>
        <w:ind w:left="460" w:right="519"/>
        <w:spacing w:after="0" w:line="253" w:lineRule="auto"/>
        <w:rPr>
          <w:sz w:val="20"/>
          <w:szCs w:val="20"/>
          <w:color w:val="auto"/>
        </w:rPr>
      </w:pPr>
      <w:r>
        <w:rPr>
          <w:rFonts w:ascii="Arial" w:cs="Arial" w:eastAsia="Arial" w:hAnsi="Arial"/>
          <w:sz w:val="17"/>
          <w:szCs w:val="17"/>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to repay such loaned amounts. Up to $1,500,000 of such loans may be convertible into warrants of the post business combination entity at a price of $1.50 per warrant at the option of the lender. The warrants would be identical to the private placement warrants. Except as set forth above, the terms of such loans, if any, have not been determined and no written agreements exist with respect to such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89"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We have entered into separate forward purchase agreements with affiliates of our sponsor, Casdin Capital and Corvex Management, in their capacities as investment advisors on behalf of their Clients, pursuant to which, subject to the conditions described below, they will cause certain Clients to purchase from us up to an aggregate amount of 15,000,000 shares of Class A common stock, or the forward purchase shares, for $10.00 per forward purchase share, or an aggregate amount of up to $150,000,000, in a private placement that will close concurrently with the closing of our initial business combination. The amount of forward purchase shares sold pursuant to the forward purchase agreements will be determined in our discretion based on our need for additional capital to consummate the initial business combination. Under each forward purchase agreement, we are required to approach Casdin Capital and Corvex Management if we propose to raise additional capital by issuing any equity, or securities convertible into, exchangeable or exercisable for equity securities in connection with the initial business combination. The respective obligations of Casdin Capital and Corvex Management to cause Clients to purchase forward purchase shares will, among other things, be conditioned on our completing an initial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Capital or Corvex Management, as relevant, as investment advisors on behalf of such Clients. In determining whether a target is reasonably acceptable to Clients, we expect that Casdin Capital or Corvex Management, as relevant, would consider many of the same criteria as we will consider, but will also consider whether the investment is an appropriate investment for such Clients, including whether the investment complies with any guidelines, restrictions or conflicts of interest provisions applicable to such Clients. Each of Casdin Capital and Corvex Management will have the right to transfer a portion of the purchase obligation under the forward purchase agreement to third parties, or upon mutual agreement, to each other, subject to compliance with applicable securities laws. To the extent that we obtain alternative financing to fund the initial business combination and the Clients participate in such financing, the aggregate commitment under the forward purchase agreement will be reduced by the amount of such alternative financing.</w:t>
      </w:r>
    </w:p>
    <w:p>
      <w:pPr>
        <w:sectPr>
          <w:pgSz w:w="11900" w:h="16838" w:orient="portrait"/>
          <w:cols w:equalWidth="0" w:num="1">
            <w:col w:w="9019"/>
          </w:cols>
          <w:pgMar w:left="1440" w:top="265" w:right="1440"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19050</wp:posOffset>
            </wp:positionV>
            <wp:extent cx="51435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46" w:lineRule="exact"/>
        <w:rPr>
          <w:sz w:val="20"/>
          <w:szCs w:val="20"/>
          <w:color w:val="auto"/>
        </w:rPr>
      </w:pPr>
    </w:p>
    <w:p>
      <w:pPr>
        <w:ind w:left="460" w:right="479"/>
        <w:spacing w:after="0"/>
        <w:rPr>
          <w:sz w:val="20"/>
          <w:szCs w:val="20"/>
          <w:color w:val="auto"/>
        </w:rPr>
      </w:pPr>
      <w:r>
        <w:rPr>
          <w:rFonts w:ascii="Arial" w:cs="Arial" w:eastAsia="Arial" w:hAnsi="Arial"/>
          <w:sz w:val="18"/>
          <w:szCs w:val="18"/>
          <w:color w:val="auto"/>
        </w:rPr>
        <w:t>We have not paid any cash dividends on our common stock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If we incur any indebtedness in connection with our initial business combination, our ability to declare dividends may be limited by restrictive covenants we may agree to in connection therewith.</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DILUTION</w:t>
      </w:r>
    </w:p>
    <w:p>
      <w:pPr>
        <w:spacing w:after="0" w:line="146" w:lineRule="exact"/>
        <w:rPr>
          <w:sz w:val="20"/>
          <w:szCs w:val="20"/>
          <w:color w:val="auto"/>
        </w:rPr>
      </w:pPr>
    </w:p>
    <w:p>
      <w:pPr>
        <w:ind w:left="460" w:right="579"/>
        <w:spacing w:after="0" w:line="239" w:lineRule="auto"/>
        <w:rPr>
          <w:sz w:val="20"/>
          <w:szCs w:val="20"/>
          <w:color w:val="auto"/>
        </w:rPr>
      </w:pPr>
      <w:r>
        <w:rPr>
          <w:rFonts w:ascii="Arial" w:cs="Arial" w:eastAsia="Arial" w:hAnsi="Arial"/>
          <w:sz w:val="18"/>
          <w:szCs w:val="18"/>
          <w:color w:val="auto"/>
        </w:rPr>
        <w:t>The difference between the public offering price per share of Class A common stock, assuming no value is attributed to the warrants included in the units we are offering pursuant to this prospectus or the private placement warrants, and the pro forma net tangible book value per share of our Class A common stock after this offering constitutes the dilution to investors in this offering. Such calculation does not reflect any dilution associated with the sale and exercise of warrants, including the private placement warrants, which would cause the actual dilution to the public stockholders to be higher, particularly where a cashless exercise is utilized. Net tangible book value per share is determined by dividing our net tangible book value, which is our total tangible assets less total liabilities (including the value of shares of Class A common stock which may be redeemed for cash), by the number of shares of outstanding Class A common stock.</w:t>
      </w:r>
    </w:p>
    <w:p>
      <w:pPr>
        <w:spacing w:after="0" w:line="72"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At July 16, 2020, our net tangible book deficit was $67,681, or approximately $(0.01) per share of common stock. After giving effect to the sale of 38,500,000 shares of Class A common stock included in the units we are offering by this prospectus (or 44,275,000 shares of Class A common stock if the underwriters’ over-allotment option is exercised in full), the sale of the private placement warrants and the deduction of underwriting commissions and estimated expenses of this offering, our pro forma net tangible book value at July 16, 2020 would have been $5,000,009 or $0.44 per share (or $0.38 per share if the underwriters’ over-allotment option is exercised in full), representing an immediate increase in net tangible book value (as decreased by the value of 36,754,731 shares of Class A common stock that may be redeemed for cash, or 42,327,606 shares of Class A common stock if the underwriters’ over-allotment option is exercised in full) of $0.45 per share (or $0.39 if the underwriters’ over-allotment option is exercised in full) to our initial stockholders as of the date of this prospectus. Total dilution to public stockholders from this offering will be $9.56 per share (or $9.62 if the underwriters’ over-allotment option is exercised in full).</w:t>
      </w:r>
    </w:p>
    <w:p>
      <w:pPr>
        <w:spacing w:after="0" w:line="72" w:lineRule="exact"/>
        <w:rPr>
          <w:sz w:val="20"/>
          <w:szCs w:val="20"/>
          <w:color w:val="auto"/>
        </w:rPr>
      </w:pPr>
    </w:p>
    <w:p>
      <w:pPr>
        <w:ind w:left="460" w:right="699"/>
        <w:spacing w:after="0" w:line="306" w:lineRule="auto"/>
        <w:rPr>
          <w:sz w:val="20"/>
          <w:szCs w:val="20"/>
          <w:color w:val="auto"/>
        </w:rPr>
      </w:pPr>
      <w:r>
        <w:rPr>
          <w:rFonts w:ascii="Arial" w:cs="Arial" w:eastAsia="Arial" w:hAnsi="Arial"/>
          <w:sz w:val="17"/>
          <w:szCs w:val="17"/>
          <w:color w:val="auto"/>
        </w:rPr>
        <w:t>The following table illustrates the dilution to the public stockholders on a per-share basis, assuming no value is attributed to the warrants included in the units or the private placement warrants:</w:t>
      </w:r>
    </w:p>
    <w:p>
      <w:pPr>
        <w:spacing w:after="0" w:line="90"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Without</w:t>
            </w:r>
          </w:p>
        </w:tc>
        <w:tc>
          <w:tcPr>
            <w:tcW w:w="260" w:type="dxa"/>
            <w:vAlign w:val="bottom"/>
          </w:tcPr>
          <w:p>
            <w:pPr>
              <w:spacing w:after="0"/>
              <w:rPr>
                <w:sz w:val="14"/>
                <w:szCs w:val="14"/>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With</w:t>
            </w:r>
          </w:p>
        </w:tc>
      </w:tr>
      <w:tr>
        <w:trPr>
          <w:trHeight w:val="211"/>
        </w:trPr>
        <w:tc>
          <w:tcPr>
            <w:tcW w:w="54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Over-allotment</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rPr>
              <w:t>Over-allotment</w:t>
            </w:r>
          </w:p>
        </w:tc>
      </w:tr>
      <w:tr>
        <w:trPr>
          <w:trHeight w:val="250"/>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3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10.00</w:t>
            </w:r>
          </w:p>
        </w:tc>
      </w:tr>
      <w:tr>
        <w:trPr>
          <w:trHeight w:val="260"/>
        </w:trPr>
        <w:tc>
          <w:tcPr>
            <w:tcW w:w="5480" w:type="dxa"/>
            <w:vAlign w:val="bottom"/>
          </w:tcPr>
          <w:p>
            <w:pPr>
              <w:spacing w:after="0"/>
              <w:rPr>
                <w:sz w:val="20"/>
                <w:szCs w:val="20"/>
                <w:color w:val="auto"/>
              </w:rPr>
            </w:pPr>
            <w:r>
              <w:rPr>
                <w:rFonts w:ascii="Arial" w:cs="Arial" w:eastAsia="Arial" w:hAnsi="Arial"/>
                <w:sz w:val="18"/>
                <w:szCs w:val="18"/>
                <w:color w:val="auto"/>
              </w:rPr>
              <w:t>Net tangible book deficit before this offering</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(0.01)</w:t>
            </w:r>
          </w:p>
        </w:tc>
      </w:tr>
      <w:tr>
        <w:trPr>
          <w:trHeight w:val="23"/>
        </w:trPr>
        <w:tc>
          <w:tcPr>
            <w:tcW w:w="5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4"/>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attributable to public stockholders</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0.39</w:t>
            </w:r>
          </w:p>
        </w:tc>
      </w:tr>
      <w:tr>
        <w:trPr>
          <w:trHeight w:val="180"/>
        </w:trPr>
        <w:tc>
          <w:tcPr>
            <w:tcW w:w="5480" w:type="dxa"/>
            <w:vAlign w:val="bottom"/>
          </w:tcPr>
          <w:p>
            <w:pPr>
              <w:spacing w:after="0" w:line="180" w:lineRule="exact"/>
              <w:rPr>
                <w:sz w:val="20"/>
                <w:szCs w:val="20"/>
                <w:color w:val="auto"/>
              </w:rPr>
            </w:pPr>
            <w:r>
              <w:rPr>
                <w:rFonts w:ascii="Arial" w:cs="Arial" w:eastAsia="Arial" w:hAnsi="Arial"/>
                <w:sz w:val="18"/>
                <w:szCs w:val="18"/>
                <w:color w:val="auto"/>
              </w:rPr>
              <w:t>Pro forma net tangible book value after this offering and the sale of</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43"/>
        </w:trPr>
        <w:tc>
          <w:tcPr>
            <w:tcW w:w="5480" w:type="dxa"/>
            <w:vAlign w:val="bottom"/>
          </w:tcPr>
          <w:p>
            <w:pPr>
              <w:ind w:left="180"/>
              <w:spacing w:after="0"/>
              <w:rPr>
                <w:sz w:val="20"/>
                <w:szCs w:val="20"/>
                <w:color w:val="auto"/>
              </w:rPr>
            </w:pPr>
            <w:r>
              <w:rPr>
                <w:rFonts w:ascii="Arial" w:cs="Arial" w:eastAsia="Arial" w:hAnsi="Arial"/>
                <w:sz w:val="18"/>
                <w:szCs w:val="18"/>
                <w:color w:val="auto"/>
              </w:rPr>
              <w:t>the private placement warrants</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0.38</w:t>
            </w:r>
          </w:p>
        </w:tc>
      </w:tr>
      <w:tr>
        <w:trPr>
          <w:trHeight w:val="23"/>
        </w:trPr>
        <w:tc>
          <w:tcPr>
            <w:tcW w:w="5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3"/>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Dilution to public stockholders</w:t>
            </w:r>
          </w:p>
        </w:tc>
        <w:tc>
          <w:tcPr>
            <w:tcW w:w="3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9.56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9.62</w:t>
            </w:r>
          </w:p>
        </w:tc>
      </w:tr>
      <w:tr>
        <w:trPr>
          <w:trHeight w:val="260"/>
        </w:trPr>
        <w:tc>
          <w:tcPr>
            <w:tcW w:w="5480" w:type="dxa"/>
            <w:vAlign w:val="bottom"/>
          </w:tcPr>
          <w:p>
            <w:pPr>
              <w:spacing w:after="0"/>
              <w:rPr>
                <w:sz w:val="20"/>
                <w:szCs w:val="20"/>
                <w:color w:val="auto"/>
              </w:rPr>
            </w:pPr>
            <w:r>
              <w:rPr>
                <w:rFonts w:ascii="Arial" w:cs="Arial" w:eastAsia="Arial" w:hAnsi="Arial"/>
                <w:sz w:val="18"/>
                <w:szCs w:val="18"/>
                <w:color w:val="auto"/>
              </w:rPr>
              <w:t>Percentage of dilution to public stockholders</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96.2%</w:t>
            </w:r>
          </w:p>
        </w:tc>
      </w:tr>
    </w:tbl>
    <w:p>
      <w:pPr>
        <w:spacing w:after="0" w:line="108" w:lineRule="exact"/>
        <w:rPr>
          <w:sz w:val="20"/>
          <w:szCs w:val="20"/>
          <w:color w:val="auto"/>
        </w:rPr>
      </w:pPr>
    </w:p>
    <w:p>
      <w:pPr>
        <w:ind w:left="460" w:right="499"/>
        <w:spacing w:after="0"/>
        <w:rPr>
          <w:sz w:val="20"/>
          <w:szCs w:val="20"/>
          <w:color w:val="auto"/>
        </w:rPr>
      </w:pPr>
      <w:r>
        <w:rPr>
          <w:rFonts w:ascii="Arial" w:cs="Arial" w:eastAsia="Arial" w:hAnsi="Arial"/>
          <w:sz w:val="18"/>
          <w:szCs w:val="18"/>
          <w:color w:val="auto"/>
        </w:rPr>
        <w:t>For purposes of presentation, we have reduced our pro forma net tangible book value after this offering (assuming no exercise of the underwriters’ over-allotment option) by $367,547,310 because holders of up to approximately 95.5% of our public shares may redeem their shares for a pro rata share of the aggregate amount then on deposit in the trust account at a per share redemption price equal to the amount in the trust account as set forth in our tender offer or proxy materials (initially anticipated to be the aggregate amount held in trust two business days prior to the commencement of our tender offer or stockholders meeting, including interest earned on the funds held in the trust account and not previously released to us to pay our taxes), divided by the number of shares of Class A common stock sold in this offering.</w:t>
      </w:r>
    </w:p>
    <w:p>
      <w:pPr>
        <w:spacing w:after="0" w:line="68" w:lineRule="exact"/>
        <w:rPr>
          <w:sz w:val="20"/>
          <w:szCs w:val="20"/>
          <w:color w:val="auto"/>
        </w:rPr>
      </w:pPr>
    </w:p>
    <w:p>
      <w:pPr>
        <w:ind w:left="460" w:right="1119"/>
        <w:spacing w:after="0" w:line="276" w:lineRule="auto"/>
        <w:rPr>
          <w:sz w:val="20"/>
          <w:szCs w:val="20"/>
          <w:color w:val="auto"/>
        </w:rPr>
      </w:pPr>
      <w:r>
        <w:rPr>
          <w:rFonts w:ascii="Arial" w:cs="Arial" w:eastAsia="Arial" w:hAnsi="Arial"/>
          <w:sz w:val="18"/>
          <w:szCs w:val="18"/>
          <w:color w:val="auto"/>
        </w:rPr>
        <w:t>The following table sets forth information with respect to our initial stockholders and the public stockholders:</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211"/>
        </w:trPr>
        <w:tc>
          <w:tcPr>
            <w:tcW w:w="1960" w:type="dxa"/>
            <w:vAlign w:val="bottom"/>
          </w:tcPr>
          <w:p>
            <w:pPr>
              <w:spacing w:after="0"/>
              <w:rPr>
                <w:sz w:val="18"/>
                <w:szCs w:val="18"/>
                <w:color w:val="auto"/>
              </w:rPr>
            </w:pPr>
          </w:p>
        </w:tc>
        <w:tc>
          <w:tcPr>
            <w:tcW w:w="2560" w:type="dxa"/>
            <w:vAlign w:val="bottom"/>
            <w:gridSpan w:val="6"/>
          </w:tcPr>
          <w:p>
            <w:pPr>
              <w:ind w:left="540"/>
              <w:spacing w:after="0"/>
              <w:rPr>
                <w:sz w:val="20"/>
                <w:szCs w:val="20"/>
                <w:color w:val="auto"/>
              </w:rPr>
            </w:pPr>
            <w:r>
              <w:rPr>
                <w:rFonts w:ascii="Arial" w:cs="Arial" w:eastAsia="Arial" w:hAnsi="Arial"/>
                <w:sz w:val="14"/>
                <w:szCs w:val="14"/>
                <w:b w:val="1"/>
                <w:bCs w:val="1"/>
                <w:color w:val="auto"/>
              </w:rPr>
              <w:t>Shares Purchased</w:t>
            </w:r>
          </w:p>
        </w:tc>
        <w:tc>
          <w:tcPr>
            <w:tcW w:w="22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Total Consideration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Average Price</w:t>
            </w:r>
          </w:p>
        </w:tc>
        <w:tc>
          <w:tcPr>
            <w:tcW w:w="0" w:type="dxa"/>
            <w:vAlign w:val="bottom"/>
          </w:tcPr>
          <w:p>
            <w:pPr>
              <w:spacing w:after="0"/>
              <w:rPr>
                <w:sz w:val="1"/>
                <w:szCs w:val="1"/>
                <w:color w:val="auto"/>
              </w:rPr>
            </w:pPr>
          </w:p>
        </w:tc>
      </w:tr>
      <w:tr>
        <w:trPr>
          <w:trHeight w:val="66"/>
        </w:trPr>
        <w:tc>
          <w:tcPr>
            <w:tcW w:w="1960" w:type="dxa"/>
            <w:vAlign w:val="bottom"/>
          </w:tcPr>
          <w:p>
            <w:pPr>
              <w:spacing w:after="0"/>
              <w:rPr>
                <w:sz w:val="5"/>
                <w:szCs w:val="5"/>
                <w:color w:val="auto"/>
              </w:rPr>
            </w:pPr>
          </w:p>
        </w:tc>
        <w:tc>
          <w:tcPr>
            <w:tcW w:w="110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06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19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Number</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Percentage</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Percentage</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70"/>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Initial Stockholders</w:t>
            </w:r>
            <w:r>
              <w:rPr>
                <w:rFonts w:ascii="Arial" w:cs="Arial" w:eastAsia="Arial" w:hAnsi="Arial"/>
                <w:sz w:val="20"/>
                <w:szCs w:val="20"/>
                <w:color w:val="auto"/>
                <w:vertAlign w:val="superscript"/>
              </w:rPr>
              <w:t>(1)(2)</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9,625,000</w:t>
            </w:r>
          </w:p>
        </w:tc>
        <w:tc>
          <w:tcPr>
            <w:tcW w:w="136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20.00% $</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0.003</w:t>
            </w:r>
          </w:p>
        </w:tc>
        <w:tc>
          <w:tcPr>
            <w:tcW w:w="0" w:type="dxa"/>
            <w:vAlign w:val="bottom"/>
          </w:tcPr>
          <w:p>
            <w:pPr>
              <w:spacing w:after="0"/>
              <w:rPr>
                <w:sz w:val="1"/>
                <w:szCs w:val="1"/>
                <w:color w:val="auto"/>
              </w:rPr>
            </w:pPr>
          </w:p>
        </w:tc>
      </w:tr>
      <w:tr>
        <w:trPr>
          <w:trHeight w:val="279"/>
        </w:trPr>
        <w:tc>
          <w:tcPr>
            <w:tcW w:w="1960" w:type="dxa"/>
            <w:vAlign w:val="bottom"/>
          </w:tcPr>
          <w:p>
            <w:pPr>
              <w:spacing w:after="0"/>
              <w:rPr>
                <w:sz w:val="20"/>
                <w:szCs w:val="20"/>
                <w:color w:val="auto"/>
              </w:rPr>
            </w:pPr>
            <w:r>
              <w:rPr>
                <w:rFonts w:ascii="Arial" w:cs="Arial" w:eastAsia="Arial" w:hAnsi="Arial"/>
                <w:sz w:val="18"/>
                <w:szCs w:val="18"/>
                <w:color w:val="auto"/>
              </w:rPr>
              <w:t>Public Stockholders</w:t>
            </w:r>
          </w:p>
        </w:tc>
        <w:tc>
          <w:tcPr>
            <w:tcW w:w="1100" w:type="dxa"/>
            <w:vAlign w:val="bottom"/>
          </w:tcPr>
          <w:p>
            <w:pPr>
              <w:jc w:val="right"/>
              <w:spacing w:after="0"/>
              <w:rPr>
                <w:sz w:val="20"/>
                <w:szCs w:val="20"/>
                <w:color w:val="auto"/>
              </w:rPr>
            </w:pPr>
            <w:r>
              <w:rPr>
                <w:rFonts w:ascii="Arial" w:cs="Arial" w:eastAsia="Arial" w:hAnsi="Arial"/>
                <w:sz w:val="18"/>
                <w:szCs w:val="18"/>
                <w:color w:val="auto"/>
              </w:rPr>
              <w:t>38,500,000</w:t>
            </w:r>
          </w:p>
        </w:tc>
        <w:tc>
          <w:tcPr>
            <w:tcW w:w="100" w:type="dxa"/>
            <w:vAlign w:val="bottom"/>
          </w:tcPr>
          <w:p>
            <w:pPr>
              <w:spacing w:after="0"/>
              <w:rPr>
                <w:sz w:val="24"/>
                <w:szCs w:val="24"/>
                <w:color w:val="auto"/>
              </w:rPr>
            </w:pPr>
          </w:p>
        </w:tc>
        <w:tc>
          <w:tcPr>
            <w:tcW w:w="960" w:type="dxa"/>
            <w:vAlign w:val="bottom"/>
          </w:tcPr>
          <w:p>
            <w:pPr>
              <w:ind w:left="500"/>
              <w:spacing w:after="0"/>
              <w:rPr>
                <w:sz w:val="20"/>
                <w:szCs w:val="20"/>
                <w:color w:val="auto"/>
              </w:rPr>
            </w:pPr>
            <w:r>
              <w:rPr>
                <w:rFonts w:ascii="Arial" w:cs="Arial" w:eastAsia="Arial" w:hAnsi="Arial"/>
                <w:sz w:val="18"/>
                <w:szCs w:val="18"/>
                <w:color w:val="auto"/>
                <w:w w:val="97"/>
              </w:rPr>
              <w:t>80.00</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385,000,000</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99.99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196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9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48,125,000</w:t>
            </w:r>
          </w:p>
        </w:tc>
        <w:tc>
          <w:tcPr>
            <w:tcW w:w="100" w:type="dxa"/>
            <w:vAlign w:val="bottom"/>
            <w:shd w:val="clear" w:color="auto" w:fill="CCEEFF"/>
          </w:tcPr>
          <w:p>
            <w:pPr>
              <w:spacing w:after="0"/>
              <w:rPr>
                <w:sz w:val="22"/>
                <w:szCs w:val="22"/>
                <w:color w:val="auto"/>
              </w:rPr>
            </w:pPr>
          </w:p>
        </w:tc>
        <w:tc>
          <w:tcPr>
            <w:tcW w:w="136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100.0% $</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385,025,000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7" w:lineRule="exact"/>
        <w:rPr>
          <w:sz w:val="20"/>
          <w:szCs w:val="20"/>
          <w:color w:val="auto"/>
        </w:rPr>
      </w:pPr>
    </w:p>
    <w:p>
      <w:pPr>
        <w:ind w:left="880" w:right="579" w:hanging="426"/>
        <w:spacing w:after="0" w:line="216" w:lineRule="auto"/>
        <w:tabs>
          <w:tab w:leader="none" w:pos="875" w:val="left"/>
        </w:tabs>
        <w:numPr>
          <w:ilvl w:val="0"/>
          <w:numId w:val="34"/>
        </w:numPr>
        <w:rPr>
          <w:rFonts w:ascii="Arial" w:cs="Arial" w:eastAsia="Arial" w:hAnsi="Arial"/>
          <w:sz w:val="13"/>
          <w:szCs w:val="13"/>
          <w:color w:val="auto"/>
        </w:rPr>
      </w:pPr>
      <w:r>
        <w:rPr>
          <w:rFonts w:ascii="Arial" w:cs="Arial" w:eastAsia="Arial" w:hAnsi="Arial"/>
          <w:sz w:val="13"/>
          <w:szCs w:val="13"/>
          <w:color w:val="auto"/>
        </w:rPr>
        <w:t>Assumes that 1,443,750 founder shares are forfeited by our sponsor after the closing of this offering in the event the underwriters do not exercise their over-allotment option.</w:t>
      </w:r>
    </w:p>
    <w:p>
      <w:pPr>
        <w:ind w:left="880" w:hanging="426"/>
        <w:spacing w:after="0"/>
        <w:tabs>
          <w:tab w:leader="none" w:pos="8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In August 2020, our sponsor transferred 25,000 founder shares to each of Mr. Islam, Dr. Leproust and Mr. Turner.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sectPr>
      </w:pPr>
    </w:p>
    <w:bookmarkStart w:id="72" w:name="page73"/>
    <w:bookmarkEnd w:id="72"/>
    <w:p>
      <w:pPr>
        <w:ind w:left="460"/>
        <w:spacing w:after="0"/>
        <w:rPr>
          <w:sz w:val="20"/>
          <w:szCs w:val="20"/>
          <w:color w:val="auto"/>
        </w:rPr>
      </w:pPr>
      <w:r>
        <w:rPr>
          <w:rFonts w:ascii="Arial" w:cs="Arial" w:eastAsia="Arial" w:hAnsi="Arial"/>
          <w:sz w:val="18"/>
          <w:szCs w:val="18"/>
          <w:color w:val="auto"/>
        </w:rPr>
        <w:t>The pro forma net tangible book value per share after the offering is calculated as follows:</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Without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With</w:t>
            </w:r>
          </w:p>
        </w:tc>
        <w:tc>
          <w:tcPr>
            <w:tcW w:w="0" w:type="dxa"/>
            <w:vAlign w:val="bottom"/>
          </w:tcPr>
          <w:p>
            <w:pPr>
              <w:spacing w:after="0"/>
              <w:rPr>
                <w:sz w:val="1"/>
                <w:szCs w:val="1"/>
                <w:color w:val="auto"/>
              </w:rPr>
            </w:pPr>
          </w:p>
        </w:tc>
      </w:tr>
      <w:tr>
        <w:trPr>
          <w:trHeight w:val="211"/>
        </w:trPr>
        <w:tc>
          <w:tcPr>
            <w:tcW w:w="53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Over-allotment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Over-allotment</w:t>
            </w:r>
          </w:p>
        </w:tc>
        <w:tc>
          <w:tcPr>
            <w:tcW w:w="0" w:type="dxa"/>
            <w:vAlign w:val="bottom"/>
          </w:tcPr>
          <w:p>
            <w:pPr>
              <w:spacing w:after="0"/>
              <w:rPr>
                <w:sz w:val="1"/>
                <w:szCs w:val="1"/>
                <w:color w:val="auto"/>
              </w:rPr>
            </w:pPr>
          </w:p>
        </w:tc>
      </w:tr>
      <w:tr>
        <w:trPr>
          <w:trHeight w:val="263"/>
        </w:trPr>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Numerator:</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5300" w:type="dxa"/>
            <w:vAlign w:val="bottom"/>
          </w:tcPr>
          <w:p>
            <w:pPr>
              <w:spacing w:after="0"/>
              <w:rPr>
                <w:sz w:val="20"/>
                <w:szCs w:val="20"/>
                <w:color w:val="auto"/>
              </w:rPr>
            </w:pPr>
            <w:r>
              <w:rPr>
                <w:rFonts w:ascii="Arial" w:cs="Arial" w:eastAsia="Arial" w:hAnsi="Arial"/>
                <w:sz w:val="18"/>
                <w:szCs w:val="18"/>
                <w:color w:val="auto"/>
              </w:rPr>
              <w:t>Net tangible book deficit before this offering</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(67,681)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(67,681)</w:t>
            </w:r>
          </w:p>
        </w:tc>
        <w:tc>
          <w:tcPr>
            <w:tcW w:w="0" w:type="dxa"/>
            <w:vAlign w:val="bottom"/>
          </w:tcPr>
          <w:p>
            <w:pPr>
              <w:spacing w:after="0"/>
              <w:rPr>
                <w:sz w:val="1"/>
                <w:szCs w:val="1"/>
                <w:color w:val="auto"/>
              </w:rPr>
            </w:pPr>
          </w:p>
        </w:tc>
      </w:tr>
      <w:tr>
        <w:trPr>
          <w:trHeight w:val="23"/>
        </w:trPr>
        <w:tc>
          <w:tcPr>
            <w:tcW w:w="5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5300" w:type="dxa"/>
            <w:vAlign w:val="bottom"/>
            <w:shd w:val="clear" w:color="auto" w:fill="CCEEFF"/>
          </w:tcPr>
          <w:p>
            <w:pPr>
              <w:spacing w:after="0" w:line="180" w:lineRule="exact"/>
              <w:rPr>
                <w:sz w:val="20"/>
                <w:szCs w:val="20"/>
                <w:color w:val="auto"/>
              </w:rPr>
            </w:pPr>
            <w:r>
              <w:rPr>
                <w:rFonts w:ascii="Arial" w:cs="Arial" w:eastAsia="Arial" w:hAnsi="Arial"/>
                <w:sz w:val="18"/>
                <w:szCs w:val="18"/>
                <w:color w:val="auto"/>
              </w:rPr>
              <w:t>Net proceeds from this offering and sale of the private placement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warrants</w:t>
            </w:r>
            <w:r>
              <w:rPr>
                <w:rFonts w:ascii="Arial" w:cs="Arial" w:eastAsia="Arial" w:hAnsi="Arial"/>
                <w:sz w:val="5"/>
                <w:szCs w:val="5"/>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386,000,000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443,750,000</w:t>
            </w:r>
          </w:p>
        </w:tc>
        <w:tc>
          <w:tcPr>
            <w:tcW w:w="0" w:type="dxa"/>
            <w:vAlign w:val="bottom"/>
          </w:tcPr>
          <w:p>
            <w:pPr>
              <w:spacing w:after="0"/>
              <w:rPr>
                <w:sz w:val="1"/>
                <w:szCs w:val="1"/>
                <w:color w:val="auto"/>
              </w:rPr>
            </w:pPr>
          </w:p>
        </w:tc>
      </w:tr>
      <w:tr>
        <w:trPr>
          <w:trHeight w:val="180"/>
        </w:trPr>
        <w:tc>
          <w:tcPr>
            <w:tcW w:w="5300" w:type="dxa"/>
            <w:vAlign w:val="bottom"/>
          </w:tcPr>
          <w:p>
            <w:pPr>
              <w:spacing w:after="0" w:line="180" w:lineRule="exact"/>
              <w:rPr>
                <w:sz w:val="20"/>
                <w:szCs w:val="20"/>
                <w:color w:val="auto"/>
              </w:rPr>
            </w:pPr>
            <w:r>
              <w:rPr>
                <w:rFonts w:ascii="Arial" w:cs="Arial" w:eastAsia="Arial" w:hAnsi="Arial"/>
                <w:sz w:val="18"/>
                <w:szCs w:val="18"/>
                <w:color w:val="auto"/>
              </w:rPr>
              <w:t>Plus: Offering costs paid in advance, excluded from tangible book</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180"/>
              <w:spacing w:after="0"/>
              <w:rPr>
                <w:sz w:val="20"/>
                <w:szCs w:val="20"/>
                <w:color w:val="auto"/>
              </w:rPr>
            </w:pPr>
            <w:r>
              <w:rPr>
                <w:rFonts w:ascii="Arial" w:cs="Arial" w:eastAsia="Arial" w:hAnsi="Arial"/>
                <w:sz w:val="18"/>
                <w:szCs w:val="18"/>
                <w:color w:val="auto"/>
              </w:rPr>
              <w:t>value before this offering</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90,000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r>
        <w:trPr>
          <w:trHeight w:val="23"/>
        </w:trPr>
        <w:tc>
          <w:tcPr>
            <w:tcW w:w="5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Deferred underwriting commissions</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(13,475,000)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(15,496,250)</w:t>
            </w:r>
          </w:p>
        </w:tc>
        <w:tc>
          <w:tcPr>
            <w:tcW w:w="0" w:type="dxa"/>
            <w:vAlign w:val="bottom"/>
          </w:tcPr>
          <w:p>
            <w:pPr>
              <w:spacing w:after="0"/>
              <w:rPr>
                <w:sz w:val="1"/>
                <w:szCs w:val="1"/>
                <w:color w:val="auto"/>
              </w:rPr>
            </w:pPr>
          </w:p>
        </w:tc>
      </w:tr>
      <w:tr>
        <w:trPr>
          <w:trHeight w:val="279"/>
        </w:trPr>
        <w:tc>
          <w:tcPr>
            <w:tcW w:w="5300" w:type="dxa"/>
            <w:vAlign w:val="bottom"/>
          </w:tcPr>
          <w:p>
            <w:pPr>
              <w:spacing w:after="0"/>
              <w:rPr>
                <w:sz w:val="20"/>
                <w:szCs w:val="20"/>
                <w:color w:val="auto"/>
              </w:rPr>
            </w:pPr>
            <w:r>
              <w:rPr>
                <w:rFonts w:ascii="Arial" w:cs="Arial" w:eastAsia="Arial" w:hAnsi="Arial"/>
                <w:sz w:val="18"/>
                <w:szCs w:val="18"/>
                <w:color w:val="auto"/>
              </w:rPr>
              <w:t>Less: Proceeds held in trust subject to redemption</w:t>
            </w:r>
            <w:r>
              <w:rPr>
                <w:rFonts w:ascii="Arial" w:cs="Arial" w:eastAsia="Arial" w:hAnsi="Arial"/>
                <w:sz w:val="5"/>
                <w:szCs w:val="5"/>
                <w:color w:val="auto"/>
              </w:rPr>
              <w:t>(2)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(367,547,310)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(423,276,060)</w:t>
            </w:r>
          </w:p>
        </w:tc>
        <w:tc>
          <w:tcPr>
            <w:tcW w:w="0" w:type="dxa"/>
            <w:vAlign w:val="bottom"/>
          </w:tcPr>
          <w:p>
            <w:pPr>
              <w:spacing w:after="0"/>
              <w:rPr>
                <w:sz w:val="1"/>
                <w:szCs w:val="1"/>
                <w:color w:val="auto"/>
              </w:rPr>
            </w:pPr>
          </w:p>
        </w:tc>
      </w:tr>
      <w:tr>
        <w:trPr>
          <w:trHeight w:val="20"/>
        </w:trPr>
        <w:tc>
          <w:tcPr>
            <w:tcW w:w="5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5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5,000,009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5,000,009</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Denominator:</w:t>
            </w: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3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5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Class B common stock outstanding prior to this offering</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11,068,750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11,068,750</w:t>
            </w:r>
          </w:p>
        </w:tc>
        <w:tc>
          <w:tcPr>
            <w:tcW w:w="0" w:type="dxa"/>
            <w:vAlign w:val="bottom"/>
          </w:tcPr>
          <w:p>
            <w:pPr>
              <w:spacing w:after="0"/>
              <w:rPr>
                <w:sz w:val="1"/>
                <w:szCs w:val="1"/>
                <w:color w:val="auto"/>
              </w:rPr>
            </w:pPr>
          </w:p>
        </w:tc>
      </w:tr>
      <w:tr>
        <w:trPr>
          <w:trHeight w:val="261"/>
        </w:trPr>
        <w:tc>
          <w:tcPr>
            <w:tcW w:w="5300" w:type="dxa"/>
            <w:vAlign w:val="bottom"/>
          </w:tcPr>
          <w:p>
            <w:pPr>
              <w:spacing w:after="0"/>
              <w:rPr>
                <w:sz w:val="20"/>
                <w:szCs w:val="20"/>
                <w:color w:val="auto"/>
              </w:rPr>
            </w:pPr>
            <w:r>
              <w:rPr>
                <w:rFonts w:ascii="Arial" w:cs="Arial" w:eastAsia="Arial" w:hAnsi="Arial"/>
                <w:sz w:val="18"/>
                <w:szCs w:val="18"/>
                <w:color w:val="auto"/>
              </w:rPr>
              <w:t>Class B common stock forfeited if over-allotment is not exercised</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(1,443,750)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5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Class A common stock included in the units offered</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38,500,000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44,275,000</w:t>
            </w:r>
          </w:p>
        </w:tc>
        <w:tc>
          <w:tcPr>
            <w:tcW w:w="0" w:type="dxa"/>
            <w:vAlign w:val="bottom"/>
          </w:tcPr>
          <w:p>
            <w:pPr>
              <w:spacing w:after="0"/>
              <w:rPr>
                <w:sz w:val="1"/>
                <w:szCs w:val="1"/>
                <w:color w:val="auto"/>
              </w:rPr>
            </w:pPr>
          </w:p>
        </w:tc>
      </w:tr>
      <w:tr>
        <w:trPr>
          <w:trHeight w:val="279"/>
        </w:trPr>
        <w:tc>
          <w:tcPr>
            <w:tcW w:w="5300" w:type="dxa"/>
            <w:vAlign w:val="bottom"/>
          </w:tcPr>
          <w:p>
            <w:pPr>
              <w:spacing w:after="0"/>
              <w:rPr>
                <w:sz w:val="20"/>
                <w:szCs w:val="20"/>
                <w:color w:val="auto"/>
              </w:rPr>
            </w:pPr>
            <w:r>
              <w:rPr>
                <w:rFonts w:ascii="Arial" w:cs="Arial" w:eastAsia="Arial" w:hAnsi="Arial"/>
                <w:sz w:val="18"/>
                <w:szCs w:val="18"/>
                <w:color w:val="auto"/>
              </w:rPr>
              <w:t>Less: Shares subject to redemption</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(36,754,731)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(42,327,606)</w:t>
            </w:r>
          </w:p>
        </w:tc>
        <w:tc>
          <w:tcPr>
            <w:tcW w:w="0" w:type="dxa"/>
            <w:vAlign w:val="bottom"/>
          </w:tcPr>
          <w:p>
            <w:pPr>
              <w:spacing w:after="0"/>
              <w:rPr>
                <w:sz w:val="1"/>
                <w:szCs w:val="1"/>
                <w:color w:val="auto"/>
              </w:rPr>
            </w:pPr>
          </w:p>
        </w:tc>
      </w:tr>
      <w:tr>
        <w:trPr>
          <w:trHeight w:val="20"/>
        </w:trPr>
        <w:tc>
          <w:tcPr>
            <w:tcW w:w="5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5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11,370,269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13,016,144</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7" w:lineRule="exact"/>
        <w:rPr>
          <w:sz w:val="20"/>
          <w:szCs w:val="20"/>
          <w:color w:val="auto"/>
        </w:rPr>
      </w:pPr>
    </w:p>
    <w:p>
      <w:pPr>
        <w:ind w:left="880" w:right="999" w:hanging="426"/>
        <w:spacing w:after="0" w:line="216" w:lineRule="auto"/>
        <w:tabs>
          <w:tab w:leader="none" w:pos="882" w:val="left"/>
        </w:tabs>
        <w:numPr>
          <w:ilvl w:val="0"/>
          <w:numId w:val="35"/>
        </w:numPr>
        <w:rPr>
          <w:rFonts w:ascii="Arial" w:cs="Arial" w:eastAsia="Arial" w:hAnsi="Arial"/>
          <w:sz w:val="13"/>
          <w:szCs w:val="13"/>
          <w:color w:val="auto"/>
        </w:rPr>
      </w:pPr>
      <w:r>
        <w:rPr>
          <w:rFonts w:ascii="Arial" w:cs="Arial" w:eastAsia="Arial" w:hAnsi="Arial"/>
          <w:sz w:val="13"/>
          <w:szCs w:val="13"/>
          <w:color w:val="auto"/>
        </w:rPr>
        <w:t>Expenses applied against gross proceeds include offering expenses of $1,000,000 and underwriting commissions of $7,700,000 (excluding deferred underwriting fees). See “Use of Proceeds.”</w:t>
      </w:r>
    </w:p>
    <w:p>
      <w:pPr>
        <w:ind w:left="880" w:right="499" w:hanging="426"/>
        <w:spacing w:after="0" w:line="221" w:lineRule="auto"/>
        <w:tabs>
          <w:tab w:leader="none" w:pos="882" w:val="left"/>
        </w:tabs>
        <w:numPr>
          <w:ilvl w:val="0"/>
          <w:numId w:val="35"/>
        </w:numPr>
        <w:rPr>
          <w:rFonts w:ascii="Arial" w:cs="Arial" w:eastAsia="Arial" w:hAnsi="Arial"/>
          <w:sz w:val="13"/>
          <w:szCs w:val="13"/>
          <w:color w:val="auto"/>
        </w:rPr>
      </w:pPr>
      <w:r>
        <w:rPr>
          <w:rFonts w:ascii="Arial" w:cs="Arial" w:eastAsia="Arial" w:hAnsi="Arial"/>
          <w:sz w:val="13"/>
          <w:szCs w:val="13"/>
          <w:color w:val="auto"/>
        </w:rPr>
        <w:t>If we seek stockholder approval of our initial business combination and we do not conduct redemptions in connection with our initial business combination pursuant to the tender offer rules, our sponsor, initial stockholders, directors, executive officers, advisors or their respective affiliates may purchase public shares or public warrants in privately negotiated transactions or in the open market either prior to or following the completion of our initial business combination. In the event of any such purchases of our shares prior to the completion of our initial business combination, the number of shares of Class A common stock subject to redemption will be reduced by the amount of any such purchases, increasing the pro forma net tangible book value per share. See “Proposed Business — Initial Business Combination — Permitted Purchases of Our Securities.”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46" w:lineRule="exact"/>
        <w:rPr>
          <w:sz w:val="20"/>
          <w:szCs w:val="20"/>
          <w:color w:val="auto"/>
        </w:rPr>
      </w:pPr>
    </w:p>
    <w:p>
      <w:pPr>
        <w:ind w:left="460" w:right="539"/>
        <w:spacing w:after="0" w:line="245" w:lineRule="auto"/>
        <w:rPr>
          <w:sz w:val="20"/>
          <w:szCs w:val="20"/>
          <w:color w:val="auto"/>
        </w:rPr>
      </w:pPr>
      <w:r>
        <w:rPr>
          <w:rFonts w:ascii="Arial" w:cs="Arial" w:eastAsia="Arial" w:hAnsi="Arial"/>
          <w:sz w:val="18"/>
          <w:szCs w:val="18"/>
          <w:color w:val="auto"/>
        </w:rPr>
        <w:t>The following table sets forth our capitalization at July 16, 2020, and as adjusted to give effect to the filing of our amended and restated certificate of incorporation, the sale of our units in this offering and the sale of the private placement warrants and the application of the estimated net proceeds derived from the sale of such securities, assuming no exercise by the underwriters of their over-allotment option:</w:t>
      </w:r>
    </w:p>
    <w:p>
      <w:pPr>
        <w:spacing w:after="0" w:line="220" w:lineRule="exact"/>
        <w:rPr>
          <w:sz w:val="20"/>
          <w:szCs w:val="20"/>
          <w:color w:val="auto"/>
        </w:rPr>
      </w:pPr>
    </w:p>
    <w:tbl>
      <w:tblPr>
        <w:tblLayout w:type="fixed"/>
        <w:tblInd w:w="460" w:type="dxa"/>
        <w:tblCellMar>
          <w:top w:w="0" w:type="dxa"/>
          <w:left w:w="0" w:type="dxa"/>
          <w:bottom w:w="0" w:type="dxa"/>
          <w:right w:w="0" w:type="dxa"/>
        </w:tblCellMar>
      </w:tblPr>
      <w:tr>
        <w:trPr>
          <w:trHeight w:val="211"/>
        </w:trPr>
        <w:tc>
          <w:tcPr>
            <w:tcW w:w="5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4"/>
                <w:szCs w:val="14"/>
                <w:b w:val="1"/>
                <w:bCs w:val="1"/>
                <w:color w:val="auto"/>
              </w:rPr>
              <w:t>July 16, 2020</w:t>
            </w:r>
          </w:p>
        </w:tc>
      </w:tr>
      <w:tr>
        <w:trPr>
          <w:trHeight w:val="277"/>
        </w:trPr>
        <w:tc>
          <w:tcPr>
            <w:tcW w:w="544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Actual</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As Adjusted</w:t>
            </w:r>
          </w:p>
        </w:tc>
      </w:tr>
      <w:tr>
        <w:trPr>
          <w:trHeight w:val="27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Note payable to related party</w:t>
            </w:r>
            <w:r>
              <w:rPr>
                <w:rFonts w:ascii="Arial" w:cs="Arial" w:eastAsia="Arial" w:hAnsi="Arial"/>
                <w:sz w:val="20"/>
                <w:szCs w:val="20"/>
                <w:color w:val="auto"/>
                <w:vertAlign w:val="superscript"/>
              </w:rPr>
              <w:t>(1)</w:t>
            </w:r>
          </w:p>
        </w:tc>
        <w:tc>
          <w:tcPr>
            <w:tcW w:w="4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79"/>
        </w:trPr>
        <w:tc>
          <w:tcPr>
            <w:tcW w:w="5440" w:type="dxa"/>
            <w:vAlign w:val="bottom"/>
          </w:tcPr>
          <w:p>
            <w:pPr>
              <w:spacing w:after="0"/>
              <w:rPr>
                <w:sz w:val="20"/>
                <w:szCs w:val="20"/>
                <w:color w:val="auto"/>
              </w:rPr>
            </w:pPr>
            <w:r>
              <w:rPr>
                <w:rFonts w:ascii="Arial" w:cs="Arial" w:eastAsia="Arial" w:hAnsi="Arial"/>
                <w:sz w:val="18"/>
                <w:szCs w:val="18"/>
                <w:color w:val="auto"/>
              </w:rPr>
              <w:t>Deferred underwriting commissions</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13,475,000</w:t>
            </w:r>
          </w:p>
        </w:tc>
        <w:tc>
          <w:tcPr>
            <w:tcW w:w="120" w:type="dxa"/>
            <w:vAlign w:val="bottom"/>
          </w:tcPr>
          <w:p>
            <w:pPr>
              <w:spacing w:after="0"/>
              <w:rPr>
                <w:sz w:val="24"/>
                <w:szCs w:val="24"/>
                <w:color w:val="auto"/>
              </w:rPr>
            </w:pPr>
          </w:p>
        </w:tc>
      </w:tr>
      <w:tr>
        <w:trPr>
          <w:trHeight w:val="164"/>
        </w:trPr>
        <w:tc>
          <w:tcPr>
            <w:tcW w:w="5440" w:type="dxa"/>
            <w:vAlign w:val="bottom"/>
            <w:tcBorders>
              <w:top w:val="single" w:sz="8" w:color="CCEEFF"/>
            </w:tcBorders>
            <w:shd w:val="clear" w:color="auto" w:fill="CCEEFF"/>
          </w:tcPr>
          <w:p>
            <w:pPr>
              <w:spacing w:after="0" w:line="164" w:lineRule="exact"/>
              <w:rPr>
                <w:sz w:val="20"/>
                <w:szCs w:val="20"/>
                <w:color w:val="auto"/>
              </w:rPr>
            </w:pPr>
            <w:r>
              <w:rPr>
                <w:rFonts w:ascii="Arial" w:cs="Arial" w:eastAsia="Arial" w:hAnsi="Arial"/>
                <w:sz w:val="18"/>
                <w:szCs w:val="18"/>
                <w:color w:val="auto"/>
              </w:rPr>
              <w:t>Class A common stock subject to possible redemption; -0- and</w:t>
            </w:r>
          </w:p>
        </w:tc>
        <w:tc>
          <w:tcPr>
            <w:tcW w:w="2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r>
      <w:tr>
        <w:trPr>
          <w:trHeight w:val="266"/>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36,754,731 shares, actual and as adjusted, respectively</w:t>
            </w:r>
            <w:r>
              <w:rPr>
                <w:rFonts w:ascii="Arial" w:cs="Arial" w:eastAsia="Arial" w:hAnsi="Arial"/>
                <w:sz w:val="20"/>
                <w:szCs w:val="20"/>
                <w:color w:val="auto"/>
                <w:vertAlign w:val="superscript"/>
              </w:rPr>
              <w:t>(2)</w:t>
            </w: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367,547,310</w:t>
            </w:r>
          </w:p>
        </w:tc>
        <w:tc>
          <w:tcPr>
            <w:tcW w:w="120" w:type="dxa"/>
            <w:vAlign w:val="bottom"/>
            <w:shd w:val="clear" w:color="auto" w:fill="CCEEFF"/>
          </w:tcPr>
          <w:p>
            <w:pPr>
              <w:spacing w:after="0"/>
              <w:rPr>
                <w:sz w:val="23"/>
                <w:szCs w:val="23"/>
                <w:color w:val="auto"/>
              </w:rPr>
            </w:pPr>
          </w:p>
        </w:tc>
      </w:tr>
      <w:tr>
        <w:trPr>
          <w:trHeight w:val="160"/>
        </w:trPr>
        <w:tc>
          <w:tcPr>
            <w:tcW w:w="5440" w:type="dxa"/>
            <w:vAlign w:val="bottom"/>
          </w:tcPr>
          <w:p>
            <w:pPr>
              <w:spacing w:after="0" w:line="160" w:lineRule="exact"/>
              <w:rPr>
                <w:sz w:val="20"/>
                <w:szCs w:val="20"/>
                <w:color w:val="auto"/>
              </w:rPr>
            </w:pPr>
            <w:r>
              <w:rPr>
                <w:rFonts w:ascii="Arial" w:cs="Arial" w:eastAsia="Arial" w:hAnsi="Arial"/>
                <w:sz w:val="18"/>
                <w:szCs w:val="18"/>
                <w:color w:val="auto"/>
              </w:rPr>
              <w:t>Preferred stock, $0.0001 par value, 1,000,000 shares authorized;</w:t>
            </w:r>
          </w:p>
        </w:tc>
        <w:tc>
          <w:tcPr>
            <w:tcW w:w="2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43"/>
        </w:trPr>
        <w:tc>
          <w:tcPr>
            <w:tcW w:w="5440" w:type="dxa"/>
            <w:vAlign w:val="bottom"/>
          </w:tcPr>
          <w:p>
            <w:pPr>
              <w:ind w:left="180"/>
              <w:spacing w:after="0"/>
              <w:rPr>
                <w:sz w:val="20"/>
                <w:szCs w:val="20"/>
                <w:color w:val="auto"/>
              </w:rPr>
            </w:pPr>
            <w:r>
              <w:rPr>
                <w:rFonts w:ascii="Arial" w:cs="Arial" w:eastAsia="Arial" w:hAnsi="Arial"/>
                <w:sz w:val="18"/>
                <w:szCs w:val="18"/>
                <w:color w:val="auto"/>
              </w:rPr>
              <w:t>none issued and outstanding, actual and as adjusted</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
        </w:trPr>
        <w:tc>
          <w:tcPr>
            <w:tcW w:w="5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80"/>
        </w:trPr>
        <w:tc>
          <w:tcPr>
            <w:tcW w:w="5440" w:type="dxa"/>
            <w:vAlign w:val="bottom"/>
            <w:shd w:val="clear" w:color="auto" w:fill="CCEEFF"/>
          </w:tcPr>
          <w:p>
            <w:pPr>
              <w:spacing w:after="0" w:line="180" w:lineRule="exact"/>
              <w:rPr>
                <w:sz w:val="20"/>
                <w:szCs w:val="20"/>
                <w:color w:val="auto"/>
              </w:rPr>
            </w:pPr>
            <w:r>
              <w:rPr>
                <w:rFonts w:ascii="Arial" w:cs="Arial" w:eastAsia="Arial" w:hAnsi="Arial"/>
                <w:sz w:val="18"/>
                <w:szCs w:val="18"/>
                <w:color w:val="auto"/>
              </w:rPr>
              <w:t>Class A common stock, $0.0001 par value, 380,000,000 shares</w:t>
            </w: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54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authorized; -0- and 1,745,269 shares issued and outstanding</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4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(excluding -0- and 36,754,731 shares subject to possible</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46"/>
        </w:trPr>
        <w:tc>
          <w:tcPr>
            <w:tcW w:w="5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redemption), actual and as adjusted, respectively</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180"/>
        </w:trPr>
        <w:tc>
          <w:tcPr>
            <w:tcW w:w="5440" w:type="dxa"/>
            <w:vAlign w:val="bottom"/>
          </w:tcPr>
          <w:p>
            <w:pPr>
              <w:spacing w:after="0" w:line="180" w:lineRule="exact"/>
              <w:rPr>
                <w:sz w:val="20"/>
                <w:szCs w:val="20"/>
                <w:color w:val="auto"/>
              </w:rPr>
            </w:pPr>
            <w:r>
              <w:rPr>
                <w:rFonts w:ascii="Arial" w:cs="Arial" w:eastAsia="Arial" w:hAnsi="Arial"/>
                <w:sz w:val="18"/>
                <w:szCs w:val="18"/>
                <w:color w:val="auto"/>
              </w:rPr>
              <w:t>Class B common stock, $0.0001 par value, 20,000,000 shares</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5440" w:type="dxa"/>
            <w:vAlign w:val="bottom"/>
          </w:tcPr>
          <w:p>
            <w:pPr>
              <w:ind w:left="180"/>
              <w:spacing w:after="0" w:line="202" w:lineRule="exact"/>
              <w:rPr>
                <w:sz w:val="20"/>
                <w:szCs w:val="20"/>
                <w:color w:val="auto"/>
              </w:rPr>
            </w:pPr>
            <w:r>
              <w:rPr>
                <w:rFonts w:ascii="Arial" w:cs="Arial" w:eastAsia="Arial" w:hAnsi="Arial"/>
                <w:sz w:val="18"/>
                <w:szCs w:val="18"/>
                <w:color w:val="auto"/>
              </w:rPr>
              <w:t>authorized; 11,068,750 and 9,625,000 shares issued and</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66"/>
        </w:trPr>
        <w:tc>
          <w:tcPr>
            <w:tcW w:w="5440" w:type="dxa"/>
            <w:vAlign w:val="bottom"/>
          </w:tcPr>
          <w:p>
            <w:pPr>
              <w:ind w:left="180"/>
              <w:spacing w:after="0"/>
              <w:rPr>
                <w:sz w:val="20"/>
                <w:szCs w:val="20"/>
                <w:color w:val="auto"/>
              </w:rPr>
            </w:pPr>
            <w:r>
              <w:rPr>
                <w:rFonts w:ascii="Arial" w:cs="Arial" w:eastAsia="Arial" w:hAnsi="Arial"/>
                <w:sz w:val="18"/>
                <w:szCs w:val="18"/>
                <w:color w:val="auto"/>
              </w:rPr>
              <w:t>outstanding, actual and as adjusted, respectively</w:t>
            </w:r>
            <w:r>
              <w:rPr>
                <w:rFonts w:ascii="Arial" w:cs="Arial" w:eastAsia="Arial" w:hAnsi="Arial"/>
                <w:sz w:val="20"/>
                <w:szCs w:val="20"/>
                <w:color w:val="auto"/>
                <w:vertAlign w:val="superscript"/>
              </w:rPr>
              <w:t>(3)</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1,107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963</w:t>
            </w:r>
          </w:p>
        </w:tc>
        <w:tc>
          <w:tcPr>
            <w:tcW w:w="120" w:type="dxa"/>
            <w:vAlign w:val="bottom"/>
          </w:tcPr>
          <w:p>
            <w:pPr>
              <w:spacing w:after="0"/>
              <w:rPr>
                <w:sz w:val="23"/>
                <w:szCs w:val="23"/>
                <w:color w:val="auto"/>
              </w:rPr>
            </w:pPr>
          </w:p>
        </w:tc>
      </w:tr>
      <w:tr>
        <w:trPr>
          <w:trHeight w:val="263"/>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23,893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5,001,552</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79"/>
        </w:trPr>
        <w:tc>
          <w:tcPr>
            <w:tcW w:w="5440" w:type="dxa"/>
            <w:vAlign w:val="bottom"/>
          </w:tcPr>
          <w:p>
            <w:pPr>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(2,681)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(2,681)</w:t>
            </w:r>
          </w:p>
        </w:tc>
      </w:tr>
      <w:tr>
        <w:trPr>
          <w:trHeight w:val="268"/>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22,319</w:t>
            </w: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5,000,009</w:t>
            </w:r>
          </w:p>
        </w:tc>
        <w:tc>
          <w:tcPr>
            <w:tcW w:w="120" w:type="dxa"/>
            <w:vAlign w:val="bottom"/>
            <w:tcBorders>
              <w:top w:val="single" w:sz="8" w:color="CCEEFF"/>
            </w:tcBorders>
            <w:shd w:val="clear" w:color="auto" w:fill="CCEEFF"/>
          </w:tcPr>
          <w:p>
            <w:pPr>
              <w:spacing w:after="0"/>
              <w:rPr>
                <w:sz w:val="23"/>
                <w:szCs w:val="23"/>
                <w:color w:val="auto"/>
              </w:rPr>
            </w:pPr>
          </w:p>
        </w:tc>
      </w:tr>
      <w:tr>
        <w:trPr>
          <w:trHeight w:val="250"/>
        </w:trPr>
        <w:tc>
          <w:tcPr>
            <w:tcW w:w="5440" w:type="dxa"/>
            <w:vAlign w:val="bottom"/>
          </w:tcPr>
          <w:p>
            <w:pPr>
              <w:spacing w:after="0"/>
              <w:rPr>
                <w:sz w:val="20"/>
                <w:szCs w:val="20"/>
                <w:color w:val="auto"/>
              </w:rPr>
            </w:pPr>
            <w:r>
              <w:rPr>
                <w:rFonts w:ascii="Arial" w:cs="Arial" w:eastAsia="Arial" w:hAnsi="Arial"/>
                <w:sz w:val="18"/>
                <w:szCs w:val="18"/>
                <w:color w:val="auto"/>
              </w:rPr>
              <w:t>Total capitalization</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22,319</w:t>
            </w:r>
          </w:p>
        </w:tc>
        <w:tc>
          <w:tcPr>
            <w:tcW w:w="100" w:type="dxa"/>
            <w:vAlign w:val="bottom"/>
          </w:tcPr>
          <w:p>
            <w:pPr>
              <w:spacing w:after="0"/>
              <w:rPr>
                <w:sz w:val="21"/>
                <w:szCs w:val="21"/>
                <w:color w:val="auto"/>
              </w:rPr>
            </w:pP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351,022,319</w:t>
            </w:r>
          </w:p>
        </w:tc>
        <w:tc>
          <w:tcPr>
            <w:tcW w:w="120" w:type="dxa"/>
            <w:vAlign w:val="bottom"/>
          </w:tcPr>
          <w:p>
            <w:pPr>
              <w:spacing w:after="0"/>
              <w:rPr>
                <w:sz w:val="21"/>
                <w:szCs w:val="21"/>
                <w:color w:val="auto"/>
              </w:rPr>
            </w:pPr>
          </w:p>
        </w:tc>
      </w:tr>
      <w:tr>
        <w:trPr>
          <w:trHeight w:val="20"/>
        </w:trPr>
        <w:tc>
          <w:tcPr>
            <w:tcW w:w="5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7" w:lineRule="exact"/>
        <w:rPr>
          <w:sz w:val="20"/>
          <w:szCs w:val="20"/>
          <w:color w:val="auto"/>
        </w:rPr>
      </w:pPr>
    </w:p>
    <w:p>
      <w:pPr>
        <w:ind w:left="880" w:right="579" w:hanging="426"/>
        <w:spacing w:after="0" w:line="234" w:lineRule="auto"/>
        <w:tabs>
          <w:tab w:leader="none" w:pos="882" w:val="left"/>
        </w:tabs>
        <w:numPr>
          <w:ilvl w:val="0"/>
          <w:numId w:val="36"/>
        </w:numPr>
        <w:rPr>
          <w:rFonts w:ascii="Arial" w:cs="Arial" w:eastAsia="Arial" w:hAnsi="Arial"/>
          <w:sz w:val="12"/>
          <w:szCs w:val="12"/>
          <w:color w:val="auto"/>
        </w:rPr>
      </w:pPr>
      <w:r>
        <w:rPr>
          <w:rFonts w:ascii="Arial" w:cs="Arial" w:eastAsia="Arial" w:hAnsi="Arial"/>
          <w:sz w:val="12"/>
          <w:szCs w:val="12"/>
          <w:color w:val="auto"/>
        </w:rPr>
        <w:t>Our sponsor may loan us up to $300,000 under an unsecured promissory note to be used for a portion of the expenses of this offering. The “as adjusted” information gives effect to the repayment of any loans made under this note out of the proceeds from this offering and the sale of the private placement warrants. As of July 16, 2020, we had not borrowed any amounts under the promissory note.</w:t>
      </w:r>
    </w:p>
    <w:p>
      <w:pPr>
        <w:spacing w:after="0" w:line="1" w:lineRule="exact"/>
        <w:rPr>
          <w:rFonts w:ascii="Arial" w:cs="Arial" w:eastAsia="Arial" w:hAnsi="Arial"/>
          <w:sz w:val="12"/>
          <w:szCs w:val="12"/>
          <w:color w:val="auto"/>
        </w:rPr>
      </w:pPr>
    </w:p>
    <w:p>
      <w:pPr>
        <w:ind w:left="880" w:right="459" w:hanging="426"/>
        <w:spacing w:after="0" w:line="216" w:lineRule="auto"/>
        <w:tabs>
          <w:tab w:leader="none" w:pos="882" w:val="left"/>
        </w:tabs>
        <w:numPr>
          <w:ilvl w:val="0"/>
          <w:numId w:val="36"/>
        </w:numPr>
        <w:rPr>
          <w:rFonts w:ascii="Arial" w:cs="Arial" w:eastAsia="Arial" w:hAnsi="Arial"/>
          <w:sz w:val="13"/>
          <w:szCs w:val="13"/>
          <w:color w:val="auto"/>
        </w:rPr>
      </w:pPr>
      <w:r>
        <w:rPr>
          <w:rFonts w:ascii="Arial" w:cs="Arial" w:eastAsia="Arial" w:hAnsi="Arial"/>
          <w:sz w:val="13"/>
          <w:szCs w:val="13"/>
          <w:color w:val="auto"/>
        </w:rPr>
        <w:t>Upon the completion of our initial business combination, we will provide our public stockholders with the opportunity to redeem their public shares for cash at a per share price equal to the aggregate amount then on deposit in the trust account calculated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described herein whereby redemptions cannot cause our net tangible assets to be less than $5,000,001.</w:t>
      </w:r>
    </w:p>
    <w:p>
      <w:pPr>
        <w:spacing w:after="0" w:line="2" w:lineRule="exact"/>
        <w:rPr>
          <w:rFonts w:ascii="Arial" w:cs="Arial" w:eastAsia="Arial" w:hAnsi="Arial"/>
          <w:sz w:val="13"/>
          <w:szCs w:val="13"/>
          <w:color w:val="auto"/>
        </w:rPr>
      </w:pPr>
    </w:p>
    <w:p>
      <w:pPr>
        <w:ind w:left="880" w:right="839" w:hanging="426"/>
        <w:spacing w:after="0" w:line="231" w:lineRule="auto"/>
        <w:tabs>
          <w:tab w:leader="none" w:pos="875" w:val="left"/>
        </w:tabs>
        <w:numPr>
          <w:ilvl w:val="0"/>
          <w:numId w:val="36"/>
        </w:numPr>
        <w:rPr>
          <w:rFonts w:ascii="Arial" w:cs="Arial" w:eastAsia="Arial" w:hAnsi="Arial"/>
          <w:sz w:val="13"/>
          <w:szCs w:val="13"/>
          <w:color w:val="auto"/>
        </w:rPr>
      </w:pPr>
      <w:r>
        <w:rPr>
          <w:rFonts w:ascii="Arial" w:cs="Arial" w:eastAsia="Arial" w:hAnsi="Arial"/>
          <w:sz w:val="13"/>
          <w:szCs w:val="13"/>
          <w:color w:val="auto"/>
        </w:rPr>
        <w:t>Actual share amount is prior to any forfeiture of founder shares by our sponsor and as adjusted amount assumes no exercise of the underwriters’ over-allotment option and forfeiture by our sponsor of an aggregate of 1,443,750 founder shares.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sectPr>
      </w:pPr>
    </w:p>
    <w:bookmarkStart w:id="74" w:name="page75"/>
    <w:bookmarkEnd w:id="74"/>
    <w:p>
      <w:pPr>
        <w:ind w:left="232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46"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We are a blank check company incorporated on July 10, 2020 as a Delaware corporation and formed for the purpose of effecting a merger, capital stock exchange, asset acquisition, stock purchase, reorganization or similar business combination with one or more businesses. We have not selected any specific business combination target and we have not, nor has anyone on our behalf, engaged in any substantive discussions directly or indirectly, with any business combination target with respect to an initial business combination with us. We may pursue an initial business combination target in any industry, sector or geographic region. We intend to focus our search for an initial business combination in the life sciences sector. We intend to effectuate our initial business combination using cash from the proceeds of this offering and the private placement of the private placement warrants and any forward purchase shares, the proceeds of the sale of our shares in connection with our initial business combination (pursuant to forward purchase agreements or backstop agreements we may enter into following the consummation of this offering or otherwise), shares issued to the owners of the target, debt issued to bank or other lenders or the owners of the target, or a combination of the foregoing.</w:t>
      </w:r>
    </w:p>
    <w:p>
      <w:pPr>
        <w:spacing w:after="0" w:line="96" w:lineRule="exact"/>
        <w:rPr>
          <w:sz w:val="20"/>
          <w:szCs w:val="20"/>
          <w:color w:val="auto"/>
        </w:rPr>
      </w:pPr>
    </w:p>
    <w:p>
      <w:pPr>
        <w:ind w:left="460" w:right="839"/>
        <w:spacing w:after="0" w:line="258" w:lineRule="auto"/>
        <w:rPr>
          <w:sz w:val="20"/>
          <w:szCs w:val="20"/>
          <w:color w:val="auto"/>
        </w:rPr>
      </w:pPr>
      <w:r>
        <w:rPr>
          <w:rFonts w:ascii="Arial" w:cs="Arial" w:eastAsia="Arial" w:hAnsi="Arial"/>
          <w:sz w:val="18"/>
          <w:szCs w:val="18"/>
          <w:color w:val="auto"/>
        </w:rPr>
        <w:t>The issuance of additional shares in connection with a business combination to the owners of the target or other investors, including any forward purchase shares:</w:t>
      </w:r>
    </w:p>
    <w:p>
      <w:pPr>
        <w:ind w:left="1100" w:right="539" w:hanging="322"/>
        <w:spacing w:after="0" w:line="246" w:lineRule="auto"/>
        <w:tabs>
          <w:tab w:leader="none" w:pos="1089"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this offering, which dilution would increase if the anti-dilution provisions in the Class B common stock resulted in the issuance of Class A common stock on a greater than one-to-one basis upon conversion of the Class B common stock;</w:t>
      </w:r>
    </w:p>
    <w:p>
      <w:pPr>
        <w:spacing w:after="0" w:line="1" w:lineRule="exact"/>
        <w:rPr>
          <w:rFonts w:ascii="Arial" w:cs="Arial" w:eastAsia="Arial" w:hAnsi="Arial"/>
          <w:sz w:val="18"/>
          <w:szCs w:val="18"/>
          <w:color w:val="auto"/>
        </w:rPr>
      </w:pPr>
    </w:p>
    <w:p>
      <w:pPr>
        <w:ind w:left="1100" w:right="699" w:hanging="322"/>
        <w:spacing w:after="0" w:line="258" w:lineRule="auto"/>
        <w:tabs>
          <w:tab w:leader="none" w:pos="1089"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may subordinate the rights of holders of Class A common stock if shares of preferred stock are issued with rights senior to those afforded our Class A common stock;</w:t>
      </w:r>
    </w:p>
    <w:p>
      <w:pPr>
        <w:ind w:left="1100" w:right="719" w:hanging="322"/>
        <w:spacing w:after="0" w:line="242" w:lineRule="auto"/>
        <w:tabs>
          <w:tab w:leader="none" w:pos="1089"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could cause a change in control if a substantial number of shares of our Class A common stock are issued, which may affect, among other things, our ability to use our net operating loss carry forwards, if any, and could result in the resignation or removal of our present officers and directors;</w:t>
      </w:r>
    </w:p>
    <w:p>
      <w:pPr>
        <w:spacing w:after="0" w:line="2" w:lineRule="exact"/>
        <w:rPr>
          <w:rFonts w:ascii="Arial" w:cs="Arial" w:eastAsia="Arial" w:hAnsi="Arial"/>
          <w:sz w:val="18"/>
          <w:szCs w:val="18"/>
          <w:color w:val="auto"/>
        </w:rPr>
      </w:pPr>
    </w:p>
    <w:p>
      <w:pPr>
        <w:ind w:left="1100" w:right="659" w:hanging="322"/>
        <w:spacing w:after="0" w:line="258" w:lineRule="auto"/>
        <w:tabs>
          <w:tab w:leader="none" w:pos="1089"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share ownership or voting rights of a person seeking to obtain control of us; and</w:t>
      </w:r>
    </w:p>
    <w:p>
      <w:pPr>
        <w:ind w:left="1100" w:hanging="322"/>
        <w:spacing w:after="0"/>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Class A common stock and/or warrants.</w:t>
      </w:r>
    </w:p>
    <w:p>
      <w:pPr>
        <w:spacing w:after="0" w:line="131" w:lineRule="exact"/>
        <w:rPr>
          <w:sz w:val="20"/>
          <w:szCs w:val="20"/>
          <w:color w:val="auto"/>
        </w:rPr>
      </w:pPr>
    </w:p>
    <w:p>
      <w:pPr>
        <w:ind w:left="460" w:right="559"/>
        <w:spacing w:after="0" w:line="258" w:lineRule="auto"/>
        <w:rPr>
          <w:sz w:val="20"/>
          <w:szCs w:val="20"/>
          <w:color w:val="auto"/>
        </w:rPr>
      </w:pPr>
      <w:r>
        <w:rPr>
          <w:rFonts w:ascii="Arial" w:cs="Arial" w:eastAsia="Arial" w:hAnsi="Arial"/>
          <w:sz w:val="18"/>
          <w:szCs w:val="18"/>
          <w:color w:val="auto"/>
        </w:rPr>
        <w:t>Similarly, if we issue debt securities or otherwise incur significant debt to bank or other lenders or the owners of a target, it could result in:</w:t>
      </w:r>
    </w:p>
    <w:p>
      <w:pPr>
        <w:ind w:left="1100" w:right="1039" w:hanging="322"/>
        <w:spacing w:after="0" w:line="258" w:lineRule="auto"/>
        <w:tabs>
          <w:tab w:leader="none" w:pos="1089"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ind w:left="1100" w:right="639" w:hanging="322"/>
        <w:spacing w:after="0" w:line="250" w:lineRule="auto"/>
        <w:tabs>
          <w:tab w:leader="none" w:pos="1089"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 w:lineRule="exact"/>
        <w:rPr>
          <w:rFonts w:ascii="Arial" w:cs="Arial" w:eastAsia="Arial" w:hAnsi="Arial"/>
          <w:sz w:val="18"/>
          <w:szCs w:val="18"/>
          <w:color w:val="auto"/>
        </w:rPr>
      </w:pPr>
    </w:p>
    <w:p>
      <w:pPr>
        <w:ind w:left="1100" w:right="699" w:hanging="322"/>
        <w:spacing w:after="0" w:line="250" w:lineRule="auto"/>
        <w:tabs>
          <w:tab w:leader="none" w:pos="1089"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ind w:left="1100" w:right="559" w:hanging="322"/>
        <w:spacing w:after="0" w:line="258" w:lineRule="auto"/>
        <w:tabs>
          <w:tab w:leader="none" w:pos="1089"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is outstanding;</w:t>
      </w:r>
    </w:p>
    <w:p>
      <w:pPr>
        <w:ind w:left="1100" w:hanging="322"/>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inability to pay dividends on our Class A common stock;</w:t>
      </w:r>
    </w:p>
    <w:p>
      <w:pPr>
        <w:spacing w:after="0" w:line="35" w:lineRule="exact"/>
        <w:rPr>
          <w:rFonts w:ascii="Arial" w:cs="Arial" w:eastAsia="Arial" w:hAnsi="Arial"/>
          <w:sz w:val="18"/>
          <w:szCs w:val="18"/>
          <w:color w:val="auto"/>
        </w:rPr>
      </w:pPr>
    </w:p>
    <w:p>
      <w:pPr>
        <w:ind w:left="1100" w:right="759" w:hanging="322"/>
        <w:spacing w:after="0" w:line="259" w:lineRule="auto"/>
        <w:tabs>
          <w:tab w:leader="none" w:pos="1089" w:val="left"/>
        </w:tabs>
        <w:numPr>
          <w:ilvl w:val="0"/>
          <w:numId w:val="38"/>
        </w:numPr>
        <w:rPr>
          <w:rFonts w:ascii="Arial" w:cs="Arial" w:eastAsia="Arial" w:hAnsi="Arial"/>
          <w:sz w:val="17"/>
          <w:szCs w:val="17"/>
          <w:color w:val="auto"/>
        </w:rPr>
      </w:pPr>
      <w:r>
        <w:rPr>
          <w:rFonts w:ascii="Arial" w:cs="Arial" w:eastAsia="Arial" w:hAnsi="Arial"/>
          <w:sz w:val="17"/>
          <w:szCs w:val="17"/>
          <w:color w:val="auto"/>
        </w:rPr>
        <w:t>using a substantial portion of our cash flow to pay principal and interest on our debt, which will reduce the funds available for dividends on our Class A common stock if declared, expenses, capital expenditures, acquisitions and other general corporate purposes;</w:t>
      </w:r>
    </w:p>
    <w:p>
      <w:pPr>
        <w:spacing w:after="0" w:line="1" w:lineRule="exact"/>
        <w:rPr>
          <w:rFonts w:ascii="Arial" w:cs="Arial" w:eastAsia="Arial" w:hAnsi="Arial"/>
          <w:sz w:val="17"/>
          <w:szCs w:val="17"/>
          <w:color w:val="auto"/>
        </w:rPr>
      </w:pPr>
    </w:p>
    <w:p>
      <w:pPr>
        <w:ind w:left="1100" w:right="579" w:hanging="322"/>
        <w:spacing w:after="0" w:line="258" w:lineRule="auto"/>
        <w:tabs>
          <w:tab w:leader="none" w:pos="1089"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ind w:left="1100" w:right="819" w:hanging="322"/>
        <w:spacing w:after="0" w:line="258" w:lineRule="auto"/>
        <w:tabs>
          <w:tab w:leader="none" w:pos="1089"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jc w:val="both"/>
        <w:ind w:left="1100" w:right="779" w:hanging="322"/>
        <w:spacing w:after="0" w:line="247" w:lineRule="auto"/>
        <w:tabs>
          <w:tab w:leader="none" w:pos="1089"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sectPr>
      </w:pPr>
    </w:p>
    <w:bookmarkStart w:id="75" w:name="page76"/>
    <w:bookmarkEnd w:id="75"/>
    <w:p>
      <w:pPr>
        <w:ind w:left="460" w:right="739"/>
        <w:spacing w:after="0" w:line="248" w:lineRule="auto"/>
        <w:rPr>
          <w:sz w:val="20"/>
          <w:szCs w:val="20"/>
          <w:color w:val="auto"/>
        </w:rPr>
      </w:pPr>
      <w:r>
        <w:rPr>
          <w:rFonts w:ascii="Arial" w:cs="Arial" w:eastAsia="Arial" w:hAnsi="Arial"/>
          <w:sz w:val="18"/>
          <w:szCs w:val="18"/>
          <w:color w:val="auto"/>
        </w:rPr>
        <w:t>As indicated in the accompanying financial statements, at July 16, 2020, we had no cash, deferred offering costs of $90,000, and a working capital deficit of $(67,681). Further, we expect to incur significant costs in the pursuit of our initial business combination. We cannot assure you that our plans to raise capital or to complete our initial business combination will be successful.</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Results of Operations and Known Trends or Future Events</w:t>
      </w:r>
    </w:p>
    <w:p>
      <w:pPr>
        <w:spacing w:after="0" w:line="133" w:lineRule="exact"/>
        <w:rPr>
          <w:sz w:val="20"/>
          <w:szCs w:val="20"/>
          <w:color w:val="auto"/>
        </w:rPr>
      </w:pPr>
    </w:p>
    <w:p>
      <w:pPr>
        <w:ind w:left="460" w:right="519"/>
        <w:spacing w:after="0" w:line="239" w:lineRule="auto"/>
        <w:rPr>
          <w:sz w:val="20"/>
          <w:szCs w:val="20"/>
          <w:color w:val="auto"/>
        </w:rPr>
      </w:pPr>
      <w:r>
        <w:rPr>
          <w:rFonts w:ascii="Arial" w:cs="Arial" w:eastAsia="Arial" w:hAnsi="Arial"/>
          <w:sz w:val="18"/>
          <w:szCs w:val="18"/>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for due diligence expenses. We expect our expenses to increase substantially after the closing of this offering.</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Liquidity and Capital Resources</w:t>
      </w:r>
    </w:p>
    <w:p>
      <w:pPr>
        <w:spacing w:after="0" w:line="146" w:lineRule="exact"/>
        <w:rPr>
          <w:sz w:val="20"/>
          <w:szCs w:val="20"/>
          <w:color w:val="auto"/>
        </w:rPr>
      </w:pPr>
    </w:p>
    <w:p>
      <w:pPr>
        <w:ind w:left="460" w:right="719"/>
        <w:spacing w:after="0" w:line="255" w:lineRule="auto"/>
        <w:rPr>
          <w:sz w:val="20"/>
          <w:szCs w:val="20"/>
          <w:color w:val="auto"/>
        </w:rPr>
      </w:pPr>
      <w:r>
        <w:rPr>
          <w:rFonts w:ascii="Arial" w:cs="Arial" w:eastAsia="Arial" w:hAnsi="Arial"/>
          <w:sz w:val="18"/>
          <w:szCs w:val="18"/>
          <w:color w:val="auto"/>
        </w:rPr>
        <w:t>Our liquidity needs have been satisfied prior to the completion of this offering through a capital contribution from our sponsor of $25,000 in exchange for the issuance of the founder shares to our sponsor and up to $300,000 in loans available from our sponsor.</w:t>
      </w:r>
    </w:p>
    <w:p>
      <w:pPr>
        <w:spacing w:after="0" w:line="96"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We estimate that the net proceeds from the sale of the units in this offering and the sale of the private placement warrants for an aggregate purchase price of $9,700,000 (or $10,855,000 if the underwriters’ over-allotment option is exercised in full), after deducting offering expenses of approximately $1,000,000 and underwriting commissions of $7,700,000 (or $8,855,000 if the underwriters’ over-allotment option is exercised in full) (excluding deferred underwriting commissions of $13,475,000, or $15,496,250 if the underwriters’ over-allotment option is exercised in full), will be $386,000,000 (or $443,750,000 if the underwriters’ over-allotment option is exercised in full). $385,000,000 (or $442,750,000 if the underwriters’ over-allotment option is exercised in full) will be held in the trust account, which includes the deferred underwriting commissions described above. 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The remaining approximately $1,000,000 will not be held in the trust account. In the event that our offering expenses exceed our estimate of $1,000,000, we may fund such excess with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w:t>
      </w:r>
    </w:p>
    <w:p>
      <w:pPr>
        <w:spacing w:after="0" w:line="101"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We intend to use substantially all of the funds held in the trust account, including any amounts representing interest earned on the trust account (excluding deferred underwriting commissions) and the proceeds from the sale of forward purchase shares to complete our initial business combination. We may withdraw interest to pay our taxes. We estimate our annual franchise tax obligations, based on the number of shares of our common stock authorized and outstanding after the completion of this offering, to be $300,000, which is the maximum amount of annual franchise taxes payable by us as a Delaware corporation per annum, which we may pay from funds from this offering held outside of the trust account or from interest earned on the funds held in the trust account and released to us for this purpose. Our annual income tax obligations will depend on the amount of interest and other income earned on the amounts held in the trust account. We expect the interest earned on the amount in the trust account will be sufficient to pay our income taxes. To the extent that our equity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spacing w:after="0" w:line="110" w:lineRule="exact"/>
        <w:rPr>
          <w:sz w:val="20"/>
          <w:szCs w:val="20"/>
          <w:color w:val="auto"/>
        </w:rPr>
      </w:pPr>
    </w:p>
    <w:p>
      <w:pPr>
        <w:ind w:left="460" w:right="539"/>
        <w:spacing w:after="0" w:line="260" w:lineRule="auto"/>
        <w:rPr>
          <w:sz w:val="20"/>
          <w:szCs w:val="20"/>
          <w:color w:val="auto"/>
        </w:rPr>
      </w:pPr>
      <w:r>
        <w:rPr>
          <w:rFonts w:ascii="Arial" w:cs="Arial" w:eastAsia="Arial" w:hAnsi="Arial"/>
          <w:sz w:val="17"/>
          <w:szCs w:val="17"/>
          <w:color w:val="auto"/>
        </w:rPr>
        <w:t>Prior to the completion of our initial business combination, we will have available to us the approximately $1,000,000 of proceeds held outside the trust account. We will use these funds to primarily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6" w:name="page77"/>
    <w:bookmarkEnd w:id="76"/>
    <w:p>
      <w:pPr>
        <w:ind w:left="460" w:right="479"/>
        <w:spacing w:after="0" w:line="237" w:lineRule="auto"/>
        <w:rPr>
          <w:sz w:val="20"/>
          <w:szCs w:val="20"/>
          <w:color w:val="auto"/>
        </w:rPr>
      </w:pPr>
      <w:r>
        <w:rPr>
          <w:rFonts w:ascii="Arial" w:cs="Arial" w:eastAsia="Arial" w:hAnsi="Arial"/>
          <w:sz w:val="18"/>
          <w:szCs w:val="18"/>
          <w:color w:val="auto"/>
        </w:rPr>
        <w:t>We do not believe we will need to raise additional funds following this offering in order to meet the expenditures required for operating our business prior to our initial business combination.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initial business combination. In order to fund working capital deficiencies or finance transaction costs in connection with an intended initial business combination, our sponsor or an affiliate of our sponsor or certain of our officers and directors may, but are not obligated to, loan us funds as may be required.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for such repayment. Up to $ 1,500,000 of such loans may be convertible into warrants of the post business combination entity at a price of $1.50 per warrant at the option of the lender. The warrants would be identical to the private placement warrants. The terms of such loans, if any, have not been determined and no written agreements exist with respect to such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01" w:lineRule="exact"/>
        <w:rPr>
          <w:sz w:val="20"/>
          <w:szCs w:val="20"/>
          <w:color w:val="auto"/>
        </w:rPr>
      </w:pPr>
    </w:p>
    <w:p>
      <w:pPr>
        <w:ind w:left="460" w:right="499"/>
        <w:spacing w:after="0" w:line="241" w:lineRule="auto"/>
        <w:rPr>
          <w:sz w:val="20"/>
          <w:szCs w:val="20"/>
          <w:color w:val="auto"/>
        </w:rPr>
      </w:pPr>
      <w:r>
        <w:rPr>
          <w:rFonts w:ascii="Arial" w:cs="Arial" w:eastAsia="Arial" w:hAnsi="Arial"/>
          <w:sz w:val="18"/>
          <w:szCs w:val="18"/>
          <w:color w:val="auto"/>
        </w:rPr>
        <w:t>We expect our primary liquidity requirements during that period to include approximately $740,000 for legal, accounting, due diligence, travel and other expenses associated with structuring, negotiating and documenting successful business combinations; $ 85,000 for legal and accounting fees related to regulatory reporting requirements; $75,000 for Nasdaq and other regulatory fees; $75,000 for consulting, travel and miscellaneous expenses incurred during the search for a business combination target; and approximately $25,000 for general working capital that will be used for miscellaneous expenses and reserves.</w:t>
      </w:r>
    </w:p>
    <w:p>
      <w:pPr>
        <w:spacing w:after="0" w:line="111" w:lineRule="exact"/>
        <w:rPr>
          <w:sz w:val="20"/>
          <w:szCs w:val="20"/>
          <w:color w:val="auto"/>
        </w:rPr>
      </w:pPr>
    </w:p>
    <w:p>
      <w:pPr>
        <w:ind w:left="460" w:right="659"/>
        <w:spacing w:after="0" w:line="238" w:lineRule="auto"/>
        <w:rPr>
          <w:sz w:val="20"/>
          <w:szCs w:val="20"/>
          <w:color w:val="auto"/>
        </w:rPr>
      </w:pPr>
      <w:r>
        <w:rPr>
          <w:rFonts w:ascii="Arial" w:cs="Arial" w:eastAsia="Arial" w:hAnsi="Arial"/>
          <w:sz w:val="18"/>
          <w:szCs w:val="18"/>
          <w:color w:val="auto"/>
        </w:rPr>
        <w:t>These amounts are estimates and may differ materially from our actual expenses. In addition, we could use a portion of the funds not being placed in trust to pay commitment fees for financing, fees to consultants to assist us with our search for a target business or as a down payment or to fund a “no-shop” provision (a provision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an agreement where we paid for the right to receive exclusivity from a target business, the amount that would be used as a down payment or to fund a “no-shop” provision would be determined based on the terms of the specific business combination and the amount of our available funds at the time. Our forfeiture of such funds (whether as a result of our breach or otherwise) could result in our not having sufficient funds to continue searching for, or conducting due diligence with respect to, prospective target businesses.</w:t>
      </w:r>
    </w:p>
    <w:p>
      <w:pPr>
        <w:spacing w:after="0" w:line="115"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Moreover, we may need to obtain additional financing to complete our initial business combination, either because the transaction requires more cash than is available from the proceeds held in our trust account and from the proceeds of the sale of forward purchase shares or because we become obligated to redeem a significant number of our public shares upon completion of the business combination, or because any or all of the forward purchase shares are not purchased under the forward purchase agreement, in which case we may issue additional securities or incur debt in connection with such business combination. In addition, we intend to target businesses with enterprise values that are greater than we could acquire with the net proceeds of this offering and the sale of the private placement units, and, as a result, if the cash portion of the purchase price exceeds the amount available from the trust account, net of amounts needed to satisfy any redemptions by public shareholders, we may be required to seek additional financing to complete such proposed initial business combination. We may also obtain financing prior to the closing of our initial business combination to fund our working capital needs and transaction costs in connection with our search for and completion of our initial business combination. There is no limitation on our ability to raise funds through the issuance of equity or equity-linked securities or through loans, advances or other indebtedness in connection with our initial business combination, including pursuant to forward purchase agreements or backstop agreements we may enter into following consummation of this offering. Subject to compliance with applicable securities laws, we would only complete such financing simultaneously with the completion of our initial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7" w:name="page78"/>
    <w:bookmarkEnd w:id="77"/>
    <w:p>
      <w:pPr>
        <w:ind w:left="460"/>
        <w:spacing w:after="0"/>
        <w:rPr>
          <w:sz w:val="20"/>
          <w:szCs w:val="20"/>
          <w:color w:val="auto"/>
        </w:rPr>
      </w:pPr>
      <w:r>
        <w:rPr>
          <w:rFonts w:ascii="Arial" w:cs="Arial" w:eastAsia="Arial" w:hAnsi="Arial"/>
          <w:sz w:val="18"/>
          <w:szCs w:val="18"/>
          <w:b w:val="1"/>
          <w:bCs w:val="1"/>
          <w:color w:val="auto"/>
        </w:rPr>
        <w:t>Controls and Procedures</w:t>
      </w:r>
    </w:p>
    <w:p>
      <w:pPr>
        <w:spacing w:after="0" w:line="146" w:lineRule="exact"/>
        <w:rPr>
          <w:sz w:val="20"/>
          <w:szCs w:val="20"/>
          <w:color w:val="auto"/>
        </w:rPr>
      </w:pPr>
    </w:p>
    <w:p>
      <w:pPr>
        <w:ind w:left="460" w:right="479"/>
        <w:spacing w:after="0" w:line="239" w:lineRule="auto"/>
        <w:rPr>
          <w:sz w:val="20"/>
          <w:szCs w:val="20"/>
          <w:color w:val="auto"/>
        </w:rPr>
      </w:pPr>
      <w:r>
        <w:rPr>
          <w:rFonts w:ascii="Arial" w:cs="Arial" w:eastAsia="Arial" w:hAnsi="Arial"/>
          <w:sz w:val="18"/>
          <w:szCs w:val="18"/>
          <w:color w:val="auto"/>
        </w:rPr>
        <w:t>We are not currently required to maintain an effective system of internal controls as defined by Section 404 of the Sarbanes-Oxley Act. We will be required to comply with the internal control requirements of the Sarbanes-Oxley Act for the fiscal year ending December 31, 2021. Only in the event that we are deemed to be a large accelerated filer or an accelerated filer and no longer an emerging growth company would we be required to comply with the independent registered public accounting firm attestation requirement. Further,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w:t>
      </w:r>
    </w:p>
    <w:p>
      <w:pPr>
        <w:spacing w:after="0" w:line="99" w:lineRule="exact"/>
        <w:rPr>
          <w:sz w:val="20"/>
          <w:szCs w:val="20"/>
          <w:color w:val="auto"/>
        </w:rPr>
      </w:pPr>
    </w:p>
    <w:p>
      <w:pPr>
        <w:ind w:left="460" w:right="479"/>
        <w:spacing w:after="0"/>
        <w:rPr>
          <w:sz w:val="20"/>
          <w:szCs w:val="20"/>
          <w:color w:val="auto"/>
        </w:rPr>
      </w:pPr>
      <w:r>
        <w:rPr>
          <w:rFonts w:ascii="Arial" w:cs="Arial" w:eastAsia="Arial" w:hAnsi="Arial"/>
          <w:sz w:val="18"/>
          <w:szCs w:val="18"/>
          <w:color w:val="auto"/>
        </w:rPr>
        <w:t>Prior to the closing of this offering, we have not completed an assessment, nor has our independent registered public accounting firm tested our systems, of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Many small and mid-sized target businesses we may consider for our initial business combination may have internal controls that need improvement in areas such as:</w:t>
      </w:r>
    </w:p>
    <w:p>
      <w:pPr>
        <w:spacing w:after="0" w:line="5" w:lineRule="exact"/>
        <w:rPr>
          <w:sz w:val="20"/>
          <w:szCs w:val="20"/>
          <w:color w:val="auto"/>
        </w:rPr>
      </w:pPr>
    </w:p>
    <w:p>
      <w:pPr>
        <w:ind w:left="1100" w:hanging="322"/>
        <w:spacing w:after="0"/>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staffing for financial, accounting and external reporting areas, including segregation of duties;</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reconciliation of accounts;</w:t>
      </w:r>
    </w:p>
    <w:p>
      <w:pPr>
        <w:spacing w:after="0" w:line="35" w:lineRule="exact"/>
        <w:rPr>
          <w:rFonts w:ascii="Arial" w:cs="Arial" w:eastAsia="Arial" w:hAnsi="Arial"/>
          <w:sz w:val="18"/>
          <w:szCs w:val="18"/>
          <w:color w:val="auto"/>
        </w:rPr>
      </w:pPr>
    </w:p>
    <w:p>
      <w:pPr>
        <w:ind w:left="1100" w:hanging="322"/>
        <w:spacing w:after="0"/>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proper recording of expenses and liabilities in the period to which they relate;</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evidence of internal review and approval of accounting transactions;</w:t>
      </w:r>
    </w:p>
    <w:p>
      <w:pPr>
        <w:spacing w:after="0" w:line="36" w:lineRule="exact"/>
        <w:rPr>
          <w:rFonts w:ascii="Arial" w:cs="Arial" w:eastAsia="Arial" w:hAnsi="Arial"/>
          <w:sz w:val="18"/>
          <w:szCs w:val="18"/>
          <w:color w:val="auto"/>
        </w:rPr>
      </w:pPr>
    </w:p>
    <w:p>
      <w:pPr>
        <w:ind w:left="1100" w:right="619" w:hanging="322"/>
        <w:spacing w:after="0" w:line="258" w:lineRule="auto"/>
        <w:tabs>
          <w:tab w:leader="none" w:pos="1089" w:val="left"/>
        </w:tabs>
        <w:numPr>
          <w:ilvl w:val="0"/>
          <w:numId w:val="39"/>
        </w:numPr>
        <w:rPr>
          <w:rFonts w:ascii="Arial" w:cs="Arial" w:eastAsia="Arial" w:hAnsi="Arial"/>
          <w:sz w:val="18"/>
          <w:szCs w:val="18"/>
          <w:color w:val="auto"/>
        </w:rPr>
      </w:pPr>
      <w:r>
        <w:rPr>
          <w:rFonts w:ascii="Arial" w:cs="Arial" w:eastAsia="Arial" w:hAnsi="Arial"/>
          <w:sz w:val="18"/>
          <w:szCs w:val="18"/>
          <w:color w:val="auto"/>
        </w:rPr>
        <w:t>documentation of processes, assumptions and conclusions underlying significant estimates; and</w:t>
      </w:r>
    </w:p>
    <w:p>
      <w:pPr>
        <w:ind w:left="1100" w:hanging="322"/>
        <w:spacing w:after="0"/>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documentation of accounting policies and procedures.</w:t>
      </w:r>
    </w:p>
    <w:p>
      <w:pPr>
        <w:spacing w:after="0" w:line="131" w:lineRule="exact"/>
        <w:rPr>
          <w:sz w:val="20"/>
          <w:szCs w:val="20"/>
          <w:color w:val="auto"/>
        </w:rPr>
      </w:pPr>
    </w:p>
    <w:p>
      <w:pPr>
        <w:ind w:left="460" w:right="479"/>
        <w:spacing w:after="0" w:line="243" w:lineRule="auto"/>
        <w:rPr>
          <w:sz w:val="20"/>
          <w:szCs w:val="20"/>
          <w:color w:val="auto"/>
        </w:rPr>
      </w:pPr>
      <w:r>
        <w:rPr>
          <w:rFonts w:ascii="Arial" w:cs="Arial" w:eastAsia="Arial" w:hAnsi="Arial"/>
          <w:sz w:val="18"/>
          <w:szCs w:val="18"/>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expenses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06" w:lineRule="exact"/>
        <w:rPr>
          <w:sz w:val="20"/>
          <w:szCs w:val="20"/>
          <w:color w:val="auto"/>
        </w:rPr>
      </w:pPr>
    </w:p>
    <w:p>
      <w:pPr>
        <w:ind w:left="460" w:right="599"/>
        <w:spacing w:after="0" w:line="245" w:lineRule="auto"/>
        <w:rPr>
          <w:sz w:val="20"/>
          <w:szCs w:val="20"/>
          <w:color w:val="auto"/>
        </w:rPr>
      </w:pPr>
      <w:r>
        <w:rPr>
          <w:rFonts w:ascii="Arial" w:cs="Arial" w:eastAsia="Arial" w:hAnsi="Arial"/>
          <w:sz w:val="18"/>
          <w:szCs w:val="18"/>
          <w:color w:val="auto"/>
        </w:rPr>
        <w:t>Once our management’s report on internal controls is complete, we will retain our independent registered public accounting firm to audit and render an opinion on such report when required by Section 404 of the Sarbanes-Oxley Act. The independent registered public accounting firm may identify additional issues concerning a target business’s internal controls while performing their audit of internal control over financial reporting.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33" w:lineRule="exact"/>
        <w:rPr>
          <w:sz w:val="20"/>
          <w:szCs w:val="20"/>
          <w:color w:val="auto"/>
        </w:rPr>
      </w:pPr>
    </w:p>
    <w:p>
      <w:pPr>
        <w:ind w:left="460" w:right="479"/>
        <w:spacing w:after="0" w:line="245" w:lineRule="auto"/>
        <w:rPr>
          <w:sz w:val="20"/>
          <w:szCs w:val="20"/>
          <w:color w:val="auto"/>
        </w:rPr>
      </w:pPr>
      <w:r>
        <w:rPr>
          <w:rFonts w:ascii="Arial" w:cs="Arial" w:eastAsia="Arial" w:hAnsi="Arial"/>
          <w:sz w:val="18"/>
          <w:szCs w:val="18"/>
          <w:color w:val="auto"/>
        </w:rPr>
        <w:t>The net proceeds of this offering and the sale of the private placement warrants held in the trust account will be invested in U.S. government treasury obligations with a maturity of 185 days or less or in money market funds meeting certain conditions under Rule 2a-7 under the Investment Company Act which invest only in direct U.S. government treasury obligations. Due to the short-term nature of these investments, we believe there will be no associated material exposure to interest rate risk.</w:t>
      </w:r>
    </w:p>
    <w:p>
      <w:pPr>
        <w:spacing w:after="0" w:line="170" w:lineRule="exact"/>
        <w:rPr>
          <w:sz w:val="20"/>
          <w:szCs w:val="20"/>
          <w:color w:val="auto"/>
        </w:rPr>
      </w:pPr>
    </w:p>
    <w:p>
      <w:pPr>
        <w:ind w:left="460" w:right="1059"/>
        <w:spacing w:after="0" w:line="287" w:lineRule="auto"/>
        <w:rPr>
          <w:sz w:val="20"/>
          <w:szCs w:val="20"/>
          <w:color w:val="auto"/>
        </w:rPr>
      </w:pPr>
      <w:r>
        <w:rPr>
          <w:rFonts w:ascii="Arial" w:cs="Arial" w:eastAsia="Arial" w:hAnsi="Arial"/>
          <w:sz w:val="18"/>
          <w:szCs w:val="18"/>
          <w:b w:val="1"/>
          <w:bCs w:val="1"/>
          <w:color w:val="auto"/>
        </w:rPr>
        <w:t>Off-Balance Sheet Arrangements; Commitments and Contractual Obligations; Quarterly Results</w:t>
      </w: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As of July 16, 2020, we did not have any off-balance sheet arrangements as defined in Item 303(a)(4)</w:t>
      </w:r>
    </w:p>
    <w:p>
      <w:pPr>
        <w:spacing w:after="0" w:line="29" w:lineRule="exact"/>
        <w:rPr>
          <w:sz w:val="20"/>
          <w:szCs w:val="20"/>
          <w:color w:val="auto"/>
        </w:rPr>
      </w:pPr>
    </w:p>
    <w:p>
      <w:pPr>
        <w:ind w:left="460" w:right="739" w:hanging="6"/>
        <w:spacing w:after="0" w:line="242" w:lineRule="auto"/>
        <w:tabs>
          <w:tab w:leader="none" w:pos="71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of Regulation S-K and did not have any commitments or contractual obligations. No unaudited quarterly operating data is included in this prospectus as we have not conducted any operations to date.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sectPr>
      </w:pPr>
    </w:p>
    <w:bookmarkStart w:id="78" w:name="page79"/>
    <w:bookmarkEnd w:id="78"/>
    <w:p>
      <w:pPr>
        <w:ind w:left="460"/>
        <w:spacing w:after="0"/>
        <w:rPr>
          <w:sz w:val="20"/>
          <w:szCs w:val="20"/>
          <w:color w:val="auto"/>
        </w:rPr>
      </w:pPr>
      <w:r>
        <w:rPr>
          <w:rFonts w:ascii="Arial" w:cs="Arial" w:eastAsia="Arial" w:hAnsi="Arial"/>
          <w:sz w:val="18"/>
          <w:szCs w:val="18"/>
          <w:b w:val="1"/>
          <w:bCs w:val="1"/>
          <w:color w:val="auto"/>
        </w:rPr>
        <w:t>JOBS Act</w:t>
      </w:r>
    </w:p>
    <w:p>
      <w:pPr>
        <w:spacing w:after="0" w:line="146" w:lineRule="exact"/>
        <w:rPr>
          <w:sz w:val="20"/>
          <w:szCs w:val="20"/>
          <w:color w:val="auto"/>
        </w:rPr>
      </w:pPr>
    </w:p>
    <w:p>
      <w:pPr>
        <w:ind w:left="460" w:right="559"/>
        <w:spacing w:after="0" w:line="256" w:lineRule="auto"/>
        <w:rPr>
          <w:sz w:val="20"/>
          <w:szCs w:val="20"/>
          <w:color w:val="auto"/>
        </w:rPr>
      </w:pPr>
      <w:r>
        <w:rPr>
          <w:rFonts w:ascii="Arial" w:cs="Arial" w:eastAsia="Arial" w:hAnsi="Arial"/>
          <w:sz w:val="17"/>
          <w:szCs w:val="17"/>
          <w:color w:val="auto"/>
        </w:rPr>
        <w:t>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87"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independent registered public accounting firm’s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independent registered public accounting firm’s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this offering or until we are no longer an “emerging growth company,” whichever is earlier.</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PROPOSED BUSINESS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General</w:t>
      </w:r>
    </w:p>
    <w:p>
      <w:pPr>
        <w:spacing w:after="0" w:line="146" w:lineRule="exact"/>
        <w:rPr>
          <w:sz w:val="20"/>
          <w:szCs w:val="20"/>
          <w:color w:val="auto"/>
        </w:rPr>
      </w:pPr>
    </w:p>
    <w:p>
      <w:pPr>
        <w:ind w:left="460" w:right="499"/>
        <w:spacing w:after="0" w:line="239" w:lineRule="auto"/>
        <w:rPr>
          <w:sz w:val="20"/>
          <w:szCs w:val="20"/>
          <w:color w:val="auto"/>
        </w:rPr>
      </w:pPr>
      <w:r>
        <w:rPr>
          <w:rFonts w:ascii="Arial" w:cs="Arial" w:eastAsia="Arial" w:hAnsi="Arial"/>
          <w:sz w:val="18"/>
          <w:szCs w:val="18"/>
          <w:color w:val="auto"/>
        </w:rPr>
        <w:t>We are a newly organized blank check company incorporated in July 2020 as a Delaware corporation for the purpose of effecting a merger, capital stock exchange, asset acquisition, stock purchase, reorganization or similar business combination with one or more businesses, which we refer to throughout this prospectus as our initial business combination. To date our efforts have been limited to organizational activities as well as activities related to this offering. We have not selected any specific business combination target and we have not, nor has anyone on our behalf, engaged in any substantive discussions, directly or indirectly, with any business combination target with respect to an initial business combination with us. While we may pursue an initial business combination target in any industry, sector or geographic region, we intend to capitalize on our management team’s background and experience to identify promising opportunities in the life sciences sector.</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Founders</w:t>
      </w:r>
    </w:p>
    <w:p>
      <w:pPr>
        <w:spacing w:after="0" w:line="133" w:lineRule="exact"/>
        <w:rPr>
          <w:sz w:val="20"/>
          <w:szCs w:val="20"/>
          <w:color w:val="auto"/>
        </w:rPr>
      </w:pPr>
    </w:p>
    <w:p>
      <w:pPr>
        <w:ind w:left="460" w:right="599"/>
        <w:spacing w:after="0" w:line="245" w:lineRule="auto"/>
        <w:rPr>
          <w:sz w:val="20"/>
          <w:szCs w:val="20"/>
          <w:color w:val="auto"/>
        </w:rPr>
      </w:pPr>
      <w:r>
        <w:rPr>
          <w:rFonts w:ascii="Arial" w:cs="Arial" w:eastAsia="Arial" w:hAnsi="Arial"/>
          <w:sz w:val="18"/>
          <w:szCs w:val="18"/>
          <w:color w:val="auto"/>
        </w:rPr>
        <w:t>Our team intends to leverage the strong life sciences knowledge base and public and private market experience of our sponsor with the goal of executing a successful business combination in the life sciences sector. Our sponsor is an affiliate of Eli Casdin, founder and Chief Investment Officer of Casdin Capital, and of Keith Meister, founder and Chief Investment Officer of Corvex Management, two leading investment firms.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Eli Casdin and Casdin Capital</w:t>
      </w:r>
    </w:p>
    <w:p>
      <w:pPr>
        <w:spacing w:after="0" w:line="144" w:lineRule="exact"/>
        <w:rPr>
          <w:sz w:val="20"/>
          <w:szCs w:val="20"/>
          <w:color w:val="auto"/>
        </w:rPr>
      </w:pPr>
    </w:p>
    <w:p>
      <w:pPr>
        <w:ind w:left="460" w:right="559"/>
        <w:spacing w:after="0" w:line="241" w:lineRule="auto"/>
        <w:rPr>
          <w:sz w:val="20"/>
          <w:szCs w:val="20"/>
          <w:color w:val="auto"/>
        </w:rPr>
      </w:pPr>
      <w:r>
        <w:rPr>
          <w:rFonts w:ascii="Arial" w:cs="Arial" w:eastAsia="Arial" w:hAnsi="Arial"/>
          <w:sz w:val="18"/>
          <w:szCs w:val="18"/>
          <w:color w:val="auto"/>
        </w:rPr>
        <w:t>Founded by industry veteran Eli Casdin, Casdin Capital launched in 2011 as a leading thematic investor in the fast growing life sciences industry. Casdin Capital’s investment strategy includes but also extends beyond traditional drug development, finding opportunity in the vast universe of companies at the epicenter of innovation, spanning biotechnology and its many constituents. Companies beyond drug developers include developers of molecular-based diagnostics, providers of tools, developers of technology and data assets and operators of service companies that support research, development and product commercialization.</w:t>
      </w:r>
    </w:p>
    <w:p>
      <w:pPr>
        <w:spacing w:after="0" w:line="111" w:lineRule="exact"/>
        <w:rPr>
          <w:sz w:val="20"/>
          <w:szCs w:val="20"/>
          <w:color w:val="auto"/>
        </w:rPr>
      </w:pPr>
    </w:p>
    <w:p>
      <w:pPr>
        <w:ind w:left="460" w:right="559"/>
        <w:spacing w:after="0" w:line="243" w:lineRule="auto"/>
        <w:rPr>
          <w:sz w:val="20"/>
          <w:szCs w:val="20"/>
          <w:color w:val="auto"/>
        </w:rPr>
      </w:pPr>
      <w:r>
        <w:rPr>
          <w:rFonts w:ascii="Arial" w:cs="Arial" w:eastAsia="Arial" w:hAnsi="Arial"/>
          <w:sz w:val="18"/>
          <w:szCs w:val="18"/>
          <w:color w:val="auto"/>
        </w:rPr>
        <w:t>With nearly two decades of experience and a family history in the space that reaches back decades further, Mr. Casdin serves as both Casdin Capital’s Chief Executive and Chief Investment Officer. His track record is based on an ability to find opportunities on both the ‘bio’ and ‘tech’ sides and his understanding of where the two intersect. We believe that Mr. Casdin’s interest in industry synergy and his overall vision and understanding of the life sciences industry will open us to a large investment universe and help us identify significant inefficiencies.</w:t>
      </w:r>
    </w:p>
    <w:p>
      <w:pPr>
        <w:spacing w:after="0" w:line="93" w:lineRule="exact"/>
        <w:rPr>
          <w:sz w:val="20"/>
          <w:szCs w:val="20"/>
          <w:color w:val="auto"/>
        </w:rPr>
      </w:pPr>
    </w:p>
    <w:p>
      <w:pPr>
        <w:ind w:left="460" w:right="519"/>
        <w:spacing w:after="0" w:line="245" w:lineRule="auto"/>
        <w:rPr>
          <w:sz w:val="20"/>
          <w:szCs w:val="20"/>
          <w:color w:val="auto"/>
        </w:rPr>
      </w:pPr>
      <w:r>
        <w:rPr>
          <w:rFonts w:ascii="Arial" w:cs="Arial" w:eastAsia="Arial" w:hAnsi="Arial"/>
          <w:sz w:val="18"/>
          <w:szCs w:val="18"/>
          <w:color w:val="auto"/>
        </w:rPr>
        <w:t>With this broad industry lens and a long-term view, Mr. Casdin has been active in the private and public side of the capital market since 2011, investing in 69 private companies and holding over 30 public company positions as of June 30, 2020. As one of the early crossover funds, Casdin Capital has also participated in 22 crossover investment rounds, 21 initial public offerings following crossover investments and 41 total initial public offerings.</w:t>
      </w:r>
    </w:p>
    <w:p>
      <w:pPr>
        <w:spacing w:after="0" w:line="105" w:lineRule="exact"/>
        <w:rPr>
          <w:sz w:val="20"/>
          <w:szCs w:val="20"/>
          <w:color w:val="auto"/>
        </w:rPr>
      </w:pPr>
    </w:p>
    <w:p>
      <w:pPr>
        <w:ind w:left="460" w:right="499"/>
        <w:spacing w:after="0"/>
        <w:rPr>
          <w:sz w:val="20"/>
          <w:szCs w:val="20"/>
          <w:color w:val="auto"/>
        </w:rPr>
      </w:pPr>
      <w:r>
        <w:rPr>
          <w:rFonts w:ascii="Arial" w:cs="Arial" w:eastAsia="Arial" w:hAnsi="Arial"/>
          <w:sz w:val="18"/>
          <w:szCs w:val="18"/>
          <w:color w:val="auto"/>
        </w:rPr>
        <w:t>Casdin Capital currently has $1.6 billion assets under management, 42 private portfolio companies and an active deal flow that brought it into conversation with hundreds of companies across the industry in the first few months of 2020 alone. In the 12 months ended June 30, 2020, Casdin Capital made 17 new investments in private companies and participated in 22 secondary offerings of companies in which it previously invested. In addition, six of its portfolio companies completed initial public offerings in that time period (Oric Pharmaceuticals, Inc. (Nasdaq: ORIC), Burning Rock Biotech Limited (Nasdaq: BNR), Black Diamond Therapeutics, Inc. (Nasdaq: BDTX), Revolution Medicines, Inc. (Nasdaq: RVMD), Generation Bio Co. (Nasdaq: GBIO) and Fulcrum Therapeutics, Inc. (Nasdaq: FULC)).</w:t>
      </w:r>
    </w:p>
    <w:p>
      <w:pPr>
        <w:spacing w:after="0" w:line="108" w:lineRule="exact"/>
        <w:rPr>
          <w:sz w:val="20"/>
          <w:szCs w:val="20"/>
          <w:color w:val="auto"/>
        </w:rPr>
      </w:pPr>
    </w:p>
    <w:p>
      <w:pPr>
        <w:ind w:left="460" w:right="479"/>
        <w:spacing w:after="0"/>
        <w:rPr>
          <w:sz w:val="20"/>
          <w:szCs w:val="20"/>
          <w:color w:val="auto"/>
        </w:rPr>
      </w:pPr>
      <w:r>
        <w:rPr>
          <w:rFonts w:ascii="Arial" w:cs="Arial" w:eastAsia="Arial" w:hAnsi="Arial"/>
          <w:sz w:val="18"/>
          <w:szCs w:val="18"/>
          <w:color w:val="auto"/>
        </w:rPr>
        <w:t>Casdin Capital’s thematic investment approach and focus on an investor/partner model has allowed the firm to forge strong relationships with companies, scientists and stakeholders, which we intend to draw upon as we identify opportunities for our initial business combination. Relying on deep research and a rich network of contacts to identify the connections between the science, technology and sharp, experienced management teams, Casdin Capital’s proven track record stems from working with management teams and scientists as valuable industry partners. We believe these robust partnerships and a focus on the entire life sciences continuum is what sets Casdin Capital apart from and in front of its peers and will allow our team to spot new opportunities and potential challenges long before most investors understand the space.</w:t>
      </w:r>
    </w:p>
    <w:p>
      <w:pPr>
        <w:sectPr>
          <w:pgSz w:w="11900" w:h="16838" w:orient="portrait"/>
          <w:cols w:equalWidth="0" w:num="1">
            <w:col w:w="9019"/>
          </w:cols>
          <w:pgMar w:left="1440" w:top="331" w:right="1440" w:bottom="1440" w:gutter="0" w:footer="0" w:header="0"/>
        </w:sectPr>
      </w:pP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19050</wp:posOffset>
            </wp:positionV>
            <wp:extent cx="51435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type w:val="continuous"/>
        </w:sectPr>
      </w:pPr>
    </w:p>
    <w:bookmarkStart w:id="80" w:name="page81"/>
    <w:bookmarkEnd w:id="80"/>
    <w:p>
      <w:pPr>
        <w:ind w:left="460"/>
        <w:spacing w:after="0"/>
        <w:rPr>
          <w:sz w:val="20"/>
          <w:szCs w:val="20"/>
          <w:color w:val="auto"/>
        </w:rPr>
      </w:pPr>
      <w:r>
        <w:rPr>
          <w:rFonts w:ascii="Arial" w:cs="Arial" w:eastAsia="Arial" w:hAnsi="Arial"/>
          <w:sz w:val="18"/>
          <w:szCs w:val="18"/>
          <w:b w:val="1"/>
          <w:bCs w:val="1"/>
          <w:i w:val="1"/>
          <w:iCs w:val="1"/>
          <w:color w:val="auto"/>
        </w:rPr>
        <w:t>Keith Meister and Corvex Management</w:t>
      </w:r>
    </w:p>
    <w:p>
      <w:pPr>
        <w:spacing w:after="0" w:line="117" w:lineRule="exact"/>
        <w:rPr>
          <w:sz w:val="20"/>
          <w:szCs w:val="20"/>
          <w:color w:val="auto"/>
        </w:rPr>
      </w:pPr>
    </w:p>
    <w:p>
      <w:pPr>
        <w:ind w:left="460" w:right="499"/>
        <w:spacing w:after="0" w:line="243" w:lineRule="auto"/>
        <w:rPr>
          <w:sz w:val="20"/>
          <w:szCs w:val="20"/>
          <w:color w:val="auto"/>
        </w:rPr>
      </w:pPr>
      <w:r>
        <w:rPr>
          <w:rFonts w:ascii="Arial" w:cs="Arial" w:eastAsia="Arial" w:hAnsi="Arial"/>
          <w:sz w:val="18"/>
          <w:szCs w:val="18"/>
          <w:color w:val="auto"/>
        </w:rPr>
        <w:t>Keith Meister is the Founder and Chief Investment Officer of Corvex Management, a New York based investment advisor with $2.5 billion assets under management. As Chief Investment Officer of Corvex Management, Mr. Meister is focused on investing in high-quality businesses that benefit from constructive shareholder engagement. Since inception Corvex Management has invested more than $6 billion through its funds, special purpose vehicles and co-investments specifically for situations offering the opportunity for extensive engagement or board representations.</w:t>
      </w:r>
    </w:p>
    <w:p>
      <w:pPr>
        <w:spacing w:after="0" w:line="93" w:lineRule="exact"/>
        <w:rPr>
          <w:sz w:val="20"/>
          <w:szCs w:val="20"/>
          <w:color w:val="auto"/>
        </w:rPr>
      </w:pPr>
    </w:p>
    <w:p>
      <w:pPr>
        <w:ind w:left="460" w:right="539"/>
        <w:spacing w:after="0" w:line="255" w:lineRule="auto"/>
        <w:rPr>
          <w:sz w:val="20"/>
          <w:szCs w:val="20"/>
          <w:color w:val="auto"/>
        </w:rPr>
      </w:pPr>
      <w:r>
        <w:rPr>
          <w:rFonts w:ascii="Arial" w:cs="Arial" w:eastAsia="Arial" w:hAnsi="Arial"/>
          <w:sz w:val="17"/>
          <w:szCs w:val="17"/>
          <w:color w:val="auto"/>
        </w:rPr>
        <w:t>Mr. Meister’s active investing approach identifies asymmetric risk/reward opportunities and underscores a particular skill in finding synergies across diversified holdings. Focused on identifying market dislocations and adept at spotting differentiated points of view, the Corvex Management team has built success not only by creating a concentrated portfolio based on deep industry understanding and a willingness to take the longer-term view, but also by capitalizing on market inefficiencies and short-term volatility. Critical to that success is Mr. Meister’s track record effecting change at companies, even without a controlling stake, by creating buy-in from management teams, directors, and shareholders. Mr. Meister and his team have an extensive history of partnership and collaboration with key stakeholders, leading industry experts and like-minded shareholders, and are known for maintaining productive, ongoing dialogues with boards, management teams, and advisors.</w:t>
      </w:r>
    </w:p>
    <w:p>
      <w:pPr>
        <w:spacing w:after="0" w:line="70" w:lineRule="exact"/>
        <w:rPr>
          <w:sz w:val="20"/>
          <w:szCs w:val="20"/>
          <w:color w:val="auto"/>
        </w:rPr>
      </w:pPr>
    </w:p>
    <w:p>
      <w:pPr>
        <w:ind w:left="460" w:right="479"/>
        <w:spacing w:after="0"/>
        <w:rPr>
          <w:sz w:val="20"/>
          <w:szCs w:val="20"/>
          <w:color w:val="auto"/>
        </w:rPr>
      </w:pPr>
      <w:r>
        <w:rPr>
          <w:rFonts w:ascii="Arial" w:cs="Arial" w:eastAsia="Arial" w:hAnsi="Arial"/>
          <w:sz w:val="18"/>
          <w:szCs w:val="18"/>
          <w:color w:val="auto"/>
        </w:rPr>
        <w:t>We expect to benefit from Mr. Meister’s significant experience as a director of 14 public companies, which includes a long history of working with boards and management teams to create shareholder value through improved corporate governance, capital allocation, and operations. Since founding Corvex Management, Mr. Meister has served on the boards of directors of MGM Resorts International (NYSE: MGM), Yum Brands, Inc. (NYSE: YUM), The Williams Companies (NYSE: WMB), ADT, Inc. (NYSE: ADT), Ralcorp Holdings, Inc. and Motorola Mobility, Inc. Mr. Meister also brings to CM Life Sciences the experience of having helped these companies enter into transactions with an aggregate value of over $80 billion involving spin-offs, asset dispositions, acquisitions, mergers, recapitalizations, and various forms of capital market transactions.</w:t>
      </w:r>
    </w:p>
    <w:p>
      <w:pPr>
        <w:spacing w:after="0" w:line="81" w:lineRule="exact"/>
        <w:rPr>
          <w:sz w:val="20"/>
          <w:szCs w:val="20"/>
          <w:color w:val="auto"/>
        </w:rPr>
      </w:pPr>
    </w:p>
    <w:p>
      <w:pPr>
        <w:ind w:left="460" w:right="719"/>
        <w:spacing w:after="0" w:line="262" w:lineRule="auto"/>
        <w:rPr>
          <w:sz w:val="20"/>
          <w:szCs w:val="20"/>
          <w:color w:val="auto"/>
        </w:rPr>
      </w:pPr>
      <w:r>
        <w:rPr>
          <w:rFonts w:ascii="Arial" w:cs="Arial" w:eastAsia="Arial" w:hAnsi="Arial"/>
          <w:sz w:val="17"/>
          <w:szCs w:val="17"/>
          <w:color w:val="auto"/>
        </w:rPr>
        <w:t>Prior to founding Corvex Management, Mr. Meister was Chief Executive Officer/Principal Executive Officer of Icahn Enterprises L.P. (NYSE: IEP), a diversified holding company, from 2003 through</w:t>
      </w:r>
    </w:p>
    <w:p>
      <w:pPr>
        <w:ind w:left="460" w:right="719"/>
        <w:spacing w:after="0" w:line="237" w:lineRule="auto"/>
        <w:rPr>
          <w:sz w:val="20"/>
          <w:szCs w:val="20"/>
          <w:color w:val="auto"/>
        </w:rPr>
      </w:pPr>
      <w:r>
        <w:rPr>
          <w:rFonts w:ascii="Arial" w:cs="Arial" w:eastAsia="Arial" w:hAnsi="Arial"/>
          <w:sz w:val="18"/>
          <w:szCs w:val="18"/>
          <w:color w:val="auto"/>
        </w:rPr>
        <w:t>2010. During his term as CEO/PEO, Icahn Enterprises grew from $ 1.5 billion to $ 18 billion in total assets while generating over 20% annual returns for shareholders. As CEO/PEO of Icahn Enterprises, Mr. Meister was responsible for overseeing a portfolio of holdings that spanned a wide range of industries including automotive, gaming, oil &amp; gas, general industrial and asset management. Mr. Meister also served as a director for XO Holdings, Inc., American Casino and Entertainment Properties LLC, Federal-Mogul Corporation and American Railcar Industries, Inc. during his tenure with Icahn Enterprises.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Management and Board of Directors</w:t>
      </w:r>
    </w:p>
    <w:p>
      <w:pPr>
        <w:spacing w:after="0" w:line="119" w:lineRule="exact"/>
        <w:rPr>
          <w:sz w:val="20"/>
          <w:szCs w:val="20"/>
          <w:color w:val="auto"/>
        </w:rPr>
      </w:pPr>
    </w:p>
    <w:p>
      <w:pPr>
        <w:ind w:left="460" w:right="559"/>
        <w:spacing w:after="0" w:line="268" w:lineRule="auto"/>
        <w:rPr>
          <w:sz w:val="20"/>
          <w:szCs w:val="20"/>
          <w:color w:val="auto"/>
        </w:rPr>
      </w:pPr>
      <w:r>
        <w:rPr>
          <w:rFonts w:ascii="Arial" w:cs="Arial" w:eastAsia="Arial" w:hAnsi="Arial"/>
          <w:sz w:val="17"/>
          <w:szCs w:val="17"/>
          <w:color w:val="auto"/>
        </w:rPr>
        <w:t>Our management team includes healthcare industry veterans who have started, built and/or financed multiple companies with revenue in excess of $1 billion, managed clinical development divisions, designed and managed large-scale data science and machine learning projects, and worked in healthcare venture capital, private equity, hedge funds, investment banking and consulting.</w:t>
      </w:r>
    </w:p>
    <w:p>
      <w:pPr>
        <w:spacing w:after="0" w:line="58"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b w:val="1"/>
          <w:bCs w:val="1"/>
          <w:i w:val="1"/>
          <w:iCs w:val="1"/>
          <w:color w:val="auto"/>
        </w:rPr>
        <w:t>Eli Casdin</w:t>
      </w:r>
      <w:r>
        <w:rPr>
          <w:rFonts w:ascii="Arial" w:cs="Arial" w:eastAsia="Arial" w:hAnsi="Arial"/>
          <w:sz w:val="18"/>
          <w:szCs w:val="18"/>
          <w:color w:val="auto"/>
        </w:rPr>
        <w:t>, our Chief Executive Officer, is founder and Chief Investment Officer of Casdin Capital. Mr.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Casdin founded Casdin Capital in 2011. For the last 17 years he has analyzed and invested in disruptive technologies and business models in life sciences and healthcare. Prior to founding Casdin Capital, Mr. Casdin was a vice president at Alliance Bernstein’s “thematic” based investment group where he researched and invested in the implications of new technologies for the life sciences and healthcare sectors. The black book, “The Dawn of Molecular Medicine,” co-authored by Mr. Casdin, details the early, yet already accelerating, wave of innovations in life sciences, and the next wave of investment opportunities. Mr. Casdin’s prior experience includes time at Bear Stearns and Cooper Hill Partners, a healthcare focused investment firm. Mr. Casdin earned a B.S. from Columbia University and an MBA from Columbia Business School. Mr. Casdin serves on the board of directors for Exact Sciences Coporation (Nasdaq: EXAS), and also serves as a director or observer on the boards of a number of privately held life sciences companies. He has previously served as a director or observer on other, now public, boards, including Invitae Corporation (NYSE: NVTA), Relay Therapeutics, Inc. (Nasdaq: RLAY), and Magenta Therapeutics (Nasdaq: MGTA). Mr. Casdin is currently a member of the New York Genome Center Board and a member of The Columbia University School of General Studies Board of Visitors.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81" w:name="page82"/>
    <w:bookmarkEnd w:id="81"/>
    <w:p>
      <w:pPr>
        <w:ind w:left="460" w:right="499"/>
        <w:spacing w:after="0" w:line="238" w:lineRule="auto"/>
        <w:rPr>
          <w:sz w:val="20"/>
          <w:szCs w:val="20"/>
          <w:color w:val="auto"/>
        </w:rPr>
      </w:pPr>
      <w:r>
        <w:rPr>
          <w:rFonts w:ascii="Arial" w:cs="Arial" w:eastAsia="Arial" w:hAnsi="Arial"/>
          <w:sz w:val="18"/>
          <w:szCs w:val="18"/>
          <w:b w:val="1"/>
          <w:bCs w:val="1"/>
          <w:i w:val="1"/>
          <w:iCs w:val="1"/>
          <w:color w:val="auto"/>
        </w:rPr>
        <w:t>Keith A. Meister</w:t>
      </w:r>
      <w:r>
        <w:rPr>
          <w:rFonts w:ascii="Arial" w:cs="Arial" w:eastAsia="Arial" w:hAnsi="Arial"/>
          <w:sz w:val="18"/>
          <w:szCs w:val="18"/>
          <w:color w:val="auto"/>
        </w:rPr>
        <w:t>, our Chairman of the Board, is Managing Partner and Chief Investment Officer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Corvex Management, which he founded in December 2010. Prior to founding Corvex Management, Mr. Meister served as Chief Executive Officer and then Principal Executive Officer and Vice Chairman of the Board of Icahn Enterprises L.P. (NYSE: IEP) from August 2003 to August 2010. From their launch in November 2004 to August 2010, Mr. Meister also served as Senior Managing Director of the General Partners of Icahn Partners LP and affiliated funds. Mr. Meister currently serves on the board of directors for MGM Resorts International (NYSE: MGM) and has previously served as a director on numerous other public boards including: Yum! Brands, Inc. (NYSE: YUM), The Williams Companies, Inc. (NYSE: WMB), ADT, Inc. (NYSE: ADT), Ralcorp Holdings, Inc. and Motorola, Inc. (now Motorola Solutions, Inc., NYSE: MSI/Motorola Mobility, Inc.), among others. He is a director for Roar Digital, LLC, chairman of the board of directors for Harlem Children’s Zone and a member of the board of trustees for the American Museum of Natural History. Mr. Meister received an A.B. in government, cum laude, from Harvard College in 1995.</w:t>
      </w:r>
    </w:p>
    <w:p>
      <w:pPr>
        <w:spacing w:after="0" w:line="99" w:lineRule="exact"/>
        <w:rPr>
          <w:sz w:val="20"/>
          <w:szCs w:val="20"/>
          <w:color w:val="auto"/>
        </w:rPr>
      </w:pPr>
    </w:p>
    <w:p>
      <w:pPr>
        <w:ind w:left="460" w:right="479"/>
        <w:spacing w:after="0" w:line="239" w:lineRule="auto"/>
        <w:rPr>
          <w:sz w:val="20"/>
          <w:szCs w:val="20"/>
          <w:color w:val="auto"/>
        </w:rPr>
      </w:pPr>
      <w:r>
        <w:rPr>
          <w:rFonts w:ascii="Arial" w:cs="Arial" w:eastAsia="Arial" w:hAnsi="Arial"/>
          <w:sz w:val="18"/>
          <w:szCs w:val="18"/>
          <w:b w:val="1"/>
          <w:bCs w:val="1"/>
          <w:i w:val="1"/>
          <w:iCs w:val="1"/>
          <w:color w:val="auto"/>
        </w:rPr>
        <w:t>Sean George</w:t>
      </w:r>
      <w:r>
        <w:rPr>
          <w:rFonts w:ascii="Arial" w:cs="Arial" w:eastAsia="Arial" w:hAnsi="Arial"/>
          <w:sz w:val="18"/>
          <w:szCs w:val="18"/>
          <w:color w:val="auto"/>
        </w:rPr>
        <w:t>, who will serve as a Director following completion of this offering, is Co-Founder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Chief Executive Officer of Invitae Corporation (NYSE: NVTA), where he leads the team on its mission to bring genetic information into mainstream medicine to help improve healthcare for billions of people. He has also served as Invitae’s President and Chief Operating Officer, as part of the team that has propelled Invitae from early stage startup to a leader transforming the industry. Dr. George has long advanced the transformation of the genetics industry to increase access to help improve patient care. Before Invitae, he served as COO at Navigenics, Inc., an early pioneer in personalized genetics. Prior to that he served in a variety of product, operating and commercial roles at Affymetrix, Inc., Invitrogen Corporation and Molecular Probes, Inc. Dr. George holds a B.S. in Molecular Genetics from UCLA, an M.S. in Molecular Biology from UC Santa Barbara, and a Ph.D. in Molecular Genetics from UC Santa Cruz.</w:t>
      </w:r>
    </w:p>
    <w:p>
      <w:pPr>
        <w:spacing w:after="0" w:line="109"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b w:val="1"/>
          <w:bCs w:val="1"/>
          <w:i w:val="1"/>
          <w:iCs w:val="1"/>
          <w:color w:val="auto"/>
        </w:rPr>
        <w:t>Munib Islam</w:t>
      </w:r>
      <w:r>
        <w:rPr>
          <w:rFonts w:ascii="Arial" w:cs="Arial" w:eastAsia="Arial" w:hAnsi="Arial"/>
          <w:sz w:val="18"/>
          <w:szCs w:val="18"/>
          <w:color w:val="auto"/>
        </w:rPr>
        <w:t>, who will serve as a Director following completion of this offering, served as Co-Chief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Officer and a Partner at Third Point LLC, an investment management firm from mid-2019 through 2020. Mr. Islam was integrally involved in the operations of Third Point, including investing, risk management, marketing, hiring, and talent development. Prior to becoming co-Chief Investment Officer, he served as Head of Equities at Third Point, and in such role, Mr. Islam spearheaded research on Third Point’s strategic block investments globally, including investments in Sony Corporation (NYSE: SNE), Campbell’s Soup Corporation (NYSE: CPB), Nestlé S.A. (OTCMKTS: NSRGY) and DowDuPont Inc. Mr. Islam also served on the board of directors and executive selection and audit committees of Baxter International, Inc. (NYSE: BAX), currently an approximately $45 billion health care company, from 2015 through 2019. From 2008 to 2011, he worked at Highbridge Capital, where he was a Managing Director and Portfolio Manager of Highbridge’s European Value Equities fund. Mr. Islam first joined Third Point in 2004, after working at Oak Hill Capital and at Lazard LLC. He received a B.A. in Economics, magna cum laude, from Dartmouth College and an MBA from the Graduate School of Business at Stanford University. He currently sits on the Boards of the Stanford Business School Trust and the Brearley School in New York City.</w:t>
      </w:r>
    </w:p>
    <w:p>
      <w:pPr>
        <w:spacing w:after="0" w:line="120" w:lineRule="exact"/>
        <w:rPr>
          <w:sz w:val="20"/>
          <w:szCs w:val="20"/>
          <w:color w:val="auto"/>
        </w:rPr>
      </w:pPr>
    </w:p>
    <w:p>
      <w:pPr>
        <w:ind w:left="460" w:right="479"/>
        <w:spacing w:after="0" w:line="241" w:lineRule="auto"/>
        <w:rPr>
          <w:sz w:val="20"/>
          <w:szCs w:val="20"/>
          <w:color w:val="auto"/>
        </w:rPr>
      </w:pPr>
      <w:r>
        <w:rPr>
          <w:rFonts w:ascii="Arial" w:cs="Arial" w:eastAsia="Arial" w:hAnsi="Arial"/>
          <w:sz w:val="18"/>
          <w:szCs w:val="18"/>
          <w:b w:val="1"/>
          <w:bCs w:val="1"/>
          <w:i w:val="1"/>
          <w:iCs w:val="1"/>
          <w:color w:val="auto"/>
        </w:rPr>
        <w:t>Emily Leproust</w:t>
      </w:r>
      <w:r>
        <w:rPr>
          <w:rFonts w:ascii="Arial" w:cs="Arial" w:eastAsia="Arial" w:hAnsi="Arial"/>
          <w:sz w:val="18"/>
          <w:szCs w:val="18"/>
          <w:color w:val="auto"/>
        </w:rPr>
        <w:t>, who will serve as a Director following completion of this offering, is President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Chief Executive Officer of Twist Bioscience Corp. (Nasdaq: TWST), roles she has held since co-founding Twist in 2013. Since October 2018, she has also served as Chair of the board of directors for Twist. Prior to co-founding Twist, Dr. Leproust served in various positions at Technologies, Inc. (NYSE: A), most recently as its Director, Applications and Chemistry R&amp;D from February 2009 to April 2013. Dr. Leproust holds a M.Sc. in Industrial Chemistry from the Lyon School of Industrial Chemistry and a Ph.D. in Organic Chemistry from the University of Houston.</w:t>
      </w:r>
    </w:p>
    <w:p>
      <w:pPr>
        <w:spacing w:after="0" w:line="98"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b w:val="1"/>
          <w:bCs w:val="1"/>
          <w:i w:val="1"/>
          <w:iCs w:val="1"/>
          <w:color w:val="auto"/>
        </w:rPr>
        <w:t>Nat Turner</w:t>
      </w:r>
      <w:r>
        <w:rPr>
          <w:rFonts w:ascii="Arial" w:cs="Arial" w:eastAsia="Arial" w:hAnsi="Arial"/>
          <w:sz w:val="18"/>
          <w:szCs w:val="18"/>
          <w:color w:val="auto"/>
        </w:rPr>
        <w:t>, who will serve as a Director following completion of this offering, is the Co-Founder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Chief Executive Officer of Flatiron Health, Inc., a healthcare technology company focusing on accelerating oncology research and improving patient care acquired by Roche Holding AG in 2018, a role he has held since June 2012. Previously, Mr. Turner co-founded and served as Chief Executive Officer of Invite Media, Inc., an advertising technology company that built the industry’s first enterprise advertising platform for buying and optimizing online media in real time, from March 2007 until it was acquired by Google Inc. (Nasdaq: GOOGL) in June 2010, after which he remained at Google until June 2012. Mr. Turner has served on the Board of Directors of Clover Health, a privately-held healthcare insurance company aimed at improving patient care through data analytics, since May 2015. An active angel investor, Mr. Turner has invested in over 300 startups throughout the country, including Cedar Cares, Inc., Clover Health Inc., Color Genomics, Inc., Gravie, Inc., Imagen Technologies, Inc., Immuta, Inc., Klara Technologies, Inc., Oscar Insurance Corporation, Plaid, Inc., Ribbon Health, Inc., RigUp, Inc. and Quartet Health, Inc.. Mr. Turner received a B.S., cum laude, in Economics with concentrations in entrepreneurship and marketing from The Wharton School of the University of Pennsylvania.</w:t>
      </w:r>
    </w:p>
    <w:p>
      <w:pPr>
        <w:sectPr>
          <w:pgSz w:w="11900" w:h="16838" w:orient="portrait"/>
          <w:cols w:equalWidth="0" w:num="1">
            <w:col w:w="9019"/>
          </w:cols>
          <w:pgMar w:left="1440" w:top="265" w:right="1440" w:bottom="1440" w:gutter="0" w:footer="0" w:header="0"/>
        </w:sectPr>
      </w:pP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19050</wp:posOffset>
            </wp:positionV>
            <wp:extent cx="51435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82" w:name="page83"/>
    <w:bookmarkEnd w:id="82"/>
    <w:p>
      <w:pPr>
        <w:ind w:left="460" w:right="1259"/>
        <w:spacing w:after="0" w:line="268" w:lineRule="auto"/>
        <w:rPr>
          <w:sz w:val="20"/>
          <w:szCs w:val="20"/>
          <w:color w:val="auto"/>
        </w:rPr>
      </w:pPr>
      <w:r>
        <w:rPr>
          <w:rFonts w:ascii="Arial" w:cs="Arial" w:eastAsia="Arial" w:hAnsi="Arial"/>
          <w:sz w:val="17"/>
          <w:szCs w:val="17"/>
          <w:color w:val="auto"/>
        </w:rPr>
        <w:t>We believe our management team is well positioned to take advantage of the growing set of investment opportunities focused on the healthcare industry, and that our extensive existing relationships with portfolio companies along with our ongoing efforts to identify investment opportunities will allow us to generate an attractive transaction for our stockholders.</w:t>
      </w:r>
    </w:p>
    <w:p>
      <w:pPr>
        <w:spacing w:after="0" w:line="72" w:lineRule="exact"/>
        <w:rPr>
          <w:sz w:val="20"/>
          <w:szCs w:val="20"/>
          <w:color w:val="auto"/>
        </w:rPr>
      </w:pPr>
    </w:p>
    <w:p>
      <w:pPr>
        <w:ind w:left="460" w:right="499"/>
        <w:spacing w:after="0"/>
        <w:rPr>
          <w:sz w:val="20"/>
          <w:szCs w:val="20"/>
          <w:color w:val="auto"/>
        </w:rPr>
      </w:pPr>
      <w:r>
        <w:rPr>
          <w:rFonts w:ascii="Arial" w:cs="Arial" w:eastAsia="Arial" w:hAnsi="Arial"/>
          <w:sz w:val="18"/>
          <w:szCs w:val="18"/>
          <w:color w:val="auto"/>
        </w:rPr>
        <w:t>Past performance of our management team does not guarantee either (i) success with respect to any business combination we may consummate or (ii) that we will be able to identify a suitable candidate for our initial business combination. You should not rely on the historical performance record of our management team or their respective affiliates or any related investment’s performance as indicative of our future performance of an investment in the company or the returns the company will, or is likely to, generate going forward. None of the members of our management team has any experience with blank check companies or special purpose acquisition companies. For more information on the experience and background of our management team, see the section entitled “Management.”</w:t>
      </w:r>
    </w:p>
    <w:p>
      <w:pPr>
        <w:spacing w:after="0" w:line="113"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We believe our ability to complete an initial business combination may be enhanced by our having entered into forward purchase agreements with affiliates of our sponsor, Casdin Capital and Corvex Management, in their capacities as investment advisors on behalf of their Clients, pursuant to which, subject to the conditions described below, they will cause certain Clients to purchase from us up to an aggregate amount of 15,000,000 shares of Class A common stock, or the forward purchase shares, for $10.00 per forward purchase share, or an aggregate amount of up to $150,000,000, in a private placement that will close concurrently with the closing of our initial business combination. The amount of forward purchase shares sold pursuant to the forward purchase agreements will be determined in our discretion based on our need for additional capital to consummate the initial business combination. Under each forward purchase agreement, we are required to approach Casdin Capital and Corvex Management if we propose to raise additional capital by issuing any equity, or securities convertible into, exchangeable or exercisable for equity securities in connection with the initial business combination. The respective obligations of Casdin Capital and Corvex Management to cause Clients to purchase forward purchase shares will, among other things, be conditioned on our completing an initial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Capital or Corvex Management, as relevant, as investment advisors on behalf of such Clients. In determining whether a target is reasonably acceptable to Clients, we expect that Casdin Capital or Corvex Management, as relevant, would consider many of the same criteria as we will consider, but will also consider whether the investment is an appropriate investment for such Clients, including whether the investment complies with any guidelines, restrictions or conflicts of interest provisions applicable to such Clients. Each of Casdin Capital and Corvex Management will have the right to transfer a portion of the purchase obligation under the forward purchase agreement to third parties, or upon mutual agreement, to each other, subject to compliance with applicable securities laws. To the extent that we obtain alternative financing to fund the initial business combination and the Clients participate in such financing, the aggregate commitment under the forward purchase agreement will be reduced by the amount of such alternative financing. Please see the risk factor entitled “In evaluating a prospective target business for our initial business combination, our management will consider the availability of funds from the sale of the forward purchase shares, which may be used as part of the consideration to the sellers in the initial business combination. If all or some of the forward purchase shares are not purchased under the forward purchase agreement, we may decide not to consummate our initial business combination, or if we decide to, we may lack sufficient funds to consummate our initial business combination” for more information.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Industry Opportunity</w:t>
      </w:r>
    </w:p>
    <w:p>
      <w:pPr>
        <w:spacing w:after="0" w:line="119" w:lineRule="exact"/>
        <w:rPr>
          <w:sz w:val="20"/>
          <w:szCs w:val="20"/>
          <w:color w:val="auto"/>
        </w:rPr>
      </w:pPr>
    </w:p>
    <w:p>
      <w:pPr>
        <w:ind w:left="460" w:right="539"/>
        <w:spacing w:after="0"/>
        <w:rPr>
          <w:sz w:val="20"/>
          <w:szCs w:val="20"/>
          <w:color w:val="auto"/>
        </w:rPr>
      </w:pPr>
      <w:r>
        <w:rPr>
          <w:rFonts w:ascii="Arial" w:cs="Arial" w:eastAsia="Arial" w:hAnsi="Arial"/>
          <w:sz w:val="18"/>
          <w:szCs w:val="18"/>
          <w:color w:val="auto"/>
        </w:rPr>
        <w:t>CM Life Sciences was founded to take advantage of a dynamic life sciences sector that continues to be buoyed by innovation. With a broadening set of applications for biotechnology that includes research tools and infrastructure, diagnostics, therapeutics, data, and industrial outputs, the life sciences sector offers compelling opportunities for investors who possess a broad overview and understand the trends and themes. CM Life Sciences is that type of investment partnership, combining the unique industry experience, operational expertise, and investment savvy of Mr. Casdin and Mr. Meister to bring together strong companies and management teams and work with them to capitalize on the near- and far-term opportunities.</w:t>
      </w:r>
    </w:p>
    <w:p>
      <w:pPr>
        <w:spacing w:after="0" w:line="99" w:lineRule="exact"/>
        <w:rPr>
          <w:sz w:val="20"/>
          <w:szCs w:val="20"/>
          <w:color w:val="auto"/>
        </w:rPr>
      </w:pPr>
    </w:p>
    <w:p>
      <w:pPr>
        <w:jc w:val="both"/>
        <w:ind w:left="460" w:right="479"/>
        <w:spacing w:after="0" w:line="245" w:lineRule="auto"/>
        <w:rPr>
          <w:sz w:val="20"/>
          <w:szCs w:val="20"/>
          <w:color w:val="auto"/>
        </w:rPr>
      </w:pPr>
      <w:r>
        <w:rPr>
          <w:rFonts w:ascii="Arial" w:cs="Arial" w:eastAsia="Arial" w:hAnsi="Arial"/>
          <w:sz w:val="18"/>
          <w:szCs w:val="18"/>
          <w:color w:val="auto"/>
        </w:rPr>
        <w:t>Healthcare spending in the United States currently exceeds $3.6 trillion, and the Center for Medicare and Medicaid Services estimates that number will soon approach 20% of total U.S. Gross Domestic Product. Investors are just now beginning to recognize that life sciences will be a major beneficiary of that growth. The momentum of discovery and propagation of science and technologies combined with the appeal of early-stage industry formation creates dynamic</w:t>
      </w:r>
    </w:p>
    <w:p>
      <w:pPr>
        <w:sectPr>
          <w:pgSz w:w="11900" w:h="16838" w:orient="portrait"/>
          <w:cols w:equalWidth="0" w:num="1">
            <w:col w:w="9019"/>
          </w:cols>
          <w:pgMar w:left="1440" w:top="265" w:right="1440" w:bottom="1440" w:gutter="0" w:footer="0" w:header="0"/>
        </w:sectPr>
      </w:pP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19050</wp:posOffset>
            </wp:positionV>
            <wp:extent cx="51435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83" w:name="page84"/>
    <w:bookmarkEnd w:id="83"/>
    <w:p>
      <w:pPr>
        <w:jc w:val="both"/>
        <w:ind w:left="460" w:right="1139"/>
        <w:spacing w:after="0" w:line="255" w:lineRule="auto"/>
        <w:rPr>
          <w:sz w:val="20"/>
          <w:szCs w:val="20"/>
          <w:color w:val="auto"/>
        </w:rPr>
      </w:pPr>
      <w:r>
        <w:rPr>
          <w:rFonts w:ascii="Arial" w:cs="Arial" w:eastAsia="Arial" w:hAnsi="Arial"/>
          <w:sz w:val="18"/>
          <w:szCs w:val="18"/>
          <w:color w:val="auto"/>
        </w:rPr>
        <w:t>investment opportunities and significant advantages to knowledgeable specialists. New drugs generally receive significant attention and biotechnology investor focus, but there also exists tremendous opportunity in the broader and bigger industry of “bio” and “technology.”</w:t>
      </w:r>
    </w:p>
    <w:p>
      <w:pPr>
        <w:spacing w:after="0" w:line="83" w:lineRule="exact"/>
        <w:rPr>
          <w:sz w:val="20"/>
          <w:szCs w:val="20"/>
          <w:color w:val="auto"/>
        </w:rPr>
      </w:pPr>
    </w:p>
    <w:p>
      <w:pPr>
        <w:ind w:left="460" w:right="459"/>
        <w:spacing w:after="0" w:line="238" w:lineRule="auto"/>
        <w:rPr>
          <w:sz w:val="20"/>
          <w:szCs w:val="20"/>
          <w:color w:val="auto"/>
        </w:rPr>
      </w:pPr>
      <w:r>
        <w:rPr>
          <w:rFonts w:ascii="Arial" w:cs="Arial" w:eastAsia="Arial" w:hAnsi="Arial"/>
          <w:sz w:val="18"/>
          <w:szCs w:val="18"/>
          <w:color w:val="auto"/>
        </w:rPr>
        <w:t>The development of therapeutics are a powerful expression of this opportunity. That said, we intend to broaden the investment aperture even within this application to include the products and services that enable the discovery, development, manufacture and commercialization of these therapies. The momentum of research and development strategies of the biopharmaceutical industry makes this clear, with global R&amp;D expenditures projected by Statista to be $ 182 billion in 2019, with more than $70 billion in estimated expenditures on U.S. health and medical R&amp;D from federal, state and local governments and other industry sources. These figures encompass spending on all steps from discovery through clinical development and highlight the scope and scale of opportunity for therapeutic ecosystem industry players. U.S. Food and Drug Administration (FDA) approval of new drugs increased approximately 40% comparing 2010 to 2014 numbers with those of 2015 to 2019, and the base case outlook in the next five years forecasts that net medicine spending in the United States will increase from $344 billion in 2018 to $420 billion in 2023. Therefore, the industry is in a powerful growth mode.</w:t>
      </w:r>
    </w:p>
    <w:p>
      <w:pPr>
        <w:spacing w:after="0" w:line="86" w:lineRule="exact"/>
        <w:rPr>
          <w:sz w:val="20"/>
          <w:szCs w:val="20"/>
          <w:color w:val="auto"/>
        </w:rPr>
      </w:pPr>
    </w:p>
    <w:p>
      <w:pPr>
        <w:ind w:left="460" w:right="539"/>
        <w:spacing w:after="0" w:line="241" w:lineRule="auto"/>
        <w:rPr>
          <w:sz w:val="20"/>
          <w:szCs w:val="20"/>
          <w:color w:val="auto"/>
        </w:rPr>
      </w:pPr>
      <w:r>
        <w:rPr>
          <w:rFonts w:ascii="Arial" w:cs="Arial" w:eastAsia="Arial" w:hAnsi="Arial"/>
          <w:sz w:val="18"/>
          <w:szCs w:val="18"/>
          <w:color w:val="auto"/>
        </w:rPr>
        <w:t>While certain enabling life sciences company’s products get embedded early and have long lucrative life cycles with high profitability, the industry, by and large, remains fragmented, with most companies under-resourced and under-scaled. CM Life Sciences will offer significant and under-appreciated opportunities to consolidate these strong but fledgling companies, a common strategy in every major industry but one possible only now that the life sciences industry has ripened. We will focus our search for business combination targets in three separate areas of the larger life sciences industry, including:</w:t>
      </w:r>
    </w:p>
    <w:p>
      <w:pPr>
        <w:spacing w:after="0" w:line="3" w:lineRule="exact"/>
        <w:rPr>
          <w:sz w:val="20"/>
          <w:szCs w:val="20"/>
          <w:color w:val="auto"/>
        </w:rPr>
      </w:pPr>
    </w:p>
    <w:p>
      <w:pPr>
        <w:ind w:left="1100" w:right="459" w:hanging="322"/>
        <w:spacing w:after="0"/>
        <w:tabs>
          <w:tab w:leader="none" w:pos="1089"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Life Sciences Tools: Research markets endeavor to understand complex biological systems through the use of analytical technologies. These applications create adjacent opportunities for tools in areas such as sample preparation and in regulated downstream “applied markets.” With life sciences tools comprising an approximately $30 billion global market opportunity, the research spending across industry, academia, and government also supports long term GDP-plus growth. Cyclical innovation adds to the growth profile, particularly with the current wave of innovation in the ’omics fields. We identify particular opportunities around the industry’s tools, technology and data analysis and its coordination with the various end-customer segments to take advantage of the attractive fundamental trends.</w:t>
      </w:r>
    </w:p>
    <w:p>
      <w:pPr>
        <w:ind w:left="1100" w:right="499" w:hanging="322"/>
        <w:spacing w:after="0" w:line="238" w:lineRule="auto"/>
        <w:tabs>
          <w:tab w:leader="none" w:pos="1089" w:val="left"/>
        </w:tabs>
        <w:numPr>
          <w:ilvl w:val="0"/>
          <w:numId w:val="41"/>
        </w:numPr>
        <w:rPr>
          <w:rFonts w:ascii="Arial" w:cs="Arial" w:eastAsia="Arial" w:hAnsi="Arial"/>
          <w:sz w:val="18"/>
          <w:szCs w:val="18"/>
          <w:color w:val="auto"/>
        </w:rPr>
      </w:pPr>
      <w:r>
        <w:rPr>
          <w:rFonts w:ascii="Arial" w:cs="Arial" w:eastAsia="Arial" w:hAnsi="Arial"/>
          <w:sz w:val="18"/>
          <w:szCs w:val="18"/>
          <w:color w:val="auto"/>
        </w:rPr>
        <w:t>Synthetic Biology: So called Read/Write technologies, which describe the ability to sequence and synthesize genetic information, are powering the genomic revolution. These technologies have matured to the point where biological systems can be harnessed and manipulated towards a broad variety of applications that include diagnostic, therapeutic and broader industrial solutions. Given the flexibility of biological systems, investment opportunities exist for those who can identify applications outside a traditionally narrow focus. Many of these applications introduce the opportunity to create new products and new markets, as well as to enable more efficient and more environmentally sustainable manufacturing of existing products.</w:t>
      </w:r>
    </w:p>
    <w:p>
      <w:pPr>
        <w:spacing w:after="0" w:line="2" w:lineRule="exact"/>
        <w:rPr>
          <w:rFonts w:ascii="Arial" w:cs="Arial" w:eastAsia="Arial" w:hAnsi="Arial"/>
          <w:sz w:val="18"/>
          <w:szCs w:val="18"/>
          <w:color w:val="auto"/>
        </w:rPr>
      </w:pPr>
    </w:p>
    <w:p>
      <w:pPr>
        <w:ind w:left="1100" w:right="479" w:hanging="322"/>
        <w:spacing w:after="0" w:line="239" w:lineRule="auto"/>
        <w:tabs>
          <w:tab w:leader="none" w:pos="1089"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Diagnostics: The diagnostics industry is leveraging advances in biological tools and broader technologies, including cloud computing and data sciences. These new tools have ushered in advances in risk prediction, therapeutic regimen tailoring, and outcomes analysis, to name just a few. The results have been immediate, both to patient outcomes and industry value, but we believe that the potential of these tools is only now being realized. We believe use of “diagnostic” to describe this dynamic category is a misnomer, and prefer the term “molecular information.” The synergy created by a limited set of publicly investable opportunities and, structurally, the imbalance between channel and content capabilities across industry players is likely to drive powerful new investment opportunities. With progress in regulatory and reimbursement systems, we believe investment opportunities will continue to expand.</w:t>
      </w:r>
    </w:p>
    <w:p>
      <w:pPr>
        <w:spacing w:after="0" w:line="112" w:lineRule="exact"/>
        <w:rPr>
          <w:sz w:val="20"/>
          <w:szCs w:val="20"/>
          <w:color w:val="auto"/>
        </w:rPr>
      </w:pPr>
    </w:p>
    <w:p>
      <w:pPr>
        <w:ind w:left="460" w:right="579"/>
        <w:spacing w:after="0" w:line="243" w:lineRule="auto"/>
        <w:rPr>
          <w:sz w:val="20"/>
          <w:szCs w:val="20"/>
          <w:color w:val="auto"/>
        </w:rPr>
      </w:pPr>
      <w:r>
        <w:rPr>
          <w:rFonts w:ascii="Arial" w:cs="Arial" w:eastAsia="Arial" w:hAnsi="Arial"/>
          <w:sz w:val="18"/>
          <w:szCs w:val="18"/>
          <w:color w:val="auto"/>
        </w:rPr>
        <w:t>We believe that the current state of the life sciences IPO market will enhance our ability to locate attractive targets. Approximately 180 biotechnology companies have gone public since 2016 in the United States. Despite the current level of IPO activity, in February 2020, there were estimated to be approximately 9,500 life sciences companies globally, only a fraction of which are publicly traded. As these companies mature, they will need partners to complement, enhance, and extend their reach. CM Life Sciences is positioned to be a major participant in that process.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38" w:right="1440" w:bottom="1440" w:gutter="0" w:footer="0" w:header="0"/>
        </w:sectPr>
      </w:pPr>
    </w:p>
    <w:bookmarkStart w:id="84" w:name="page85"/>
    <w:bookmarkEnd w:id="84"/>
    <w:p>
      <w:pPr>
        <w:ind w:left="460"/>
        <w:spacing w:after="0"/>
        <w:rPr>
          <w:sz w:val="20"/>
          <w:szCs w:val="20"/>
          <w:color w:val="auto"/>
        </w:rPr>
      </w:pPr>
      <w:r>
        <w:rPr>
          <w:rFonts w:ascii="Arial" w:cs="Arial" w:eastAsia="Arial" w:hAnsi="Arial"/>
          <w:sz w:val="18"/>
          <w:szCs w:val="18"/>
          <w:b w:val="1"/>
          <w:bCs w:val="1"/>
          <w:color w:val="auto"/>
        </w:rPr>
        <w:t>Acquisition Strategy</w:t>
      </w:r>
    </w:p>
    <w:p>
      <w:pPr>
        <w:spacing w:after="0" w:line="146" w:lineRule="exact"/>
        <w:rPr>
          <w:sz w:val="20"/>
          <w:szCs w:val="20"/>
          <w:color w:val="auto"/>
        </w:rPr>
      </w:pPr>
    </w:p>
    <w:p>
      <w:pPr>
        <w:ind w:left="460" w:right="539"/>
        <w:spacing w:after="0" w:line="245" w:lineRule="auto"/>
        <w:rPr>
          <w:sz w:val="20"/>
          <w:szCs w:val="20"/>
          <w:color w:val="auto"/>
        </w:rPr>
      </w:pPr>
      <w:r>
        <w:rPr>
          <w:rFonts w:ascii="Arial" w:cs="Arial" w:eastAsia="Arial" w:hAnsi="Arial"/>
          <w:sz w:val="18"/>
          <w:szCs w:val="18"/>
          <w:color w:val="auto"/>
        </w:rPr>
        <w:t>CM Life Sciences has a focused acquisition strategy. We believe that the rise in both the number and quality of companies entering the genomics space today presages significant consolidation and restructuring. Our comprehensive understanding of the science, strong ties to the industry, and broad experience guiding public companies gives us a competitive advantage to help shape, and profit from, this key moment in the maturation of the industry.</w:t>
      </w:r>
    </w:p>
    <w:p>
      <w:pPr>
        <w:spacing w:after="0" w:line="91" w:lineRule="exact"/>
        <w:rPr>
          <w:sz w:val="20"/>
          <w:szCs w:val="20"/>
          <w:color w:val="auto"/>
        </w:rPr>
      </w:pPr>
    </w:p>
    <w:p>
      <w:pPr>
        <w:ind w:left="460" w:right="579"/>
        <w:spacing w:after="0" w:line="239" w:lineRule="auto"/>
        <w:rPr>
          <w:sz w:val="20"/>
          <w:szCs w:val="20"/>
          <w:color w:val="auto"/>
        </w:rPr>
      </w:pPr>
      <w:r>
        <w:rPr>
          <w:rFonts w:ascii="Arial" w:cs="Arial" w:eastAsia="Arial" w:hAnsi="Arial"/>
          <w:sz w:val="18"/>
          <w:szCs w:val="18"/>
          <w:color w:val="auto"/>
        </w:rPr>
        <w:t>Not only do we anticipate CM Life Sciences will have the advantage in sourcing transactions and creating strong, publicly listed life sciences companies, but the broad vision and on-the-ground expertise of our management team should allow us to see opportunities and synergies even before the target company’s management or board may. With robust partnerships and deep relationships dating back to the industry’s beginnings, our management and board have a track record of identifying potential opportunities and potential challenges, long before most other investors. With over two decades of research, diligence, formal and informal advising, and Board stewardship, we believe our founders are uniquely suited to bridge the gap between private promises and public profits; creating significant shareholder value by structuring companies for the public market typically inaccessible to private equity buyers.</w:t>
      </w:r>
    </w:p>
    <w:p>
      <w:pPr>
        <w:spacing w:after="0" w:line="112"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Over the years, members of our management team from Casdin Capital have developed a rich, reflective and repeatable scientific process as rigorous as any found in relevant research labs, which we intend to draw upon as we evaluate targets. Our strategy is to seek out every possible data point and test every possible hypothesis. By methodically breaking down core elements, from treatments to management teams to political-historical context, and examining them from all angles, testing theories as we go, our leadership team learns and grows in step with the life sciences industry itself. When we assess company targets and the mechanisms for solving them, whether a drug or a technology application, we will seek to understand their innovative methodologies, not just their market potential. Beyond the science, we will also scrutinize target markets and competitors, question CEOs, Executive Teams and Boards on their ability to measure outcomes and push toward solutions, and create models for everything from commercial launch capabilities to regulatory hurdles to an entire team’s industry expertise and history. Deep knowledge of the science and its applications is only the beginning. Our experience continually reminds us to focus on leadership’s ability to grow a business and create an empowered workforce, and we seek companies that create the drive and resilience necessary to reach ambitious goals and, ultimately, market success.</w:t>
      </w:r>
    </w:p>
    <w:p>
      <w:pPr>
        <w:spacing w:after="0" w:line="120" w:lineRule="exact"/>
        <w:rPr>
          <w:sz w:val="20"/>
          <w:szCs w:val="20"/>
          <w:color w:val="auto"/>
        </w:rPr>
      </w:pPr>
    </w:p>
    <w:p>
      <w:pPr>
        <w:ind w:left="460" w:right="479"/>
        <w:spacing w:after="0" w:line="239" w:lineRule="auto"/>
        <w:rPr>
          <w:sz w:val="20"/>
          <w:szCs w:val="20"/>
          <w:color w:val="auto"/>
        </w:rPr>
      </w:pPr>
      <w:r>
        <w:rPr>
          <w:rFonts w:ascii="Arial" w:cs="Arial" w:eastAsia="Arial" w:hAnsi="Arial"/>
          <w:sz w:val="18"/>
          <w:szCs w:val="18"/>
          <w:color w:val="auto"/>
        </w:rPr>
        <w:t>With over four decades of combined experience in structuring and executing strategic investments and capital market transactions, our founders bring together a unique understanding of the industry and the world of corporate governance. Together Mr. Casdin and Mr. Meister specifically have bought, sold, combined and separated businesses and assets across industries and geographies, and together are strategically situated to identify and capitalize on industry consolidation. We also know that many companies lack the resources, infrastructure, and governance experience required to transition into successful public companies. Our team’s long-standing experience leading large, publicly traded corporations at the board and executive levels opens the door to many companies not yet envisioning themselves in the public market. We believe our experience structuring and executing complex transactions is as key an advantage when completing an initial business combination as it is when identifying future opportunities sparked by it.</w:t>
      </w:r>
    </w:p>
    <w:p>
      <w:pPr>
        <w:spacing w:after="0" w:line="95" w:lineRule="exact"/>
        <w:rPr>
          <w:sz w:val="20"/>
          <w:szCs w:val="20"/>
          <w:color w:val="auto"/>
        </w:rPr>
      </w:pPr>
    </w:p>
    <w:p>
      <w:pPr>
        <w:ind w:left="460" w:right="479"/>
        <w:spacing w:after="0" w:line="248" w:lineRule="auto"/>
        <w:rPr>
          <w:sz w:val="20"/>
          <w:szCs w:val="20"/>
          <w:color w:val="auto"/>
        </w:rPr>
      </w:pPr>
      <w:r>
        <w:rPr>
          <w:rFonts w:ascii="Arial" w:cs="Arial" w:eastAsia="Arial" w:hAnsi="Arial"/>
          <w:sz w:val="17"/>
          <w:szCs w:val="17"/>
          <w:color w:val="auto"/>
        </w:rPr>
        <w:t>Casdin Capital’s investments in 69 private companies and their diligencing of hundreds of other investments every year has allowed them to map the far reaches of an industry most are just beginning to explore. As of June 30</w:t>
      </w:r>
      <w:r>
        <w:rPr>
          <w:rFonts w:ascii="Arial" w:cs="Arial" w:eastAsia="Arial" w:hAnsi="Arial"/>
          <w:sz w:val="19"/>
          <w:szCs w:val="19"/>
          <w:color w:val="auto"/>
          <w:vertAlign w:val="superscript"/>
        </w:rPr>
        <w:t>th</w:t>
      </w:r>
      <w:r>
        <w:rPr>
          <w:rFonts w:ascii="Arial" w:cs="Arial" w:eastAsia="Arial" w:hAnsi="Arial"/>
          <w:sz w:val="17"/>
          <w:szCs w:val="17"/>
          <w:color w:val="auto"/>
        </w:rPr>
        <w:t>, 2020, Casdin Capital has interests in 42 private portfolio companies and in these companies they have partnered with 45 of the leading venture and healthcare investing firms and strategic arms of large incumbents, including Google Ventures, Arch Ventures, Atlas Ventures, Third Rock Ventures, Flagship Ventures, Wuxi Apptec (OTCMKTS: WUXIF), Danaher Corporation (NYSE: DHR), Viking Global, Warburg Pincus and Andreesson Horowitz. Casdin Capital has also fostered relationships with leading scientific and research institutions, such as Children’s Hospital of Philadelphia, Dana-Farber Cancer Institute, Massachusetts General Hospital, MD Anderson Cancer Center, Memorial Sloan Kettering Cancer Center, the New York Genome Center and Scripps Research. We expect that this deep understanding and these strong relationships, to which we will have access through members of our management team from Casdin Capital, will provide CM Life Sciences a pipeline of proprietary opportunities that will continue to increase as new players enter the space, and as established players continue to branch out.</w:t>
      </w:r>
    </w:p>
    <w:p>
      <w:pPr>
        <w:spacing w:after="0" w:line="207" w:lineRule="exact"/>
        <w:rPr>
          <w:sz w:val="20"/>
          <w:szCs w:val="20"/>
          <w:color w:val="auto"/>
        </w:rPr>
      </w:pPr>
    </w:p>
    <w:p>
      <w:pPr>
        <w:ind w:left="460" w:right="519"/>
        <w:spacing w:after="0"/>
        <w:rPr>
          <w:sz w:val="20"/>
          <w:szCs w:val="20"/>
          <w:color w:val="auto"/>
        </w:rPr>
      </w:pPr>
      <w:r>
        <w:rPr>
          <w:rFonts w:ascii="Arial" w:cs="Arial" w:eastAsia="Arial" w:hAnsi="Arial"/>
          <w:sz w:val="18"/>
          <w:szCs w:val="18"/>
          <w:color w:val="auto"/>
        </w:rPr>
        <w:t>CM Life Sciences is not prohibited from pursuing combinations with companies affiliated with our sponsor, executive officers, or directors. In the event we seek to complete a combination with a target that is affiliated with our sponsor, we would obtain an opinion of an independent investment banking firm which is a member of FINRA or a valuation or appraisal firm</w:t>
      </w:r>
    </w:p>
    <w:p>
      <w:pPr>
        <w:sectPr>
          <w:pgSz w:w="11900" w:h="16838" w:orient="portrait"/>
          <w:cols w:equalWidth="0" w:num="1">
            <w:col w:w="9019"/>
          </w:cols>
          <w:pgMar w:left="1440" w:top="331" w:right="1440" w:bottom="1440" w:gutter="0" w:footer="0" w:header="0"/>
        </w:sectPr>
      </w:pP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19050</wp:posOffset>
            </wp:positionV>
            <wp:extent cx="51435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type w:val="continuous"/>
        </w:sectPr>
      </w:pPr>
    </w:p>
    <w:bookmarkStart w:id="85" w:name="page86"/>
    <w:bookmarkEnd w:id="85"/>
    <w:p>
      <w:pPr>
        <w:ind w:left="460" w:right="519"/>
        <w:spacing w:after="0" w:line="258" w:lineRule="auto"/>
        <w:rPr>
          <w:sz w:val="20"/>
          <w:szCs w:val="20"/>
          <w:color w:val="auto"/>
        </w:rPr>
      </w:pPr>
      <w:r>
        <w:rPr>
          <w:rFonts w:ascii="Arial" w:cs="Arial" w:eastAsia="Arial" w:hAnsi="Arial"/>
          <w:sz w:val="17"/>
          <w:szCs w:val="17"/>
          <w:color w:val="auto"/>
        </w:rPr>
        <w:t>stating that such an initial business combination is fair to our company from a financial point of view. Our amended and restated certificate of incorporation provides that a target will not be deemed an affiliate solely by virtue of ownership by our sponsor or its affiliates, or any of their or our executive officers or directors, of less than 10% of its common stock, individually or in the aggregate. Moreover, we anticipate value-creation opportunities from combining private companies already in the portfolios of our affiliates, Casdin Capital and Corvex Management, presenting unique opportunities at the partnership’s inception and opening us to other dynamic platforms across the industry.</w:t>
      </w:r>
    </w:p>
    <w:p>
      <w:pPr>
        <w:spacing w:after="0" w:line="82" w:lineRule="exact"/>
        <w:rPr>
          <w:sz w:val="20"/>
          <w:szCs w:val="20"/>
          <w:color w:val="auto"/>
        </w:rPr>
      </w:pPr>
    </w:p>
    <w:p>
      <w:pPr>
        <w:ind w:left="460" w:right="479"/>
        <w:spacing w:after="0" w:line="253" w:lineRule="auto"/>
        <w:rPr>
          <w:sz w:val="20"/>
          <w:szCs w:val="20"/>
          <w:color w:val="auto"/>
        </w:rPr>
      </w:pPr>
      <w:r>
        <w:rPr>
          <w:rFonts w:ascii="Arial" w:cs="Arial" w:eastAsia="Arial" w:hAnsi="Arial"/>
          <w:sz w:val="17"/>
          <w:szCs w:val="17"/>
          <w:color w:val="auto"/>
        </w:rPr>
        <w:t>Casdin Capital has developed relationships going back to the unlocking of the human genome, and today is a familiar and trusted participant in this dynamic and complex industry, as well-versed in the science as in the business models that underpin it. As an affiliate of Casdin Capital with key management members from Casdin Capital, we intend to leverage its reputation and position as more than just an investor, but a key partner to major and emerging companies, to work with the most successful and innovative industry professionals, the ones who will continue to drive growth and profits over the next few decades. Combined with Corvex Management, our leadership team is diverse and deep, with strengths in science and business, in research and investing, capital markets and corporate board rooms, and as alert to industry realignments as they are to subtle market moves. Success and strong returns come as much from our collective dedication as it does from our area-expertise. Our seasoned management team and board intends to leverage information from industry experts, scientists, management teams, and corporate directors to proceed with discipline and rigor to complete an attractive business combination that will produce attractive returns for our shareholders.</w:t>
      </w:r>
    </w:p>
    <w:p>
      <w:pPr>
        <w:spacing w:after="0" w:line="102" w:lineRule="exact"/>
        <w:rPr>
          <w:sz w:val="20"/>
          <w:szCs w:val="20"/>
          <w:color w:val="auto"/>
        </w:rPr>
      </w:pPr>
    </w:p>
    <w:p>
      <w:pPr>
        <w:jc w:val="both"/>
        <w:ind w:left="460" w:right="739"/>
        <w:spacing w:after="0" w:line="250" w:lineRule="auto"/>
        <w:rPr>
          <w:sz w:val="20"/>
          <w:szCs w:val="20"/>
          <w:color w:val="auto"/>
        </w:rPr>
      </w:pPr>
      <w:r>
        <w:rPr>
          <w:rFonts w:ascii="Arial" w:cs="Arial" w:eastAsia="Arial" w:hAnsi="Arial"/>
          <w:sz w:val="18"/>
          <w:szCs w:val="18"/>
          <w:color w:val="auto"/>
        </w:rPr>
        <w:t>Consistent with this strategy, we have identified the following criteria to evaluate prospective target businesses. We intend to seek to acquire companies in the Life Sciences Tools, Synthetic Biology and Diagnostics fields and that we believe:</w:t>
      </w:r>
    </w:p>
    <w:p>
      <w:pPr>
        <w:spacing w:after="0" w:line="1" w:lineRule="exact"/>
        <w:rPr>
          <w:sz w:val="20"/>
          <w:szCs w:val="20"/>
          <w:color w:val="auto"/>
        </w:rPr>
      </w:pPr>
    </w:p>
    <w:p>
      <w:pPr>
        <w:ind w:left="1100" w:right="559" w:hanging="322"/>
        <w:spacing w:after="0" w:line="258" w:lineRule="auto"/>
        <w:tabs>
          <w:tab w:leader="none" w:pos="1089" w:val="left"/>
        </w:tabs>
        <w:numPr>
          <w:ilvl w:val="0"/>
          <w:numId w:val="42"/>
        </w:numPr>
        <w:rPr>
          <w:rFonts w:ascii="Arial" w:cs="Arial" w:eastAsia="Arial" w:hAnsi="Arial"/>
          <w:sz w:val="18"/>
          <w:szCs w:val="18"/>
          <w:color w:val="auto"/>
        </w:rPr>
      </w:pPr>
      <w:r>
        <w:rPr>
          <w:rFonts w:ascii="Arial" w:cs="Arial" w:eastAsia="Arial" w:hAnsi="Arial"/>
          <w:sz w:val="18"/>
          <w:szCs w:val="18"/>
          <w:color w:val="auto"/>
        </w:rPr>
        <w:t>have a potential scientific or other business advantage or opportunity in the markets in which they operate;</w:t>
      </w:r>
    </w:p>
    <w:p>
      <w:pPr>
        <w:ind w:left="1100" w:hanging="322"/>
        <w:spacing w:after="0"/>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have strong and experienced management teams or key personnel; and</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will offer attractive risk-adjusted equity returns for our shareholders.</w:t>
      </w:r>
    </w:p>
    <w:p>
      <w:pPr>
        <w:spacing w:after="0" w:line="144" w:lineRule="exact"/>
        <w:rPr>
          <w:sz w:val="20"/>
          <w:szCs w:val="20"/>
          <w:color w:val="auto"/>
        </w:rPr>
      </w:pPr>
    </w:p>
    <w:p>
      <w:pPr>
        <w:ind w:left="460" w:right="479"/>
        <w:spacing w:after="0"/>
        <w:rPr>
          <w:sz w:val="20"/>
          <w:szCs w:val="20"/>
          <w:color w:val="auto"/>
        </w:rPr>
      </w:pPr>
      <w:r>
        <w:rPr>
          <w:rFonts w:ascii="Arial" w:cs="Arial" w:eastAsia="Arial" w:hAnsi="Arial"/>
          <w:sz w:val="18"/>
          <w:szCs w:val="18"/>
          <w:color w:val="auto"/>
        </w:rPr>
        <w:t>These criteria are not intended to be exhaustive. Any evaluation relating to the merits of a particular initial business combination may be based, to the extent relevant, on these general guidelines as well as other considerations, factors and criteria that our management team may deem relevant. In the event that we decide to enter into our initial business combination with a target business that we believe does not meet the above criteria and guidelines, we will disclose that the target business does not meet the above criteria in our stockholder communications related to our initial business combination, which, as discussed in this prospectus, would be in the form of proxy materials or tender offer documents, as applicable, that we would file with the SEC.</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Initial Business Combination</w:t>
      </w:r>
    </w:p>
    <w:p>
      <w:pPr>
        <w:spacing w:after="0" w:line="133" w:lineRule="exact"/>
        <w:rPr>
          <w:sz w:val="20"/>
          <w:szCs w:val="20"/>
          <w:color w:val="auto"/>
        </w:rPr>
      </w:pPr>
    </w:p>
    <w:p>
      <w:pPr>
        <w:ind w:left="460" w:right="619"/>
        <w:spacing w:after="0" w:line="238" w:lineRule="auto"/>
        <w:rPr>
          <w:sz w:val="20"/>
          <w:szCs w:val="20"/>
          <w:color w:val="auto"/>
        </w:rPr>
      </w:pPr>
      <w:r>
        <w:rPr>
          <w:rFonts w:ascii="Arial" w:cs="Arial" w:eastAsia="Arial" w:hAnsi="Arial"/>
          <w:sz w:val="18"/>
          <w:szCs w:val="18"/>
          <w:color w:val="auto"/>
        </w:rPr>
        <w:t>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we will obtain an opinion from an independent investment banking firm which is a member of FINRA or a valuation or appraisal firm with respect to the satisfaction of such criteria. While we consider it unlikely that our board of directors will not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the target’s assets or prospects. Additionally, pursuant to Nasdaq rules, any initial business combination must be approved by a majority of our independent directors.</w:t>
      </w:r>
    </w:p>
    <w:p>
      <w:pPr>
        <w:spacing w:after="0" w:line="110" w:lineRule="exact"/>
        <w:rPr>
          <w:sz w:val="20"/>
          <w:szCs w:val="20"/>
          <w:color w:val="auto"/>
        </w:rPr>
      </w:pPr>
    </w:p>
    <w:p>
      <w:pPr>
        <w:ind w:left="460" w:right="579"/>
        <w:spacing w:after="0"/>
        <w:rPr>
          <w:sz w:val="20"/>
          <w:szCs w:val="20"/>
          <w:color w:val="auto"/>
        </w:rPr>
      </w:pPr>
      <w:r>
        <w:rPr>
          <w:rFonts w:ascii="Arial" w:cs="Arial" w:eastAsia="Arial" w:hAnsi="Arial"/>
          <w:sz w:val="18"/>
          <w:szCs w:val="18"/>
          <w:color w:val="auto"/>
        </w:rPr>
        <w:t>We anticipate structuring our initial business combination so that the post-transaction company in which our public stockholders own shares will own or acquire 100% of the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target management team or stockholders or for other reasons, but we will only complete such business combination if the post-transaction company owns or acquires 50% or more of the outstanding voting securities of the target or</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6" w:name="page87"/>
    <w:bookmarkEnd w:id="86"/>
    <w:p>
      <w:pPr>
        <w:ind w:left="460" w:right="479"/>
        <w:spacing w:after="0" w:line="237" w:lineRule="auto"/>
        <w:rPr>
          <w:sz w:val="20"/>
          <w:szCs w:val="20"/>
          <w:color w:val="auto"/>
        </w:rPr>
      </w:pPr>
      <w:r>
        <w:rPr>
          <w:rFonts w:ascii="Arial" w:cs="Arial" w:eastAsia="Arial" w:hAnsi="Arial"/>
          <w:sz w:val="18"/>
          <w:szCs w:val="18"/>
          <w:color w:val="auto"/>
        </w:rPr>
        <w:t>otherwise acquires a controlling interest in the target sufficient for it not to be required to register as an investment company under the Investment Company Act of 1940, as amended, or the Investment Company Act. Even if the post-transaction company owns or acquires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taken into account for purposes of the 80% of net assets test described above. If the business combination involves more than one target business, the 80% of net assets test will be based on the aggregate value of all of the target businesses.</w:t>
      </w:r>
    </w:p>
    <w:p>
      <w:pPr>
        <w:spacing w:after="0" w:line="107" w:lineRule="exact"/>
        <w:rPr>
          <w:sz w:val="20"/>
          <w:szCs w:val="20"/>
          <w:color w:val="auto"/>
        </w:rPr>
      </w:pPr>
    </w:p>
    <w:p>
      <w:pPr>
        <w:ind w:left="460" w:right="539"/>
        <w:spacing w:after="0" w:line="243" w:lineRule="auto"/>
        <w:rPr>
          <w:sz w:val="20"/>
          <w:szCs w:val="20"/>
          <w:color w:val="auto"/>
        </w:rPr>
      </w:pPr>
      <w:r>
        <w:rPr>
          <w:rFonts w:ascii="Arial" w:cs="Arial" w:eastAsia="Arial" w:hAnsi="Arial"/>
          <w:sz w:val="18"/>
          <w:szCs w:val="18"/>
          <w:color w:val="auto"/>
        </w:rPr>
        <w:t>Prior to the date of this prospectus, we filed a Registration Statement on Form 8-A with the SEC to voluntarily register our securities under Section 12 of the Securities Exchange Act of 1934, as amended, or the Exchange Act. As a result, we are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Sourcing of Potential Initial Business Combination Targets</w:t>
      </w:r>
    </w:p>
    <w:p>
      <w:pPr>
        <w:spacing w:after="0" w:line="144"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While we do not presently anticipate engaging the services of professional firms or other individuals that specialize in business acquisitions on any formal basis, we may engage these firms or other individuals in the future, in which event we may pay a finder’s fee, consulting fee or other compensation to be determined in an arm’s length negotiation based on the terms of the transaction. We will engage a finder only to the extent our management determines that the use of a finder may bring opportunities to us that may not otherwise be available to us or if finders approach us on an unsolicited basis with a potential transaction that our management determines is in our best interest to pursue. Payment of a finder’s fee is customarily tied to completion of a transaction, in which case any such fee will be paid out of the funds held in the trust account. In no event, however, will our sponsor or any of our existing officers or directors, or any entity with which they are affiliated, be paid any finder’s fee, consulting fee or other compensation by the company prior to, or for any services they render in order to effectuate, the completion of our initial business combination (regardless of the type of transaction that it is).</w:t>
      </w:r>
    </w:p>
    <w:p>
      <w:pPr>
        <w:spacing w:after="0" w:line="113" w:lineRule="exact"/>
        <w:rPr>
          <w:sz w:val="20"/>
          <w:szCs w:val="20"/>
          <w:color w:val="auto"/>
        </w:rPr>
      </w:pPr>
    </w:p>
    <w:p>
      <w:pPr>
        <w:ind w:left="460" w:right="479"/>
        <w:spacing w:after="0" w:line="239"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our sponsor, executive officers or directors, or completing the business combination through a joint venture or other form of shared ownership with our sponsor, executive officers or directors. In the event we seek to complete an initial business combination with a target that is affiliated with our sponsor, executive officers or directors, we, or a committee of independent directors, would obtain an opinion from an independent investment banking firm which is a member of FINRA or a valuation or appraisal firm stating that such an initial business combination is fair to our company from a financial point of view. Our amended and restated certificate of incorporation provides that a target will not be deemed an affiliate solely by virtue of ownership by our sponsor or its affiliates, or any of their or our executive officers or directors, of less than 10% of its common stock, individually or in the aggregate.</w:t>
      </w:r>
    </w:p>
    <w:p>
      <w:pPr>
        <w:spacing w:after="0" w:line="99" w:lineRule="exact"/>
        <w:rPr>
          <w:sz w:val="20"/>
          <w:szCs w:val="20"/>
          <w:color w:val="auto"/>
        </w:rPr>
      </w:pPr>
    </w:p>
    <w:p>
      <w:pPr>
        <w:ind w:left="460" w:right="479"/>
        <w:spacing w:after="0" w:line="241" w:lineRule="auto"/>
        <w:rPr>
          <w:sz w:val="20"/>
          <w:szCs w:val="20"/>
          <w:color w:val="auto"/>
        </w:rPr>
      </w:pPr>
      <w:r>
        <w:rPr>
          <w:rFonts w:ascii="Arial" w:cs="Arial" w:eastAsia="Arial" w:hAnsi="Arial"/>
          <w:sz w:val="18"/>
          <w:szCs w:val="18"/>
          <w:color w:val="auto"/>
        </w:rPr>
        <w:t>Members of our management team and our independent directors will directly or indirectly own founder shares and/or private placement warrants and/or forward purchase shares following this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11" w:lineRule="exact"/>
        <w:rPr>
          <w:sz w:val="20"/>
          <w:szCs w:val="20"/>
          <w:color w:val="auto"/>
        </w:rPr>
      </w:pPr>
    </w:p>
    <w:p>
      <w:pPr>
        <w:ind w:left="460" w:right="519"/>
        <w:spacing w:after="0" w:line="243" w:lineRule="auto"/>
        <w:rPr>
          <w:sz w:val="20"/>
          <w:szCs w:val="20"/>
          <w:color w:val="auto"/>
        </w:rPr>
      </w:pPr>
      <w:r>
        <w:rPr>
          <w:rFonts w:ascii="Arial" w:cs="Arial" w:eastAsia="Arial" w:hAnsi="Arial"/>
          <w:sz w:val="18"/>
          <w:szCs w:val="18"/>
          <w:color w:val="auto"/>
        </w:rPr>
        <w:t>Each of our officers and directors presently has, and any of them in the future may have additional, fiduciary or contractual obligations to another entity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 current fiduciary or contractual obligations, he or she will honor his or her fiduciary or contractual obligations to present such business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7" w:name="page88"/>
    <w:bookmarkEnd w:id="87"/>
    <w:p>
      <w:pPr>
        <w:ind w:left="460" w:right="599"/>
        <w:spacing w:after="0"/>
        <w:rPr>
          <w:sz w:val="20"/>
          <w:szCs w:val="20"/>
          <w:color w:val="auto"/>
        </w:rPr>
      </w:pPr>
      <w:r>
        <w:rPr>
          <w:rFonts w:ascii="Arial" w:cs="Arial" w:eastAsia="Arial" w:hAnsi="Arial"/>
          <w:sz w:val="18"/>
          <w:szCs w:val="18"/>
          <w:color w:val="auto"/>
        </w:rPr>
        <w:t>combination opportunity to such other entity. Our amended and restated certificate of incorporation provides that we renounce our interest in any corporate opportunity offered to any director or officer unless such opportunity is expressly offered to such person solely in his or her capacity as a director or officer of the company and such opportunity is one we are legally and contractually permitted to undertake and would otherwise be reasonable for us to pursue, and to the extent the director or officer is permitted to refer that opportunity to us without violating another legal obligation. We do not believe, however, that the fiduciary duties or contractual obligations of our officers or directors will materially affect our ability to complete our initial business combination.</w:t>
      </w:r>
    </w:p>
    <w:p>
      <w:pPr>
        <w:spacing w:after="0" w:line="99" w:lineRule="exact"/>
        <w:rPr>
          <w:sz w:val="20"/>
          <w:szCs w:val="20"/>
          <w:color w:val="auto"/>
        </w:rPr>
      </w:pPr>
    </w:p>
    <w:p>
      <w:pPr>
        <w:ind w:left="460" w:right="479"/>
        <w:spacing w:after="0" w:line="243" w:lineRule="auto"/>
        <w:rPr>
          <w:sz w:val="20"/>
          <w:szCs w:val="20"/>
          <w:color w:val="auto"/>
        </w:rPr>
      </w:pPr>
      <w:r>
        <w:rPr>
          <w:rFonts w:ascii="Arial" w:cs="Arial" w:eastAsia="Arial" w:hAnsi="Arial"/>
          <w:sz w:val="18"/>
          <w:szCs w:val="18"/>
          <w:color w:val="auto"/>
        </w:rPr>
        <w:t>In addition, 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Financial Position</w:t>
      </w:r>
    </w:p>
    <w:p>
      <w:pPr>
        <w:spacing w:after="0" w:line="144" w:lineRule="exact"/>
        <w:rPr>
          <w:sz w:val="20"/>
          <w:szCs w:val="20"/>
          <w:color w:val="auto"/>
        </w:rPr>
      </w:pPr>
    </w:p>
    <w:p>
      <w:pPr>
        <w:ind w:left="460" w:right="679"/>
        <w:spacing w:after="0" w:line="238" w:lineRule="auto"/>
        <w:rPr>
          <w:sz w:val="20"/>
          <w:szCs w:val="20"/>
          <w:color w:val="auto"/>
        </w:rPr>
      </w:pPr>
      <w:r>
        <w:rPr>
          <w:rFonts w:ascii="Arial" w:cs="Arial" w:eastAsia="Arial" w:hAnsi="Arial"/>
          <w:sz w:val="18"/>
          <w:szCs w:val="18"/>
          <w:color w:val="auto"/>
        </w:rPr>
        <w:t>With funds in the trust account available for a business combination initially in the amount of $371,525,000 (assuming no redemptions), after payment of $13,475,000 of deferred underwriting fees (or $427,253,750 (assuming no redemptions) after payment of $15,496,250 of deferred underwriting fees if the underwriters’ over-allotment option is exercised in full) and up to $150,000,000 in proceeds from the sale of forward purchase shares, we offer a target business a variety of options such as creating a liquidity event for its owners, providing capital for the potential growth and expansion of its operations or strengthening its balance sheet by reducing its debt ratio. Because we are able to complete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we have not taken any steps to secure third party financing and there can be no assurance it will be available to us.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Lack of Business Diversification</w:t>
      </w:r>
    </w:p>
    <w:p>
      <w:pPr>
        <w:spacing w:after="0" w:line="144" w:lineRule="exact"/>
        <w:rPr>
          <w:sz w:val="20"/>
          <w:szCs w:val="20"/>
          <w:color w:val="auto"/>
        </w:rPr>
      </w:pPr>
    </w:p>
    <w:p>
      <w:pPr>
        <w:ind w:left="460" w:right="579"/>
        <w:spacing w:after="0" w:line="242" w:lineRule="auto"/>
        <w:rPr>
          <w:sz w:val="20"/>
          <w:szCs w:val="20"/>
          <w:color w:val="auto"/>
        </w:rPr>
      </w:pPr>
      <w:r>
        <w:rPr>
          <w:rFonts w:ascii="Arial" w:cs="Arial" w:eastAsia="Arial" w:hAnsi="Arial"/>
          <w:sz w:val="18"/>
          <w:szCs w:val="18"/>
          <w:color w:val="auto"/>
        </w:rPr>
        <w:t>For an indefinite period of time after the completion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completing our initial business combination with only a single entity, our lack of diversification may:</w:t>
      </w:r>
    </w:p>
    <w:p>
      <w:pPr>
        <w:spacing w:after="0" w:line="3" w:lineRule="exact"/>
        <w:rPr>
          <w:sz w:val="20"/>
          <w:szCs w:val="20"/>
          <w:color w:val="auto"/>
        </w:rPr>
      </w:pPr>
    </w:p>
    <w:p>
      <w:pPr>
        <w:ind w:left="1100" w:right="639" w:hanging="322"/>
        <w:spacing w:after="0" w:line="245" w:lineRule="auto"/>
        <w:tabs>
          <w:tab w:leader="none" w:pos="1089"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ind w:left="1100" w:right="1079" w:hanging="322"/>
        <w:spacing w:after="0" w:line="276" w:lineRule="auto"/>
        <w:tabs>
          <w:tab w:leader="none" w:pos="1089" w:val="left"/>
        </w:tabs>
        <w:numPr>
          <w:ilvl w:val="0"/>
          <w:numId w:val="43"/>
        </w:numPr>
        <w:rPr>
          <w:rFonts w:ascii="Arial" w:cs="Arial" w:eastAsia="Arial" w:hAnsi="Arial"/>
          <w:sz w:val="18"/>
          <w:szCs w:val="18"/>
          <w:color w:val="auto"/>
        </w:rPr>
      </w:pPr>
      <w:r>
        <w:rPr>
          <w:rFonts w:ascii="Arial" w:cs="Arial" w:eastAsia="Arial" w:hAnsi="Arial"/>
          <w:sz w:val="18"/>
          <w:szCs w:val="18"/>
          <w:color w:val="auto"/>
        </w:rPr>
        <w:t>cause us to depend on the marketing and sale of a single product or limited number of products or services.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Limited Ability to Evaluate the Target’s Management Team</w:t>
      </w:r>
    </w:p>
    <w:p>
      <w:pPr>
        <w:spacing w:after="0" w:line="144"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Although we intend to closely scrutinize the management of a prospective target business when evaluating the desirability of effecting our initial business combination with that business, our assessment of the target business’s management may not prove to be correct. In addition, the future management may not have the necessary skills, qualifications or abilities to manage a public company. Furthermore, the future role of members of our management team, if any, in the target business cannot presently be stated with any certainty. The determination as to whether any of the members of our management team will remain with the combined company will be made at the time of our initial business combination. While it is possible that one or more of our directors will remain associated in some capacity with us following our initial business combination, it is unlikely that any of them will devote their full efforts to our affairs subsequent to our initial business combination. Moreover, we cannot assure you that members of our management team will have significant experience or knowledge relating to the operations of the particular target business.</w:t>
      </w:r>
    </w:p>
    <w:p>
      <w:pPr>
        <w:spacing w:after="0" w:line="102" w:lineRule="exact"/>
        <w:rPr>
          <w:sz w:val="20"/>
          <w:szCs w:val="20"/>
          <w:color w:val="auto"/>
        </w:rPr>
      </w:pPr>
    </w:p>
    <w:p>
      <w:pPr>
        <w:ind w:left="460" w:right="579"/>
        <w:spacing w:after="0" w:line="255" w:lineRule="auto"/>
        <w:rPr>
          <w:sz w:val="20"/>
          <w:szCs w:val="20"/>
          <w:color w:val="auto"/>
        </w:rPr>
      </w:pPr>
      <w:r>
        <w:rPr>
          <w:rFonts w:ascii="Arial" w:cs="Arial" w:eastAsia="Arial" w:hAnsi="Arial"/>
          <w:sz w:val="18"/>
          <w:szCs w:val="18"/>
          <w:color w:val="auto"/>
        </w:rPr>
        <w:t>We cannot assure you that any of our key personnel will remain in senior management or advisory positions with the combined company. The determination as to whether any of our key personnel will remain with the combined company will be made at the time of our initial business combination.</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8" w:name="page89"/>
    <w:bookmarkEnd w:id="88"/>
    <w:p>
      <w:pPr>
        <w:ind w:left="460" w:right="599"/>
        <w:spacing w:after="0" w:line="248" w:lineRule="auto"/>
        <w:rPr>
          <w:sz w:val="20"/>
          <w:szCs w:val="20"/>
          <w:color w:val="auto"/>
        </w:rPr>
      </w:pPr>
      <w:r>
        <w:rPr>
          <w:rFonts w:ascii="Arial" w:cs="Arial" w:eastAsia="Arial" w:hAnsi="Arial"/>
          <w:sz w:val="18"/>
          <w:szCs w:val="18"/>
          <w:color w:val="auto"/>
        </w:rPr>
        <w:t>Following a business combination, we may seek to recruit additional managers to supplement the incumbent management of the target business. We cannot assure you that we will have the ability to recruit additional managers, or that additional managers will have the requisite skills, knowledge or experience necessary to enhance the incumbent management.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Stockholders May Not Have the Ability to Approve Our Initial Business Combination</w:t>
      </w:r>
    </w:p>
    <w:p>
      <w:pPr>
        <w:spacing w:after="0" w:line="131" w:lineRule="exact"/>
        <w:rPr>
          <w:sz w:val="20"/>
          <w:szCs w:val="20"/>
          <w:color w:val="auto"/>
        </w:rPr>
      </w:pPr>
    </w:p>
    <w:p>
      <w:pPr>
        <w:ind w:left="460" w:right="479"/>
        <w:spacing w:after="0" w:line="248" w:lineRule="auto"/>
        <w:rPr>
          <w:sz w:val="20"/>
          <w:szCs w:val="20"/>
          <w:color w:val="auto"/>
        </w:rPr>
      </w:pPr>
      <w:r>
        <w:rPr>
          <w:rFonts w:ascii="Arial" w:cs="Arial" w:eastAsia="Arial" w:hAnsi="Arial"/>
          <w:sz w:val="18"/>
          <w:szCs w:val="18"/>
          <w:color w:val="auto"/>
        </w:rPr>
        <w:t>We may conduct redemptions without a stockholder vote pursuant to the tender offer rules of the SEC subject to the provisions of our amended and restated certificate of incorporation. However, we will seek stockholder approval if it is required by law or applicable stock exchange rule, or we may decide to seek stockholder approval for business or other legal reasons.</w:t>
      </w:r>
    </w:p>
    <w:p>
      <w:pPr>
        <w:spacing w:after="0" w:line="103" w:lineRule="exact"/>
        <w:rPr>
          <w:sz w:val="20"/>
          <w:szCs w:val="20"/>
          <w:color w:val="auto"/>
        </w:rPr>
      </w:pPr>
    </w:p>
    <w:p>
      <w:pPr>
        <w:ind w:left="460" w:right="559"/>
        <w:spacing w:after="0" w:line="255" w:lineRule="auto"/>
        <w:rPr>
          <w:sz w:val="20"/>
          <w:szCs w:val="20"/>
          <w:color w:val="auto"/>
        </w:rPr>
      </w:pPr>
      <w:r>
        <w:rPr>
          <w:rFonts w:ascii="Arial" w:cs="Arial" w:eastAsia="Arial" w:hAnsi="Arial"/>
          <w:sz w:val="18"/>
          <w:szCs w:val="18"/>
          <w:color w:val="auto"/>
        </w:rPr>
        <w:t>Presented in the table below is a graphic explanation of the types of initial business combinations we may consider and whether stockholder approval is currently required under Delaware law for each such transaction.</w:t>
      </w:r>
    </w:p>
    <w:p>
      <w:pPr>
        <w:spacing w:after="0" w:line="131"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6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WHETHER</w:t>
            </w:r>
          </w:p>
        </w:tc>
      </w:tr>
      <w:tr>
        <w:trPr>
          <w:trHeight w:val="162"/>
        </w:trPr>
        <w:tc>
          <w:tcPr>
            <w:tcW w:w="6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STOCKHOLDER</w:t>
            </w:r>
          </w:p>
        </w:tc>
      </w:tr>
      <w:tr>
        <w:trPr>
          <w:trHeight w:val="162"/>
        </w:trPr>
        <w:tc>
          <w:tcPr>
            <w:tcW w:w="6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APPROVAL IS</w:t>
            </w:r>
          </w:p>
        </w:tc>
      </w:tr>
      <w:tr>
        <w:trPr>
          <w:trHeight w:val="211"/>
        </w:trPr>
        <w:tc>
          <w:tcPr>
            <w:tcW w:w="6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TYPE OF TRANSACTION</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REQUIRED</w:t>
            </w:r>
          </w:p>
        </w:tc>
      </w:tr>
      <w:tr>
        <w:trPr>
          <w:trHeight w:val="247"/>
        </w:trPr>
        <w:tc>
          <w:tcPr>
            <w:tcW w:w="6980" w:type="dxa"/>
            <w:vAlign w:val="bottom"/>
            <w:gridSpan w:val="2"/>
          </w:tcPr>
          <w:p>
            <w:pPr>
              <w:spacing w:after="0"/>
              <w:rPr>
                <w:sz w:val="20"/>
                <w:szCs w:val="20"/>
                <w:color w:val="auto"/>
              </w:rPr>
            </w:pPr>
            <w:r>
              <w:rPr>
                <w:rFonts w:ascii="Arial" w:cs="Arial" w:eastAsia="Arial" w:hAnsi="Arial"/>
                <w:sz w:val="18"/>
                <w:szCs w:val="18"/>
                <w:color w:val="auto"/>
              </w:rPr>
              <w:t>Purchase of assets</w:t>
            </w: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83"/>
        </w:trPr>
        <w:tc>
          <w:tcPr>
            <w:tcW w:w="6980" w:type="dxa"/>
            <w:vAlign w:val="bottom"/>
            <w:gridSpan w:val="2"/>
          </w:tcPr>
          <w:p>
            <w:pPr>
              <w:spacing w:after="0"/>
              <w:rPr>
                <w:sz w:val="20"/>
                <w:szCs w:val="20"/>
                <w:color w:val="auto"/>
              </w:rPr>
            </w:pPr>
            <w:r>
              <w:rPr>
                <w:rFonts w:ascii="Arial" w:cs="Arial" w:eastAsia="Arial" w:hAnsi="Arial"/>
                <w:sz w:val="18"/>
                <w:szCs w:val="18"/>
                <w:color w:val="auto"/>
              </w:rPr>
              <w:t>Purchase of stock of target not involving a merger with the company</w:t>
            </w: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83"/>
        </w:trPr>
        <w:tc>
          <w:tcPr>
            <w:tcW w:w="6980" w:type="dxa"/>
            <w:vAlign w:val="bottom"/>
            <w:gridSpan w:val="2"/>
          </w:tcPr>
          <w:p>
            <w:pPr>
              <w:spacing w:after="0"/>
              <w:rPr>
                <w:sz w:val="20"/>
                <w:szCs w:val="20"/>
                <w:color w:val="auto"/>
              </w:rPr>
            </w:pPr>
            <w:r>
              <w:rPr>
                <w:rFonts w:ascii="Arial" w:cs="Arial" w:eastAsia="Arial" w:hAnsi="Arial"/>
                <w:sz w:val="18"/>
                <w:szCs w:val="18"/>
                <w:color w:val="auto"/>
              </w:rPr>
              <w:t>Merger of target into a subsidiary of the company</w:t>
            </w: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83"/>
        </w:trPr>
        <w:tc>
          <w:tcPr>
            <w:tcW w:w="6980" w:type="dxa"/>
            <w:vAlign w:val="bottom"/>
            <w:gridSpan w:val="2"/>
          </w:tcPr>
          <w:p>
            <w:pPr>
              <w:spacing w:after="0"/>
              <w:rPr>
                <w:sz w:val="20"/>
                <w:szCs w:val="20"/>
                <w:color w:val="auto"/>
              </w:rPr>
            </w:pPr>
            <w:r>
              <w:rPr>
                <w:rFonts w:ascii="Arial" w:cs="Arial" w:eastAsia="Arial" w:hAnsi="Arial"/>
                <w:sz w:val="18"/>
                <w:szCs w:val="18"/>
                <w:color w:val="auto"/>
              </w:rPr>
              <w:t>Merger of the company with a target</w:t>
            </w:r>
          </w:p>
        </w:tc>
        <w:tc>
          <w:tcPr>
            <w:tcW w:w="1120" w:type="dxa"/>
            <w:vAlign w:val="bottom"/>
          </w:tcPr>
          <w:p>
            <w:pPr>
              <w:jc w:val="center"/>
              <w:spacing w:after="0"/>
              <w:rPr>
                <w:sz w:val="20"/>
                <w:szCs w:val="20"/>
                <w:color w:val="auto"/>
              </w:rPr>
            </w:pPr>
            <w:r>
              <w:rPr>
                <w:rFonts w:ascii="Arial" w:cs="Arial" w:eastAsia="Arial" w:hAnsi="Arial"/>
                <w:sz w:val="18"/>
                <w:szCs w:val="18"/>
                <w:color w:val="auto"/>
                <w:w w:val="96"/>
              </w:rPr>
              <w:t>Yes</w:t>
            </w:r>
          </w:p>
        </w:tc>
      </w:tr>
    </w:tbl>
    <w:p>
      <w:pPr>
        <w:spacing w:after="0" w:line="189" w:lineRule="exact"/>
        <w:rPr>
          <w:sz w:val="20"/>
          <w:szCs w:val="20"/>
          <w:color w:val="auto"/>
        </w:rPr>
      </w:pPr>
    </w:p>
    <w:p>
      <w:pPr>
        <w:ind w:left="460" w:right="1299"/>
        <w:spacing w:after="0" w:line="258" w:lineRule="auto"/>
        <w:rPr>
          <w:sz w:val="20"/>
          <w:szCs w:val="20"/>
          <w:color w:val="auto"/>
        </w:rPr>
      </w:pPr>
      <w:r>
        <w:rPr>
          <w:rFonts w:ascii="Arial" w:cs="Arial" w:eastAsia="Arial" w:hAnsi="Arial"/>
          <w:sz w:val="18"/>
          <w:szCs w:val="18"/>
          <w:color w:val="auto"/>
        </w:rPr>
        <w:t>Under Nasdaq’s listing rules, stockholder approval would be required for our initial business combination if, for example:</w:t>
      </w:r>
    </w:p>
    <w:p>
      <w:pPr>
        <w:ind w:left="1100" w:right="599" w:hanging="322"/>
        <w:spacing w:after="0" w:line="242" w:lineRule="auto"/>
        <w:tabs>
          <w:tab w:leader="none" w:pos="1089"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issue (other than in a public offering for cash) shares of common stock that will either (a) be equal to or in excess of 20% of the number of our shares of common stock then outstanding or (b) have voting power equal to or in excess of 20% of the voting power then outstanding;</w:t>
      </w:r>
    </w:p>
    <w:p>
      <w:pPr>
        <w:spacing w:after="0" w:line="2" w:lineRule="exact"/>
        <w:rPr>
          <w:rFonts w:ascii="Arial" w:cs="Arial" w:eastAsia="Arial" w:hAnsi="Arial"/>
          <w:sz w:val="18"/>
          <w:szCs w:val="18"/>
          <w:color w:val="auto"/>
        </w:rPr>
      </w:pPr>
    </w:p>
    <w:p>
      <w:pPr>
        <w:ind w:left="1100" w:right="659" w:hanging="322"/>
        <w:spacing w:after="0"/>
        <w:tabs>
          <w:tab w:leader="none" w:pos="1089"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of our directors, officers or substantial stockholders (as defined by Nasdaq rules) has a 5% or greater interest, directly or indirectly, in the target business or assets to be acquired and if the number of shares of common stock to be issued, or if the number of shares of common stock in which the securities may be convertible or exercisable, exceeds either (a) 1% of the number of shares of common stock or 1% of the voting power outstanding before the issuance in the case of any of our directors and officers and (b) 5% of the number of shares of common stock or 5% of the voting power outstanding before the issuance in the case of any substantial security holder; or</w:t>
      </w:r>
    </w:p>
    <w:p>
      <w:pPr>
        <w:spacing w:after="0" w:line="4" w:lineRule="exact"/>
        <w:rPr>
          <w:rFonts w:ascii="Arial" w:cs="Arial" w:eastAsia="Arial" w:hAnsi="Arial"/>
          <w:sz w:val="18"/>
          <w:szCs w:val="18"/>
          <w:color w:val="auto"/>
        </w:rPr>
      </w:pPr>
    </w:p>
    <w:p>
      <w:pPr>
        <w:ind w:left="1100" w:right="519" w:hanging="322"/>
        <w:spacing w:after="0" w:line="276" w:lineRule="auto"/>
        <w:tabs>
          <w:tab w:leader="none" w:pos="1089"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issuance or potential issuance of common stock will result in our undergoing a change of control</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Permitted Purchases of Our Securities</w:t>
      </w:r>
    </w:p>
    <w:p>
      <w:pPr>
        <w:spacing w:after="0" w:line="131"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sponsor, initial stockholders, directors, executive officers, advisors or their respective affiliates may purchase public shares or public warrants in privately negotiated transactions or in the open market either prior to or following the completion of our initial business combination. There is no limit on the number of shares our initial stockholders, directors, officers, advisors or their respective affiliates may purchase in such transactions, subject to compliance with applicable law and Nasdaq rules. However, they have no current commitments, plans or intentions to engage in such purchases or other transactions and have not formulated any terms or conditions for any such purchases or other transactions. None of the funds in the trust account will be used to purchase shares or public warrants in such transactions. If they engage in such transactions, they will be restricted from making any such purchases when they are in possession of any material non-public information not disclosed to the seller or if such purchases are prohibited by Regulation M under the Exchange Act.</w:t>
      </w:r>
    </w:p>
    <w:p>
      <w:pPr>
        <w:spacing w:after="0" w:line="113" w:lineRule="exact"/>
        <w:rPr>
          <w:sz w:val="20"/>
          <w:szCs w:val="20"/>
          <w:color w:val="auto"/>
        </w:rPr>
      </w:pPr>
    </w:p>
    <w:p>
      <w:pPr>
        <w:jc w:val="both"/>
        <w:ind w:left="460" w:right="799"/>
        <w:spacing w:after="0" w:line="248" w:lineRule="auto"/>
        <w:rPr>
          <w:sz w:val="20"/>
          <w:szCs w:val="20"/>
          <w:color w:val="auto"/>
        </w:rPr>
      </w:pPr>
      <w:r>
        <w:rPr>
          <w:rFonts w:ascii="Arial" w:cs="Arial" w:eastAsia="Arial" w:hAnsi="Arial"/>
          <w:sz w:val="18"/>
          <w:szCs w:val="18"/>
          <w:color w:val="auto"/>
        </w:rPr>
        <w:t>In the event that our sponsor, initial stockholders, directors, officers, advisors or their respective affiliates purchase shares in privately negotiated transactions from public stockholders who have already elected to exercise their redemption rights, such selling stockholders would be required to revoke their prior elections to redeem their shares.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9" w:name="page90"/>
    <w:bookmarkEnd w:id="89"/>
    <w:p>
      <w:pPr>
        <w:ind w:left="460" w:right="679"/>
        <w:spacing w:after="0" w:line="245" w:lineRule="auto"/>
        <w:rPr>
          <w:sz w:val="20"/>
          <w:szCs w:val="20"/>
          <w:color w:val="auto"/>
        </w:rPr>
      </w:pPr>
      <w:r>
        <w:rPr>
          <w:rFonts w:ascii="Arial" w:cs="Arial" w:eastAsia="Arial" w:hAnsi="Arial"/>
          <w:sz w:val="18"/>
          <w:szCs w:val="18"/>
          <w:color w:val="auto"/>
        </w:rPr>
        <w:t>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be required to comply with such rules.</w:t>
      </w:r>
    </w:p>
    <w:p>
      <w:pPr>
        <w:spacing w:after="0" w:line="91" w:lineRule="exact"/>
        <w:rPr>
          <w:sz w:val="20"/>
          <w:szCs w:val="20"/>
          <w:color w:val="auto"/>
        </w:rPr>
      </w:pPr>
    </w:p>
    <w:p>
      <w:pPr>
        <w:ind w:left="460" w:right="499"/>
        <w:spacing w:after="0" w:line="255" w:lineRule="auto"/>
        <w:rPr>
          <w:sz w:val="20"/>
          <w:szCs w:val="20"/>
          <w:color w:val="auto"/>
        </w:rPr>
      </w:pPr>
      <w:r>
        <w:rPr>
          <w:rFonts w:ascii="Arial" w:cs="Arial" w:eastAsia="Arial" w:hAnsi="Arial"/>
          <w:sz w:val="17"/>
          <w:szCs w:val="17"/>
          <w:color w:val="auto"/>
        </w:rPr>
        <w:t>The purpose of any such purchases of shares could be to (i) vote such shares in favor of the business combination and thereby increase the likelihood of obtaining the requisite stockholder approval of the business combination or (ii)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w:t>
      </w:r>
    </w:p>
    <w:p>
      <w:pPr>
        <w:spacing w:after="0" w:line="102" w:lineRule="exact"/>
        <w:rPr>
          <w:sz w:val="20"/>
          <w:szCs w:val="20"/>
          <w:color w:val="auto"/>
        </w:rPr>
      </w:pPr>
    </w:p>
    <w:p>
      <w:pPr>
        <w:ind w:left="460" w:right="619"/>
        <w:spacing w:after="0" w:line="248" w:lineRule="auto"/>
        <w:rPr>
          <w:sz w:val="20"/>
          <w:szCs w:val="20"/>
          <w:color w:val="auto"/>
        </w:rPr>
      </w:pPr>
      <w:r>
        <w:rPr>
          <w:rFonts w:ascii="Arial" w:cs="Arial" w:eastAsia="Arial" w:hAnsi="Arial"/>
          <w:sz w:val="18"/>
          <w:szCs w:val="18"/>
          <w:color w:val="auto"/>
        </w:rPr>
        <w:t>In addition, if such purchases are made, the public “float” of our Class A common stock or public warrants may be reduced and the number of beneficial holders of our securities may be reduced, which may make it difficult to maintain or obtain the quotation, listing or trading of our securities on a national securities exchange.</w:t>
      </w:r>
    </w:p>
    <w:p>
      <w:pPr>
        <w:spacing w:after="0" w:line="103" w:lineRule="exact"/>
        <w:rPr>
          <w:sz w:val="20"/>
          <w:szCs w:val="20"/>
          <w:color w:val="auto"/>
        </w:rPr>
      </w:pPr>
    </w:p>
    <w:p>
      <w:pPr>
        <w:ind w:left="460" w:right="539"/>
        <w:spacing w:after="0" w:line="237" w:lineRule="auto"/>
        <w:rPr>
          <w:sz w:val="20"/>
          <w:szCs w:val="20"/>
          <w:color w:val="auto"/>
        </w:rPr>
      </w:pPr>
      <w:r>
        <w:rPr>
          <w:rFonts w:ascii="Arial" w:cs="Arial" w:eastAsia="Arial" w:hAnsi="Arial"/>
          <w:sz w:val="18"/>
          <w:szCs w:val="18"/>
          <w:color w:val="auto"/>
        </w:rPr>
        <w:t>Our sponsor, initial stockholders, officers, directors and/or their respective affiliates anticipate that they may identify the stockholders with whom our initial stockholders, officers, directors or their respective affiliates may pursue privately negotiated purchases by either the stockholders contacting us directly or by our receipt of redemption requests submitted by stockholders (in the case of Class A common stock) following our mailing of proxy materials in connection with our initial business combination. To the extent that our sponsor, officers, directors, advisors or their respective affiliates enter into a private purchase, they would identify and contact only potential selling stockholders who have expressed their election to redeem their shares for a pro rata share of the trust account or vote against our initial business combination, whether or not such stockholder has already submitted a proxy with respect to our initial business combination but only if such shares have not already been voted at the stockholder meeting related to our initial business combination. Our sponsor, executive officers, directors, advisors or any of their affiliates will select which stockholders to purchase shares from based on a negotiated price and number of shares and any other factors that they may deem relevant, and will only purchase shares if such purchases comply with Regulation M under the Exchange Act and the other federal securities laws. Our sponsor, officers, directors and/or their respective affiliates will be restricted from making purchases of shares if the purchases would violate Section 9(a)(2) or Rule 10b-5 of the Exchange Act. We expect any such purchases will be reported pursuant to Section 13 and Section 16 of the Exchange Act to the extent such purchases are subject to such reporting requirements.</w:t>
      </w:r>
    </w:p>
    <w:p>
      <w:pPr>
        <w:spacing w:after="0" w:line="180" w:lineRule="exact"/>
        <w:rPr>
          <w:sz w:val="20"/>
          <w:szCs w:val="20"/>
          <w:color w:val="auto"/>
        </w:rPr>
      </w:pPr>
    </w:p>
    <w:p>
      <w:pPr>
        <w:ind w:left="460" w:right="1359"/>
        <w:spacing w:after="0" w:line="285" w:lineRule="auto"/>
        <w:rPr>
          <w:sz w:val="20"/>
          <w:szCs w:val="20"/>
          <w:color w:val="auto"/>
        </w:rPr>
      </w:pPr>
      <w:r>
        <w:rPr>
          <w:rFonts w:ascii="Arial" w:cs="Arial" w:eastAsia="Arial" w:hAnsi="Arial"/>
          <w:sz w:val="18"/>
          <w:szCs w:val="18"/>
          <w:b w:val="1"/>
          <w:bCs w:val="1"/>
          <w:i w:val="1"/>
          <w:iCs w:val="1"/>
          <w:color w:val="auto"/>
        </w:rPr>
        <w:t>Redemption Rights for Public Stockholders upon Completion of Our Initial Business Combination</w:t>
      </w:r>
    </w:p>
    <w:p>
      <w:pPr>
        <w:spacing w:after="0" w:line="48" w:lineRule="exact"/>
        <w:rPr>
          <w:sz w:val="20"/>
          <w:szCs w:val="20"/>
          <w:color w:val="auto"/>
        </w:rPr>
      </w:pPr>
    </w:p>
    <w:p>
      <w:pPr>
        <w:ind w:left="460" w:right="559"/>
        <w:spacing w:after="0" w:line="238" w:lineRule="auto"/>
        <w:rPr>
          <w:sz w:val="20"/>
          <w:szCs w:val="20"/>
          <w:color w:val="auto"/>
        </w:rPr>
      </w:pPr>
      <w:r>
        <w:rPr>
          <w:rFonts w:ascii="Arial" w:cs="Arial" w:eastAsia="Arial" w:hAnsi="Arial"/>
          <w:sz w:val="18"/>
          <w:szCs w:val="18"/>
          <w:color w:val="auto"/>
        </w:rPr>
        <w:t>We will provide our public stockholders with the opportunity to redeem all or a portion of their shares of Class A common stock upon the completion of our initial business combination at a per-share price, payable in cash, equal to the aggregate amount then on deposit in the trust account calculated as of two business days prior to the consummation of the initial business combination, including interest earned on the funds held in the trust account and not previously released to us to pay our taxes, divided by the number of then outstanding public shares, subject to the limitations and on the conditions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Our initial stockholders, sponsor, officers and directors have entered into a letter agreement with us, pursuant to which they have agreed to waive their redemption rights with respect to any founder shares and public shares they may hold in connection with the completion of our initial business combination.</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Limitations on Redemptions</w:t>
      </w:r>
    </w:p>
    <w:p>
      <w:pPr>
        <w:spacing w:after="0" w:line="144" w:lineRule="exact"/>
        <w:rPr>
          <w:sz w:val="20"/>
          <w:szCs w:val="20"/>
          <w:color w:val="auto"/>
        </w:rPr>
      </w:pPr>
    </w:p>
    <w:p>
      <w:pPr>
        <w:jc w:val="both"/>
        <w:ind w:left="460" w:right="559"/>
        <w:spacing w:after="0" w:line="243" w:lineRule="auto"/>
        <w:rPr>
          <w:sz w:val="20"/>
          <w:szCs w:val="20"/>
          <w:color w:val="auto"/>
        </w:rPr>
      </w:pPr>
      <w:r>
        <w:rPr>
          <w:rFonts w:ascii="Arial" w:cs="Arial" w:eastAsia="Arial" w:hAnsi="Arial"/>
          <w:sz w:val="18"/>
          <w:szCs w:val="18"/>
          <w:color w:val="auto"/>
        </w:rPr>
        <w:t>Our amended and restated certificate of incorporation provides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 (ii) cash for working capital or other general corporate purposes or (iii) the retention of cash to satisfy other conditions. In the event the aggregate cash consideration we would be required to pay for all shares of</w:t>
      </w:r>
    </w:p>
    <w:p>
      <w:pPr>
        <w:sectPr>
          <w:pgSz w:w="11900" w:h="16838" w:orient="portrait"/>
          <w:cols w:equalWidth="0" w:num="1">
            <w:col w:w="9019"/>
          </w:cols>
          <w:pgMar w:left="1440" w:top="265" w:right="1440" w:bottom="1440" w:gutter="0" w:footer="0" w:header="0"/>
        </w:sectPr>
      </w:pP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19050</wp:posOffset>
            </wp:positionV>
            <wp:extent cx="51435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90" w:name="page91"/>
    <w:bookmarkEnd w:id="90"/>
    <w:p>
      <w:pPr>
        <w:ind w:left="460" w:right="659"/>
        <w:spacing w:after="0" w:line="239" w:lineRule="auto"/>
        <w:rPr>
          <w:sz w:val="20"/>
          <w:szCs w:val="20"/>
          <w:color w:val="auto"/>
        </w:rPr>
      </w:pPr>
      <w:r>
        <w:rPr>
          <w:rFonts w:ascii="Arial" w:cs="Arial" w:eastAsia="Arial" w:hAnsi="Arial"/>
          <w:sz w:val="18"/>
          <w:szCs w:val="18"/>
          <w:color w:val="auto"/>
        </w:rPr>
        <w:t>Class A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in connection with such initial business combination, and all shares of Class A common stock submitted for redemption will be returned to the holders thereof. We may, however, raise funds through the issuance of equity-linked securities or through loans, advances or other indebtedness in connection with our initial business combination, including pursuant to forward purchase agreements or backstop arrangements we may enter into following consummation of this offering, in order to, among other reasons, satisfy such net tangible assets or minimum cash requirements.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Manner of Conducting Redemptions</w:t>
      </w:r>
    </w:p>
    <w:p>
      <w:pPr>
        <w:spacing w:after="0" w:line="131"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We will provide our public stockholders with the opportunity to redeem all or a portion of their public shares upon the completion of our initial business combination either (i) in connection with a stockholder meeting called to approve the initial business combination or (ii) without a stockholder vote by means of a tender offer. The decision as to whether we will seek stockholder approval of a proposed initial business combination or conduct a tender offer will be made by us, solely in our discretion, and will be based on a variety of factors such as the timing of the transaction and whether the terms of the transaction would require us to seek stockholder approval under applicable law or stock exchange listing requirements. Asset acquisitions and stock purchases would not typically require stockholder approval while direct mergers with our company where we do not survive and any transactions where we issue more than 20% of our outstanding common stock or seek to amend our amended and restated certificate of incorporation would require stockholder approval. So long as we obtain and maintain a listing for our securities on Nasdaq, we will be required to comply with Nasdaq’s stockholder approval rules.</w:t>
      </w:r>
    </w:p>
    <w:p>
      <w:pPr>
        <w:spacing w:after="0" w:line="113" w:lineRule="exact"/>
        <w:rPr>
          <w:sz w:val="20"/>
          <w:szCs w:val="20"/>
          <w:color w:val="auto"/>
        </w:rPr>
      </w:pPr>
    </w:p>
    <w:p>
      <w:pPr>
        <w:ind w:left="460" w:right="559"/>
        <w:spacing w:after="0" w:line="243" w:lineRule="auto"/>
        <w:rPr>
          <w:sz w:val="20"/>
          <w:szCs w:val="20"/>
          <w:color w:val="auto"/>
        </w:rPr>
      </w:pPr>
      <w:r>
        <w:rPr>
          <w:rFonts w:ascii="Arial" w:cs="Arial" w:eastAsia="Arial" w:hAnsi="Arial"/>
          <w:sz w:val="18"/>
          <w:szCs w:val="18"/>
          <w:color w:val="auto"/>
        </w:rPr>
        <w:t>The requirement that we provide our public stockholders with the opportunity to redeem their public shares by one of the two methods listed above is contained in provisions of our amended and restated certificate of incorporation and applies whether or not we maintain our registration under the Exchange Act or our listing on Nasdaq. Such provisions of our amended and restated certificate of incorporation may be amended if approved by holders of 65% of our common stock entitled to vote thereon.</w:t>
      </w:r>
    </w:p>
    <w:p>
      <w:pPr>
        <w:spacing w:after="0" w:line="106" w:lineRule="exact"/>
        <w:rPr>
          <w:sz w:val="20"/>
          <w:szCs w:val="20"/>
          <w:color w:val="auto"/>
        </w:rPr>
      </w:pPr>
    </w:p>
    <w:p>
      <w:pPr>
        <w:ind w:left="460" w:right="559"/>
        <w:spacing w:after="0" w:line="258" w:lineRule="auto"/>
        <w:rPr>
          <w:sz w:val="20"/>
          <w:szCs w:val="20"/>
          <w:color w:val="auto"/>
        </w:rPr>
      </w:pPr>
      <w:r>
        <w:rPr>
          <w:rFonts w:ascii="Arial" w:cs="Arial" w:eastAsia="Arial" w:hAnsi="Arial"/>
          <w:sz w:val="18"/>
          <w:szCs w:val="18"/>
          <w:color w:val="auto"/>
        </w:rPr>
        <w:t>If we provide our public stockholders with the opportunity to redeem their public shares in connection with a stockholder meeting, we will:</w:t>
      </w:r>
    </w:p>
    <w:p>
      <w:pPr>
        <w:ind w:left="1100" w:right="479" w:hanging="322"/>
        <w:spacing w:after="0" w:line="245" w:lineRule="auto"/>
        <w:tabs>
          <w:tab w:leader="none" w:pos="1089"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conduct the redemptions in conjunction with a proxy solicitation pursuant to Regulation 14A of the Exchange Act, which regulates the solicitation of proxies, and not pursuant to the tender offer rules, and</w:t>
      </w:r>
    </w:p>
    <w:p>
      <w:pPr>
        <w:ind w:left="1100" w:hanging="322"/>
        <w:spacing w:after="0"/>
        <w:tabs>
          <w:tab w:leader="none" w:pos="11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144" w:lineRule="exact"/>
        <w:rPr>
          <w:sz w:val="20"/>
          <w:szCs w:val="20"/>
          <w:color w:val="auto"/>
        </w:rPr>
      </w:pPr>
    </w:p>
    <w:p>
      <w:pPr>
        <w:ind w:left="460" w:right="459"/>
        <w:spacing w:after="0" w:line="237" w:lineRule="auto"/>
        <w:rPr>
          <w:sz w:val="20"/>
          <w:szCs w:val="20"/>
          <w:color w:val="auto"/>
        </w:rPr>
      </w:pPr>
      <w:r>
        <w:rPr>
          <w:rFonts w:ascii="Arial" w:cs="Arial" w:eastAsia="Arial" w:hAnsi="Arial"/>
          <w:sz w:val="18"/>
          <w:szCs w:val="18"/>
          <w:color w:val="auto"/>
        </w:rPr>
        <w:t>If we seek stockholder approval, we will complete our initial business combination only if a majority of the outstanding shares of common stock voted are voted in favor of the initial business combination. A quorum for such meeting will consist of the holders present in person or by proxy of shares of outstanding capital stock of the Company representing a majority of the voting power of all outstanding shares of capital stock of the Company entitled to vote at such meeting. Our initial stockholders will count towards this quorum and, pursuant to the letter agreement, our sponsor, officers and directors have agreed to vote any founder shares they hold and any public shares purchased during or after this offering (including in open market and privately-negotiated transactions) in favor of our initial business combination. For purposes of seeking approval of the majority of our outstanding shares of common stock voted, non-votes will have no effect on the approval of our initial business combination once a quorum is obtained. As a result, in addition to our initial stockholders’ founder shares, we would need only 14,437,501, or 37.5%, of the 38,500,000 public shares sold in this offering to be voted in favor of an initial business combination in order to have our initial business combination approved (assuming all outstanding shares are voted and the over-allotment option is not exercised). These quorum and voting thresholds, and the voting agreements of our initial stockholders, may make it more likely that we will consummate our initial business combination. Each public stockholder may elect to redeem its public shares irrespective of whether they vote for or against the proposed transaction or whether they were a stockholder on the record date for the stockholder meeting held to approve the proposed transaction.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1" w:name="page92"/>
    <w:bookmarkEnd w:id="91"/>
    <w:p>
      <w:pPr>
        <w:ind w:left="460" w:right="679"/>
        <w:spacing w:after="0" w:line="258" w:lineRule="auto"/>
        <w:rPr>
          <w:sz w:val="20"/>
          <w:szCs w:val="20"/>
          <w:color w:val="auto"/>
        </w:rPr>
      </w:pPr>
      <w:r>
        <w:rPr>
          <w:rFonts w:ascii="Arial" w:cs="Arial" w:eastAsia="Arial" w:hAnsi="Arial"/>
          <w:sz w:val="18"/>
          <w:szCs w:val="18"/>
          <w:color w:val="auto"/>
        </w:rPr>
        <w:t>If a stockholder vote is not required and we do not decide to hold a stockholder vote for business or other legal reasons, we will:</w:t>
      </w:r>
    </w:p>
    <w:p>
      <w:pPr>
        <w:ind w:left="1100" w:right="739" w:hanging="322"/>
        <w:spacing w:after="0" w:line="250" w:lineRule="auto"/>
        <w:tabs>
          <w:tab w:leader="none" w:pos="1089"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conduct the redemptions pursuant to Rule 13e-4 and Regulation 14E of the Exchange Act, which regulate issuer tender offers, and</w:t>
      </w:r>
    </w:p>
    <w:p>
      <w:pPr>
        <w:jc w:val="both"/>
        <w:ind w:left="1100" w:right="519" w:hanging="322"/>
        <w:spacing w:after="0" w:line="248" w:lineRule="auto"/>
        <w:tabs>
          <w:tab w:leader="none" w:pos="1089"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103" w:lineRule="exact"/>
        <w:rPr>
          <w:sz w:val="20"/>
          <w:szCs w:val="20"/>
          <w:color w:val="auto"/>
        </w:rPr>
      </w:pPr>
    </w:p>
    <w:p>
      <w:pPr>
        <w:ind w:left="460" w:right="479"/>
        <w:spacing w:after="0"/>
        <w:rPr>
          <w:sz w:val="20"/>
          <w:szCs w:val="20"/>
          <w:color w:val="auto"/>
        </w:rPr>
      </w:pPr>
      <w:r>
        <w:rPr>
          <w:rFonts w:ascii="Arial" w:cs="Arial" w:eastAsia="Arial" w:hAnsi="Arial"/>
          <w:sz w:val="18"/>
          <w:szCs w:val="18"/>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stockholders not tendering more than a specified number of public shares, which number will be based on the requirement that we may not redeem public shares in an amount that would cause our net tangible assets to be less than $5,000,001. If public stockholders tender more shares than we have offered to purchase, we will withdraw the tender offer and not complete the initial business combination.</w:t>
      </w:r>
    </w:p>
    <w:p>
      <w:pPr>
        <w:spacing w:after="0" w:line="99" w:lineRule="exact"/>
        <w:rPr>
          <w:sz w:val="20"/>
          <w:szCs w:val="20"/>
          <w:color w:val="auto"/>
        </w:rPr>
      </w:pPr>
    </w:p>
    <w:p>
      <w:pPr>
        <w:ind w:left="460" w:right="479"/>
        <w:spacing w:after="0" w:line="248" w:lineRule="auto"/>
        <w:rPr>
          <w:sz w:val="20"/>
          <w:szCs w:val="20"/>
          <w:color w:val="auto"/>
        </w:rPr>
      </w:pPr>
      <w:r>
        <w:rPr>
          <w:rFonts w:ascii="Arial" w:cs="Arial" w:eastAsia="Arial" w:hAnsi="Arial"/>
          <w:sz w:val="18"/>
          <w:szCs w:val="18"/>
          <w:color w:val="auto"/>
        </w:rPr>
        <w:t>Upon the public announcement of our initial business combination, if we elect to conduct redemptions pursuant to the tender offer rules, we and our sponsor will terminate any plan established in accordance with Rule 10b5-1 to purchase shares of our Class A common stock in the open market, in order to comply with Rule 14e-5 under the Exchange Act.</w:t>
      </w:r>
    </w:p>
    <w:p>
      <w:pPr>
        <w:spacing w:after="0" w:line="103"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We intend to require our public stockholders seeking to exercise their redemption rights, whether they are record holders or hold their shares in “street name,” to, at the holder’s option, either deliver their stock certificates to our transfer agent or deliver their shares to our transfer agent electronically using The Depository Trust Company’s DWAC (Deposit/Withdrawal At Custodian) system, prior to the date set forth in the proxy materials or tender offer documents, as applicable. In the case of proxy materials, this date may be up to two business days prior to the date on which the vote on the proposal to approve the initial business combination is to be held. In addition, if we conduct redemptions in connection with a stockholder vote, we intend to require a public stockholder seeking redemption of its public shares to also submit a written request for redemption to our transfer agent two business days prior to the vote in which the name of the beneficial owner of such shares is included. The proxy materials or tender offer documents, as applicable, that we will furnish to holders of our public shares in connection with our initial business combination will indicate whether we are requiring public stockholders to satisfy such delivery requirements. We believe that this will allow our transfer agent to efficiently process any redemptions without the need for further communication or action from the redeeming public stockholders, which could delay redemptions and result in additional administrative cost. If the proposed initial business combination is not approved and we continue to search for a target company, we will promptly return any certificates or shares delivered by public stockholders who elected to redeem their shares.</w:t>
      </w:r>
    </w:p>
    <w:p>
      <w:pPr>
        <w:spacing w:after="0" w:line="114"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Our amended and restated certificate of incorporation provides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 (ii) cash for working capital or other general corporate purposes or (iii) the retention of cash to satisfy other conditions. In the event the aggregate cash consideration we would be required to pay for all shares of Class A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in connection with such initial business combination, and all shares of Class A common stock submitted for redemption will be returned to the holders thereof. We may, however, raise funds through the issuance of equity-linked securities or through loans, advances or other indebtedness in connection with our initial business combination, including pursuant to forward purchase agreements or backstop arrangements we may enter into following consummation of this offering, in order to, among other reasons, satisfy such net tangible assets or minimum cash requirements.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2" w:name="page93"/>
    <w:bookmarkEnd w:id="92"/>
    <w:p>
      <w:pPr>
        <w:ind w:left="460" w:right="739"/>
        <w:spacing w:after="0" w:line="285" w:lineRule="auto"/>
        <w:rPr>
          <w:sz w:val="20"/>
          <w:szCs w:val="20"/>
          <w:color w:val="auto"/>
        </w:rPr>
      </w:pPr>
      <w:r>
        <w:rPr>
          <w:rFonts w:ascii="Arial" w:cs="Arial" w:eastAsia="Arial" w:hAnsi="Arial"/>
          <w:sz w:val="18"/>
          <w:szCs w:val="18"/>
          <w:b w:val="1"/>
          <w:bCs w:val="1"/>
          <w:i w:val="1"/>
          <w:iCs w:val="1"/>
          <w:color w:val="auto"/>
        </w:rPr>
        <w:t>Limitation on Redemption Upon Completion of Our Initial Business Combination If We Seek Stockholder Approval</w:t>
      </w:r>
    </w:p>
    <w:p>
      <w:pPr>
        <w:spacing w:after="0" w:line="62"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seeking redemption rights with respect to Excess Shares, without our prior consent. We believe this restriction will discourage stockholders from accumulating large blocks of shares, and subsequent attempts by such holders to use their ability to exercise their redemption rights against a proposed business combination as a means to force us or our management to purchase their shares at a significant premium to the then-current market price or on other undesirable terms. Absent this provision, a public stockholder holding more than an aggregate of 20% of the shares sold in this offering could threaten to exercise its redemption rights if such holder’s shares are not purchased by us, our sponsor or our management at a premium to the then-current market price or on other undesirable terms. By limiting our stockholders’ ability to redeem no more than 20% of the shares sold in this offering without our prior consent, we believe we will limit the ability of a small group of stockholders to unreasonably attempt to block our ability to complete our initial business combination, particularly in connection with a business combination with a target that requires as a closing condition that we have a minimum net worth or a certain amount of cash.</w:t>
      </w:r>
    </w:p>
    <w:p>
      <w:pPr>
        <w:spacing w:after="0" w:line="101" w:lineRule="exact"/>
        <w:rPr>
          <w:sz w:val="20"/>
          <w:szCs w:val="20"/>
          <w:color w:val="auto"/>
        </w:rPr>
      </w:pPr>
    </w:p>
    <w:p>
      <w:pPr>
        <w:ind w:left="460" w:right="879"/>
        <w:spacing w:after="0" w:line="276" w:lineRule="auto"/>
        <w:rPr>
          <w:sz w:val="20"/>
          <w:szCs w:val="20"/>
          <w:color w:val="auto"/>
        </w:rPr>
      </w:pPr>
      <w:r>
        <w:rPr>
          <w:rFonts w:ascii="Arial" w:cs="Arial" w:eastAsia="Arial" w:hAnsi="Arial"/>
          <w:sz w:val="18"/>
          <w:szCs w:val="18"/>
          <w:color w:val="auto"/>
        </w:rPr>
        <w:t>However, we would not be restricting our stockholders’ ability to vote all of their shares (including Excess Shares) for or against our initial business combination.</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Delivering Stock Certificates in Connection with the Exercise of Redemption Rights</w:t>
      </w:r>
    </w:p>
    <w:p>
      <w:pPr>
        <w:spacing w:after="0" w:line="144"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As described above, we intend to require our public stockholders seeking to exercise their redemption rights, whether they are record holders or hold their shares in “street name,” to, at the holder’s option, either deliver their stock certificates to our transfer agent or deliver their shares to our transfer agent electronically using The Depository Trust Company’s DWAC (Deposit/Withdrawal At Custodian) system, prior to the date set forth in the proxy materials or tender offer documents, as applicable. In the case of proxy materials, this date may be up to two business days prior to the date on which the vote on the proposal to approve the initial business combination is to be held. In addition, if we conduct redemptions in connection with a stockholder vote, we intend to require a public stockholder seeking redemption of its public shares to also submit a written request for redemption to our transfer agent two business days prior to the vote in which the name of the beneficial owner of such shares is included. The proxy materials or tender offer documents, as applicable, that we will furnish to holders of our public shares in connection with our initial business combination will indicate whether we are requiring public stockholders to satisfy such delivery requirements. Accordingly, a public stockholder would have up to two business days prior to the vote on the initial business combination if we distribute proxy materials, or from the time we send out our tender offer materials until the close of the tender offer period, as applicable, to submit or tender its shares if it wishes to seek to exercise its redemption rights. In the event that a stockholder fails to comply with these or any other procedures disclosed in the proxy or tender offer materials, as applicable, its shares may not be redeemed. Given the relatively short exercise period, it is advisable for stockholders to use electronic delivery of their public shares.</w:t>
      </w:r>
    </w:p>
    <w:p>
      <w:pPr>
        <w:spacing w:after="0" w:line="111" w:lineRule="exact"/>
        <w:rPr>
          <w:sz w:val="20"/>
          <w:szCs w:val="20"/>
          <w:color w:val="auto"/>
        </w:rPr>
      </w:pPr>
    </w:p>
    <w:p>
      <w:pPr>
        <w:ind w:left="460" w:right="579"/>
        <w:spacing w:after="0" w:line="241" w:lineRule="auto"/>
        <w:rPr>
          <w:sz w:val="20"/>
          <w:szCs w:val="20"/>
          <w:color w:val="auto"/>
        </w:rPr>
      </w:pPr>
      <w:r>
        <w:rPr>
          <w:rFonts w:ascii="Arial" w:cs="Arial" w:eastAsia="Arial" w:hAnsi="Arial"/>
          <w:sz w:val="18"/>
          <w:szCs w:val="18"/>
          <w:color w:val="auto"/>
        </w:rPr>
        <w:t>There is a nominal cost associated with the above-referenced process and the act of certificating the shares or delivering them through the DWAC system. The transfer agent will typically charge the broker submitting or tendering shares a fee of approximately $80.00 and it would be up to the broker whether or not to pass this cost on to the redeeming holder. However, this fee would be incurred regardless of whether or not we require holders seeking to exercise redemption rights to submit or tender their shares. The need to deliver shares is a requirement of exercising redemption rights regardless of the timing of when such delivery must be effectuated.</w:t>
      </w:r>
    </w:p>
    <w:p>
      <w:pPr>
        <w:spacing w:after="0" w:line="98" w:lineRule="exact"/>
        <w:rPr>
          <w:sz w:val="20"/>
          <w:szCs w:val="20"/>
          <w:color w:val="auto"/>
        </w:rPr>
      </w:pPr>
    </w:p>
    <w:p>
      <w:pPr>
        <w:ind w:left="460" w:right="479"/>
        <w:spacing w:after="0" w:line="241" w:lineRule="auto"/>
        <w:rPr>
          <w:sz w:val="20"/>
          <w:szCs w:val="20"/>
          <w:color w:val="auto"/>
        </w:rPr>
      </w:pPr>
      <w:r>
        <w:rPr>
          <w:rFonts w:ascii="Arial" w:cs="Arial" w:eastAsia="Arial" w:hAnsi="Arial"/>
          <w:sz w:val="18"/>
          <w:szCs w:val="18"/>
          <w:color w:val="auto"/>
        </w:rPr>
        <w:t>Any request to redeem such shares, once made, may be withdrawn at any time up to the date set forth in the proxy materials or tender offer documents, as applicable. Furthermore, if a holder of a public share delivered its certificate in connection with an election of redemption rights and subsequently decides prior to the applicable date not to elect to exercise such rights, such holder may simply request that the transfer agent return the certificate (physically or electronically). It is anticipated that the funds to be distributed to holders of our public shares electing to redeem their shares will be distributed promptly after the completion of our initial business combination.</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93" w:name="page94"/>
    <w:bookmarkEnd w:id="93"/>
    <w:p>
      <w:pPr>
        <w:ind w:left="460" w:right="519"/>
        <w:spacing w:after="0" w:line="248" w:lineRule="auto"/>
        <w:rPr>
          <w:sz w:val="20"/>
          <w:szCs w:val="20"/>
          <w:color w:val="auto"/>
        </w:rPr>
      </w:pPr>
      <w:r>
        <w:rPr>
          <w:rFonts w:ascii="Arial" w:cs="Arial" w:eastAsia="Arial" w:hAnsi="Arial"/>
          <w:sz w:val="18"/>
          <w:szCs w:val="18"/>
          <w:color w:val="auto"/>
        </w:rPr>
        <w:t>If our initial business combination is not approved or completed for any reason, then our public stockholders who elected to exercise their redemption rights would not be entitled to redeem their shares for the applicable pro rata share of the trust account. In such case, we will promptly return any certificates delivered by public holders who elected to redeem their shares.</w:t>
      </w:r>
    </w:p>
    <w:p>
      <w:pPr>
        <w:spacing w:after="0" w:line="89" w:lineRule="exact"/>
        <w:rPr>
          <w:sz w:val="20"/>
          <w:szCs w:val="20"/>
          <w:color w:val="auto"/>
        </w:rPr>
      </w:pPr>
    </w:p>
    <w:p>
      <w:pPr>
        <w:ind w:left="460" w:right="499"/>
        <w:spacing w:after="0" w:line="255" w:lineRule="auto"/>
        <w:rPr>
          <w:sz w:val="20"/>
          <w:szCs w:val="20"/>
          <w:color w:val="auto"/>
        </w:rPr>
      </w:pPr>
      <w:r>
        <w:rPr>
          <w:rFonts w:ascii="Arial" w:cs="Arial" w:eastAsia="Arial" w:hAnsi="Arial"/>
          <w:sz w:val="18"/>
          <w:szCs w:val="18"/>
          <w:color w:val="auto"/>
        </w:rPr>
        <w:t>If our initial proposed initial business combination is not completed, we may continue to try to complete an initial business combination with a different target until 24 months from the closing of this offering.</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Redemption of Public Shares and Liquidation if No Initial Business Combination</w:t>
      </w:r>
    </w:p>
    <w:p>
      <w:pPr>
        <w:spacing w:after="0" w:line="144" w:lineRule="exact"/>
        <w:rPr>
          <w:sz w:val="20"/>
          <w:szCs w:val="20"/>
          <w:color w:val="auto"/>
        </w:rPr>
      </w:pPr>
    </w:p>
    <w:p>
      <w:pPr>
        <w:ind w:left="460" w:right="499"/>
        <w:spacing w:after="0" w:line="252" w:lineRule="auto"/>
        <w:rPr>
          <w:sz w:val="20"/>
          <w:szCs w:val="20"/>
          <w:color w:val="auto"/>
        </w:rPr>
      </w:pPr>
      <w:r>
        <w:rPr>
          <w:rFonts w:ascii="Arial" w:cs="Arial" w:eastAsia="Arial" w:hAnsi="Arial"/>
          <w:sz w:val="17"/>
          <w:szCs w:val="17"/>
          <w:color w:val="auto"/>
        </w:rPr>
        <w:t>Our amended and restated certificate of incorporation provides that we will have only 24 months from the closing of this offering to complete our initial business combination. If we are unable to complete our initial business combination within such 24-month period from the closing of this offering or during any Extension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our board of directors, liquidate and dissolve, subject in each case to our obligations under Delaware law to provide for claims of creditors and the requirements of other applicable law. There will be no redemption rights or liquidating distributions with respect to our warrants, which will expire worthless if we fail to complete our initial business combination within the 24-month time period or during any Extension Period.</w:t>
      </w:r>
    </w:p>
    <w:p>
      <w:pPr>
        <w:spacing w:after="0" w:line="310" w:lineRule="exact"/>
        <w:rPr>
          <w:sz w:val="20"/>
          <w:szCs w:val="20"/>
          <w:color w:val="auto"/>
        </w:rPr>
      </w:pPr>
    </w:p>
    <w:p>
      <w:pPr>
        <w:ind w:left="460" w:right="479"/>
        <w:spacing w:after="0" w:line="241" w:lineRule="auto"/>
        <w:rPr>
          <w:sz w:val="20"/>
          <w:szCs w:val="20"/>
          <w:color w:val="auto"/>
        </w:rPr>
      </w:pPr>
      <w:r>
        <w:rPr>
          <w:rFonts w:ascii="Arial" w:cs="Arial" w:eastAsia="Arial" w:hAnsi="Arial"/>
          <w:sz w:val="18"/>
          <w:szCs w:val="18"/>
          <w:color w:val="auto"/>
        </w:rPr>
        <w:t>Our initial stockholders, sponsor, officers and directors have entered into a letter agreement with us, pursuant to which they have waived their rights to liquidating distributions from the trust account with respect to any founder shares they hold if we fail to complete our initial business combination within 24 months from the closing of this offering or during any Extension Period. However, if our initial stockholders, sponsor or management team acquire public shares in or after this offering, they will be entitled to liquidating distributions from the trust account with respect to such public shares if we fail to complete our initial business combination within the allotted 24-month time period.</w:t>
      </w:r>
    </w:p>
    <w:p>
      <w:pPr>
        <w:spacing w:after="0" w:line="98"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Our initial stockholders, sponsor, officers and directors have agreed, pursuant to a letter agreement with us, that they will not propose any amendment to our amended and restated certificate of incorporation to modify the substance or timing of our obligation to redeem 100% of our public shares if we do not complete our initial business combination within 24 months from the closing of this offering or with respect to any other material provisions relating to stockholders’ rights or pre-initial business combination activity, unless we provide our public stockholders with the opportunity to redeem their public shares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However, we may not redeem our public shares in an amount that would cause our net tangible assets to be less than $5,000,001. If this optional redemption right is exercised with respect to an excessive number of public shares such that we cannot satisfy the net tangible asset requirement, we would not proceed with the amendment or the related redemption of our public shares at such time.</w:t>
      </w:r>
    </w:p>
    <w:p>
      <w:pPr>
        <w:spacing w:after="0" w:line="110" w:lineRule="exact"/>
        <w:rPr>
          <w:sz w:val="20"/>
          <w:szCs w:val="20"/>
          <w:color w:val="auto"/>
        </w:rPr>
      </w:pPr>
    </w:p>
    <w:p>
      <w:pPr>
        <w:ind w:left="460" w:right="519"/>
        <w:spacing w:after="0" w:line="241" w:lineRule="auto"/>
        <w:rPr>
          <w:sz w:val="20"/>
          <w:szCs w:val="20"/>
          <w:color w:val="auto"/>
        </w:rPr>
      </w:pPr>
      <w:r>
        <w:rPr>
          <w:rFonts w:ascii="Arial" w:cs="Arial" w:eastAsia="Arial" w:hAnsi="Arial"/>
          <w:sz w:val="18"/>
          <w:szCs w:val="18"/>
          <w:color w:val="auto"/>
        </w:rPr>
        <w:t>We expect that all costs and expenses associated with implementing our plan of dissolution, as well as payments to any creditors, will be funded from amounts remaining out of the approximately $1,000,000 of proceeds held outside the trust account, although we cannot assure you that there will be sufficient funds for such purpose. However, if those funds are not sufficient to cover the costs and expenses associated with implementing our plan of dissolution, to the extent that there is any interest accrued in the trust account not required to pay taxes, we may request the trustee to release to us an additional amount of up to $100,000 of such accrued interest to pay those costs and expenses.</w:t>
      </w:r>
    </w:p>
    <w:p>
      <w:pPr>
        <w:spacing w:after="0" w:line="111" w:lineRule="exact"/>
        <w:rPr>
          <w:sz w:val="20"/>
          <w:szCs w:val="20"/>
          <w:color w:val="auto"/>
        </w:rPr>
      </w:pPr>
    </w:p>
    <w:p>
      <w:pPr>
        <w:ind w:left="460" w:right="659"/>
        <w:spacing w:after="0" w:line="248" w:lineRule="auto"/>
        <w:rPr>
          <w:sz w:val="20"/>
          <w:szCs w:val="20"/>
          <w:color w:val="auto"/>
        </w:rPr>
      </w:pPr>
      <w:r>
        <w:rPr>
          <w:rFonts w:ascii="Arial" w:cs="Arial" w:eastAsia="Arial" w:hAnsi="Arial"/>
          <w:sz w:val="18"/>
          <w:szCs w:val="18"/>
          <w:color w:val="auto"/>
        </w:rPr>
        <w:t>If we were to expend all of the net proceeds of this offering and the sale of the private placement warrants, other than the proceeds deposited in the trust account, and without taking into account interest, if any, earned on the trust account and any tax payments or expenses for the dissolution of the trust, the per-share redemption amount received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4" w:name="page95"/>
    <w:bookmarkEnd w:id="94"/>
    <w:p>
      <w:pPr>
        <w:ind w:left="460" w:right="479"/>
        <w:spacing w:after="0"/>
        <w:rPr>
          <w:sz w:val="20"/>
          <w:szCs w:val="20"/>
          <w:color w:val="auto"/>
        </w:rPr>
      </w:pPr>
      <w:r>
        <w:rPr>
          <w:rFonts w:ascii="Arial" w:cs="Arial" w:eastAsia="Arial" w:hAnsi="Arial"/>
          <w:sz w:val="18"/>
          <w:szCs w:val="18"/>
          <w:color w:val="auto"/>
        </w:rPr>
        <w:t>by stockholders upon our dissolution would be approximately $10.00. The proceeds deposited in the trust account could, however, become subject to the claims of our creditors which would have higher priority than the claims of our public stockholders. We cannot assure you that the actual per-share redemption amount received by stockholders will not be substantially less than $10.00. Under Section 281(b) of the DGCL, our plan of dissolution must provide for all claims against us to be paid in full or make provision for payments to be made in full, as applicable, if there are sufficient assets. These claims must be paid or provided for before we make any distribution of our remaining assets to our stockholders. While we intend to pay such amounts, if any, we cannot assure you that we will have funds sufficient to pay or provide for all creditors’ claims.</w:t>
      </w:r>
    </w:p>
    <w:p>
      <w:pPr>
        <w:spacing w:after="0" w:line="95" w:lineRule="exact"/>
        <w:rPr>
          <w:sz w:val="20"/>
          <w:szCs w:val="20"/>
          <w:color w:val="auto"/>
        </w:rPr>
      </w:pPr>
    </w:p>
    <w:p>
      <w:pPr>
        <w:ind w:left="460" w:right="459"/>
        <w:spacing w:after="0" w:line="235" w:lineRule="auto"/>
        <w:rPr>
          <w:sz w:val="20"/>
          <w:szCs w:val="20"/>
          <w:color w:val="auto"/>
        </w:rPr>
      </w:pPr>
      <w:r>
        <w:rPr>
          <w:rFonts w:ascii="Arial" w:cs="Arial" w:eastAsia="Arial" w:hAnsi="Arial"/>
          <w:sz w:val="18"/>
          <w:szCs w:val="18"/>
          <w:color w:val="auto"/>
        </w:rPr>
        <w:t>Although we will seek to have all vendors, service providers (other than our independent registered public accounting firm), prospective target businesses and other entities with which we do business execute agreements with us waiving any right, title, interest or claim of any kind in or to any monies held in the trust account for the benefit of our public stockholders,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our management will consider whether competitive alternatives are reasonably available to us and will only enter into an agreement with such third party if management believes that such third party’s engagement would be in the best interests of the company under the circumstances. 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The underwriters of this offering and our independent registered public accounting firm will not execute agreements with us waiving such claims to the monies held in the trust account. In addition, there is no guarantee that such entities will agree to waive any claims they may have in the future as a result of, or arising out of, any negotiations, contracts or agreements with us and will not seek recourse against the trust account for any reason. In order to protect the amounts held in the trust account, our sponsor has agreed that it will be liable to us if and to the extent any claims by a third party for services rendered or products sold to us, or a prospective target business with which we have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this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141" w:lineRule="exact"/>
        <w:rPr>
          <w:sz w:val="20"/>
          <w:szCs w:val="20"/>
          <w:color w:val="auto"/>
        </w:rPr>
      </w:pPr>
    </w:p>
    <w:p>
      <w:pPr>
        <w:ind w:left="460" w:right="539"/>
        <w:spacing w:after="0" w:line="239" w:lineRule="auto"/>
        <w:rPr>
          <w:sz w:val="20"/>
          <w:szCs w:val="20"/>
          <w:color w:val="auto"/>
        </w:rPr>
      </w:pPr>
      <w:r>
        <w:rPr>
          <w:rFonts w:ascii="Arial" w:cs="Arial" w:eastAsia="Arial" w:hAnsi="Arial"/>
          <w:sz w:val="18"/>
          <w:szCs w:val="18"/>
          <w:color w:val="auto"/>
        </w:rPr>
        <w:t>In the event that the proceeds in the trust account are reduced below the lesser of (i) $10.00 per public share and (ii) the actual amount per public share held in the trust account as of the date of the liquidation of the trust account if less than $10.00 per share due to reductions in the value of the trust assets, in each case less taxes payable,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any particular instance. Accordingly, we cannot assure you that due to claims of creditors the actual value of the per-share redemption price will not be less than $10.00 per share.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5" w:name="page96"/>
    <w:bookmarkEnd w:id="95"/>
    <w:p>
      <w:pPr>
        <w:ind w:left="460" w:right="479"/>
        <w:spacing w:after="0" w:line="237" w:lineRule="auto"/>
        <w:rPr>
          <w:sz w:val="20"/>
          <w:szCs w:val="20"/>
          <w:color w:val="auto"/>
        </w:rPr>
      </w:pPr>
      <w:r>
        <w:rPr>
          <w:rFonts w:ascii="Arial" w:cs="Arial" w:eastAsia="Arial" w:hAnsi="Arial"/>
          <w:sz w:val="18"/>
          <w:szCs w:val="18"/>
          <w:color w:val="auto"/>
        </w:rPr>
        <w:t>We will seek to reduce the possibility that our sponsor will have to indemnify the trust account due to claims of creditors by endeavoring to have all vendors, service providers, prospective target businesses or other entities with which we do business execute agreements with us waiving any right, title, interest or claim of any kind in or to monies held in the trust account. Our sponsor will also not be liable as to any claims under our indemnity of the underwriters of this offering against certain liabilities, including liabilities under the Securities Act. We will have access to up to approximately $1,000,000 from the proceeds of this offering with which to pay any such potential claims (including costs and expenses incurred in connection with our liquidation, currently estimated to be no more than approximately $100,000). In the event that we liquidate and it is subsequently determined that the reserve for claims and liabilities is insufficient, stockholders who received funds from our trust account could be liable for claims made by creditors. In the event that our offering expenses exceed our estimate of $1,000,000, we may fund such excess with funds from the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w:t>
      </w:r>
    </w:p>
    <w:p>
      <w:pPr>
        <w:spacing w:after="0" w:line="105" w:lineRule="exact"/>
        <w:rPr>
          <w:sz w:val="20"/>
          <w:szCs w:val="20"/>
          <w:color w:val="auto"/>
        </w:rPr>
      </w:pPr>
    </w:p>
    <w:p>
      <w:pPr>
        <w:ind w:left="460" w:right="479"/>
        <w:spacing w:after="0" w:line="253" w:lineRule="auto"/>
        <w:rPr>
          <w:sz w:val="20"/>
          <w:szCs w:val="20"/>
          <w:color w:val="auto"/>
        </w:rPr>
      </w:pPr>
      <w:r>
        <w:rPr>
          <w:rFonts w:ascii="Arial" w:cs="Arial" w:eastAsia="Arial" w:hAnsi="Arial"/>
          <w:sz w:val="17"/>
          <w:szCs w:val="17"/>
          <w:color w:val="auto"/>
        </w:rPr>
        <w:t>Under the DGCL, stockholders may be held liable for claims by third parties against a corporation to the extent of distributions received by them in a dissolution. The pro rata portion of our trust account distributed to our public stockholders upon the redemption of our public shares in the event we do not complete our initial business combination within 24 months from the closing of this offering may be considered a liquidating distribution under Delaware law. If the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w:t>
      </w:r>
    </w:p>
    <w:p>
      <w:pPr>
        <w:spacing w:after="0" w:line="106"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Furthermore, if the pro rata portion of our trust account distributed to our public stockholders upon the redemption of our public shares in the event we do not complete our initial business combination within 24 months from the closing of this offering, is not considered a liquidating distribution under Delaware law and such redemption distribution is deemed to be unlawful (potentially due to the imposition of legal proceedings that a party may bring or due to other circumstances that are currently unknown), then pursuant to Section 174 of the DGCL, the statute of limitations for claims of creditors could then be six years after the unlawful redemption distribution, instead of three years, as in the case of a liquidating distribution. If we are unable to complete our initial business combination within 24 months from the closing of this offering,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Accordingly, it is our intention to redeem our public shares as soon as reasonably possible following our 24</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month and, therefore, we do not intend to comply with those procedures. As such, our stockholders could potentially be liable for any claims to the extent of distributions received by them (but no more) and any liability of our stockholders may extend well beyond the third anniversary of such date.</w:t>
      </w:r>
    </w:p>
    <w:p>
      <w:pPr>
        <w:spacing w:after="0" w:line="122" w:lineRule="exact"/>
        <w:rPr>
          <w:sz w:val="20"/>
          <w:szCs w:val="20"/>
          <w:color w:val="auto"/>
        </w:rPr>
      </w:pPr>
    </w:p>
    <w:p>
      <w:pPr>
        <w:ind w:left="460" w:right="479"/>
        <w:spacing w:after="0" w:line="256" w:lineRule="auto"/>
        <w:rPr>
          <w:sz w:val="20"/>
          <w:szCs w:val="20"/>
          <w:color w:val="auto"/>
        </w:rPr>
      </w:pPr>
      <w:r>
        <w:rPr>
          <w:rFonts w:ascii="Arial" w:cs="Arial" w:eastAsia="Arial" w:hAnsi="Arial"/>
          <w:sz w:val="17"/>
          <w:szCs w:val="17"/>
          <w:color w:val="auto"/>
        </w:rPr>
        <w:t>Because we will not be complying with Section 280, Section 281(b) of the DGCL requires us to adopt a plan, based on facts known to us at such time that will provide for our payment of all existing and pending claims or claims that may be potentially brought against us within the subsequent 10 years. However, because we are a blank check company, rather than an operating company, and our operations will be limited to searching for prospective target businesses to acquire, the only likely claims to arise would be from our vendors (such as lawyers, investment bankers, etc.) or prospective target businesses. As described above, pursuant to the obligation contained in our underwriting agreement, we will seek to have all vendors, service providers, prospective target businesses or other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6" w:name="page97"/>
    <w:bookmarkEnd w:id="96"/>
    <w:p>
      <w:pPr>
        <w:ind w:left="460" w:right="479"/>
        <w:spacing w:after="0" w:line="254" w:lineRule="auto"/>
        <w:rPr>
          <w:sz w:val="20"/>
          <w:szCs w:val="20"/>
          <w:color w:val="auto"/>
        </w:rPr>
      </w:pPr>
      <w:r>
        <w:rPr>
          <w:rFonts w:ascii="Arial" w:cs="Arial" w:eastAsia="Arial" w:hAnsi="Arial"/>
          <w:sz w:val="17"/>
          <w:szCs w:val="17"/>
          <w:color w:val="auto"/>
        </w:rPr>
        <w:t>entities with which we do business execute agreements with us waiving any right, title, interest or claim of any kind in or to any monies held in the trust account. As a result of this obligation, the claims that could be made against us are significantly limited and the likelihood that any claim that would result in any liability extending to the trust account is remote. Further, our sponsor may be liable only to the extent necessary to ensure that the amounts in the trust account are not reduced below (i) $10.00 per public share or (ii) such lesser amount per public share held in the trust account as of the date of the liquidation of the trust account, due to reductions in value of the trust assets, in each case net of the amount of interest withdrawn to pay taxes and will not be liable as to any claims under our indemnity of the underwriters of this offering against certain liabilities, including liabilities under the Securities Act. In the event that an executed waiver is deemed to be unenforceable against a third party, our sponsor will not be responsible to the extent of any liability for such third-party claims.</w:t>
      </w:r>
    </w:p>
    <w:p>
      <w:pPr>
        <w:spacing w:after="0" w:line="87"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If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we cannot assure you we will be able to return $10.00 per share to our public stockholders. Additionally, if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some or all amounts received by our stockholders. Furthermore, our board of directors may be viewed as having breached its fiduciary duty to our creditors and/or may have acted in bad faith, and thereby exposing itself and our company to claims of punitive damages, by paying public stockholders from the trust account prior to addressing the claims of creditors. We cannot assure you that claims will not be brought against us for these reasons.</w:t>
      </w:r>
    </w:p>
    <w:p>
      <w:pPr>
        <w:spacing w:after="0" w:line="110"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Our public stockholders will be entitled to receive funds from the trust account only (i) in the event of the redemption of our public shares if we do not complete our initial business combination within 24 months from the closing of this offering, (ii) in connection with a stockholder vote to amend our amended and restated certificate of incorporation to modify the substance or timing of our obligation to redeem 100% of our public shares if we do not complete our initial business combination within 24 months from the closing of this offering or with respect to any other material provisions relating to stockholders’ rights or pre-initial business combination activity or (iii) if they redeem their respective shares for cash upon the completion of our initial business combination. In no other circumstances will a stockholder have any right or interest of any kind to or in the trust account. In the event we seek stockholder approval in connection with our initial business combination, a stockholder’s voting in connection with the business combination alone will not result in a stockholder’s redeeming its shares to us for an applicable pro rata share of the trust account. Such stockholder must have also exercised its redemption rights described above. These provisions of our amended and restated certificate of incorporation, like all provisions of our amended and restated certificate of incorporation, may be amended with a stockholder vote.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7" w:name="page98"/>
    <w:bookmarkEnd w:id="97"/>
    <w:p>
      <w:pPr>
        <w:ind w:left="460" w:right="1119"/>
        <w:spacing w:after="0" w:line="287" w:lineRule="auto"/>
        <w:rPr>
          <w:sz w:val="20"/>
          <w:szCs w:val="20"/>
          <w:color w:val="auto"/>
        </w:rPr>
      </w:pPr>
      <w:r>
        <w:rPr>
          <w:rFonts w:ascii="Arial" w:cs="Arial" w:eastAsia="Arial" w:hAnsi="Arial"/>
          <w:sz w:val="18"/>
          <w:szCs w:val="18"/>
          <w:b w:val="1"/>
          <w:bCs w:val="1"/>
          <w:color w:val="auto"/>
        </w:rPr>
        <w:t>Comparison of Redemption or Purchase Prices in Connection with Our Initial Business Combination and if We Fail to Complete Our Initial Business Combination.</w:t>
      </w:r>
    </w:p>
    <w:p>
      <w:pPr>
        <w:spacing w:after="0" w:line="60" w:lineRule="exact"/>
        <w:rPr>
          <w:sz w:val="20"/>
          <w:szCs w:val="20"/>
          <w:color w:val="auto"/>
        </w:rPr>
      </w:pPr>
    </w:p>
    <w:p>
      <w:pPr>
        <w:ind w:left="460" w:right="539"/>
        <w:spacing w:after="0" w:line="277" w:lineRule="auto"/>
        <w:rPr>
          <w:sz w:val="20"/>
          <w:szCs w:val="20"/>
          <w:color w:val="auto"/>
        </w:rPr>
      </w:pPr>
      <w:r>
        <w:rPr>
          <w:rFonts w:ascii="Arial" w:cs="Arial" w:eastAsia="Arial" w:hAnsi="Arial"/>
          <w:sz w:val="17"/>
          <w:szCs w:val="17"/>
          <w:color w:val="auto"/>
        </w:rPr>
        <w:t>The following table compares the redemptions and other permitted purchases of public shares that may take place in connection with the completion of our initial business combination and if we are unable to complete our initial business combination within 24 months from the closing of this offering.</w:t>
      </w:r>
    </w:p>
    <w:p>
      <w:pPr>
        <w:sectPr>
          <w:pgSz w:w="11900" w:h="16838" w:orient="portrait"/>
          <w:cols w:equalWidth="0" w:num="1">
            <w:col w:w="9019"/>
          </w:cols>
          <w:pgMar w:left="1440" w:top="3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640" w:hanging="179"/>
        <w:spacing w:after="0" w:line="283" w:lineRule="auto"/>
        <w:rPr>
          <w:sz w:val="20"/>
          <w:szCs w:val="20"/>
          <w:color w:val="auto"/>
        </w:rPr>
      </w:pPr>
      <w:r>
        <w:rPr>
          <w:rFonts w:ascii="Arial" w:cs="Arial" w:eastAsia="Arial" w:hAnsi="Arial"/>
          <w:sz w:val="17"/>
          <w:szCs w:val="17"/>
          <w:b w:val="1"/>
          <w:bCs w:val="1"/>
          <w:color w:val="auto"/>
        </w:rPr>
        <w:t>Calculation of redemption price</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jc w:val="center"/>
        <w:ind w:left="60" w:right="20"/>
        <w:spacing w:after="0" w:line="264" w:lineRule="auto"/>
        <w:rPr>
          <w:sz w:val="20"/>
          <w:szCs w:val="20"/>
          <w:color w:val="auto"/>
        </w:rPr>
      </w:pPr>
      <w:r>
        <w:rPr>
          <w:rFonts w:ascii="Arial" w:cs="Arial" w:eastAsia="Arial" w:hAnsi="Arial"/>
          <w:sz w:val="14"/>
          <w:szCs w:val="14"/>
          <w:b w:val="1"/>
          <w:bCs w:val="1"/>
          <w:color w:val="auto"/>
        </w:rPr>
        <w:t>Redemptions in Connection with our Initial Business Combination</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Redemptions at the time of our initial business combination may be made pursuant to a tender offer or in connection with a stockholder vote. The redemption price will be the same whether we conduct redemptions pursuant to a tender offer or in connection with a stockholder vote. In either case, our public stockholders may redeem their public shares for cash equal to the aggregate amount then on deposit in the trust account calculated as of two business days prior to the consummation of the initial business combination (which is initially anticipated to be $10.00 per share), including interest earned on the funds held in the trust account and not previously released to us to pay our taxes, divided by the number of then outstanding public shares, subject to the limitation that no redemptions will take place if all of the redemptions would cause our net tangible assets to be less than $5,000,001.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-4906645</wp:posOffset>
            </wp:positionV>
            <wp:extent cx="131127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ind w:left="20" w:right="20" w:firstLine="1"/>
        <w:spacing w:after="0" w:line="276" w:lineRule="auto"/>
        <w:rPr>
          <w:sz w:val="20"/>
          <w:szCs w:val="20"/>
          <w:color w:val="auto"/>
        </w:rPr>
      </w:pPr>
      <w:r>
        <w:rPr>
          <w:rFonts w:ascii="Arial" w:cs="Arial" w:eastAsia="Arial" w:hAnsi="Arial"/>
          <w:sz w:val="14"/>
          <w:szCs w:val="14"/>
          <w:b w:val="1"/>
          <w:bCs w:val="1"/>
          <w:color w:val="auto"/>
        </w:rPr>
        <w:t>Other Permitted Purchases of Public Shares by our Affiliates</w:t>
      </w:r>
    </w:p>
    <w:p>
      <w:pPr>
        <w:spacing w:after="0" w:line="235" w:lineRule="auto"/>
        <w:rPr>
          <w:sz w:val="20"/>
          <w:szCs w:val="20"/>
          <w:color w:val="auto"/>
        </w:rPr>
      </w:pPr>
      <w:r>
        <w:rPr>
          <w:rFonts w:ascii="Arial" w:cs="Arial" w:eastAsia="Arial" w:hAnsi="Arial"/>
          <w:sz w:val="18"/>
          <w:szCs w:val="18"/>
          <w:color w:val="auto"/>
        </w:rPr>
        <w:t>If we seek stockholder approval of our initial business combination, our initial stockholders, directors, officers, advisors or their respective affiliates may purchase public shares in privately negotiated transactions or in the open market either prior to or following completion of our initial business combination. There is no limit to the prices that our initial stockholders, directors, officers, advisors or their respective affiliates may pay in these transactions. If they engage in such transactions, they will be restricted from making any such purchases when they are in possession of any material nonpublic information not disclosed to the seller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be required to comply with such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-6299835</wp:posOffset>
            </wp:positionV>
            <wp:extent cx="13284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jc w:val="center"/>
        <w:ind w:left="100" w:right="499"/>
        <w:spacing w:after="0" w:line="264" w:lineRule="auto"/>
        <w:rPr>
          <w:sz w:val="20"/>
          <w:szCs w:val="20"/>
          <w:color w:val="auto"/>
        </w:rPr>
      </w:pPr>
      <w:r>
        <w:rPr>
          <w:rFonts w:ascii="Arial" w:cs="Arial" w:eastAsia="Arial" w:hAnsi="Arial"/>
          <w:sz w:val="14"/>
          <w:szCs w:val="14"/>
          <w:b w:val="1"/>
          <w:bCs w:val="1"/>
          <w:color w:val="auto"/>
        </w:rPr>
        <w:t>Redemptions if we fail to Complete an Initial Business Combination</w:t>
      </w:r>
    </w:p>
    <w:p>
      <w:pPr>
        <w:spacing w:after="0" w:line="1" w:lineRule="exact"/>
        <w:rPr>
          <w:sz w:val="20"/>
          <w:szCs w:val="20"/>
          <w:color w:val="auto"/>
        </w:rPr>
      </w:pPr>
    </w:p>
    <w:p>
      <w:pPr>
        <w:ind w:right="459"/>
        <w:spacing w:after="0" w:line="236" w:lineRule="auto"/>
        <w:rPr>
          <w:sz w:val="20"/>
          <w:szCs w:val="20"/>
          <w:color w:val="auto"/>
        </w:rPr>
      </w:pPr>
      <w:r>
        <w:rPr>
          <w:rFonts w:ascii="Arial" w:cs="Arial" w:eastAsia="Arial" w:hAnsi="Arial"/>
          <w:sz w:val="18"/>
          <w:szCs w:val="18"/>
          <w:color w:val="auto"/>
        </w:rPr>
        <w:t>If we are unable to complete our initial business combination within 24 months from the closing of this offering, we will redeem all public shares at a per-share price, payable in cash, equal to the aggregate amount, then on deposit in the trust account (which is initially anticipated to be $10.00 per share), including interest earned on the funds held in the trust account and not previously released to us to pay our taxes (less up to $100,000 of interest to pay dissolution expenses) divided by the number of then outstanding public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-2966085</wp:posOffset>
            </wp:positionV>
            <wp:extent cx="13970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5449" w:lineRule="exact"/>
        <w:rPr>
          <w:sz w:val="20"/>
          <w:szCs w:val="20"/>
          <w:color w:val="auto"/>
        </w:rPr>
      </w:pPr>
    </w:p>
    <w:p>
      <w:pPr>
        <w:sectPr>
          <w:pgSz w:w="11900" w:h="16838" w:orient="portrait"/>
          <w:cols w:equalWidth="0" w:num="4">
            <w:col w:w="1640" w:space="360"/>
            <w:col w:w="2060" w:space="100"/>
            <w:col w:w="2100" w:space="100"/>
            <w:col w:w="2659"/>
          </w:cols>
          <w:pgMar w:left="1440" w:top="331" w:right="1440" w:bottom="1440" w:gutter="0" w:footer="0" w:header="0"/>
          <w:type w:val="continuous"/>
        </w:sectPr>
      </w:pP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19050</wp:posOffset>
            </wp:positionV>
            <wp:extent cx="51435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type w:val="continuous"/>
        </w:sectPr>
      </w:pPr>
    </w:p>
    <w:bookmarkStart w:id="98" w:name="page99"/>
    <w:bookmarkEnd w:id="98"/>
    <w:p>
      <w:pPr>
        <w:spacing w:after="0" w:line="200" w:lineRule="exact"/>
        <w:rPr>
          <w:sz w:val="20"/>
          <w:szCs w:val="20"/>
          <w:color w:val="auto"/>
        </w:rPr>
      </w:pPr>
    </w:p>
    <w:p>
      <w:pPr>
        <w:spacing w:after="0" w:line="317" w:lineRule="exact"/>
        <w:rPr>
          <w:sz w:val="20"/>
          <w:szCs w:val="20"/>
          <w:color w:val="auto"/>
        </w:rPr>
      </w:pPr>
    </w:p>
    <w:p>
      <w:pPr>
        <w:ind w:left="640" w:hanging="179"/>
        <w:spacing w:after="0" w:line="283" w:lineRule="auto"/>
        <w:rPr>
          <w:sz w:val="20"/>
          <w:szCs w:val="20"/>
          <w:color w:val="auto"/>
        </w:rPr>
      </w:pPr>
      <w:r>
        <w:rPr>
          <w:rFonts w:ascii="Arial" w:cs="Arial" w:eastAsia="Arial" w:hAnsi="Arial"/>
          <w:sz w:val="17"/>
          <w:szCs w:val="17"/>
          <w:b w:val="1"/>
          <w:bCs w:val="1"/>
          <w:color w:val="auto"/>
        </w:rPr>
        <w:t>Impact to remaining stockholders</w:t>
      </w:r>
    </w:p>
    <w:p>
      <w:pPr>
        <w:spacing w:after="0" w:line="20" w:lineRule="exact"/>
        <w:rPr>
          <w:sz w:val="20"/>
          <w:szCs w:val="20"/>
          <w:color w:val="auto"/>
        </w:rPr>
      </w:pPr>
      <w:r>
        <w:rPr>
          <w:sz w:val="20"/>
          <w:szCs w:val="20"/>
          <w:color w:val="auto"/>
        </w:rPr>
        <w:br w:type="column"/>
      </w:r>
    </w:p>
    <w:p>
      <w:pPr>
        <w:jc w:val="center"/>
        <w:ind w:left="60"/>
        <w:spacing w:after="0" w:line="264" w:lineRule="auto"/>
        <w:rPr>
          <w:sz w:val="20"/>
          <w:szCs w:val="20"/>
          <w:color w:val="auto"/>
        </w:rPr>
      </w:pPr>
      <w:r>
        <w:rPr>
          <w:rFonts w:ascii="Arial" w:cs="Arial" w:eastAsia="Arial" w:hAnsi="Arial"/>
          <w:sz w:val="14"/>
          <w:szCs w:val="14"/>
          <w:b w:val="1"/>
          <w:bCs w:val="1"/>
          <w:color w:val="auto"/>
        </w:rPr>
        <w:t>Redemptions in Connection with our Initial Business Combination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redemptions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-125095</wp:posOffset>
            </wp:positionV>
            <wp:extent cx="131127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connection with our initial</w:t>
      </w:r>
    </w:p>
    <w:p>
      <w:pPr>
        <w:spacing w:after="0" w:line="234" w:lineRule="auto"/>
        <w:rPr>
          <w:sz w:val="20"/>
          <w:szCs w:val="20"/>
          <w:color w:val="auto"/>
        </w:rPr>
      </w:pPr>
      <w:r>
        <w:rPr>
          <w:rFonts w:ascii="Arial" w:cs="Arial" w:eastAsia="Arial" w:hAnsi="Arial"/>
          <w:sz w:val="18"/>
          <w:szCs w:val="18"/>
          <w:color w:val="auto"/>
        </w:rPr>
        <w:t>business combination will</w:t>
      </w:r>
    </w:p>
    <w:p>
      <w:pPr>
        <w:spacing w:after="0" w:line="235" w:lineRule="auto"/>
        <w:rPr>
          <w:sz w:val="20"/>
          <w:szCs w:val="20"/>
          <w:color w:val="auto"/>
        </w:rPr>
      </w:pPr>
      <w:r>
        <w:rPr>
          <w:rFonts w:ascii="Arial" w:cs="Arial" w:eastAsia="Arial" w:hAnsi="Arial"/>
          <w:sz w:val="18"/>
          <w:szCs w:val="18"/>
          <w:color w:val="auto"/>
        </w:rPr>
        <w:t>reduce the book value</w:t>
      </w:r>
    </w:p>
    <w:p>
      <w:pPr>
        <w:spacing w:after="0" w:line="235" w:lineRule="auto"/>
        <w:rPr>
          <w:sz w:val="20"/>
          <w:szCs w:val="20"/>
          <w:color w:val="auto"/>
        </w:rPr>
      </w:pPr>
      <w:r>
        <w:rPr>
          <w:rFonts w:ascii="Arial" w:cs="Arial" w:eastAsia="Arial" w:hAnsi="Arial"/>
          <w:sz w:val="18"/>
          <w:szCs w:val="18"/>
          <w:color w:val="auto"/>
        </w:rPr>
        <w:t>per share for our</w:t>
      </w:r>
    </w:p>
    <w:p>
      <w:pPr>
        <w:spacing w:after="0" w:line="235" w:lineRule="auto"/>
        <w:rPr>
          <w:sz w:val="20"/>
          <w:szCs w:val="20"/>
          <w:color w:val="auto"/>
        </w:rPr>
      </w:pPr>
      <w:r>
        <w:rPr>
          <w:rFonts w:ascii="Arial" w:cs="Arial" w:eastAsia="Arial" w:hAnsi="Arial"/>
          <w:sz w:val="18"/>
          <w:szCs w:val="18"/>
          <w:color w:val="auto"/>
        </w:rPr>
        <w:t>remaining stockholders,</w:t>
      </w:r>
    </w:p>
    <w:p>
      <w:pPr>
        <w:spacing w:after="0" w:line="235" w:lineRule="auto"/>
        <w:rPr>
          <w:sz w:val="20"/>
          <w:szCs w:val="20"/>
          <w:color w:val="auto"/>
        </w:rPr>
      </w:pPr>
      <w:r>
        <w:rPr>
          <w:rFonts w:ascii="Arial" w:cs="Arial" w:eastAsia="Arial" w:hAnsi="Arial"/>
          <w:sz w:val="18"/>
          <w:szCs w:val="18"/>
          <w:color w:val="auto"/>
        </w:rPr>
        <w:t>who will bear the burden</w:t>
      </w:r>
    </w:p>
    <w:p>
      <w:pPr>
        <w:spacing w:after="0" w:line="234" w:lineRule="auto"/>
        <w:rPr>
          <w:sz w:val="20"/>
          <w:szCs w:val="20"/>
          <w:color w:val="auto"/>
        </w:rPr>
      </w:pPr>
      <w:r>
        <w:rPr>
          <w:rFonts w:ascii="Arial" w:cs="Arial" w:eastAsia="Arial" w:hAnsi="Arial"/>
          <w:sz w:val="18"/>
          <w:szCs w:val="18"/>
          <w:color w:val="auto"/>
        </w:rPr>
        <w:t>of the deferred</w:t>
      </w:r>
    </w:p>
    <w:p>
      <w:pPr>
        <w:spacing w:after="0" w:line="235" w:lineRule="auto"/>
        <w:rPr>
          <w:sz w:val="20"/>
          <w:szCs w:val="20"/>
          <w:color w:val="auto"/>
        </w:rPr>
      </w:pPr>
      <w:r>
        <w:rPr>
          <w:rFonts w:ascii="Arial" w:cs="Arial" w:eastAsia="Arial" w:hAnsi="Arial"/>
          <w:sz w:val="18"/>
          <w:szCs w:val="18"/>
          <w:color w:val="auto"/>
        </w:rPr>
        <w:t>underwriting</w:t>
      </w:r>
    </w:p>
    <w:p>
      <w:pPr>
        <w:spacing w:after="0" w:line="235" w:lineRule="auto"/>
        <w:rPr>
          <w:sz w:val="20"/>
          <w:szCs w:val="20"/>
          <w:color w:val="auto"/>
        </w:rPr>
      </w:pPr>
      <w:r>
        <w:rPr>
          <w:rFonts w:ascii="Arial" w:cs="Arial" w:eastAsia="Arial" w:hAnsi="Arial"/>
          <w:sz w:val="18"/>
          <w:szCs w:val="18"/>
          <w:color w:val="auto"/>
        </w:rPr>
        <w:t>commissions and interest</w:t>
      </w:r>
    </w:p>
    <w:p>
      <w:pPr>
        <w:spacing w:after="0" w:line="235" w:lineRule="auto"/>
        <w:rPr>
          <w:sz w:val="20"/>
          <w:szCs w:val="20"/>
          <w:color w:val="auto"/>
        </w:rPr>
      </w:pPr>
      <w:r>
        <w:rPr>
          <w:rFonts w:ascii="Arial" w:cs="Arial" w:eastAsia="Arial" w:hAnsi="Arial"/>
          <w:sz w:val="18"/>
          <w:szCs w:val="18"/>
          <w:color w:val="auto"/>
        </w:rPr>
        <w:t>withdrawn in order to pay</w:t>
      </w:r>
    </w:p>
    <w:p>
      <w:pPr>
        <w:spacing w:after="0" w:line="235" w:lineRule="auto"/>
        <w:rPr>
          <w:sz w:val="20"/>
          <w:szCs w:val="20"/>
          <w:color w:val="auto"/>
        </w:rPr>
      </w:pPr>
      <w:r>
        <w:rPr>
          <w:rFonts w:ascii="Arial" w:cs="Arial" w:eastAsia="Arial" w:hAnsi="Arial"/>
          <w:sz w:val="18"/>
          <w:szCs w:val="18"/>
          <w:color w:val="auto"/>
        </w:rPr>
        <w:t>our taxes (to the extent</w:t>
      </w:r>
    </w:p>
    <w:p>
      <w:pPr>
        <w:spacing w:after="0" w:line="234" w:lineRule="auto"/>
        <w:rPr>
          <w:sz w:val="20"/>
          <w:szCs w:val="20"/>
          <w:color w:val="auto"/>
        </w:rPr>
      </w:pPr>
      <w:r>
        <w:rPr>
          <w:rFonts w:ascii="Arial" w:cs="Arial" w:eastAsia="Arial" w:hAnsi="Arial"/>
          <w:sz w:val="18"/>
          <w:szCs w:val="18"/>
          <w:color w:val="auto"/>
        </w:rPr>
        <w:t>not paid from amounts</w:t>
      </w:r>
    </w:p>
    <w:p>
      <w:pPr>
        <w:spacing w:after="0" w:line="235" w:lineRule="auto"/>
        <w:rPr>
          <w:sz w:val="20"/>
          <w:szCs w:val="20"/>
          <w:color w:val="auto"/>
        </w:rPr>
      </w:pPr>
      <w:r>
        <w:rPr>
          <w:rFonts w:ascii="Arial" w:cs="Arial" w:eastAsia="Arial" w:hAnsi="Arial"/>
          <w:sz w:val="18"/>
          <w:szCs w:val="18"/>
          <w:color w:val="auto"/>
        </w:rPr>
        <w:t>accrued as interest on</w:t>
      </w:r>
    </w:p>
    <w:p>
      <w:pPr>
        <w:spacing w:after="0" w:line="235" w:lineRule="auto"/>
        <w:rPr>
          <w:sz w:val="20"/>
          <w:szCs w:val="20"/>
          <w:color w:val="auto"/>
        </w:rPr>
      </w:pPr>
      <w:r>
        <w:rPr>
          <w:rFonts w:ascii="Arial" w:cs="Arial" w:eastAsia="Arial" w:hAnsi="Arial"/>
          <w:sz w:val="18"/>
          <w:szCs w:val="18"/>
          <w:color w:val="auto"/>
        </w:rPr>
        <w:t>the funds held in the trust</w:t>
      </w:r>
    </w:p>
    <w:p>
      <w:pPr>
        <w:spacing w:after="0"/>
        <w:rPr>
          <w:sz w:val="20"/>
          <w:szCs w:val="20"/>
          <w:color w:val="auto"/>
        </w:rPr>
      </w:pPr>
      <w:r>
        <w:rPr>
          <w:rFonts w:ascii="Arial" w:cs="Arial" w:eastAsia="Arial" w:hAnsi="Arial"/>
          <w:sz w:val="18"/>
          <w:szCs w:val="18"/>
          <w:color w:val="auto"/>
        </w:rPr>
        <w:t>account).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20" w:firstLine="1"/>
        <w:spacing w:after="0" w:line="276" w:lineRule="auto"/>
        <w:rPr>
          <w:sz w:val="20"/>
          <w:szCs w:val="20"/>
          <w:color w:val="auto"/>
        </w:rPr>
      </w:pPr>
      <w:r>
        <w:rPr>
          <w:rFonts w:ascii="Arial" w:cs="Arial" w:eastAsia="Arial" w:hAnsi="Arial"/>
          <w:sz w:val="14"/>
          <w:szCs w:val="14"/>
          <w:b w:val="1"/>
          <w:bCs w:val="1"/>
          <w:color w:val="auto"/>
        </w:rPr>
        <w:t>Other Permitted Purchases of Public Shares by our Affiliates</w:t>
      </w:r>
    </w:p>
    <w:p>
      <w:pPr>
        <w:spacing w:after="0" w:line="258" w:lineRule="auto"/>
        <w:rPr>
          <w:sz w:val="20"/>
          <w:szCs w:val="20"/>
          <w:color w:val="auto"/>
        </w:rPr>
      </w:pPr>
      <w:r>
        <w:rPr>
          <w:rFonts w:ascii="Arial" w:cs="Arial" w:eastAsia="Arial" w:hAnsi="Arial"/>
          <w:sz w:val="17"/>
          <w:szCs w:val="17"/>
          <w:color w:val="auto"/>
        </w:rPr>
        <w:t>If the permitted purchases described above are made, there would be no impact to our remaining stockholders because the purchase price would not be paid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-927735</wp:posOffset>
            </wp:positionV>
            <wp:extent cx="13284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left="-79" w:right="20"/>
        <w:spacing w:after="0" w:line="264" w:lineRule="auto"/>
        <w:rPr>
          <w:sz w:val="20"/>
          <w:szCs w:val="20"/>
          <w:color w:val="auto"/>
        </w:rPr>
      </w:pPr>
      <w:r>
        <w:rPr>
          <w:rFonts w:ascii="Arial" w:cs="Arial" w:eastAsia="Arial" w:hAnsi="Arial"/>
          <w:sz w:val="14"/>
          <w:szCs w:val="14"/>
          <w:b w:val="1"/>
          <w:bCs w:val="1"/>
          <w:color w:val="auto"/>
        </w:rPr>
        <w:t>Redemptions if we fail to Complete an Initial Business Combination</w:t>
      </w:r>
    </w:p>
    <w:p>
      <w:pPr>
        <w:spacing w:after="0" w:line="1" w:lineRule="exact"/>
        <w:rPr>
          <w:sz w:val="20"/>
          <w:szCs w:val="20"/>
          <w:color w:val="auto"/>
        </w:rPr>
      </w:pPr>
    </w:p>
    <w:p>
      <w:pPr>
        <w:ind w:right="579"/>
        <w:spacing w:after="0" w:line="255" w:lineRule="auto"/>
        <w:rPr>
          <w:sz w:val="20"/>
          <w:szCs w:val="20"/>
          <w:color w:val="auto"/>
        </w:rPr>
      </w:pPr>
      <w:r>
        <w:rPr>
          <w:rFonts w:ascii="Arial" w:cs="Arial" w:eastAsia="Arial" w:hAnsi="Arial"/>
          <w:sz w:val="17"/>
          <w:szCs w:val="17"/>
          <w:color w:val="auto"/>
        </w:rPr>
        <w:t>The redemption of our public shares if we fail to complete our initial business combination will reduce the book value per share for the shares held by our initial stockholders, who will be our only remaining stockholders after such redemptions.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-1312545</wp:posOffset>
            </wp:positionV>
            <wp:extent cx="13970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97000" cy="8890"/>
                    </a:xfrm>
                    <a:prstGeom prst="rect">
                      <a:avLst/>
                    </a:prstGeom>
                    <a:noFill/>
                  </pic:spPr>
                </pic:pic>
              </a:graphicData>
            </a:graphic>
          </wp:anchor>
        </w:drawing>
      </w:r>
    </w:p>
    <w:p>
      <w:pPr>
        <w:spacing w:after="0" w:line="1389" w:lineRule="exact"/>
        <w:rPr>
          <w:sz w:val="20"/>
          <w:szCs w:val="20"/>
          <w:color w:val="auto"/>
        </w:rPr>
      </w:pPr>
    </w:p>
    <w:p>
      <w:pPr>
        <w:sectPr>
          <w:pgSz w:w="11900" w:h="16838" w:orient="portrait"/>
          <w:cols w:equalWidth="0" w:num="4">
            <w:col w:w="1760" w:space="240"/>
            <w:col w:w="2040" w:space="120"/>
            <w:col w:w="2080" w:space="120"/>
            <w:col w:w="2659"/>
          </w:cols>
          <w:pgMar w:left="1440" w:top="300" w:right="1440" w:bottom="1440" w:gutter="0" w:footer="0" w:header="0"/>
        </w:sectPr>
      </w:pPr>
    </w:p>
    <w:p>
      <w:pPr>
        <w:spacing w:after="0" w:line="2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Comparison of This Offering to Those of Blank Check Companies Subject to Rule 419</w:t>
      </w:r>
    </w:p>
    <w:p>
      <w:pPr>
        <w:spacing w:after="0" w:line="146" w:lineRule="exact"/>
        <w:rPr>
          <w:sz w:val="20"/>
          <w:szCs w:val="20"/>
          <w:color w:val="auto"/>
        </w:rPr>
      </w:pPr>
    </w:p>
    <w:p>
      <w:pPr>
        <w:ind w:left="460" w:right="519"/>
        <w:spacing w:after="0" w:line="245" w:lineRule="auto"/>
        <w:rPr>
          <w:sz w:val="20"/>
          <w:szCs w:val="20"/>
          <w:color w:val="auto"/>
        </w:rPr>
      </w:pPr>
      <w:r>
        <w:rPr>
          <w:rFonts w:ascii="Arial" w:cs="Arial" w:eastAsia="Arial" w:hAnsi="Arial"/>
          <w:sz w:val="18"/>
          <w:szCs w:val="18"/>
          <w:color w:val="auto"/>
        </w:rPr>
        <w:t>The following table compares the terms of this offering to the terms of an offering by a blank check company subject to the provisions of Rule 419. This comparison assumes that the gross proceeds, underwriting commissions and underwriting expenses of our offering would be identical to those of an offering undertaken by a company subject to Rule 419, and that the underwriters will not exercise their over-allotment option. None of the provisions of Rule 419 apply to our offering.</w:t>
      </w:r>
    </w:p>
    <w:p>
      <w:pPr>
        <w:sectPr>
          <w:pgSz w:w="11900" w:h="16838" w:orient="portrait"/>
          <w:cols w:equalWidth="0" w:num="1">
            <w:col w:w="9019"/>
          </w:cols>
          <w:pgMar w:left="1440" w:top="300" w:right="1440" w:bottom="1440" w:gutter="0" w:footer="0" w:header="0"/>
          <w:type w:val="continuous"/>
        </w:sectPr>
      </w:pPr>
    </w:p>
    <w:p>
      <w:pPr>
        <w:spacing w:after="0" w:line="200" w:lineRule="exact"/>
        <w:rPr>
          <w:sz w:val="20"/>
          <w:szCs w:val="20"/>
          <w:color w:val="auto"/>
        </w:rPr>
      </w:pPr>
    </w:p>
    <w:p>
      <w:pPr>
        <w:spacing w:after="0" w:line="213" w:lineRule="exact"/>
        <w:rPr>
          <w:sz w:val="20"/>
          <w:szCs w:val="20"/>
          <w:color w:val="auto"/>
        </w:rPr>
      </w:pPr>
    </w:p>
    <w:p>
      <w:pPr>
        <w:ind w:left="640" w:hanging="179"/>
        <w:spacing w:after="0" w:line="319" w:lineRule="auto"/>
        <w:rPr>
          <w:sz w:val="20"/>
          <w:szCs w:val="20"/>
          <w:color w:val="auto"/>
        </w:rPr>
      </w:pPr>
      <w:r>
        <w:rPr>
          <w:rFonts w:ascii="Arial" w:cs="Arial" w:eastAsia="Arial" w:hAnsi="Arial"/>
          <w:sz w:val="17"/>
          <w:szCs w:val="17"/>
          <w:b w:val="1"/>
          <w:bCs w:val="1"/>
          <w:color w:val="auto"/>
        </w:rPr>
        <w:t>Escrow of offering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ind w:left="-59"/>
        <w:spacing w:after="0"/>
        <w:rPr>
          <w:sz w:val="20"/>
          <w:szCs w:val="20"/>
          <w:color w:val="auto"/>
        </w:rPr>
      </w:pPr>
      <w:r>
        <w:rPr>
          <w:rFonts w:ascii="Arial" w:cs="Arial" w:eastAsia="Arial" w:hAnsi="Arial"/>
          <w:sz w:val="14"/>
          <w:szCs w:val="14"/>
          <w:b w:val="1"/>
          <w:bCs w:val="1"/>
          <w:color w:val="auto"/>
        </w:rPr>
        <w:t>Terms of Our Offering</w:t>
      </w:r>
    </w:p>
    <w:p>
      <w:pPr>
        <w:spacing w:after="0" w:line="47"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$385,000,000 of the net proceeds of this offering and the sale of the private placement warrants will be deposited into a trust account located in the United States with Continental Stock Transfer &amp; Trust Company acting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-917575</wp:posOffset>
            </wp:positionV>
            <wp:extent cx="18770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Terms Under a Rule 419 Offering</w:t>
      </w:r>
    </w:p>
    <w:p>
      <w:pPr>
        <w:spacing w:after="0" w:line="47" w:lineRule="exact"/>
        <w:rPr>
          <w:sz w:val="20"/>
          <w:szCs w:val="20"/>
          <w:color w:val="auto"/>
        </w:rPr>
      </w:pPr>
    </w:p>
    <w:p>
      <w:pPr>
        <w:ind w:right="479"/>
        <w:spacing w:after="0" w:line="239" w:lineRule="auto"/>
        <w:rPr>
          <w:sz w:val="20"/>
          <w:szCs w:val="20"/>
          <w:color w:val="auto"/>
        </w:rPr>
      </w:pPr>
      <w:r>
        <w:rPr>
          <w:rFonts w:ascii="Arial" w:cs="Arial" w:eastAsia="Arial" w:hAnsi="Arial"/>
          <w:sz w:val="18"/>
          <w:szCs w:val="18"/>
          <w:color w:val="auto"/>
        </w:rPr>
        <w:t>Approximately $327,442,500 of the offering proceeds, representing the gross proceeds of this offering, would be required to be deposited into either an escrow account with an insured depositary institution or in a separate bank account established by a broker-dealer in which the broker-dealer acts as trustee for persons having the beneficial interests in the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-1302385</wp:posOffset>
            </wp:positionV>
            <wp:extent cx="194564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164" w:lineRule="exact"/>
        <w:rPr>
          <w:sz w:val="20"/>
          <w:szCs w:val="20"/>
          <w:color w:val="auto"/>
        </w:rPr>
      </w:pPr>
    </w:p>
    <w:p>
      <w:pPr>
        <w:sectPr>
          <w:pgSz w:w="11900" w:h="16838" w:orient="portrait"/>
          <w:cols w:equalWidth="0" w:num="3">
            <w:col w:w="2040" w:space="400"/>
            <w:col w:w="2880" w:space="160"/>
            <w:col w:w="3539"/>
          </w:cols>
          <w:pgMar w:left="1440" w:top="300" w:right="1440" w:bottom="1440" w:gutter="0" w:footer="0" w:header="0"/>
          <w:type w:val="continuous"/>
        </w:sectPr>
      </w:pPr>
    </w:p>
    <w:p>
      <w:pPr>
        <w:ind w:left="460"/>
        <w:spacing w:after="0"/>
        <w:tabs>
          <w:tab w:leader="none" w:pos="2420" w:val="left"/>
        </w:tabs>
        <w:rPr>
          <w:sz w:val="20"/>
          <w:szCs w:val="20"/>
          <w:color w:val="auto"/>
        </w:rPr>
      </w:pPr>
      <w:r>
        <w:rPr>
          <w:rFonts w:ascii="Arial" w:cs="Arial" w:eastAsia="Arial" w:hAnsi="Arial"/>
          <w:sz w:val="18"/>
          <w:szCs w:val="18"/>
          <w:b w:val="1"/>
          <w:bCs w:val="1"/>
          <w:color w:val="auto"/>
        </w:rPr>
        <w:t>Investment of net</w:t>
      </w:r>
      <w:r>
        <w:rPr>
          <w:sz w:val="20"/>
          <w:szCs w:val="20"/>
          <w:color w:val="auto"/>
        </w:rPr>
        <w:tab/>
      </w:r>
      <w:r>
        <w:rPr>
          <w:rFonts w:ascii="Arial" w:cs="Arial" w:eastAsia="Arial" w:hAnsi="Arial"/>
          <w:sz w:val="17"/>
          <w:szCs w:val="17"/>
          <w:color w:val="auto"/>
        </w:rPr>
        <w:t>$385,000,000 of the net proceeds of</w:t>
      </w:r>
    </w:p>
    <w:p>
      <w:pPr>
        <w:spacing w:after="0" w:line="20" w:lineRule="exact"/>
        <w:rPr>
          <w:sz w:val="20"/>
          <w:szCs w:val="20"/>
          <w:color w:val="auto"/>
        </w:rPr>
      </w:pPr>
    </w:p>
    <w:p>
      <w:pPr>
        <w:ind w:left="2440" w:hanging="1799"/>
        <w:spacing w:after="0" w:line="236" w:lineRule="auto"/>
        <w:tabs>
          <w:tab w:leader="none" w:pos="2420" w:val="left"/>
        </w:tabs>
        <w:rPr>
          <w:sz w:val="20"/>
          <w:szCs w:val="20"/>
          <w:color w:val="auto"/>
        </w:rPr>
      </w:pPr>
      <w:r>
        <w:rPr>
          <w:rFonts w:ascii="Arial" w:cs="Arial" w:eastAsia="Arial" w:hAnsi="Arial"/>
          <w:sz w:val="18"/>
          <w:szCs w:val="18"/>
          <w:b w:val="1"/>
          <w:bCs w:val="1"/>
          <w:color w:val="auto"/>
        </w:rPr>
        <w:t>proceeds</w:t>
      </w:r>
      <w:r>
        <w:rPr>
          <w:sz w:val="20"/>
          <w:szCs w:val="20"/>
          <w:color w:val="auto"/>
        </w:rPr>
        <w:tab/>
      </w:r>
      <w:r>
        <w:rPr>
          <w:rFonts w:ascii="Arial" w:cs="Arial" w:eastAsia="Arial" w:hAnsi="Arial"/>
          <w:sz w:val="18"/>
          <w:szCs w:val="18"/>
          <w:color w:val="auto"/>
        </w:rPr>
        <w:t>this offering and the sale of the private placement warrants held in trust will be invested only in U.S. government treasury obligations with a maturity of 185 days or less or in money market funds meeting certain conditions under Rule 2a-7 under the Investment Company Act which invest only in direct U.S. government treasury obligations.</w:t>
      </w:r>
    </w:p>
    <w:p>
      <w:pPr>
        <w:spacing w:after="0" w:line="20" w:lineRule="exact"/>
        <w:rPr>
          <w:sz w:val="20"/>
          <w:szCs w:val="20"/>
          <w:color w:val="auto"/>
        </w:rPr>
      </w:pPr>
      <w:r>
        <w:rPr>
          <w:sz w:val="20"/>
          <w:szCs w:val="20"/>
          <w:color w:val="auto"/>
        </w:rPr>
        <w:br w:type="column"/>
      </w:r>
    </w:p>
    <w:p>
      <w:pPr>
        <w:ind w:right="519"/>
        <w:spacing w:after="0"/>
        <w:rPr>
          <w:sz w:val="20"/>
          <w:szCs w:val="20"/>
          <w:color w:val="auto"/>
        </w:rPr>
      </w:pPr>
      <w:r>
        <w:rPr>
          <w:rFonts w:ascii="Arial" w:cs="Arial" w:eastAsia="Arial" w:hAnsi="Arial"/>
          <w:sz w:val="18"/>
          <w:szCs w:val="18"/>
          <w:color w:val="auto"/>
        </w:rPr>
        <w:t>Proceeds could be invested only in specified securities such as a money market fund meeting conditions of the Investment Company Act or in securities that are direct obligations of, or obligations guaranteed as to principal or interest by, the United States.</w:t>
      </w:r>
    </w:p>
    <w:p>
      <w:pPr>
        <w:spacing w:after="0" w:line="771" w:lineRule="exact"/>
        <w:rPr>
          <w:sz w:val="20"/>
          <w:szCs w:val="20"/>
          <w:color w:val="auto"/>
        </w:rPr>
      </w:pPr>
    </w:p>
    <w:p>
      <w:pPr>
        <w:sectPr>
          <w:pgSz w:w="11900" w:h="16838" w:orient="portrait"/>
          <w:cols w:equalWidth="0" w:num="2">
            <w:col w:w="5360" w:space="120"/>
            <w:col w:w="3539"/>
          </w:cols>
          <w:pgMar w:left="1440" w:top="300" w:right="1440" w:bottom="1440" w:gutter="0" w:footer="0" w:header="0"/>
          <w:type w:val="continuous"/>
        </w:sectPr>
      </w:pPr>
    </w:p>
    <w:p>
      <w:pPr>
        <w:ind w:left="640" w:hanging="179"/>
        <w:spacing w:after="0" w:line="248" w:lineRule="auto"/>
        <w:rPr>
          <w:sz w:val="20"/>
          <w:szCs w:val="20"/>
          <w:color w:val="auto"/>
        </w:rPr>
      </w:pPr>
      <w:r>
        <w:rPr>
          <w:rFonts w:ascii="Arial" w:cs="Arial" w:eastAsia="Arial" w:hAnsi="Arial"/>
          <w:sz w:val="18"/>
          <w:szCs w:val="18"/>
          <w:b w:val="1"/>
          <w:bCs w:val="1"/>
          <w:color w:val="auto"/>
        </w:rPr>
        <w:t xml:space="preserve">Receipt of interest on </w:t>
      </w:r>
      <w:r>
        <w:rPr>
          <w:rFonts w:ascii="Arial" w:cs="Arial" w:eastAsia="Arial" w:hAnsi="Arial"/>
          <w:sz w:val="18"/>
          <w:szCs w:val="18"/>
          <w:color w:val="auto"/>
        </w:rPr>
        <w:t>Interest on proceeds from the trust</w:t>
      </w:r>
      <w:r>
        <w:rPr>
          <w:rFonts w:ascii="Arial" w:cs="Arial" w:eastAsia="Arial" w:hAnsi="Arial"/>
          <w:sz w:val="18"/>
          <w:szCs w:val="18"/>
          <w:b w:val="1"/>
          <w:bCs w:val="1"/>
          <w:color w:val="auto"/>
        </w:rPr>
        <w:t xml:space="preserve"> escrowed funds </w:t>
      </w:r>
      <w:r>
        <w:rPr>
          <w:rFonts w:ascii="Arial" w:cs="Arial" w:eastAsia="Arial" w:hAnsi="Arial"/>
          <w:sz w:val="18"/>
          <w:szCs w:val="18"/>
          <w:color w:val="auto"/>
        </w:rPr>
        <w:t>account to be paid to stockholders is</w:t>
      </w:r>
    </w:p>
    <w:p>
      <w:pPr>
        <w:spacing w:after="0" w:line="1" w:lineRule="exact"/>
        <w:rPr>
          <w:sz w:val="20"/>
          <w:szCs w:val="20"/>
          <w:color w:val="auto"/>
        </w:rPr>
      </w:pPr>
    </w:p>
    <w:p>
      <w:pPr>
        <w:ind w:left="2440"/>
        <w:spacing w:after="0" w:line="236" w:lineRule="auto"/>
        <w:rPr>
          <w:sz w:val="20"/>
          <w:szCs w:val="20"/>
          <w:color w:val="auto"/>
        </w:rPr>
      </w:pPr>
      <w:r>
        <w:rPr>
          <w:rFonts w:ascii="Arial" w:cs="Arial" w:eastAsia="Arial" w:hAnsi="Arial"/>
          <w:sz w:val="18"/>
          <w:szCs w:val="18"/>
          <w:color w:val="auto"/>
        </w:rPr>
        <w:t>reduced by (i) any taxes paid or payable and (ii) in the event of our liquidation for failure to complete our initial business combination within the allotted time, up to $ 100,000 of net interest that may be released to us should we have no or insufficient working capital to fund the costs and expenses of our dissolution and liquidation.</w:t>
      </w:r>
    </w:p>
    <w:p>
      <w:pPr>
        <w:spacing w:after="0" w:line="20" w:lineRule="exact"/>
        <w:rPr>
          <w:sz w:val="20"/>
          <w:szCs w:val="20"/>
          <w:color w:val="auto"/>
        </w:rPr>
      </w:pPr>
      <w:r>
        <w:rPr>
          <w:sz w:val="20"/>
          <w:szCs w:val="20"/>
          <w:color w:val="auto"/>
        </w:rPr>
        <w:br w:type="column"/>
      </w:r>
    </w:p>
    <w:p>
      <w:pPr>
        <w:ind w:right="499"/>
        <w:spacing w:after="0" w:line="243" w:lineRule="auto"/>
        <w:rPr>
          <w:sz w:val="20"/>
          <w:szCs w:val="20"/>
          <w:color w:val="auto"/>
        </w:rPr>
      </w:pPr>
      <w:r>
        <w:rPr>
          <w:rFonts w:ascii="Arial" w:cs="Arial" w:eastAsia="Arial" w:hAnsi="Arial"/>
          <w:sz w:val="18"/>
          <w:szCs w:val="18"/>
          <w:color w:val="auto"/>
        </w:rPr>
        <w:t>Interest on funds in escrow account would be held for the sole benefit of investors, unless and only after the funds held in escrow were released to us in connection with our completion of a business combination.</w:t>
      </w:r>
    </w:p>
    <w:p>
      <w:pPr>
        <w:spacing w:after="0" w:line="1401" w:lineRule="exact"/>
        <w:rPr>
          <w:sz w:val="20"/>
          <w:szCs w:val="20"/>
          <w:color w:val="auto"/>
        </w:rPr>
      </w:pPr>
    </w:p>
    <w:p>
      <w:pPr>
        <w:sectPr>
          <w:pgSz w:w="11900" w:h="16838" w:orient="portrait"/>
          <w:cols w:equalWidth="0" w:num="2">
            <w:col w:w="5340" w:space="140"/>
            <w:col w:w="3539"/>
          </w:cols>
          <w:pgMar w:left="1440" w:top="300" w:right="1440"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19050</wp:posOffset>
            </wp:positionV>
            <wp:extent cx="51435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00" w:right="1440" w:bottom="1440" w:gutter="0" w:footer="0" w:header="0"/>
          <w:type w:val="continuous"/>
        </w:sectPr>
      </w:pPr>
    </w:p>
    <w:bookmarkStart w:id="99" w:name="page100"/>
    <w:bookmarkEnd w:id="99"/>
    <w:p>
      <w:pPr>
        <w:spacing w:after="0" w:line="193" w:lineRule="exact"/>
        <w:rPr>
          <w:sz w:val="20"/>
          <w:szCs w:val="20"/>
          <w:color w:val="auto"/>
        </w:rPr>
      </w:pPr>
    </w:p>
    <w:p>
      <w:pPr>
        <w:ind w:left="640" w:right="20" w:hanging="179"/>
        <w:spacing w:after="0" w:line="283" w:lineRule="auto"/>
        <w:rPr>
          <w:sz w:val="20"/>
          <w:szCs w:val="20"/>
          <w:color w:val="auto"/>
        </w:rPr>
      </w:pPr>
      <w:r>
        <w:rPr>
          <w:rFonts w:ascii="Arial" w:cs="Arial" w:eastAsia="Arial" w:hAnsi="Arial"/>
          <w:sz w:val="17"/>
          <w:szCs w:val="17"/>
          <w:b w:val="1"/>
          <w:bCs w:val="1"/>
          <w:color w:val="auto"/>
        </w:rPr>
        <w:t>Limitation on fair value or net assets of target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40" w:right="60" w:hanging="179"/>
        <w:spacing w:after="0" w:line="287" w:lineRule="auto"/>
        <w:rPr>
          <w:sz w:val="20"/>
          <w:szCs w:val="20"/>
          <w:color w:val="auto"/>
        </w:rPr>
      </w:pPr>
      <w:r>
        <w:rPr>
          <w:rFonts w:ascii="Arial" w:cs="Arial" w:eastAsia="Arial" w:hAnsi="Arial"/>
          <w:sz w:val="18"/>
          <w:szCs w:val="18"/>
          <w:b w:val="1"/>
          <w:bCs w:val="1"/>
          <w:color w:val="auto"/>
        </w:rPr>
        <w:t>Trading of securities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40" w:right="540" w:hanging="179"/>
        <w:spacing w:after="0" w:line="287" w:lineRule="auto"/>
        <w:rPr>
          <w:sz w:val="20"/>
          <w:szCs w:val="20"/>
          <w:color w:val="auto"/>
        </w:rPr>
      </w:pPr>
      <w:r>
        <w:rPr>
          <w:rFonts w:ascii="Arial" w:cs="Arial" w:eastAsia="Arial" w:hAnsi="Arial"/>
          <w:sz w:val="18"/>
          <w:szCs w:val="18"/>
          <w:b w:val="1"/>
          <w:bCs w:val="1"/>
          <w:color w:val="auto"/>
        </w:rPr>
        <w:t>Exercise of the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40" w:hanging="179"/>
        <w:spacing w:after="0" w:line="287" w:lineRule="auto"/>
        <w:rPr>
          <w:sz w:val="20"/>
          <w:szCs w:val="20"/>
          <w:color w:val="auto"/>
        </w:rPr>
      </w:pPr>
      <w:r>
        <w:rPr>
          <w:rFonts w:ascii="Arial" w:cs="Arial" w:eastAsia="Arial" w:hAnsi="Arial"/>
          <w:sz w:val="18"/>
          <w:szCs w:val="18"/>
          <w:b w:val="1"/>
          <w:bCs w:val="1"/>
          <w:color w:val="auto"/>
        </w:rPr>
        <w:t>Election to remain an investor</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Terms of Our Offering</w:t>
      </w:r>
    </w:p>
    <w:p>
      <w:pPr>
        <w:spacing w:after="0" w:line="4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must complete one or more business combinations having an aggregate fair market value of at least 80% of our assets held in the trust account (excluding the deferred underwriting commissions and taxes payable on the income earned on the trust account) at the time of the agreement to enter into the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-1302385</wp:posOffset>
            </wp:positionV>
            <wp:extent cx="18770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14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units are expected to begin trading on or promptly after the date of this prospectus. The Class A common stock and warrants comprising the units will begin separate trading on the 52</w:t>
      </w:r>
      <w:r>
        <w:rPr>
          <w:rFonts w:ascii="Arial" w:cs="Arial" w:eastAsia="Arial" w:hAnsi="Arial"/>
          <w:sz w:val="20"/>
          <w:szCs w:val="20"/>
          <w:color w:val="auto"/>
          <w:vertAlign w:val="superscript"/>
        </w:rPr>
        <w:t>nd</w:t>
      </w:r>
      <w:r>
        <w:rPr>
          <w:rFonts w:ascii="Arial" w:cs="Arial" w:eastAsia="Arial" w:hAnsi="Arial"/>
          <w:sz w:val="18"/>
          <w:szCs w:val="18"/>
          <w:color w:val="auto"/>
        </w:rPr>
        <w:t xml:space="preserve"> day following the date of this prospectus unless Jefferies LLC informs us of its decision to allow earlier separate trading, subject to our having filed the Current Report on Form 8-K described below and having issued a press release announcing when such separate trading will begin.</w:t>
      </w:r>
    </w:p>
    <w:p>
      <w:pPr>
        <w:spacing w:after="0" w:line="12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will file the Current Report on Form 8-K promptly after the closing of this offering, which closing is anticipated to take place three business days from the date of this prospectus. If the over-allotment option is exercised following the initial filing of such Current Report on Form 8-K, a second or amended Current Report on Form 8-K will be filed to provide updated financial information to reflect the exercise of the over-allotment option.</w:t>
      </w:r>
    </w:p>
    <w:p>
      <w:pPr>
        <w:spacing w:after="0" w:line="167"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The warrants cannot be exercised until the later of 30 days after the completion of our initial business combination and 12 months from the closing of this offering.</w:t>
      </w:r>
    </w:p>
    <w:p>
      <w:pPr>
        <w:spacing w:after="0" w:line="36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will provide our public stockholders with the opportunity to redeem their public shares for cash at a per share price equal to the aggregate amount then on deposit in the trust account calculated as of two business days prior to the consummation of our initial business combination, including interest earned on the funds held in the trust account and not previously released to us to pay our taxes, divided by the number of then outstanding public shares, upon the completion of our initial business combination, subject to the limitations described herein. We may not be required by law to hold a stockholder vote. If we</w:t>
      </w:r>
    </w:p>
    <w:p>
      <w:pPr>
        <w:spacing w:after="0" w:line="20" w:lineRule="exact"/>
        <w:rPr>
          <w:sz w:val="20"/>
          <w:szCs w:val="20"/>
          <w:color w:val="auto"/>
        </w:rPr>
      </w:pPr>
      <w:r>
        <w:rPr>
          <w:sz w:val="20"/>
          <w:szCs w:val="20"/>
          <w:color w:val="auto"/>
        </w:rPr>
        <w:br w:type="column"/>
      </w:r>
    </w:p>
    <w:p>
      <w:pPr>
        <w:jc w:val="center"/>
        <w:ind w:right="459"/>
        <w:spacing w:after="0"/>
        <w:rPr>
          <w:sz w:val="20"/>
          <w:szCs w:val="20"/>
          <w:color w:val="auto"/>
        </w:rPr>
      </w:pPr>
      <w:r>
        <w:rPr>
          <w:rFonts w:ascii="Arial" w:cs="Arial" w:eastAsia="Arial" w:hAnsi="Arial"/>
          <w:sz w:val="14"/>
          <w:szCs w:val="14"/>
          <w:b w:val="1"/>
          <w:bCs w:val="1"/>
          <w:color w:val="auto"/>
        </w:rPr>
        <w:t>Terms Under a Rule 419 Offering</w:t>
      </w:r>
    </w:p>
    <w:p>
      <w:pPr>
        <w:spacing w:after="0" w:line="47" w:lineRule="exact"/>
        <w:rPr>
          <w:sz w:val="20"/>
          <w:szCs w:val="20"/>
          <w:color w:val="auto"/>
        </w:rPr>
      </w:pPr>
    </w:p>
    <w:p>
      <w:pPr>
        <w:jc w:val="both"/>
        <w:ind w:right="499"/>
        <w:spacing w:after="0" w:line="255" w:lineRule="auto"/>
        <w:rPr>
          <w:sz w:val="20"/>
          <w:szCs w:val="20"/>
          <w:color w:val="auto"/>
        </w:rPr>
      </w:pPr>
      <w:r>
        <w:rPr>
          <w:rFonts w:ascii="Arial" w:cs="Arial" w:eastAsia="Arial" w:hAnsi="Arial"/>
          <w:sz w:val="18"/>
          <w:szCs w:val="18"/>
          <w:color w:val="auto"/>
        </w:rPr>
        <w:t>The fair value or net assets of a target business must represent at least 80% of the maximum offering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-412115</wp:posOffset>
            </wp:positionV>
            <wp:extent cx="194564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479"/>
        <w:spacing w:after="0" w:line="241" w:lineRule="auto"/>
        <w:rPr>
          <w:sz w:val="20"/>
          <w:szCs w:val="20"/>
          <w:color w:val="auto"/>
        </w:rPr>
      </w:pPr>
      <w:r>
        <w:rPr>
          <w:rFonts w:ascii="Arial" w:cs="Arial" w:eastAsia="Arial" w:hAnsi="Arial"/>
          <w:sz w:val="18"/>
          <w:szCs w:val="18"/>
          <w:color w:val="auto"/>
        </w:rPr>
        <w:t>No trading of the units or the underlying Class A common stock and warrants would be permitted until the completion of a business combination. During this period, the securities would be held in the escrow or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519"/>
        <w:spacing w:after="0" w:line="243" w:lineRule="auto"/>
        <w:rPr>
          <w:sz w:val="20"/>
          <w:szCs w:val="20"/>
          <w:color w:val="auto"/>
        </w:rPr>
      </w:pPr>
      <w:r>
        <w:rPr>
          <w:rFonts w:ascii="Arial" w:cs="Arial" w:eastAsia="Arial" w:hAnsi="Arial"/>
          <w:sz w:val="18"/>
          <w:szCs w:val="18"/>
          <w:color w:val="auto"/>
        </w:rPr>
        <w:t>The warrants could be exercised prior to the completion of a business combination, but securities received and cash paid in connection with the exercise would be deposited in the escrow or trust account.</w:t>
      </w:r>
    </w:p>
    <w:p>
      <w:pPr>
        <w:spacing w:after="0" w:line="160" w:lineRule="exact"/>
        <w:rPr>
          <w:sz w:val="20"/>
          <w:szCs w:val="20"/>
          <w:color w:val="auto"/>
        </w:rPr>
      </w:pPr>
    </w:p>
    <w:p>
      <w:pPr>
        <w:ind w:right="519"/>
        <w:spacing w:after="0" w:line="250" w:lineRule="auto"/>
        <w:rPr>
          <w:sz w:val="20"/>
          <w:szCs w:val="20"/>
          <w:color w:val="auto"/>
        </w:rPr>
      </w:pPr>
      <w:r>
        <w:rPr>
          <w:rFonts w:ascii="Arial" w:cs="Arial" w:eastAsia="Arial" w:hAnsi="Arial"/>
          <w:sz w:val="17"/>
          <w:szCs w:val="17"/>
          <w:color w:val="auto"/>
        </w:rPr>
        <w:t>A prospectus containing information pertaining to the business combination required by the SEC would be sent to each investor. Each investor would be given the opportunity to notify the company in writing, within a period of no less than 20 business days and no more than 45 business days from the effective date of a post-effective amendment to the company’s registration statement, to decide if he, she or it elects to remain a stockholder of the company or require the return of his, her or its investment. If the company has not received the notification by the end of the 45</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business day, funds and interest or dividends, if any, held in</w:t>
      </w:r>
    </w:p>
    <w:p>
      <w:pPr>
        <w:spacing w:after="0" w:line="185" w:lineRule="exact"/>
        <w:rPr>
          <w:sz w:val="20"/>
          <w:szCs w:val="20"/>
          <w:color w:val="auto"/>
        </w:rPr>
      </w:pPr>
    </w:p>
    <w:p>
      <w:pPr>
        <w:sectPr>
          <w:pgSz w:w="11900" w:h="16838" w:orient="portrait"/>
          <w:cols w:equalWidth="0" w:num="3">
            <w:col w:w="2280" w:space="160"/>
            <w:col w:w="2940" w:space="100"/>
            <w:col w:w="3539"/>
          </w:cols>
          <w:pgMar w:left="1440" w:top="381" w:right="1440" w:bottom="1440" w:gutter="0" w:footer="0" w:header="0"/>
        </w:sectPr>
      </w:pPr>
    </w:p>
    <w:p>
      <w:pPr>
        <w:jc w:val="center"/>
        <w:ind w:right="1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19050</wp:posOffset>
            </wp:positionV>
            <wp:extent cx="51435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81" w:right="1440" w:bottom="1440" w:gutter="0" w:footer="0" w:header="0"/>
          <w:type w:val="continuous"/>
        </w:sectPr>
      </w:pPr>
    </w:p>
    <w:bookmarkStart w:id="100" w:name="page101"/>
    <w:bookmarkEnd w:id="100"/>
    <w:tbl>
      <w:tblPr>
        <w:tblLayout w:type="fixed"/>
        <w:tblInd w:w="460" w:type="dxa"/>
        <w:tblCellMar>
          <w:top w:w="0" w:type="dxa"/>
          <w:left w:w="0" w:type="dxa"/>
          <w:bottom w:w="0" w:type="dxa"/>
          <w:right w:w="0" w:type="dxa"/>
        </w:tblCellMar>
      </w:tblPr>
      <w:tr>
        <w:trPr>
          <w:trHeight w:val="211"/>
        </w:trPr>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6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Terms of Our Offering</w:t>
            </w:r>
          </w:p>
        </w:tc>
      </w:tr>
      <w:tr>
        <w:trPr>
          <w:trHeight w:val="180"/>
        </w:trPr>
        <w:tc>
          <w:tcPr>
            <w:tcW w:w="1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960" w:type="dxa"/>
            <w:vAlign w:val="bottom"/>
          </w:tcPr>
          <w:p>
            <w:pPr>
              <w:spacing w:after="0" w:line="180" w:lineRule="exact"/>
              <w:rPr>
                <w:sz w:val="20"/>
                <w:szCs w:val="20"/>
                <w:color w:val="auto"/>
              </w:rPr>
            </w:pPr>
            <w:r>
              <w:rPr>
                <w:rFonts w:ascii="Arial" w:cs="Arial" w:eastAsia="Arial" w:hAnsi="Arial"/>
                <w:sz w:val="18"/>
                <w:szCs w:val="18"/>
                <w:color w:val="auto"/>
              </w:rPr>
              <w:t>are not required by law and do not</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otherwise decide to hold a</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w w:val="99"/>
              </w:rPr>
              <w:t>stockholder vote, we will, pursuant to</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our amended and restated certificate</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of incorporation, conduct the</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redemptions pursuant to the tender</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offer rules of the SEC and file tender</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offer documents with the SEC which</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will contain substantially the same</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financial and other information about</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the initial business combination and</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the redemption rights as is required</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under the SEC’s proxy rules. If,</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w w:val="99"/>
              </w:rPr>
              <w:t>however, we hold a stockholder vote,</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we will, like many blank check</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companies, offer to redeem shares</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in conjunction with a proxy</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solicitation pursuant to the proxy</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rules and not pursuant to the tender</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offer rules. If we seek stockholder</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approval, we will complete our initial</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business combination only if a</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majority of the shares of common</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stock voted are voted in favor of the</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business combination. Additionally,</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each public stockholder may elect to</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redeem their public shares</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irrespective of whether they vote for</w:t>
            </w:r>
          </w:p>
        </w:tc>
      </w:tr>
      <w:tr>
        <w:trPr>
          <w:trHeight w:val="243"/>
        </w:trPr>
        <w:tc>
          <w:tcPr>
            <w:tcW w:w="1620" w:type="dxa"/>
            <w:vAlign w:val="bottom"/>
          </w:tcPr>
          <w:p>
            <w:pPr>
              <w:spacing w:after="0"/>
              <w:rPr>
                <w:sz w:val="21"/>
                <w:szCs w:val="21"/>
                <w:color w:val="auto"/>
              </w:rPr>
            </w:pPr>
          </w:p>
        </w:tc>
        <w:tc>
          <w:tcPr>
            <w:tcW w:w="3320" w:type="dxa"/>
            <w:vAlign w:val="bottom"/>
            <w:gridSpan w:val="2"/>
          </w:tcPr>
          <w:p>
            <w:pPr>
              <w:ind w:left="360"/>
              <w:spacing w:after="0"/>
              <w:rPr>
                <w:sz w:val="20"/>
                <w:szCs w:val="20"/>
                <w:color w:val="auto"/>
              </w:rPr>
            </w:pPr>
            <w:r>
              <w:rPr>
                <w:rFonts w:ascii="Arial" w:cs="Arial" w:eastAsia="Arial" w:hAnsi="Arial"/>
                <w:sz w:val="18"/>
                <w:szCs w:val="18"/>
                <w:color w:val="auto"/>
              </w:rPr>
              <w:t>or against the proposed transaction.</w:t>
            </w:r>
          </w:p>
        </w:tc>
      </w:tr>
      <w:tr>
        <w:trPr>
          <w:trHeight w:val="363"/>
        </w:trPr>
        <w:tc>
          <w:tcPr>
            <w:tcW w:w="1620" w:type="dxa"/>
            <w:vAlign w:val="bottom"/>
          </w:tcPr>
          <w:p>
            <w:pPr>
              <w:spacing w:after="0"/>
              <w:rPr>
                <w:sz w:val="20"/>
                <w:szCs w:val="20"/>
                <w:color w:val="auto"/>
              </w:rPr>
            </w:pPr>
            <w:r>
              <w:rPr>
                <w:rFonts w:ascii="Arial" w:cs="Arial" w:eastAsia="Arial" w:hAnsi="Arial"/>
                <w:sz w:val="18"/>
                <w:szCs w:val="18"/>
                <w:b w:val="1"/>
                <w:bCs w:val="1"/>
                <w:color w:val="auto"/>
              </w:rPr>
              <w:t>Business</w:t>
            </w:r>
          </w:p>
        </w:tc>
        <w:tc>
          <w:tcPr>
            <w:tcW w:w="3320" w:type="dxa"/>
            <w:vAlign w:val="bottom"/>
            <w:gridSpan w:val="2"/>
          </w:tcPr>
          <w:p>
            <w:pPr>
              <w:ind w:left="360"/>
              <w:spacing w:after="0"/>
              <w:rPr>
                <w:sz w:val="20"/>
                <w:szCs w:val="20"/>
                <w:color w:val="auto"/>
              </w:rPr>
            </w:pPr>
            <w:r>
              <w:rPr>
                <w:rFonts w:ascii="Arial" w:cs="Arial" w:eastAsia="Arial" w:hAnsi="Arial"/>
                <w:sz w:val="18"/>
                <w:szCs w:val="18"/>
                <w:color w:val="auto"/>
              </w:rPr>
              <w:t>If we are unable to complete an</w:t>
            </w:r>
          </w:p>
        </w:tc>
      </w:tr>
      <w:tr>
        <w:trPr>
          <w:trHeight w:val="203"/>
        </w:trPr>
        <w:tc>
          <w:tcPr>
            <w:tcW w:w="162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combination</w:t>
            </w: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w w:val="99"/>
              </w:rPr>
              <w:t>initial business combination within 24</w:t>
            </w:r>
          </w:p>
        </w:tc>
      </w:tr>
      <w:tr>
        <w:trPr>
          <w:trHeight w:val="205"/>
        </w:trPr>
        <w:tc>
          <w:tcPr>
            <w:tcW w:w="1620" w:type="dxa"/>
            <w:vAlign w:val="bottom"/>
          </w:tcPr>
          <w:p>
            <w:pPr>
              <w:ind w:left="180"/>
              <w:spacing w:after="0" w:line="205" w:lineRule="exact"/>
              <w:rPr>
                <w:sz w:val="20"/>
                <w:szCs w:val="20"/>
                <w:color w:val="auto"/>
              </w:rPr>
            </w:pPr>
            <w:r>
              <w:rPr>
                <w:rFonts w:ascii="Arial" w:cs="Arial" w:eastAsia="Arial" w:hAnsi="Arial"/>
                <w:sz w:val="18"/>
                <w:szCs w:val="18"/>
                <w:b w:val="1"/>
                <w:bCs w:val="1"/>
                <w:color w:val="auto"/>
              </w:rPr>
              <w:t>deadline</w:t>
            </w:r>
          </w:p>
        </w:tc>
        <w:tc>
          <w:tcPr>
            <w:tcW w:w="3320" w:type="dxa"/>
            <w:vAlign w:val="bottom"/>
            <w:gridSpan w:val="2"/>
          </w:tcPr>
          <w:p>
            <w:pPr>
              <w:ind w:left="360"/>
              <w:spacing w:after="0" w:line="205" w:lineRule="exact"/>
              <w:rPr>
                <w:sz w:val="20"/>
                <w:szCs w:val="20"/>
                <w:color w:val="auto"/>
              </w:rPr>
            </w:pPr>
            <w:r>
              <w:rPr>
                <w:rFonts w:ascii="Arial" w:cs="Arial" w:eastAsia="Arial" w:hAnsi="Arial"/>
                <w:sz w:val="18"/>
                <w:szCs w:val="18"/>
                <w:color w:val="auto"/>
              </w:rPr>
              <w:t>months from the closing of this</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offering, we will (i) cease all</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operations except for the purpose of</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winding up, (ii) as promptly as</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reasonably possible but not more</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than ten business days thereafter,</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redeem 100% of the public shares,</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at a per-share price, payable in</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cash, equal to the aggregate amount</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then on deposit in the trust account,</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including interest earned on the</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funds held in the trust account and</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not previously released to us to pay</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our taxes (less up to $100,000 of</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interest to pay dissolution</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expenses), divided by the number of</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then outstanding public shares,</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which redemption will completely</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extinguish public stockholders’ rights</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as stockholders (including the right</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to receive further liquidating</w:t>
            </w:r>
          </w:p>
        </w:tc>
      </w:tr>
      <w:tr>
        <w:trPr>
          <w:trHeight w:val="202"/>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distributions, if any), and (iii) as</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promptly as reasonably possible</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w w:val="99"/>
              </w:rPr>
              <w:t>following such redemption, subject to</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the approval of our remaining</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stockholders and our board of</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directors, liquidate and dissolve,</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subject in each case to our</w:t>
            </w:r>
          </w:p>
        </w:tc>
      </w:tr>
      <w:tr>
        <w:trPr>
          <w:trHeight w:val="202"/>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obligations under Delaware law to</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provide for claims of creditors and in</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all cases subject to the requirements</w:t>
            </w:r>
          </w:p>
        </w:tc>
      </w:tr>
      <w:tr>
        <w:trPr>
          <w:trHeight w:val="243"/>
        </w:trPr>
        <w:tc>
          <w:tcPr>
            <w:tcW w:w="1620" w:type="dxa"/>
            <w:vAlign w:val="bottom"/>
          </w:tcPr>
          <w:p>
            <w:pPr>
              <w:spacing w:after="0"/>
              <w:rPr>
                <w:sz w:val="21"/>
                <w:szCs w:val="21"/>
                <w:color w:val="auto"/>
              </w:rPr>
            </w:pPr>
          </w:p>
        </w:tc>
        <w:tc>
          <w:tcPr>
            <w:tcW w:w="3320" w:type="dxa"/>
            <w:vAlign w:val="bottom"/>
            <w:gridSpan w:val="2"/>
          </w:tcPr>
          <w:p>
            <w:pPr>
              <w:ind w:left="360"/>
              <w:spacing w:after="0"/>
              <w:rPr>
                <w:sz w:val="20"/>
                <w:szCs w:val="20"/>
                <w:color w:val="auto"/>
              </w:rPr>
            </w:pPr>
            <w:r>
              <w:rPr>
                <w:rFonts w:ascii="Arial" w:cs="Arial" w:eastAsia="Arial" w:hAnsi="Arial"/>
                <w:sz w:val="18"/>
                <w:szCs w:val="18"/>
                <w:color w:val="auto"/>
              </w:rPr>
              <w:t>of other applicable law.</w:t>
            </w:r>
          </w:p>
        </w:tc>
      </w:tr>
      <w:tr>
        <w:trPr>
          <w:trHeight w:val="432"/>
        </w:trPr>
        <w:tc>
          <w:tcPr>
            <w:tcW w:w="1620" w:type="dxa"/>
            <w:vAlign w:val="bottom"/>
          </w:tcPr>
          <w:p>
            <w:pPr>
              <w:spacing w:after="0"/>
              <w:rPr>
                <w:sz w:val="24"/>
                <w:szCs w:val="24"/>
                <w:color w:val="auto"/>
              </w:rPr>
            </w:pPr>
          </w:p>
        </w:tc>
        <w:tc>
          <w:tcPr>
            <w:tcW w:w="3320" w:type="dxa"/>
            <w:vAlign w:val="bottom"/>
            <w:gridSpan w:val="2"/>
          </w:tcPr>
          <w:p>
            <w:pPr>
              <w:ind w:left="2320"/>
              <w:spacing w:after="0"/>
              <w:rPr>
                <w:sz w:val="20"/>
                <w:szCs w:val="20"/>
                <w:color w:val="auto"/>
              </w:rPr>
            </w:pPr>
            <w:r>
              <w:rPr>
                <w:rFonts w:ascii="Arial" w:cs="Arial" w:eastAsia="Arial" w:hAnsi="Arial"/>
                <w:sz w:val="18"/>
                <w:szCs w:val="18"/>
                <w:color w:val="auto"/>
              </w:rPr>
              <w:t>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-10795</wp:posOffset>
            </wp:positionV>
            <wp:extent cx="51435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Arial" w:cs="Arial" w:eastAsia="Arial" w:hAnsi="Arial"/>
          <w:sz w:val="14"/>
          <w:szCs w:val="14"/>
          <w:b w:val="1"/>
          <w:bCs w:val="1"/>
          <w:color w:val="auto"/>
        </w:rPr>
        <w:t>Terms Under a Rule 419 Offering</w:t>
      </w:r>
    </w:p>
    <w:p>
      <w:pPr>
        <w:spacing w:after="0" w:line="47" w:lineRule="exact"/>
        <w:rPr>
          <w:sz w:val="20"/>
          <w:szCs w:val="20"/>
          <w:color w:val="auto"/>
        </w:rPr>
      </w:pPr>
    </w:p>
    <w:p>
      <w:pPr>
        <w:ind w:right="659"/>
        <w:spacing w:after="0"/>
        <w:rPr>
          <w:sz w:val="20"/>
          <w:szCs w:val="20"/>
          <w:color w:val="auto"/>
        </w:rPr>
      </w:pPr>
      <w:r>
        <w:rPr>
          <w:rFonts w:ascii="Arial" w:cs="Arial" w:eastAsia="Arial" w:hAnsi="Arial"/>
          <w:sz w:val="18"/>
          <w:szCs w:val="18"/>
          <w:color w:val="auto"/>
        </w:rPr>
        <w:t>the trust or escrow account are automatically returned to the stockholder. Unless a sufficient number of investors elect to remain investors, all funds on deposit in the escrow account must be returned to all of the investors and none of the securities are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-1045210</wp:posOffset>
            </wp:positionV>
            <wp:extent cx="194564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99"/>
        <w:spacing w:after="0" w:line="243" w:lineRule="auto"/>
        <w:rPr>
          <w:sz w:val="20"/>
          <w:szCs w:val="20"/>
          <w:color w:val="auto"/>
        </w:rPr>
      </w:pPr>
      <w:r>
        <w:rPr>
          <w:rFonts w:ascii="Arial" w:cs="Arial" w:eastAsia="Arial" w:hAnsi="Arial"/>
          <w:sz w:val="18"/>
          <w:szCs w:val="18"/>
          <w:color w:val="auto"/>
        </w:rPr>
        <w:t>If an acquisition has not been completed within 18 months after the effective date of the company’s registration statement, funds held in the trust or escrow account are returned to investors.</w:t>
      </w:r>
    </w:p>
    <w:p>
      <w:pPr>
        <w:sectPr>
          <w:pgSz w:w="11900" w:h="16838" w:orient="portrait"/>
          <w:cols w:equalWidth="0" w:num="2">
            <w:col w:w="5400" w:space="80"/>
            <w:col w:w="3539"/>
          </w:cols>
          <w:pgMar w:left="1440" w:top="381" w:right="1440" w:bottom="1440" w:gutter="0" w:footer="0" w:header="0"/>
        </w:sectPr>
      </w:pPr>
    </w:p>
    <w:bookmarkStart w:id="101" w:name="page102"/>
    <w:bookmarkEnd w:id="101"/>
    <w:tbl>
      <w:tblPr>
        <w:tblLayout w:type="fixed"/>
        <w:tblInd w:w="460" w:type="dxa"/>
        <w:tblCellMar>
          <w:top w:w="0" w:type="dxa"/>
          <w:left w:w="0" w:type="dxa"/>
          <w:bottom w:w="0" w:type="dxa"/>
          <w:right w:w="0" w:type="dxa"/>
        </w:tblCellMar>
      </w:tblPr>
      <w:tr>
        <w:trPr>
          <w:trHeight w:val="211"/>
        </w:trPr>
        <w:tc>
          <w:tcPr>
            <w:tcW w:w="1920" w:type="dxa"/>
            <w:vAlign w:val="bottom"/>
            <w:vMerge w:val="restart"/>
          </w:tcPr>
          <w:p>
            <w:pPr>
              <w:spacing w:after="0"/>
              <w:rPr>
                <w:sz w:val="20"/>
                <w:szCs w:val="20"/>
                <w:color w:val="auto"/>
              </w:rPr>
            </w:pPr>
            <w:r>
              <w:rPr>
                <w:rFonts w:ascii="Arial" w:cs="Arial" w:eastAsia="Arial" w:hAnsi="Arial"/>
                <w:sz w:val="18"/>
                <w:szCs w:val="18"/>
                <w:b w:val="1"/>
                <w:bCs w:val="1"/>
                <w:color w:val="auto"/>
              </w:rPr>
              <w:t>Release of funds</w:t>
            </w:r>
          </w:p>
        </w:tc>
        <w:tc>
          <w:tcPr>
            <w:tcW w:w="60" w:type="dxa"/>
            <w:vAlign w:val="bottom"/>
          </w:tcPr>
          <w:p>
            <w:pPr>
              <w:spacing w:after="0"/>
              <w:rPr>
                <w:sz w:val="18"/>
                <w:szCs w:val="18"/>
                <w:color w:val="auto"/>
              </w:rPr>
            </w:pPr>
          </w:p>
        </w:tc>
        <w:tc>
          <w:tcPr>
            <w:tcW w:w="296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Terms of Our Offering</w:t>
            </w:r>
          </w:p>
        </w:tc>
        <w:tc>
          <w:tcPr>
            <w:tcW w:w="0" w:type="dxa"/>
            <w:vAlign w:val="bottom"/>
          </w:tcPr>
          <w:p>
            <w:pPr>
              <w:spacing w:after="0"/>
              <w:rPr>
                <w:sz w:val="1"/>
                <w:szCs w:val="1"/>
                <w:color w:val="auto"/>
              </w:rPr>
            </w:pPr>
          </w:p>
        </w:tc>
      </w:tr>
      <w:tr>
        <w:trPr>
          <w:trHeight w:val="180"/>
        </w:trPr>
        <w:tc>
          <w:tcPr>
            <w:tcW w:w="19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960" w:type="dxa"/>
            <w:vAlign w:val="bottom"/>
          </w:tcPr>
          <w:p>
            <w:pPr>
              <w:spacing w:after="0" w:line="180" w:lineRule="exact"/>
              <w:rPr>
                <w:sz w:val="20"/>
                <w:szCs w:val="20"/>
                <w:color w:val="auto"/>
              </w:rPr>
            </w:pPr>
            <w:r>
              <w:rPr>
                <w:rFonts w:ascii="Arial" w:cs="Arial" w:eastAsia="Arial" w:hAnsi="Arial"/>
                <w:sz w:val="18"/>
                <w:szCs w:val="18"/>
                <w:color w:val="auto"/>
              </w:rPr>
              <w:t>Except for the withdrawal of interest</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to pay our taxes, none of the funds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held in trust will be released from the</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trust account until the earliest of (i)</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the completion of our initial business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combination, (ii) the redemption of</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our public shares if we are unable to</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complete our initial business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combination within 24 months from</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the closing of this offering, subject to</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applicable law, and (iii) the</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redemption of our public shares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properly submitted in connection</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with a stockholder vote to approve</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an amendment to our amended and</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restated certificate of incorporation</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to modify the substance or timing of</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our obligation to redeem 100% of</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our public shares if we have not</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consummated an initial business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combination within 24 months from</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the closing of this offering or with</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respect to any other material</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provisions relating to stockholders’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rights or pre-initial business</w:t>
            </w:r>
          </w:p>
        </w:tc>
        <w:tc>
          <w:tcPr>
            <w:tcW w:w="0" w:type="dxa"/>
            <w:vAlign w:val="bottom"/>
          </w:tcPr>
          <w:p>
            <w:pPr>
              <w:spacing w:after="0"/>
              <w:rPr>
                <w:sz w:val="1"/>
                <w:szCs w:val="1"/>
                <w:color w:val="auto"/>
              </w:rPr>
            </w:pPr>
          </w:p>
        </w:tc>
      </w:tr>
      <w:tr>
        <w:trPr>
          <w:trHeight w:val="243"/>
        </w:trPr>
        <w:tc>
          <w:tcPr>
            <w:tcW w:w="1920" w:type="dxa"/>
            <w:vAlign w:val="bottom"/>
          </w:tcPr>
          <w:p>
            <w:pPr>
              <w:spacing w:after="0"/>
              <w:rPr>
                <w:sz w:val="21"/>
                <w:szCs w:val="21"/>
                <w:color w:val="auto"/>
              </w:rPr>
            </w:pPr>
          </w:p>
        </w:tc>
        <w:tc>
          <w:tcPr>
            <w:tcW w:w="3020" w:type="dxa"/>
            <w:vAlign w:val="bottom"/>
            <w:gridSpan w:val="2"/>
          </w:tcPr>
          <w:p>
            <w:pPr>
              <w:ind w:left="60"/>
              <w:spacing w:after="0"/>
              <w:rPr>
                <w:sz w:val="20"/>
                <w:szCs w:val="20"/>
                <w:color w:val="auto"/>
              </w:rPr>
            </w:pPr>
            <w:r>
              <w:rPr>
                <w:rFonts w:ascii="Arial" w:cs="Arial" w:eastAsia="Arial" w:hAnsi="Arial"/>
                <w:sz w:val="18"/>
                <w:szCs w:val="18"/>
                <w:color w:val="auto"/>
              </w:rPr>
              <w:t>combination activity.</w:t>
            </w:r>
          </w:p>
        </w:tc>
        <w:tc>
          <w:tcPr>
            <w:tcW w:w="0" w:type="dxa"/>
            <w:vAlign w:val="bottom"/>
          </w:tcPr>
          <w:p>
            <w:pPr>
              <w:spacing w:after="0"/>
              <w:rPr>
                <w:sz w:val="1"/>
                <w:szCs w:val="1"/>
                <w:color w:val="auto"/>
              </w:rPr>
            </w:pPr>
          </w:p>
        </w:tc>
      </w:tr>
      <w:tr>
        <w:trPr>
          <w:trHeight w:val="363"/>
        </w:trPr>
        <w:tc>
          <w:tcPr>
            <w:tcW w:w="1920" w:type="dxa"/>
            <w:vAlign w:val="bottom"/>
          </w:tcPr>
          <w:p>
            <w:pPr>
              <w:spacing w:after="0"/>
              <w:rPr>
                <w:sz w:val="20"/>
                <w:szCs w:val="20"/>
                <w:color w:val="auto"/>
              </w:rPr>
            </w:pPr>
            <w:r>
              <w:rPr>
                <w:rFonts w:ascii="Arial" w:cs="Arial" w:eastAsia="Arial" w:hAnsi="Arial"/>
                <w:sz w:val="18"/>
                <w:szCs w:val="18"/>
                <w:b w:val="1"/>
                <w:bCs w:val="1"/>
                <w:color w:val="auto"/>
              </w:rPr>
              <w:t>Delivering stock</w:t>
            </w:r>
          </w:p>
        </w:tc>
        <w:tc>
          <w:tcPr>
            <w:tcW w:w="3020" w:type="dxa"/>
            <w:vAlign w:val="bottom"/>
            <w:gridSpan w:val="2"/>
          </w:tcPr>
          <w:p>
            <w:pPr>
              <w:ind w:left="60"/>
              <w:spacing w:after="0"/>
              <w:rPr>
                <w:sz w:val="20"/>
                <w:szCs w:val="20"/>
                <w:color w:val="auto"/>
              </w:rPr>
            </w:pPr>
            <w:r>
              <w:rPr>
                <w:rFonts w:ascii="Arial" w:cs="Arial" w:eastAsia="Arial" w:hAnsi="Arial"/>
                <w:sz w:val="18"/>
                <w:szCs w:val="18"/>
                <w:color w:val="auto"/>
              </w:rPr>
              <w:t>We intend to require our public</w:t>
            </w:r>
          </w:p>
        </w:tc>
        <w:tc>
          <w:tcPr>
            <w:tcW w:w="0" w:type="dxa"/>
            <w:vAlign w:val="bottom"/>
          </w:tcPr>
          <w:p>
            <w:pPr>
              <w:spacing w:after="0"/>
              <w:rPr>
                <w:sz w:val="1"/>
                <w:szCs w:val="1"/>
                <w:color w:val="auto"/>
              </w:rPr>
            </w:pPr>
          </w:p>
        </w:tc>
      </w:tr>
      <w:tr>
        <w:trPr>
          <w:trHeight w:val="203"/>
        </w:trPr>
        <w:tc>
          <w:tcPr>
            <w:tcW w:w="192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certificates in</w:t>
            </w: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stockholders seeking to exercise</w:t>
            </w:r>
          </w:p>
        </w:tc>
        <w:tc>
          <w:tcPr>
            <w:tcW w:w="0" w:type="dxa"/>
            <w:vAlign w:val="bottom"/>
          </w:tcPr>
          <w:p>
            <w:pPr>
              <w:spacing w:after="0"/>
              <w:rPr>
                <w:sz w:val="1"/>
                <w:szCs w:val="1"/>
                <w:color w:val="auto"/>
              </w:rPr>
            </w:pPr>
          </w:p>
        </w:tc>
      </w:tr>
      <w:tr>
        <w:trPr>
          <w:trHeight w:val="202"/>
        </w:trPr>
        <w:tc>
          <w:tcPr>
            <w:tcW w:w="192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connection with the</w:t>
            </w: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their redemption rights, whether they</w:t>
            </w:r>
          </w:p>
        </w:tc>
        <w:tc>
          <w:tcPr>
            <w:tcW w:w="0" w:type="dxa"/>
            <w:vAlign w:val="bottom"/>
          </w:tcPr>
          <w:p>
            <w:pPr>
              <w:spacing w:after="0"/>
              <w:rPr>
                <w:sz w:val="1"/>
                <w:szCs w:val="1"/>
                <w:color w:val="auto"/>
              </w:rPr>
            </w:pPr>
          </w:p>
        </w:tc>
      </w:tr>
      <w:tr>
        <w:trPr>
          <w:trHeight w:val="203"/>
        </w:trPr>
        <w:tc>
          <w:tcPr>
            <w:tcW w:w="192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exercise of</w:t>
            </w: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are record holders or hold their</w:t>
            </w:r>
          </w:p>
        </w:tc>
        <w:tc>
          <w:tcPr>
            <w:tcW w:w="0" w:type="dxa"/>
            <w:vAlign w:val="bottom"/>
          </w:tcPr>
          <w:p>
            <w:pPr>
              <w:spacing w:after="0"/>
              <w:rPr>
                <w:sz w:val="1"/>
                <w:szCs w:val="1"/>
                <w:color w:val="auto"/>
              </w:rPr>
            </w:pPr>
          </w:p>
        </w:tc>
      </w:tr>
      <w:tr>
        <w:trPr>
          <w:trHeight w:val="205"/>
        </w:trPr>
        <w:tc>
          <w:tcPr>
            <w:tcW w:w="1920" w:type="dxa"/>
            <w:vAlign w:val="bottom"/>
          </w:tcPr>
          <w:p>
            <w:pPr>
              <w:ind w:left="180"/>
              <w:spacing w:after="0" w:line="205" w:lineRule="exact"/>
              <w:rPr>
                <w:sz w:val="20"/>
                <w:szCs w:val="20"/>
                <w:color w:val="auto"/>
              </w:rPr>
            </w:pPr>
            <w:r>
              <w:rPr>
                <w:rFonts w:ascii="Arial" w:cs="Arial" w:eastAsia="Arial" w:hAnsi="Arial"/>
                <w:sz w:val="18"/>
                <w:szCs w:val="18"/>
                <w:b w:val="1"/>
                <w:bCs w:val="1"/>
                <w:color w:val="auto"/>
              </w:rPr>
              <w:t>redemption rights</w:t>
            </w:r>
          </w:p>
        </w:tc>
        <w:tc>
          <w:tcPr>
            <w:tcW w:w="3020" w:type="dxa"/>
            <w:vAlign w:val="bottom"/>
            <w:gridSpan w:val="2"/>
          </w:tcPr>
          <w:p>
            <w:pPr>
              <w:ind w:left="60"/>
              <w:spacing w:after="0" w:line="205" w:lineRule="exact"/>
              <w:rPr>
                <w:sz w:val="20"/>
                <w:szCs w:val="20"/>
                <w:color w:val="auto"/>
              </w:rPr>
            </w:pPr>
            <w:r>
              <w:rPr>
                <w:rFonts w:ascii="Arial" w:cs="Arial" w:eastAsia="Arial" w:hAnsi="Arial"/>
                <w:sz w:val="18"/>
                <w:szCs w:val="18"/>
                <w:color w:val="auto"/>
              </w:rPr>
              <w:t>shares in “street name,” to, at the</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holder’s option, either deliver their</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stock certificates to our transfer</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agent or deliver their shares to our</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transfer agent electronically using</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The Depository Trust Company’s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DWAC (Deposit/Withdrawal At</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Custodian) system, prior to the date</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set forth in the proxy materials or</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tender offer documents, as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applicable In the case of proxy</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materials, this date may be up to two</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business days prior to the date on</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which the vote on the proposal to</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approve the initial business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combination is to be held. In</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addition, if we conduct redemptions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in connection with a stockholder</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vote, we intend to require a public</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stockholder seeking redemption of</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its public shares to also submit a</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written request for redemption to our</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transfer agent two business days</w:t>
            </w:r>
          </w:p>
        </w:tc>
        <w:tc>
          <w:tcPr>
            <w:tcW w:w="0" w:type="dxa"/>
            <w:vAlign w:val="bottom"/>
          </w:tcPr>
          <w:p>
            <w:pPr>
              <w:spacing w:after="0"/>
              <w:rPr>
                <w:sz w:val="1"/>
                <w:szCs w:val="1"/>
                <w:color w:val="auto"/>
              </w:rPr>
            </w:pPr>
          </w:p>
        </w:tc>
      </w:tr>
      <w:tr>
        <w:trPr>
          <w:trHeight w:val="202"/>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w w:val="99"/>
              </w:rPr>
              <w:t>prior to the vote in which the name of</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the beneficial owner of such shares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is included. The proxy materials or</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tender offer documents, as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applicable, that we will furnish to</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holders of our public shares in</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connection with our initial business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combination will indicate whether we</w:t>
            </w:r>
          </w:p>
        </w:tc>
        <w:tc>
          <w:tcPr>
            <w:tcW w:w="0" w:type="dxa"/>
            <w:vAlign w:val="bottom"/>
          </w:tcPr>
          <w:p>
            <w:pPr>
              <w:spacing w:after="0"/>
              <w:rPr>
                <w:sz w:val="1"/>
                <w:szCs w:val="1"/>
                <w:color w:val="auto"/>
              </w:rPr>
            </w:pPr>
          </w:p>
        </w:tc>
      </w:tr>
      <w:tr>
        <w:trPr>
          <w:trHeight w:val="202"/>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are requiring public stockholders to</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satisfy such delivery requirements.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Accordingly, a public stockholder</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would have up to two business days</w:t>
            </w:r>
          </w:p>
        </w:tc>
        <w:tc>
          <w:tcPr>
            <w:tcW w:w="0" w:type="dxa"/>
            <w:vAlign w:val="bottom"/>
          </w:tcPr>
          <w:p>
            <w:pPr>
              <w:spacing w:after="0"/>
              <w:rPr>
                <w:sz w:val="1"/>
                <w:szCs w:val="1"/>
                <w:color w:val="auto"/>
              </w:rPr>
            </w:pPr>
          </w:p>
        </w:tc>
      </w:tr>
      <w:tr>
        <w:trPr>
          <w:trHeight w:val="243"/>
        </w:trPr>
        <w:tc>
          <w:tcPr>
            <w:tcW w:w="1920" w:type="dxa"/>
            <w:vAlign w:val="bottom"/>
          </w:tcPr>
          <w:p>
            <w:pPr>
              <w:spacing w:after="0"/>
              <w:rPr>
                <w:sz w:val="21"/>
                <w:szCs w:val="21"/>
                <w:color w:val="auto"/>
              </w:rPr>
            </w:pPr>
          </w:p>
        </w:tc>
        <w:tc>
          <w:tcPr>
            <w:tcW w:w="3020" w:type="dxa"/>
            <w:vAlign w:val="bottom"/>
            <w:gridSpan w:val="2"/>
          </w:tcPr>
          <w:p>
            <w:pPr>
              <w:ind w:left="60"/>
              <w:spacing w:after="0"/>
              <w:rPr>
                <w:sz w:val="20"/>
                <w:szCs w:val="20"/>
                <w:color w:val="auto"/>
              </w:rPr>
            </w:pPr>
            <w:r>
              <w:rPr>
                <w:rFonts w:ascii="Arial" w:cs="Arial" w:eastAsia="Arial" w:hAnsi="Arial"/>
                <w:sz w:val="18"/>
                <w:szCs w:val="18"/>
                <w:color w:val="auto"/>
              </w:rPr>
              <w:t>prior to the vote on the</w:t>
            </w:r>
          </w:p>
        </w:tc>
        <w:tc>
          <w:tcPr>
            <w:tcW w:w="0" w:type="dxa"/>
            <w:vAlign w:val="bottom"/>
          </w:tcPr>
          <w:p>
            <w:pPr>
              <w:spacing w:after="0"/>
              <w:rPr>
                <w:sz w:val="1"/>
                <w:szCs w:val="1"/>
                <w:color w:val="auto"/>
              </w:rPr>
            </w:pPr>
          </w:p>
        </w:tc>
      </w:tr>
      <w:tr>
        <w:trPr>
          <w:trHeight w:val="432"/>
        </w:trPr>
        <w:tc>
          <w:tcPr>
            <w:tcW w:w="1920" w:type="dxa"/>
            <w:vAlign w:val="bottom"/>
          </w:tcPr>
          <w:p>
            <w:pPr>
              <w:spacing w:after="0"/>
              <w:rPr>
                <w:sz w:val="24"/>
                <w:szCs w:val="24"/>
                <w:color w:val="auto"/>
              </w:rPr>
            </w:pPr>
          </w:p>
        </w:tc>
        <w:tc>
          <w:tcPr>
            <w:tcW w:w="3020" w:type="dxa"/>
            <w:vAlign w:val="bottom"/>
            <w:gridSpan w:val="2"/>
          </w:tcPr>
          <w:p>
            <w:pPr>
              <w:ind w:left="20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-10795</wp:posOffset>
            </wp:positionV>
            <wp:extent cx="51435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Arial" w:cs="Arial" w:eastAsia="Arial" w:hAnsi="Arial"/>
          <w:sz w:val="14"/>
          <w:szCs w:val="14"/>
          <w:b w:val="1"/>
          <w:bCs w:val="1"/>
          <w:color w:val="auto"/>
        </w:rPr>
        <w:t>Terms Under a Rule 419 Offering</w:t>
      </w:r>
    </w:p>
    <w:p>
      <w:pPr>
        <w:spacing w:after="0" w:line="47" w:lineRule="exact"/>
        <w:rPr>
          <w:sz w:val="20"/>
          <w:szCs w:val="20"/>
          <w:color w:val="auto"/>
        </w:rPr>
      </w:pPr>
    </w:p>
    <w:p>
      <w:pPr>
        <w:ind w:right="499"/>
        <w:spacing w:after="0" w:line="243" w:lineRule="auto"/>
        <w:rPr>
          <w:sz w:val="20"/>
          <w:szCs w:val="20"/>
          <w:color w:val="auto"/>
        </w:rPr>
      </w:pPr>
      <w:r>
        <w:rPr>
          <w:rFonts w:ascii="Arial" w:cs="Arial" w:eastAsia="Arial" w:hAnsi="Arial"/>
          <w:sz w:val="18"/>
          <w:szCs w:val="18"/>
          <w:color w:val="auto"/>
        </w:rPr>
        <w:t>The proceeds held in the escrow account are not released until the earlier of the completion of a business combination or the failure to effect a business combination within the allotted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-791845</wp:posOffset>
            </wp:positionV>
            <wp:extent cx="194564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539"/>
        <w:spacing w:after="0" w:line="254" w:lineRule="auto"/>
        <w:rPr>
          <w:sz w:val="20"/>
          <w:szCs w:val="20"/>
          <w:color w:val="auto"/>
        </w:rPr>
      </w:pPr>
      <w:r>
        <w:rPr>
          <w:rFonts w:ascii="Arial" w:cs="Arial" w:eastAsia="Arial" w:hAnsi="Arial"/>
          <w:sz w:val="17"/>
          <w:szCs w:val="17"/>
          <w:color w:val="auto"/>
        </w:rPr>
        <w:t>Many blank check companies provide that a stockholder can vote against a proposed business combination and check a box on the proxy card indicating that such stockholder is seeking to exercise its redemption rights. After the business combination is approved, the company would contact such stockholder to arrange for delivery of its share certificates to verify ownership.</w:t>
      </w:r>
    </w:p>
    <w:p>
      <w:pPr>
        <w:sectPr>
          <w:pgSz w:w="11900" w:h="16838" w:orient="portrait"/>
          <w:cols w:equalWidth="0" w:num="2">
            <w:col w:w="5400" w:space="80"/>
            <w:col w:w="3539"/>
          </w:cols>
          <w:pgMar w:left="1440" w:top="381" w:right="1440" w:bottom="1440" w:gutter="0" w:footer="0" w:header="0"/>
        </w:sectPr>
      </w:pPr>
    </w:p>
    <w:bookmarkStart w:id="102" w:name="page103"/>
    <w:bookmarkEnd w:id="102"/>
    <w:tbl>
      <w:tblPr>
        <w:tblLayout w:type="fixed"/>
        <w:tblInd w:w="460" w:type="dxa"/>
        <w:tblCellMar>
          <w:top w:w="0" w:type="dxa"/>
          <w:left w:w="0" w:type="dxa"/>
          <w:bottom w:w="0" w:type="dxa"/>
          <w:right w:w="0" w:type="dxa"/>
        </w:tblCellMar>
      </w:tblPr>
      <w:tr>
        <w:trPr>
          <w:trHeight w:val="211"/>
        </w:trPr>
        <w:tc>
          <w:tcPr>
            <w:tcW w:w="1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96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Terms of Our Offering</w:t>
            </w:r>
          </w:p>
        </w:tc>
      </w:tr>
      <w:tr>
        <w:trPr>
          <w:trHeight w:val="180"/>
        </w:trPr>
        <w:tc>
          <w:tcPr>
            <w:tcW w:w="1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60" w:type="dxa"/>
            <w:vAlign w:val="bottom"/>
          </w:tcPr>
          <w:p>
            <w:pPr>
              <w:spacing w:after="0" w:line="180" w:lineRule="exact"/>
              <w:rPr>
                <w:sz w:val="20"/>
                <w:szCs w:val="20"/>
                <w:color w:val="auto"/>
              </w:rPr>
            </w:pPr>
            <w:r>
              <w:rPr>
                <w:rFonts w:ascii="Arial" w:cs="Arial" w:eastAsia="Arial" w:hAnsi="Arial"/>
                <w:sz w:val="18"/>
                <w:szCs w:val="18"/>
                <w:color w:val="auto"/>
              </w:rPr>
              <w:t>initial business combination if we</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distribute proxy materials, or from</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w w:val="99"/>
              </w:rPr>
              <w:t>the time we send out our tender offer</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w w:val="99"/>
              </w:rPr>
              <w:t>materials until the close of the tender</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offer period, as applicable, to submit</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or tender its shares if it wishes to</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seek to exercise its redemption</w:t>
            </w:r>
          </w:p>
        </w:tc>
      </w:tr>
      <w:tr>
        <w:trPr>
          <w:trHeight w:val="243"/>
        </w:trPr>
        <w:tc>
          <w:tcPr>
            <w:tcW w:w="1920" w:type="dxa"/>
            <w:vAlign w:val="bottom"/>
          </w:tcPr>
          <w:p>
            <w:pPr>
              <w:spacing w:after="0"/>
              <w:rPr>
                <w:sz w:val="21"/>
                <w:szCs w:val="21"/>
                <w:color w:val="auto"/>
              </w:rPr>
            </w:pPr>
          </w:p>
        </w:tc>
        <w:tc>
          <w:tcPr>
            <w:tcW w:w="3020" w:type="dxa"/>
            <w:vAlign w:val="bottom"/>
            <w:gridSpan w:val="2"/>
          </w:tcPr>
          <w:p>
            <w:pPr>
              <w:ind w:left="60"/>
              <w:spacing w:after="0"/>
              <w:rPr>
                <w:sz w:val="20"/>
                <w:szCs w:val="20"/>
                <w:color w:val="auto"/>
              </w:rPr>
            </w:pPr>
            <w:r>
              <w:rPr>
                <w:rFonts w:ascii="Arial" w:cs="Arial" w:eastAsia="Arial" w:hAnsi="Arial"/>
                <w:sz w:val="18"/>
                <w:szCs w:val="18"/>
                <w:color w:val="auto"/>
              </w:rPr>
              <w:t>rights.</w:t>
            </w:r>
          </w:p>
        </w:tc>
      </w:tr>
      <w:tr>
        <w:trPr>
          <w:trHeight w:val="363"/>
        </w:trPr>
        <w:tc>
          <w:tcPr>
            <w:tcW w:w="1920" w:type="dxa"/>
            <w:vAlign w:val="bottom"/>
          </w:tcPr>
          <w:p>
            <w:pPr>
              <w:spacing w:after="0"/>
              <w:rPr>
                <w:sz w:val="20"/>
                <w:szCs w:val="20"/>
                <w:color w:val="auto"/>
              </w:rPr>
            </w:pPr>
            <w:r>
              <w:rPr>
                <w:rFonts w:ascii="Arial" w:cs="Arial" w:eastAsia="Arial" w:hAnsi="Arial"/>
                <w:sz w:val="18"/>
                <w:szCs w:val="18"/>
                <w:b w:val="1"/>
                <w:bCs w:val="1"/>
                <w:color w:val="auto"/>
              </w:rPr>
              <w:t>Limitation on</w:t>
            </w:r>
          </w:p>
        </w:tc>
        <w:tc>
          <w:tcPr>
            <w:tcW w:w="3020" w:type="dxa"/>
            <w:vAlign w:val="bottom"/>
            <w:gridSpan w:val="2"/>
          </w:tcPr>
          <w:p>
            <w:pPr>
              <w:ind w:left="60"/>
              <w:spacing w:after="0"/>
              <w:rPr>
                <w:sz w:val="20"/>
                <w:szCs w:val="20"/>
                <w:color w:val="auto"/>
              </w:rPr>
            </w:pPr>
            <w:r>
              <w:rPr>
                <w:rFonts w:ascii="Arial" w:cs="Arial" w:eastAsia="Arial" w:hAnsi="Arial"/>
                <w:sz w:val="18"/>
                <w:szCs w:val="18"/>
                <w:color w:val="auto"/>
              </w:rPr>
              <w:t>If we seek stockholder approval of</w:t>
            </w:r>
          </w:p>
        </w:tc>
      </w:tr>
      <w:tr>
        <w:trPr>
          <w:trHeight w:val="203"/>
        </w:trPr>
        <w:tc>
          <w:tcPr>
            <w:tcW w:w="192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redemption rights</w:t>
            </w: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our initial business combination and</w:t>
            </w:r>
          </w:p>
        </w:tc>
      </w:tr>
      <w:tr>
        <w:trPr>
          <w:trHeight w:val="203"/>
        </w:trPr>
        <w:tc>
          <w:tcPr>
            <w:tcW w:w="192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of stockholders</w:t>
            </w: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we do not conduct redemptions in</w:t>
            </w:r>
          </w:p>
        </w:tc>
      </w:tr>
      <w:tr>
        <w:trPr>
          <w:trHeight w:val="203"/>
        </w:trPr>
        <w:tc>
          <w:tcPr>
            <w:tcW w:w="192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holding more than</w:t>
            </w: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connection with our initial business</w:t>
            </w:r>
          </w:p>
        </w:tc>
      </w:tr>
      <w:tr>
        <w:trPr>
          <w:trHeight w:val="203"/>
        </w:trPr>
        <w:tc>
          <w:tcPr>
            <w:tcW w:w="192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20% of the shares</w:t>
            </w: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combination pursuant to the tender</w:t>
            </w:r>
          </w:p>
        </w:tc>
      </w:tr>
      <w:tr>
        <w:trPr>
          <w:trHeight w:val="203"/>
        </w:trPr>
        <w:tc>
          <w:tcPr>
            <w:tcW w:w="192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sold in this offering</w:t>
            </w: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offer rules, our amended and</w:t>
            </w:r>
          </w:p>
        </w:tc>
      </w:tr>
      <w:tr>
        <w:trPr>
          <w:trHeight w:val="203"/>
        </w:trPr>
        <w:tc>
          <w:tcPr>
            <w:tcW w:w="192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if we hold a</w:t>
            </w: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restated certificate of incorporation</w:t>
            </w:r>
          </w:p>
        </w:tc>
      </w:tr>
      <w:tr>
        <w:trPr>
          <w:trHeight w:val="205"/>
        </w:trPr>
        <w:tc>
          <w:tcPr>
            <w:tcW w:w="1920" w:type="dxa"/>
            <w:vAlign w:val="bottom"/>
          </w:tcPr>
          <w:p>
            <w:pPr>
              <w:ind w:left="180"/>
              <w:spacing w:after="0" w:line="205" w:lineRule="exact"/>
              <w:rPr>
                <w:sz w:val="20"/>
                <w:szCs w:val="20"/>
                <w:color w:val="auto"/>
              </w:rPr>
            </w:pPr>
            <w:r>
              <w:rPr>
                <w:rFonts w:ascii="Arial" w:cs="Arial" w:eastAsia="Arial" w:hAnsi="Arial"/>
                <w:sz w:val="18"/>
                <w:szCs w:val="18"/>
                <w:b w:val="1"/>
                <w:bCs w:val="1"/>
                <w:color w:val="auto"/>
              </w:rPr>
              <w:t>stockholder vote</w:t>
            </w:r>
          </w:p>
        </w:tc>
        <w:tc>
          <w:tcPr>
            <w:tcW w:w="3020" w:type="dxa"/>
            <w:vAlign w:val="bottom"/>
            <w:gridSpan w:val="2"/>
          </w:tcPr>
          <w:p>
            <w:pPr>
              <w:ind w:left="60"/>
              <w:spacing w:after="0" w:line="205" w:lineRule="exact"/>
              <w:rPr>
                <w:sz w:val="20"/>
                <w:szCs w:val="20"/>
                <w:color w:val="auto"/>
              </w:rPr>
            </w:pPr>
            <w:r>
              <w:rPr>
                <w:rFonts w:ascii="Arial" w:cs="Arial" w:eastAsia="Arial" w:hAnsi="Arial"/>
                <w:sz w:val="18"/>
                <w:szCs w:val="18"/>
                <w:color w:val="auto"/>
              </w:rPr>
              <w:t>provides that a public stockholder,</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together with any affiliate of such</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stockholder or any other person with</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whom such stockholder is acting in</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concert or as a “group” (as defined</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under Section 13 of the Exchange</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Act), will be restricted from seeking</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redemption rights with respect to</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Excess Shares, without our prior</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consent. However, we would not</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restrict our stockholders’ ability to</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vote all of their shares (including</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Excess Shares) for or against our</w:t>
            </w:r>
          </w:p>
        </w:tc>
      </w:tr>
      <w:tr>
        <w:trPr>
          <w:trHeight w:val="243"/>
        </w:trPr>
        <w:tc>
          <w:tcPr>
            <w:tcW w:w="1920" w:type="dxa"/>
            <w:vAlign w:val="bottom"/>
          </w:tcPr>
          <w:p>
            <w:pPr>
              <w:spacing w:after="0"/>
              <w:rPr>
                <w:sz w:val="21"/>
                <w:szCs w:val="21"/>
                <w:color w:val="auto"/>
              </w:rPr>
            </w:pPr>
          </w:p>
        </w:tc>
        <w:tc>
          <w:tcPr>
            <w:tcW w:w="3020" w:type="dxa"/>
            <w:vAlign w:val="bottom"/>
            <w:gridSpan w:val="2"/>
          </w:tcPr>
          <w:p>
            <w:pPr>
              <w:ind w:left="60"/>
              <w:spacing w:after="0"/>
              <w:rPr>
                <w:sz w:val="20"/>
                <w:szCs w:val="20"/>
                <w:color w:val="auto"/>
              </w:rPr>
            </w:pPr>
            <w:r>
              <w:rPr>
                <w:rFonts w:ascii="Arial" w:cs="Arial" w:eastAsia="Arial" w:hAnsi="Arial"/>
                <w:sz w:val="18"/>
                <w:szCs w:val="18"/>
                <w:color w:val="auto"/>
              </w:rPr>
              <w:t>initial business combination.</w:t>
            </w:r>
          </w:p>
        </w:tc>
      </w:tr>
      <w:tr>
        <w:trPr>
          <w:trHeight w:val="467"/>
        </w:trPr>
        <w:tc>
          <w:tcPr>
            <w:tcW w:w="1920" w:type="dxa"/>
            <w:vAlign w:val="bottom"/>
          </w:tcPr>
          <w:p>
            <w:pPr>
              <w:spacing w:after="0"/>
              <w:rPr>
                <w:sz w:val="20"/>
                <w:szCs w:val="20"/>
                <w:color w:val="auto"/>
              </w:rPr>
            </w:pPr>
            <w:r>
              <w:rPr>
                <w:rFonts w:ascii="Arial" w:cs="Arial" w:eastAsia="Arial" w:hAnsi="Arial"/>
                <w:sz w:val="18"/>
                <w:szCs w:val="18"/>
                <w:b w:val="1"/>
                <w:bCs w:val="1"/>
                <w:color w:val="auto"/>
              </w:rPr>
              <w:t>Competition</w:t>
            </w:r>
          </w:p>
        </w:tc>
        <w:tc>
          <w:tcPr>
            <w:tcW w:w="60" w:type="dxa"/>
            <w:vAlign w:val="bottom"/>
          </w:tcPr>
          <w:p>
            <w:pPr>
              <w:spacing w:after="0"/>
              <w:rPr>
                <w:sz w:val="24"/>
                <w:szCs w:val="24"/>
                <w:color w:val="auto"/>
              </w:rPr>
            </w:pPr>
          </w:p>
        </w:tc>
        <w:tc>
          <w:tcPr>
            <w:tcW w:w="29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36195</wp:posOffset>
            </wp:positionV>
            <wp:extent cx="194564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519"/>
        <w:spacing w:after="0" w:line="243" w:lineRule="auto"/>
        <w:rPr>
          <w:sz w:val="20"/>
          <w:szCs w:val="20"/>
          <w:color w:val="auto"/>
        </w:rPr>
      </w:pPr>
      <w:r>
        <w:rPr>
          <w:rFonts w:ascii="Arial" w:cs="Arial" w:eastAsia="Arial" w:hAnsi="Arial"/>
          <w:sz w:val="18"/>
          <w:szCs w:val="18"/>
          <w:color w:val="auto"/>
        </w:rPr>
        <w:t>Many blank check companies provide no restrictions on the ability of stockholders to redeem shares based on the number of shares held by such stockholders in connection with an initial business combination.</w:t>
      </w:r>
    </w:p>
    <w:p>
      <w:pPr>
        <w:spacing w:after="0" w:line="3602" w:lineRule="exact"/>
        <w:rPr>
          <w:sz w:val="20"/>
          <w:szCs w:val="20"/>
          <w:color w:val="auto"/>
        </w:rPr>
      </w:pPr>
    </w:p>
    <w:p>
      <w:pPr>
        <w:sectPr>
          <w:pgSz w:w="11900" w:h="16838" w:orient="portrait"/>
          <w:cols w:equalWidth="0" w:num="2">
            <w:col w:w="5400" w:space="80"/>
            <w:col w:w="3539"/>
          </w:cols>
          <w:pgMar w:left="1440" w:top="381" w:right="1440" w:bottom="1440" w:gutter="0" w:footer="0" w:header="0"/>
        </w:sectPr>
      </w:pPr>
    </w:p>
    <w:p>
      <w:pPr>
        <w:ind w:left="460" w:right="479"/>
        <w:spacing w:after="0" w:line="238" w:lineRule="auto"/>
        <w:rPr>
          <w:sz w:val="20"/>
          <w:szCs w:val="20"/>
          <w:color w:val="auto"/>
        </w:rPr>
      </w:pPr>
      <w:r>
        <w:rPr>
          <w:rFonts w:ascii="Arial" w:cs="Arial" w:eastAsia="Arial" w:hAnsi="Arial"/>
          <w:sz w:val="18"/>
          <w:szCs w:val="18"/>
          <w:color w:val="auto"/>
        </w:rPr>
        <w:t>In identifying, evaluating and selecting a target business for our initial business combination, we may encounter competition from other entities having a business objective similar to ours, including other special purpose acquisition companies, private equity groups and leveraged buyout funds, public companies and operating businesses seeking strategic acquisitions. Many of these entities are well established and have extensive experience identifying and effecting business combinations directly or through affiliates. Moreover, many of these competitors possess greater financial, technical, human and other resources than us. Our ability to acquire larger target businesses will be limited by our available financial resources. This inherent limitation gives others an advantage in pursuing the acquisition of a target business. Furthermore, our obligation to pay cash in connection with our public stockholders who properly exercise their redemption rights may reduce the resources available to us for our initial business combination and our outstanding warrants, and the future dilution they potentially represent, may not be viewed favorably by certain target businesses. Either of these factors may place us at a competitive disadvantage in successfully negotiating an initial business combination.</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Facilities</w:t>
      </w:r>
    </w:p>
    <w:p>
      <w:pPr>
        <w:spacing w:after="0" w:line="146" w:lineRule="exact"/>
        <w:rPr>
          <w:sz w:val="20"/>
          <w:szCs w:val="20"/>
          <w:color w:val="auto"/>
        </w:rPr>
      </w:pPr>
    </w:p>
    <w:p>
      <w:pPr>
        <w:jc w:val="both"/>
        <w:ind w:left="460" w:right="559"/>
        <w:spacing w:after="0" w:line="255" w:lineRule="auto"/>
        <w:rPr>
          <w:sz w:val="20"/>
          <w:szCs w:val="20"/>
          <w:color w:val="auto"/>
        </w:rPr>
      </w:pPr>
      <w:r>
        <w:rPr>
          <w:rFonts w:ascii="Arial" w:cs="Arial" w:eastAsia="Arial" w:hAnsi="Arial"/>
          <w:sz w:val="18"/>
          <w:szCs w:val="18"/>
          <w:color w:val="auto"/>
        </w:rPr>
        <w:t>We currently utilize office space at 667 Madison Avenue, New York, NY 10065 from an affiliate of our sponsor and the members of our management team. We consider our current office space adequate for our current operations.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Employees</w:t>
      </w:r>
    </w:p>
    <w:p>
      <w:pPr>
        <w:spacing w:after="0" w:line="133" w:lineRule="exact"/>
        <w:rPr>
          <w:sz w:val="20"/>
          <w:szCs w:val="20"/>
          <w:color w:val="auto"/>
        </w:rPr>
      </w:pPr>
    </w:p>
    <w:p>
      <w:pPr>
        <w:ind w:left="460" w:right="499"/>
        <w:spacing w:after="0" w:line="241" w:lineRule="auto"/>
        <w:rPr>
          <w:sz w:val="20"/>
          <w:szCs w:val="20"/>
          <w:color w:val="auto"/>
        </w:rPr>
      </w:pPr>
      <w:r>
        <w:rPr>
          <w:rFonts w:ascii="Arial" w:cs="Arial" w:eastAsia="Arial" w:hAnsi="Arial"/>
          <w:sz w:val="18"/>
          <w:szCs w:val="18"/>
          <w:color w:val="auto"/>
        </w:rPr>
        <w:t>We currently have three executive officers: Eli Casdin, Brian Emes and Shaun Rodriguez.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 time employees prior to the completion of our initial business combination.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81" w:right="1440" w:bottom="1440" w:gutter="0" w:footer="0" w:header="0"/>
          <w:type w:val="continuous"/>
        </w:sectPr>
      </w:pPr>
    </w:p>
    <w:bookmarkStart w:id="103" w:name="page104"/>
    <w:bookmarkEnd w:id="103"/>
    <w:p>
      <w:pPr>
        <w:ind w:left="460"/>
        <w:spacing w:after="0"/>
        <w:rPr>
          <w:sz w:val="20"/>
          <w:szCs w:val="20"/>
          <w:color w:val="auto"/>
        </w:rPr>
      </w:pPr>
      <w:r>
        <w:rPr>
          <w:rFonts w:ascii="Arial" w:cs="Arial" w:eastAsia="Arial" w:hAnsi="Arial"/>
          <w:sz w:val="18"/>
          <w:szCs w:val="18"/>
          <w:b w:val="1"/>
          <w:bCs w:val="1"/>
          <w:color w:val="auto"/>
        </w:rPr>
        <w:t>Periodic Reporting and Financial Information</w:t>
      </w:r>
    </w:p>
    <w:p>
      <w:pPr>
        <w:spacing w:after="0" w:line="146" w:lineRule="exact"/>
        <w:rPr>
          <w:sz w:val="20"/>
          <w:szCs w:val="20"/>
          <w:color w:val="auto"/>
        </w:rPr>
      </w:pPr>
    </w:p>
    <w:p>
      <w:pPr>
        <w:ind w:left="460" w:right="479"/>
        <w:spacing w:after="0" w:line="268" w:lineRule="auto"/>
        <w:rPr>
          <w:sz w:val="20"/>
          <w:szCs w:val="20"/>
          <w:color w:val="auto"/>
        </w:rPr>
      </w:pPr>
      <w:r>
        <w:rPr>
          <w:rFonts w:ascii="Arial" w:cs="Arial" w:eastAsia="Arial" w:hAnsi="Arial"/>
          <w:sz w:val="17"/>
          <w:szCs w:val="17"/>
          <w:color w:val="auto"/>
        </w:rPr>
        <w:t>We have registered our units, Class A common stock and warrants under the Exchange Act and have reporting obligations, including the requirement that we file annual, quarterly and current reports with the SEC. In accordance with the requirements of the Exchange Act, our annual reports will contain financial statements audited and reported on by our independent registered public accountants.</w:t>
      </w:r>
    </w:p>
    <w:p>
      <w:pPr>
        <w:spacing w:after="0" w:line="72"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We will provide stockholders with audited financial statements of the prospective target business as part of the proxy solicitation materials or tender offer documents sent to stockholders to assist them in assessing the target business. In all likelihood, these financial statements will need to be prepared in accordance with, or reconciled to, GAAP, or IFRS, depending on the circumstances, and the historical financial statements may be required to be audited in accordance with the standards of the PCAOB. These financial statement requirements may limit the pool of potential target businesses we may conduct an initial business combination with because some targets may be unable to provide such statements in time for us to disclose such statements in accordance with federal proxy rules and complete our initial business combination within the prescribed time frame. We cannot assure you that any particular target business identified by us as a potential business combination candidate will have financial statements prepared in accordance with the requirements outlined above, or that the potential target business will be able to prepare its financial statements in accordance with the requirements outlined above. To the extent that these requirements cannot be met, we may not be able to acquire the proposed target business. While this may limit the pool of potential business combination candidates, we do not believe that this limitation will be material.</w:t>
      </w:r>
    </w:p>
    <w:p>
      <w:pPr>
        <w:spacing w:after="0" w:line="120" w:lineRule="exact"/>
        <w:rPr>
          <w:sz w:val="20"/>
          <w:szCs w:val="20"/>
          <w:color w:val="auto"/>
        </w:rPr>
      </w:pPr>
    </w:p>
    <w:p>
      <w:pPr>
        <w:ind w:left="460" w:right="479"/>
        <w:spacing w:after="0"/>
        <w:rPr>
          <w:sz w:val="20"/>
          <w:szCs w:val="20"/>
          <w:color w:val="auto"/>
        </w:rPr>
      </w:pPr>
      <w:r>
        <w:rPr>
          <w:rFonts w:ascii="Arial" w:cs="Arial" w:eastAsia="Arial" w:hAnsi="Arial"/>
          <w:sz w:val="18"/>
          <w:szCs w:val="18"/>
          <w:color w:val="auto"/>
        </w:rPr>
        <w:t>We will be required to evaluate our internal control procedures for the fiscal year ending December 31, 2021 as required by the Sarbanes-Oxley Act. Only in the event we are deemed to be a large accelerated filer or an accelerated filer, and no longer qualify as an emerging growth company, will we be required to have our internal control procedures audited. A target business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business combination.</w:t>
      </w:r>
    </w:p>
    <w:p>
      <w:pPr>
        <w:spacing w:after="0" w:line="113" w:lineRule="exact"/>
        <w:rPr>
          <w:sz w:val="20"/>
          <w:szCs w:val="20"/>
          <w:color w:val="auto"/>
        </w:rPr>
      </w:pPr>
    </w:p>
    <w:p>
      <w:pPr>
        <w:ind w:left="460" w:right="499"/>
        <w:spacing w:after="0" w:line="245" w:lineRule="auto"/>
        <w:rPr>
          <w:sz w:val="20"/>
          <w:szCs w:val="20"/>
          <w:color w:val="auto"/>
        </w:rPr>
      </w:pPr>
      <w:r>
        <w:rPr>
          <w:rFonts w:ascii="Arial" w:cs="Arial" w:eastAsia="Arial" w:hAnsi="Arial"/>
          <w:sz w:val="18"/>
          <w:szCs w:val="18"/>
          <w:color w:val="auto"/>
        </w:rPr>
        <w:t>Prior to the date of this prospectus, we filed a Registration Statement on Form 8-A with the SEC to voluntarily register our securities under Section 12 of the Exchange Act. As a result, we are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91" w:lineRule="exact"/>
        <w:rPr>
          <w:sz w:val="20"/>
          <w:szCs w:val="20"/>
          <w:color w:val="auto"/>
        </w:rPr>
      </w:pPr>
    </w:p>
    <w:p>
      <w:pPr>
        <w:ind w:left="460" w:right="659"/>
        <w:spacing w:after="0" w:line="239" w:lineRule="auto"/>
        <w:rPr>
          <w:sz w:val="20"/>
          <w:szCs w:val="20"/>
          <w:color w:val="auto"/>
        </w:rPr>
      </w:pPr>
      <w:r>
        <w:rPr>
          <w:rFonts w:ascii="Arial" w:cs="Arial" w:eastAsia="Arial" w:hAnsi="Arial"/>
          <w:sz w:val="18"/>
          <w:szCs w:val="18"/>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12" w:lineRule="exact"/>
        <w:rPr>
          <w:sz w:val="20"/>
          <w:szCs w:val="20"/>
          <w:color w:val="auto"/>
        </w:rPr>
      </w:pPr>
    </w:p>
    <w:p>
      <w:pPr>
        <w:ind w:left="460" w:right="479"/>
        <w:spacing w:after="0" w:line="245"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05" w:lineRule="exact"/>
        <w:rPr>
          <w:sz w:val="20"/>
          <w:szCs w:val="20"/>
          <w:color w:val="auto"/>
        </w:rPr>
      </w:pPr>
    </w:p>
    <w:p>
      <w:pPr>
        <w:ind w:left="460" w:right="599"/>
        <w:spacing w:after="0" w:line="238" w:lineRule="auto"/>
        <w:rPr>
          <w:sz w:val="20"/>
          <w:szCs w:val="20"/>
          <w:color w:val="auto"/>
        </w:rPr>
      </w:pPr>
      <w:r>
        <w:rPr>
          <w:rFonts w:ascii="Arial" w:cs="Arial" w:eastAsia="Arial" w:hAnsi="Arial"/>
          <w:sz w:val="18"/>
          <w:szCs w:val="18"/>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shares of Class A common stock that are held by non-affiliates exceeds $700 million as of the prior June 30</w:t>
      </w:r>
      <w:r>
        <w:rPr>
          <w:rFonts w:ascii="Arial" w:cs="Arial" w:eastAsia="Arial" w:hAnsi="Arial"/>
          <w:sz w:val="20"/>
          <w:szCs w:val="20"/>
          <w:color w:val="auto"/>
          <w:vertAlign w:val="superscript"/>
        </w:rPr>
        <w:t>th</w:t>
      </w:r>
      <w:r>
        <w:rPr>
          <w:rFonts w:ascii="Arial" w:cs="Arial" w:eastAsia="Arial" w:hAnsi="Arial"/>
          <w:sz w:val="18"/>
          <w:szCs w:val="18"/>
          <w:color w:val="auto"/>
        </w:rPr>
        <w:t>, and (2) the date on which we have issued more than $1.0 billion in non-convertible debt securities during the prior three-year period.</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sectPr>
      </w:pPr>
    </w:p>
    <w:bookmarkStart w:id="104" w:name="page105"/>
    <w:bookmarkEnd w:id="104"/>
    <w:p>
      <w:pPr>
        <w:ind w:left="460" w:right="459"/>
        <w:spacing w:after="0" w:line="237"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prior June 30</w:t>
      </w:r>
      <w:r>
        <w:rPr>
          <w:rFonts w:ascii="Arial" w:cs="Arial" w:eastAsia="Arial" w:hAnsi="Arial"/>
          <w:sz w:val="20"/>
          <w:szCs w:val="20"/>
          <w:color w:val="auto"/>
          <w:vertAlign w:val="superscript"/>
        </w:rPr>
        <w:t>th</w:t>
      </w:r>
      <w:r>
        <w:rPr>
          <w:rFonts w:ascii="Arial" w:cs="Arial" w:eastAsia="Arial" w:hAnsi="Arial"/>
          <w:sz w:val="18"/>
          <w:szCs w:val="18"/>
          <w:color w:val="auto"/>
        </w:rPr>
        <w:t>, or (2) our annual revenues exceeded $100 million during such completed fiscal year and the market value of our common stock held by non-affiliates exceeds $700 million as of the prior June 30.</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Legal Proceedings</w:t>
      </w:r>
    </w:p>
    <w:p>
      <w:pPr>
        <w:spacing w:after="0" w:line="133" w:lineRule="exact"/>
        <w:rPr>
          <w:sz w:val="20"/>
          <w:szCs w:val="20"/>
          <w:color w:val="auto"/>
        </w:rPr>
      </w:pPr>
    </w:p>
    <w:p>
      <w:pPr>
        <w:ind w:left="460" w:right="559"/>
        <w:spacing w:after="0" w:line="276" w:lineRule="auto"/>
        <w:rPr>
          <w:sz w:val="20"/>
          <w:szCs w:val="20"/>
          <w:color w:val="auto"/>
        </w:rPr>
      </w:pPr>
      <w:r>
        <w:rPr>
          <w:rFonts w:ascii="Arial" w:cs="Arial" w:eastAsia="Arial" w:hAnsi="Arial"/>
          <w:sz w:val="18"/>
          <w:szCs w:val="18"/>
          <w:color w:val="auto"/>
        </w:rPr>
        <w:t>There is no material litigation, arbitration or governmental proceeding currently pending against us or any members of our management team in their capacity as such.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5" w:name="page106"/>
    <w:bookmarkEnd w:id="105"/>
    <w:p>
      <w:pPr>
        <w:ind w:left="3840"/>
        <w:spacing w:after="0"/>
        <w:rPr>
          <w:sz w:val="20"/>
          <w:szCs w:val="20"/>
          <w:color w:val="auto"/>
        </w:rPr>
      </w:pPr>
      <w:r>
        <w:rPr>
          <w:rFonts w:ascii="Arial" w:cs="Arial" w:eastAsia="Arial" w:hAnsi="Arial"/>
          <w:sz w:val="18"/>
          <w:szCs w:val="18"/>
          <w:b w:val="1"/>
          <w:bCs w:val="1"/>
          <w:color w:val="auto"/>
        </w:rPr>
        <w:t>MANAGEMENT</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Officers, Directors and Director Nominees</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officers, directors and director nominees are as follows:</w:t>
      </w:r>
    </w:p>
    <w:p>
      <w:pPr>
        <w:spacing w:after="0" w:line="260" w:lineRule="exact"/>
        <w:rPr>
          <w:sz w:val="20"/>
          <w:szCs w:val="20"/>
          <w:color w:val="auto"/>
        </w:rPr>
      </w:pPr>
    </w:p>
    <w:tbl>
      <w:tblPr>
        <w:tblLayout w:type="fixed"/>
        <w:tblInd w:w="460" w:type="dxa"/>
        <w:tblCellMar>
          <w:top w:w="0" w:type="dxa"/>
          <w:left w:w="0" w:type="dxa"/>
          <w:bottom w:w="0" w:type="dxa"/>
          <w:right w:w="0" w:type="dxa"/>
        </w:tblCellMar>
      </w:tblPr>
      <w:tr>
        <w:trPr>
          <w:trHeight w:val="211"/>
        </w:trPr>
        <w:tc>
          <w:tcPr>
            <w:tcW w:w="2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Age</w:t>
            </w:r>
          </w:p>
        </w:tc>
        <w:tc>
          <w:tcPr>
            <w:tcW w:w="100" w:type="dxa"/>
            <w:vAlign w:val="bottom"/>
            <w:tcBorders>
              <w:bottom w:val="single" w:sz="8" w:color="CCEEFF"/>
            </w:tcBorders>
          </w:tcPr>
          <w:p>
            <w:pPr>
              <w:spacing w:after="0"/>
              <w:rPr>
                <w:sz w:val="18"/>
                <w:szCs w:val="18"/>
                <w:color w:val="auto"/>
              </w:rPr>
            </w:pPr>
          </w:p>
        </w:tc>
        <w:tc>
          <w:tcPr>
            <w:tcW w:w="4300" w:type="dxa"/>
            <w:vAlign w:val="bottom"/>
            <w:tcBorders>
              <w:bottom w:val="single" w:sz="8" w:color="auto"/>
            </w:tcBorders>
          </w:tcPr>
          <w:p>
            <w:pPr>
              <w:ind w:left="1860"/>
              <w:spacing w:after="0"/>
              <w:rPr>
                <w:sz w:val="20"/>
                <w:szCs w:val="20"/>
                <w:color w:val="auto"/>
              </w:rPr>
            </w:pPr>
            <w:r>
              <w:rPr>
                <w:rFonts w:ascii="Arial" w:cs="Arial" w:eastAsia="Arial" w:hAnsi="Arial"/>
                <w:sz w:val="14"/>
                <w:szCs w:val="14"/>
                <w:b w:val="1"/>
                <w:bCs w:val="1"/>
                <w:color w:val="auto"/>
              </w:rPr>
              <w:t>Position</w:t>
            </w:r>
          </w:p>
        </w:tc>
      </w:tr>
      <w:tr>
        <w:trPr>
          <w:trHeight w:val="250"/>
        </w:trPr>
        <w:tc>
          <w:tcPr>
            <w:tcW w:w="2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Eli D. Casdin</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47</w:t>
            </w:r>
          </w:p>
        </w:tc>
        <w:tc>
          <w:tcPr>
            <w:tcW w:w="100" w:type="dxa"/>
            <w:vAlign w:val="bottom"/>
            <w:tcBorders>
              <w:bottom w:val="single" w:sz="8" w:color="CCEEFF"/>
            </w:tcBorders>
            <w:shd w:val="clear" w:color="auto" w:fill="CCEEFF"/>
          </w:tcPr>
          <w:p>
            <w:pPr>
              <w:spacing w:after="0"/>
              <w:rPr>
                <w:sz w:val="21"/>
                <w:szCs w:val="21"/>
                <w:color w:val="auto"/>
              </w:rPr>
            </w:pPr>
          </w:p>
        </w:tc>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Chief Executive Officer and Director</w:t>
            </w:r>
          </w:p>
        </w:tc>
      </w:tr>
      <w:tr>
        <w:trPr>
          <w:trHeight w:val="261"/>
        </w:trPr>
        <w:tc>
          <w:tcPr>
            <w:tcW w:w="2860" w:type="dxa"/>
            <w:vAlign w:val="bottom"/>
            <w:gridSpan w:val="2"/>
          </w:tcPr>
          <w:p>
            <w:pPr>
              <w:spacing w:after="0"/>
              <w:rPr>
                <w:sz w:val="20"/>
                <w:szCs w:val="20"/>
                <w:color w:val="auto"/>
              </w:rPr>
            </w:pPr>
            <w:r>
              <w:rPr>
                <w:rFonts w:ascii="Arial" w:cs="Arial" w:eastAsia="Arial" w:hAnsi="Arial"/>
                <w:sz w:val="18"/>
                <w:szCs w:val="18"/>
                <w:color w:val="auto"/>
              </w:rPr>
              <w:t>Keith A. Meister</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47</w:t>
            </w:r>
          </w:p>
        </w:tc>
        <w:tc>
          <w:tcPr>
            <w:tcW w:w="100" w:type="dxa"/>
            <w:vAlign w:val="bottom"/>
          </w:tcPr>
          <w:p>
            <w:pPr>
              <w:spacing w:after="0"/>
              <w:rPr>
                <w:sz w:val="22"/>
                <w:szCs w:val="22"/>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Chairman</w:t>
            </w:r>
          </w:p>
        </w:tc>
      </w:tr>
      <w:tr>
        <w:trPr>
          <w:trHeight w:val="23"/>
        </w:trPr>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00" w:type="dxa"/>
            <w:vAlign w:val="bottom"/>
          </w:tcPr>
          <w:p>
            <w:pPr>
              <w:spacing w:after="0"/>
              <w:rPr>
                <w:sz w:val="2"/>
                <w:szCs w:val="2"/>
                <w:color w:val="auto"/>
              </w:rPr>
            </w:pPr>
          </w:p>
        </w:tc>
      </w:tr>
      <w:tr>
        <w:trPr>
          <w:trHeight w:val="263"/>
        </w:trPr>
        <w:tc>
          <w:tcPr>
            <w:tcW w:w="2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Brian Emes</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37</w:t>
            </w:r>
          </w:p>
        </w:tc>
        <w:tc>
          <w:tcPr>
            <w:tcW w:w="100" w:type="dxa"/>
            <w:vAlign w:val="bottom"/>
            <w:tcBorders>
              <w:bottom w:val="single" w:sz="8" w:color="CCEEFF"/>
            </w:tcBorders>
            <w:shd w:val="clear" w:color="auto" w:fill="CCEEFF"/>
          </w:tcPr>
          <w:p>
            <w:pPr>
              <w:spacing w:after="0"/>
              <w:rPr>
                <w:sz w:val="22"/>
                <w:szCs w:val="22"/>
                <w:color w:val="auto"/>
              </w:rPr>
            </w:pPr>
          </w:p>
        </w:tc>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Chief Financial Officer and Secretary</w:t>
            </w:r>
          </w:p>
        </w:tc>
      </w:tr>
      <w:tr>
        <w:trPr>
          <w:trHeight w:val="261"/>
        </w:trPr>
        <w:tc>
          <w:tcPr>
            <w:tcW w:w="2860" w:type="dxa"/>
            <w:vAlign w:val="bottom"/>
            <w:gridSpan w:val="2"/>
          </w:tcPr>
          <w:p>
            <w:pPr>
              <w:spacing w:after="0"/>
              <w:rPr>
                <w:sz w:val="20"/>
                <w:szCs w:val="20"/>
                <w:color w:val="auto"/>
              </w:rPr>
            </w:pPr>
            <w:r>
              <w:rPr>
                <w:rFonts w:ascii="Arial" w:cs="Arial" w:eastAsia="Arial" w:hAnsi="Arial"/>
                <w:sz w:val="18"/>
                <w:szCs w:val="18"/>
                <w:color w:val="auto"/>
              </w:rPr>
              <w:t>Shaun Rodriguez</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42</w:t>
            </w:r>
          </w:p>
        </w:tc>
        <w:tc>
          <w:tcPr>
            <w:tcW w:w="100" w:type="dxa"/>
            <w:vAlign w:val="bottom"/>
          </w:tcPr>
          <w:p>
            <w:pPr>
              <w:spacing w:after="0"/>
              <w:rPr>
                <w:sz w:val="22"/>
                <w:szCs w:val="22"/>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Chief Strategy Officer</w:t>
            </w:r>
          </w:p>
        </w:tc>
      </w:tr>
      <w:tr>
        <w:trPr>
          <w:trHeight w:val="23"/>
        </w:trPr>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00" w:type="dxa"/>
            <w:vAlign w:val="bottom"/>
          </w:tcPr>
          <w:p>
            <w:pPr>
              <w:spacing w:after="0"/>
              <w:rPr>
                <w:sz w:val="2"/>
                <w:szCs w:val="2"/>
                <w:color w:val="auto"/>
              </w:rPr>
            </w:pPr>
          </w:p>
        </w:tc>
      </w:tr>
      <w:tr>
        <w:trPr>
          <w:trHeight w:val="264"/>
        </w:trPr>
        <w:tc>
          <w:tcPr>
            <w:tcW w:w="2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Sean George</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46</w:t>
            </w:r>
          </w:p>
        </w:tc>
        <w:tc>
          <w:tcPr>
            <w:tcW w:w="100" w:type="dxa"/>
            <w:vAlign w:val="bottom"/>
            <w:tcBorders>
              <w:bottom w:val="single" w:sz="8" w:color="CCEEFF"/>
            </w:tcBorders>
            <w:shd w:val="clear" w:color="auto" w:fill="CCEEFF"/>
          </w:tcPr>
          <w:p>
            <w:pPr>
              <w:spacing w:after="0"/>
              <w:rPr>
                <w:sz w:val="22"/>
                <w:szCs w:val="22"/>
                <w:color w:val="auto"/>
              </w:rPr>
            </w:pPr>
          </w:p>
        </w:tc>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 Nominee</w:t>
            </w:r>
          </w:p>
        </w:tc>
      </w:tr>
      <w:tr>
        <w:trPr>
          <w:trHeight w:val="260"/>
        </w:trPr>
        <w:tc>
          <w:tcPr>
            <w:tcW w:w="2860" w:type="dxa"/>
            <w:vAlign w:val="bottom"/>
            <w:gridSpan w:val="2"/>
          </w:tcPr>
          <w:p>
            <w:pPr>
              <w:spacing w:after="0"/>
              <w:rPr>
                <w:sz w:val="20"/>
                <w:szCs w:val="20"/>
                <w:color w:val="auto"/>
              </w:rPr>
            </w:pPr>
            <w:r>
              <w:rPr>
                <w:rFonts w:ascii="Arial" w:cs="Arial" w:eastAsia="Arial" w:hAnsi="Arial"/>
                <w:sz w:val="18"/>
                <w:szCs w:val="18"/>
                <w:color w:val="auto"/>
              </w:rPr>
              <w:t>Munib Islam</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46</w:t>
            </w:r>
          </w:p>
        </w:tc>
        <w:tc>
          <w:tcPr>
            <w:tcW w:w="100" w:type="dxa"/>
            <w:vAlign w:val="bottom"/>
          </w:tcPr>
          <w:p>
            <w:pPr>
              <w:spacing w:after="0"/>
              <w:rPr>
                <w:sz w:val="22"/>
                <w:szCs w:val="22"/>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Director Nominee</w:t>
            </w:r>
          </w:p>
        </w:tc>
      </w:tr>
      <w:tr>
        <w:trPr>
          <w:trHeight w:val="23"/>
        </w:trPr>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00" w:type="dxa"/>
            <w:vAlign w:val="bottom"/>
          </w:tcPr>
          <w:p>
            <w:pPr>
              <w:spacing w:after="0"/>
              <w:rPr>
                <w:sz w:val="2"/>
                <w:szCs w:val="2"/>
                <w:color w:val="auto"/>
              </w:rPr>
            </w:pPr>
          </w:p>
        </w:tc>
      </w:tr>
      <w:tr>
        <w:trPr>
          <w:trHeight w:val="263"/>
        </w:trPr>
        <w:tc>
          <w:tcPr>
            <w:tcW w:w="2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Emily Leproust</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47</w:t>
            </w:r>
          </w:p>
        </w:tc>
        <w:tc>
          <w:tcPr>
            <w:tcW w:w="100" w:type="dxa"/>
            <w:vAlign w:val="bottom"/>
            <w:tcBorders>
              <w:bottom w:val="single" w:sz="8" w:color="CCEEFF"/>
            </w:tcBorders>
            <w:shd w:val="clear" w:color="auto" w:fill="CCEEFF"/>
          </w:tcPr>
          <w:p>
            <w:pPr>
              <w:spacing w:after="0"/>
              <w:rPr>
                <w:sz w:val="22"/>
                <w:szCs w:val="22"/>
                <w:color w:val="auto"/>
              </w:rPr>
            </w:pPr>
          </w:p>
        </w:tc>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 Nominee</w:t>
            </w:r>
          </w:p>
        </w:tc>
      </w:tr>
      <w:tr>
        <w:trPr>
          <w:trHeight w:val="261"/>
        </w:trPr>
        <w:tc>
          <w:tcPr>
            <w:tcW w:w="2860" w:type="dxa"/>
            <w:vAlign w:val="bottom"/>
            <w:gridSpan w:val="2"/>
          </w:tcPr>
          <w:p>
            <w:pPr>
              <w:spacing w:after="0"/>
              <w:rPr>
                <w:sz w:val="20"/>
                <w:szCs w:val="20"/>
                <w:color w:val="auto"/>
              </w:rPr>
            </w:pPr>
            <w:r>
              <w:rPr>
                <w:rFonts w:ascii="Arial" w:cs="Arial" w:eastAsia="Arial" w:hAnsi="Arial"/>
                <w:sz w:val="18"/>
                <w:szCs w:val="18"/>
                <w:color w:val="auto"/>
              </w:rPr>
              <w:t>Nat Turner</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34</w:t>
            </w:r>
          </w:p>
        </w:tc>
        <w:tc>
          <w:tcPr>
            <w:tcW w:w="100" w:type="dxa"/>
            <w:vAlign w:val="bottom"/>
          </w:tcPr>
          <w:p>
            <w:pPr>
              <w:spacing w:after="0"/>
              <w:rPr>
                <w:sz w:val="22"/>
                <w:szCs w:val="22"/>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Director Nominee</w:t>
            </w:r>
          </w:p>
        </w:tc>
      </w:tr>
    </w:tbl>
    <w:p>
      <w:pPr>
        <w:spacing w:after="0" w:line="176" w:lineRule="exact"/>
        <w:rPr>
          <w:sz w:val="20"/>
          <w:szCs w:val="20"/>
          <w:color w:val="auto"/>
        </w:rPr>
      </w:pPr>
    </w:p>
    <w:p>
      <w:pPr>
        <w:ind w:left="460" w:right="659"/>
        <w:spacing w:after="0" w:line="239" w:lineRule="auto"/>
        <w:rPr>
          <w:sz w:val="20"/>
          <w:szCs w:val="20"/>
          <w:color w:val="auto"/>
        </w:rPr>
      </w:pPr>
      <w:r>
        <w:rPr>
          <w:rFonts w:ascii="Arial" w:cs="Arial" w:eastAsia="Arial" w:hAnsi="Arial"/>
          <w:sz w:val="18"/>
          <w:szCs w:val="18"/>
          <w:b w:val="1"/>
          <w:bCs w:val="1"/>
          <w:i w:val="1"/>
          <w:iCs w:val="1"/>
          <w:color w:val="auto"/>
        </w:rPr>
        <w:t xml:space="preserve">Eli Casdin </w:t>
      </w:r>
      <w:r>
        <w:rPr>
          <w:rFonts w:ascii="Arial" w:cs="Arial" w:eastAsia="Arial" w:hAnsi="Arial"/>
          <w:sz w:val="18"/>
          <w:szCs w:val="18"/>
          <w:color w:val="auto"/>
        </w:rPr>
        <w:t>has been our Chief Executive Officer since July 2020. He founded Casdin Capital,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investment firm focused on the life sciences and healthcare industry, in November 2011 and currently serves as its Chief Investment Officer. Mr. Casdin has served on the board of directors of Exact Sciences Corp. (Nasdaq: EXAS), a molecular diagnostics company focused on early cancer detection, treatment and monitoring, since October 2017. Mr. Casdin holds a B.S. degree from Columbia University School of General Studies and an MBA from Columbia Business School. His qualifications to serve on our board of directors include his extensive leadership experience as an executive officer of an investment firm, his extensive public and private company directorship experience in the life sciences and healthcare sectors, and his expertise in finance, capital markets, and the biotechnology industry.</w:t>
      </w:r>
    </w:p>
    <w:p>
      <w:pPr>
        <w:spacing w:after="0" w:line="72"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b w:val="1"/>
          <w:bCs w:val="1"/>
          <w:i w:val="1"/>
          <w:iCs w:val="1"/>
          <w:color w:val="auto"/>
        </w:rPr>
        <w:t xml:space="preserve">Keith Meister </w:t>
      </w:r>
      <w:r>
        <w:rPr>
          <w:rFonts w:ascii="Arial" w:cs="Arial" w:eastAsia="Arial" w:hAnsi="Arial"/>
          <w:sz w:val="18"/>
          <w:szCs w:val="18"/>
          <w:color w:val="auto"/>
        </w:rPr>
        <w:t>has been Chairman of our board of directors since July 2020. He founded Corvex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LP, a New York based investment manager, in December 2010 and since its inception has served as its Managing Partner and Chief Investment Officer. From 2003 to 2010, Mr. Meister served as Chief Executive Officer and then Principal Executive Officer and Vice Chairman of the Board of Icahn Enterprises L.P. (Nasdaq: IEP), the primary investment vehicle for Carl Icahn. Mr. Meister currently serves on the Board of Directors of MGM Resorts International (NYSE: MGM), a global hospitality and entertainment company, and its affiliate Roar Digital. Mr. Meister has previously served on the Board of Directors of numerous other public companies in his career, including Yum! Brands Inc. (NYSE: YUM), The Williams Companies, Inc. (NYSE: WMB), ADT, Inc. (NYSE: ADT), Ralcorp Holdings, Inc. and Motorola, Inc. (now Motorola Solutions, Inc., NYSE: MSI/Motorola Mobility, Inc.). He is Chairman of the board of the Harlem Children’s Zone and also serves on the board of trustees of the American Museum of Natural History. Mr. Meister holds a B.A. degree in government from Harvard College where he graduated cum laude. His qualifications to serve on our board of directors include his extensive leadership experience as managing partner and executive officer of an investment firm and a diversified holding company, his extensive public company directorship experience in a variety of industries, and his expertise in finance, capital markets, strategic development, and risk management.</w:t>
      </w:r>
    </w:p>
    <w:p>
      <w:pPr>
        <w:spacing w:after="0" w:line="76" w:lineRule="exact"/>
        <w:rPr>
          <w:sz w:val="20"/>
          <w:szCs w:val="20"/>
          <w:color w:val="auto"/>
        </w:rPr>
      </w:pPr>
    </w:p>
    <w:p>
      <w:pPr>
        <w:ind w:left="460" w:right="459"/>
        <w:spacing w:after="0" w:line="248" w:lineRule="auto"/>
        <w:rPr>
          <w:sz w:val="20"/>
          <w:szCs w:val="20"/>
          <w:color w:val="auto"/>
        </w:rPr>
      </w:pPr>
      <w:r>
        <w:rPr>
          <w:rFonts w:ascii="Arial" w:cs="Arial" w:eastAsia="Arial" w:hAnsi="Arial"/>
          <w:sz w:val="18"/>
          <w:szCs w:val="18"/>
          <w:b w:val="1"/>
          <w:bCs w:val="1"/>
          <w:i w:val="1"/>
          <w:iCs w:val="1"/>
          <w:color w:val="auto"/>
        </w:rPr>
        <w:t xml:space="preserve">Brian Emes </w:t>
      </w:r>
      <w:r>
        <w:rPr>
          <w:rFonts w:ascii="Arial" w:cs="Arial" w:eastAsia="Arial" w:hAnsi="Arial"/>
          <w:sz w:val="18"/>
          <w:szCs w:val="18"/>
          <w:color w:val="auto"/>
        </w:rPr>
        <w:t>has been our Chief Financial Officer and Secretary since July 2020. Mr. Emes is also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Chief Financial Officer of Corvex Management LP, a New York based investment manager, which he joined in January 2013. Mr. Emes holds a B.S. degree in finance and marketing from Elon University’s Martha &amp; Spencer Love School of Business, and is a licensed certified public accountant.</w:t>
      </w:r>
    </w:p>
    <w:p>
      <w:pPr>
        <w:spacing w:after="0" w:line="62" w:lineRule="exact"/>
        <w:rPr>
          <w:sz w:val="20"/>
          <w:szCs w:val="20"/>
          <w:color w:val="auto"/>
        </w:rPr>
      </w:pPr>
    </w:p>
    <w:p>
      <w:pPr>
        <w:ind w:left="460" w:right="499"/>
        <w:spacing w:after="0"/>
        <w:rPr>
          <w:sz w:val="20"/>
          <w:szCs w:val="20"/>
          <w:color w:val="auto"/>
        </w:rPr>
      </w:pPr>
      <w:r>
        <w:rPr>
          <w:rFonts w:ascii="Arial" w:cs="Arial" w:eastAsia="Arial" w:hAnsi="Arial"/>
          <w:sz w:val="18"/>
          <w:szCs w:val="18"/>
          <w:b w:val="1"/>
          <w:bCs w:val="1"/>
          <w:i w:val="1"/>
          <w:iCs w:val="1"/>
          <w:color w:val="auto"/>
        </w:rPr>
        <w:t xml:space="preserve">Shaun Rodriguez </w:t>
      </w:r>
      <w:r>
        <w:rPr>
          <w:rFonts w:ascii="Arial" w:cs="Arial" w:eastAsia="Arial" w:hAnsi="Arial"/>
          <w:sz w:val="18"/>
          <w:szCs w:val="18"/>
          <w:color w:val="auto"/>
        </w:rPr>
        <w:t>has been our Chief Strategy Officer since July 2020. Mr. Rodriguez joined Casdin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LLC, an investment firm focused on the life sciences and healthcare industry, in July 2015 as a Senior Research Analyst and currently serves as its Director of Life Science Research. His coverage universe at Casdin Capital, LLC focuses on life science tools, diagnostics, health technology and services, and industrial applications of biotechnology. From February 2011 to July 2015, Mr. Rodriguez served as Director and Senior Research Analyst in the healthcare equity research group of Cowen Inc. (Nasdaq: COWN), an investment bank and financial services company. Mr. Rodriguez holds a Ph.D. in biological sciences from Harvard University.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sectPr>
      </w:pPr>
    </w:p>
    <w:bookmarkStart w:id="106" w:name="page107"/>
    <w:bookmarkEnd w:id="106"/>
    <w:p>
      <w:pPr>
        <w:ind w:left="460" w:right="479"/>
        <w:spacing w:after="0" w:line="239" w:lineRule="auto"/>
        <w:rPr>
          <w:sz w:val="20"/>
          <w:szCs w:val="20"/>
          <w:color w:val="auto"/>
        </w:rPr>
      </w:pPr>
      <w:r>
        <w:rPr>
          <w:rFonts w:ascii="Arial" w:cs="Arial" w:eastAsia="Arial" w:hAnsi="Arial"/>
          <w:sz w:val="18"/>
          <w:szCs w:val="18"/>
          <w:b w:val="1"/>
          <w:bCs w:val="1"/>
          <w:i w:val="1"/>
          <w:iCs w:val="1"/>
          <w:color w:val="auto"/>
        </w:rPr>
        <w:t xml:space="preserve">Sean George </w:t>
      </w:r>
      <w:r>
        <w:rPr>
          <w:rFonts w:ascii="Arial" w:cs="Arial" w:eastAsia="Arial" w:hAnsi="Arial"/>
          <w:sz w:val="18"/>
          <w:szCs w:val="18"/>
          <w:color w:val="auto"/>
        </w:rPr>
        <w:t>will serve on our board of directors following completion of this offering. Dr. George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been Co-Founder, President and Chief Executive Officer of Invitae Corporation (NYSE: NVTA) since January 2017. He also served as Invitae’s President and Chief Operating Officer from August 2012 to January 2017 and as Chief Executive from January 2010 to August 2012. Prior to Invitae, he served as COO at Navigenics, Inc. an early pioneer in personalized genetics from 2007 to November 2009. Before joining Navigenics, Dr. George served in a variety of product, operating and commercial roles at Affymetrix, Inc., Invitrogen Corporation and Molecular Probes, Inc. Dr. George holds a B.S. in Molecular Genetics from UCLA, an M.S. in Molecular Biology from UC Santa Barbara, and a Ph.D. in Molecular Genetics from UC Santa Cruz. His qualifications to serve on our board of directors include his extensive experience in the life sciences sector and his leadership experience guiding an early stage company from startup to market leader.</w:t>
      </w:r>
    </w:p>
    <w:p>
      <w:pPr>
        <w:spacing w:after="0" w:line="68" w:lineRule="exact"/>
        <w:rPr>
          <w:sz w:val="20"/>
          <w:szCs w:val="20"/>
          <w:color w:val="auto"/>
        </w:rPr>
      </w:pPr>
    </w:p>
    <w:p>
      <w:pPr>
        <w:ind w:left="460" w:right="519"/>
        <w:spacing w:after="0" w:line="238" w:lineRule="auto"/>
        <w:rPr>
          <w:sz w:val="20"/>
          <w:szCs w:val="20"/>
          <w:color w:val="auto"/>
        </w:rPr>
      </w:pPr>
      <w:r>
        <w:rPr>
          <w:rFonts w:ascii="Arial" w:cs="Arial" w:eastAsia="Arial" w:hAnsi="Arial"/>
          <w:sz w:val="18"/>
          <w:szCs w:val="18"/>
          <w:b w:val="1"/>
          <w:bCs w:val="1"/>
          <w:i w:val="1"/>
          <w:iCs w:val="1"/>
          <w:color w:val="auto"/>
        </w:rPr>
        <w:t xml:space="preserve">Munib Islam </w:t>
      </w:r>
      <w:r>
        <w:rPr>
          <w:rFonts w:ascii="Arial" w:cs="Arial" w:eastAsia="Arial" w:hAnsi="Arial"/>
          <w:sz w:val="18"/>
          <w:szCs w:val="18"/>
          <w:color w:val="auto"/>
        </w:rPr>
        <w:t>will serve on our board of directors following completion of this offering. Mr. Islam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Co-Chief Investment Officer and a Partner at Third Point LLC, an investment management firm, from July 2019 through 2020. Prior to becoming co-Chief Investment Officer, he served as Head of Equities at Third Point from 2011 to July 2019, where he spearheaded research on Third Point’s strategic block investments globally. From 2008 to 2011, Mr. Islam worked at Highbridge Capital, an investment management firm, where he was a Managing Director and Portfolio Manager of Highbridge’s European Value Equities fund. Mr. Islam previously served on the Board and Executive Selection and Audit Committees of Baxter International, Inc. (NYSE: BAX) from 2015 to 2019, and he currently sits on the Boards of the Stanford Business School Trust and the Brearley School in New York City. Mr. Islam holds a B.A. in Economics from Dartmouth College, where he graduated magna cum laude, and an MBA from the Graduate School of Business at Stanford University. His qualifications to serve on our board of directors include his significant experience in governance, evaluation of investment opportunities, capital allocation, investment management and financial research.</w:t>
      </w:r>
    </w:p>
    <w:p>
      <w:pPr>
        <w:spacing w:after="0" w:line="69" w:lineRule="exact"/>
        <w:rPr>
          <w:sz w:val="20"/>
          <w:szCs w:val="20"/>
          <w:color w:val="auto"/>
        </w:rPr>
      </w:pPr>
    </w:p>
    <w:p>
      <w:pPr>
        <w:ind w:left="460" w:right="479"/>
        <w:spacing w:after="0" w:line="256" w:lineRule="auto"/>
        <w:rPr>
          <w:sz w:val="20"/>
          <w:szCs w:val="20"/>
          <w:color w:val="auto"/>
        </w:rPr>
      </w:pPr>
      <w:r>
        <w:rPr>
          <w:rFonts w:ascii="Arial" w:cs="Arial" w:eastAsia="Arial" w:hAnsi="Arial"/>
          <w:sz w:val="17"/>
          <w:szCs w:val="17"/>
          <w:b w:val="1"/>
          <w:bCs w:val="1"/>
          <w:i w:val="1"/>
          <w:iCs w:val="1"/>
          <w:color w:val="auto"/>
        </w:rPr>
        <w:t>Emily Leproust</w:t>
      </w:r>
      <w:r>
        <w:rPr>
          <w:rFonts w:ascii="Arial" w:cs="Arial" w:eastAsia="Arial" w:hAnsi="Arial"/>
          <w:sz w:val="17"/>
          <w:szCs w:val="17"/>
          <w:color w:val="auto"/>
        </w:rPr>
        <w:t>, will serve on our board of directors following completion of this offering. Dr. Leproust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has been President and Chief Executive Officer of Twist Bioscience Corp. (Nasdaq: TWST) since co-founding Twist in 2013. Since October 2018, she has also served as Chair of the board of directors for Twist. Prior to Twist, Dr. Leproust served in various positions at Agilent Technologies, Inc. (NYSE: A), most recently as its Director, Applications and Chemistry R&amp;D from February 2009 to April 2013. Dr. Leproust holds a M.Sc. in Industrial Chemistry from the Lyon School of Industrial Chemistry and a Ph.D. in Organic Chemistry from the University of Houston. Her qualifications to serve on our board of directors include her extensive professional and educational experience in the life sciences industry.</w:t>
      </w:r>
    </w:p>
    <w:p>
      <w:pPr>
        <w:spacing w:after="0" w:line="60" w:lineRule="exact"/>
        <w:rPr>
          <w:sz w:val="20"/>
          <w:szCs w:val="20"/>
          <w:color w:val="auto"/>
        </w:rPr>
      </w:pPr>
    </w:p>
    <w:p>
      <w:pPr>
        <w:ind w:left="460" w:right="599"/>
        <w:spacing w:after="0" w:line="239" w:lineRule="auto"/>
        <w:rPr>
          <w:sz w:val="20"/>
          <w:szCs w:val="20"/>
          <w:color w:val="auto"/>
        </w:rPr>
      </w:pPr>
      <w:r>
        <w:rPr>
          <w:rFonts w:ascii="Arial" w:cs="Arial" w:eastAsia="Arial" w:hAnsi="Arial"/>
          <w:sz w:val="18"/>
          <w:szCs w:val="18"/>
          <w:b w:val="1"/>
          <w:bCs w:val="1"/>
          <w:i w:val="1"/>
          <w:iCs w:val="1"/>
          <w:color w:val="auto"/>
        </w:rPr>
        <w:t xml:space="preserve">Nat Turner </w:t>
      </w:r>
      <w:r>
        <w:rPr>
          <w:rFonts w:ascii="Arial" w:cs="Arial" w:eastAsia="Arial" w:hAnsi="Arial"/>
          <w:sz w:val="18"/>
          <w:szCs w:val="18"/>
          <w:color w:val="auto"/>
        </w:rPr>
        <w:t>will serve on our board of directors following completion of this offering. Mr. Turner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been the Co-Founder and Chief Executive Officer of Flatiron Health, Inc., a healthcare technology company focusing on accelerating oncology research and improving patient care acquired by Roche Holding AG, since June 2012. Previously, Mr. Turner co-founded and served as Chief Executive Officer of Invite Media, Inc., an advertising technology company, from March 2007 until it was acquired by Google Inc. (Nasdaq: GOOGL) in June 2010, after which he remained at Google until June 2012. Mr. Turner received a B.S., cum laude, in Economics with concentrations in entrepreneurship and marketing from The Wharton School of the University of Pennsylvania. His qualifications to serve on our board of directors include his significant experience in the life sciences industry, both as an executive and as an angel investor.</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146" w:lineRule="exact"/>
        <w:rPr>
          <w:sz w:val="20"/>
          <w:szCs w:val="20"/>
          <w:color w:val="auto"/>
        </w:rPr>
      </w:pPr>
    </w:p>
    <w:p>
      <w:pPr>
        <w:ind w:left="460" w:right="479"/>
        <w:spacing w:after="0" w:line="239" w:lineRule="auto"/>
        <w:rPr>
          <w:sz w:val="20"/>
          <w:szCs w:val="20"/>
          <w:color w:val="auto"/>
        </w:rPr>
      </w:pPr>
      <w:r>
        <w:rPr>
          <w:rFonts w:ascii="Arial" w:cs="Arial" w:eastAsia="Arial" w:hAnsi="Arial"/>
          <w:sz w:val="18"/>
          <w:szCs w:val="18"/>
          <w:color w:val="auto"/>
        </w:rPr>
        <w:t>Our board of directors consists of six members divided into three classes with only one class of directors being elected in each year, and with each class (except for those directors appointed prior to our first annual meeting of stockholders) serving a three-year term. In accordance with Nasdaq corporate governance requirements, we are not required to hold an annual meeting until one year after our first fiscal year end following our listing on Nasdaq. The term of office of the first class of directors, consisting of Dr. George and Dr. Leproust, will expire at our first annual meeting of stockholders. The term of office of the second class of directors, consisting of Mr. Islam and Mr. Turner, will expire at the second annual meeting of stockholders. The term of office of the third class of directors, consisting of Mr. Casdin and Mr. Meister, will expire at the third annual meeting of stockholders.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25" w:right="1440" w:bottom="1440" w:gutter="0" w:footer="0" w:header="0"/>
        </w:sectPr>
      </w:pPr>
    </w:p>
    <w:bookmarkStart w:id="107" w:name="page108"/>
    <w:bookmarkEnd w:id="107"/>
    <w:p>
      <w:pPr>
        <w:ind w:left="460" w:right="779"/>
        <w:spacing w:after="0" w:line="277" w:lineRule="auto"/>
        <w:rPr>
          <w:sz w:val="20"/>
          <w:szCs w:val="20"/>
          <w:color w:val="auto"/>
        </w:rPr>
      </w:pPr>
      <w:r>
        <w:rPr>
          <w:rFonts w:ascii="Arial" w:cs="Arial" w:eastAsia="Arial" w:hAnsi="Arial"/>
          <w:sz w:val="17"/>
          <w:szCs w:val="17"/>
          <w:color w:val="auto"/>
        </w:rPr>
        <w:t>Our officers are appointed by the board of directors and serve at the discretion of the board of directors, rather than for specific terms of office. Our board of directors is authorized to appoint officers as it deems appropriate pursuant to our amended and restated certificate of incorporation.</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 Independence</w:t>
      </w:r>
    </w:p>
    <w:p>
      <w:pPr>
        <w:spacing w:after="0" w:line="133" w:lineRule="exact"/>
        <w:rPr>
          <w:sz w:val="20"/>
          <w:szCs w:val="20"/>
          <w:color w:val="auto"/>
        </w:rPr>
      </w:pPr>
    </w:p>
    <w:p>
      <w:pPr>
        <w:ind w:left="460" w:right="499"/>
        <w:spacing w:after="0" w:line="243" w:lineRule="auto"/>
        <w:rPr>
          <w:sz w:val="20"/>
          <w:szCs w:val="20"/>
          <w:color w:val="auto"/>
        </w:rPr>
      </w:pPr>
      <w:r>
        <w:rPr>
          <w:rFonts w:ascii="Arial" w:cs="Arial" w:eastAsia="Arial" w:hAnsi="Arial"/>
          <w:sz w:val="18"/>
          <w:szCs w:val="18"/>
          <w:color w:val="auto"/>
        </w:rPr>
        <w:t>Nasdaq listing standards require that a majority of our board of directors be independent within one year of our initial public offering. Our board of directors has determined that Dr. George, Mr. Islam, Dr. Leproust, and Mr. Turner are “independent directors” as defined in Nasdaq listing standards and applicable SEC rules and Mr. Meister is an “independent director” as defined in Nasdaq listing standards. Our independent directors will have regularly scheduled meetings at which only independent directors are present.</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Executive Officer and Director Compensation</w:t>
      </w:r>
    </w:p>
    <w:p>
      <w:pPr>
        <w:spacing w:after="0" w:line="146"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In August 2020, our sponsor transferred 25,000 founder shares to each of Mr. Islam, Dr. Leproust and Mr. Turner. None of our executive officers or directors have received any cash compensation for services rendered to us. Our sponsor, executive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executive officers or directors, or our or their affiliates. Any such payments prior to an initial business combination will be made from funds held outside the trust account. Other than quarterly audit committee review of such reimbursements, we do not expect to have any additional controls in place governing our reimbursement payments to our directors and executive officers for their out-of-pocket expenses incurred in connection with our activities on our behalf in connection with identifying and consummating an initial business combination. Other than these reimbursements, no compensation of any kind, including finder’s and consulting fees, will be paid by the company to our sponsor, executive officers and directors, or any of their respective affiliates, prior to completion of our initial business combination.</w:t>
      </w:r>
    </w:p>
    <w:p>
      <w:pPr>
        <w:spacing w:after="0" w:line="120"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After the completion of our initial business combination, directors or members of our management team who remain with us may be paid consulting or management fees from the combined company. All of these fees will be fully disclosed to stockholders, to the extent then known, in the proxy solicitation materials or tender offer materials furnished to our stockholders in connection with a proposed business combination. We have not established any limit on the amount of such fees that may be paid by the combined company to our directors or members of management. It is unlikely the amount of such compensation will be known at the time of the proposed business combination, because the directors of the post-combination business will be responsible for determining executive officer and director compensation. Any compensation to be paid to our executive officers will be determined, or recommended to the board of directors for determination, either by a compensation committee constituted solely by independent directors or by a majority of the independent directors on our board of directors.</w:t>
      </w:r>
    </w:p>
    <w:p>
      <w:pPr>
        <w:spacing w:after="0" w:line="102" w:lineRule="exact"/>
        <w:rPr>
          <w:sz w:val="20"/>
          <w:szCs w:val="20"/>
          <w:color w:val="auto"/>
        </w:rPr>
      </w:pPr>
    </w:p>
    <w:p>
      <w:pPr>
        <w:ind w:left="460" w:right="599"/>
        <w:spacing w:after="0" w:line="239" w:lineRule="auto"/>
        <w:rPr>
          <w:sz w:val="20"/>
          <w:szCs w:val="20"/>
          <w:color w:val="auto"/>
        </w:rPr>
      </w:pPr>
      <w:r>
        <w:rPr>
          <w:rFonts w:ascii="Arial" w:cs="Arial" w:eastAsia="Arial" w:hAnsi="Arial"/>
          <w:sz w:val="18"/>
          <w:szCs w:val="18"/>
          <w:color w:val="auto"/>
        </w:rPr>
        <w:t>We do not intend to take any action to ensure that members of our management team maintain their positions with us after the consummation of our initial business combination, although it is possible that some or all of our executive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executive officers and directors that provide for benefits upon termination of employment.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46" w:lineRule="exact"/>
        <w:rPr>
          <w:sz w:val="20"/>
          <w:szCs w:val="20"/>
          <w:color w:val="auto"/>
        </w:rPr>
      </w:pPr>
    </w:p>
    <w:p>
      <w:pPr>
        <w:ind w:left="460" w:right="499"/>
        <w:spacing w:after="0" w:line="243" w:lineRule="auto"/>
        <w:rPr>
          <w:sz w:val="20"/>
          <w:szCs w:val="20"/>
          <w:color w:val="auto"/>
        </w:rPr>
      </w:pPr>
      <w:r>
        <w:rPr>
          <w:rFonts w:ascii="Arial" w:cs="Arial" w:eastAsia="Arial" w:hAnsi="Arial"/>
          <w:sz w:val="18"/>
          <w:szCs w:val="18"/>
          <w:color w:val="auto"/>
        </w:rPr>
        <w:t>Our board of directors has three standing committees: an audit committee, a compensation committee and a nominating and corporate governance committee. Subject to phase-in rules and a limited exception, the rules of Nasdaq and Rule 10A-3 of the Exchange Act require that the audit committee of a listed company be comprised solely of independent directors. Subject to phase-in rules and a limited exception, the rules of Nasdaq require that the compensation committee of a listed company be comprised solely of independent directors.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8" w:name="page109"/>
    <w:bookmarkEnd w:id="108"/>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44" w:lineRule="exact"/>
        <w:rPr>
          <w:sz w:val="20"/>
          <w:szCs w:val="20"/>
          <w:color w:val="auto"/>
        </w:rPr>
      </w:pPr>
    </w:p>
    <w:p>
      <w:pPr>
        <w:ind w:left="460" w:right="619"/>
        <w:spacing w:after="0" w:line="248" w:lineRule="auto"/>
        <w:rPr>
          <w:sz w:val="20"/>
          <w:szCs w:val="20"/>
          <w:color w:val="auto"/>
        </w:rPr>
      </w:pPr>
      <w:r>
        <w:rPr>
          <w:rFonts w:ascii="Arial" w:cs="Arial" w:eastAsia="Arial" w:hAnsi="Arial"/>
          <w:sz w:val="18"/>
          <w:szCs w:val="18"/>
          <w:color w:val="auto"/>
        </w:rPr>
        <w:t>We have established an audit committee of the board of directors. Dr. George, Mr. Islam and Dr. Leproust will serve as members of our audit committee, and Mr. Islam will chair the audit committee. All members of our audit committee are independent of and unaffiliated with our sponsor and our underwriters.</w:t>
      </w:r>
    </w:p>
    <w:p>
      <w:pPr>
        <w:spacing w:after="0" w:line="89" w:lineRule="exact"/>
        <w:rPr>
          <w:sz w:val="20"/>
          <w:szCs w:val="20"/>
          <w:color w:val="auto"/>
        </w:rPr>
      </w:pPr>
    </w:p>
    <w:p>
      <w:pPr>
        <w:ind w:left="460" w:right="619"/>
        <w:spacing w:after="0" w:line="255" w:lineRule="auto"/>
        <w:rPr>
          <w:sz w:val="20"/>
          <w:szCs w:val="20"/>
          <w:color w:val="auto"/>
        </w:rPr>
      </w:pPr>
      <w:r>
        <w:rPr>
          <w:rFonts w:ascii="Arial" w:cs="Arial" w:eastAsia="Arial" w:hAnsi="Arial"/>
          <w:sz w:val="18"/>
          <w:szCs w:val="18"/>
          <w:color w:val="auto"/>
        </w:rPr>
        <w:t>Each member of the audit committee is financially literate and our board of directors has determined that Mr. Islam qualifies as an “audit committee financial expert” as defined in applicable SEC rules and has accounting or related financial management expertise.</w:t>
      </w:r>
    </w:p>
    <w:p>
      <w:pPr>
        <w:spacing w:after="0" w:line="96" w:lineRule="exact"/>
        <w:rPr>
          <w:sz w:val="20"/>
          <w:szCs w:val="20"/>
          <w:color w:val="auto"/>
        </w:rPr>
      </w:pPr>
    </w:p>
    <w:p>
      <w:pPr>
        <w:ind w:left="460" w:right="1119"/>
        <w:spacing w:after="0" w:line="258" w:lineRule="auto"/>
        <w:rPr>
          <w:sz w:val="20"/>
          <w:szCs w:val="20"/>
          <w:color w:val="auto"/>
        </w:rPr>
      </w:pPr>
      <w:r>
        <w:rPr>
          <w:rFonts w:ascii="Arial" w:cs="Arial" w:eastAsia="Arial" w:hAnsi="Arial"/>
          <w:sz w:val="18"/>
          <w:szCs w:val="18"/>
          <w:color w:val="auto"/>
        </w:rPr>
        <w:t>We have adopted an audit committee charter, which details the principal functions of the audit committee, including:</w:t>
      </w:r>
    </w:p>
    <w:p>
      <w:pPr>
        <w:ind w:left="1100" w:right="479" w:hanging="322"/>
        <w:spacing w:after="0" w:line="242" w:lineRule="auto"/>
        <w:tabs>
          <w:tab w:leader="none" w:pos="1089" w:val="left"/>
        </w:tabs>
        <w:numPr>
          <w:ilvl w:val="0"/>
          <w:numId w:val="47"/>
        </w:numPr>
        <w:rPr>
          <w:rFonts w:ascii="Arial" w:cs="Arial" w:eastAsia="Arial" w:hAnsi="Arial"/>
          <w:sz w:val="18"/>
          <w:szCs w:val="18"/>
          <w:color w:val="auto"/>
        </w:rPr>
      </w:pPr>
      <w:r>
        <w:rPr>
          <w:rFonts w:ascii="Arial" w:cs="Arial" w:eastAsia="Arial" w:hAnsi="Arial"/>
          <w:sz w:val="18"/>
          <w:szCs w:val="18"/>
          <w:color w:val="auto"/>
        </w:rPr>
        <w:t>assisting board oversight of (1) the integrity of our financial statements, (2) our compliance with legal and regulatory requirements, (3) our independent registered public accounting firm’s qualifications and independence, and (4) the performance of our internal audit function and independent registered public accounting firm; the appointment, compensation, retention, replacement, and oversight of the work of the independent registered public accounting firm and any other independent registered public accounting firm engaged by us;</w:t>
      </w:r>
    </w:p>
    <w:p>
      <w:pPr>
        <w:spacing w:after="0" w:line="3" w:lineRule="exact"/>
        <w:rPr>
          <w:rFonts w:ascii="Arial" w:cs="Arial" w:eastAsia="Arial" w:hAnsi="Arial"/>
          <w:sz w:val="18"/>
          <w:szCs w:val="18"/>
          <w:color w:val="auto"/>
        </w:rPr>
      </w:pPr>
    </w:p>
    <w:p>
      <w:pPr>
        <w:ind w:left="1100" w:right="659" w:hanging="322"/>
        <w:spacing w:after="0" w:line="241" w:lineRule="auto"/>
        <w:tabs>
          <w:tab w:leader="none" w:pos="1089"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pre-approving all audit and non-audit services to be provided by the independent registered public accounting firm or any other registered public accounting firm engaged by us, and establishing pre-approval policies and procedures; reviewing and discussing with the independent registered public accounting firm all relationships the independent registered public accounting firm have with us in order to evaluate their continued independence;</w:t>
      </w:r>
    </w:p>
    <w:p>
      <w:pPr>
        <w:ind w:left="1100" w:right="559" w:hanging="322"/>
        <w:spacing w:after="0"/>
        <w:tabs>
          <w:tab w:leader="none" w:pos="1089"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setting clear policies for audit partner rotation in compliance with applicable laws and regulations; obtaining and reviewing a report, at least annually, from the independent registered public accounting firm describing (1) the independent registered public accounting firm’s internal quality-control procedures and (2)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w:t>
      </w:r>
    </w:p>
    <w:p>
      <w:pPr>
        <w:spacing w:after="0" w:line="4" w:lineRule="exact"/>
        <w:rPr>
          <w:rFonts w:ascii="Arial" w:cs="Arial" w:eastAsia="Arial" w:hAnsi="Arial"/>
          <w:sz w:val="18"/>
          <w:szCs w:val="18"/>
          <w:color w:val="auto"/>
        </w:rPr>
      </w:pPr>
    </w:p>
    <w:p>
      <w:pPr>
        <w:ind w:left="1100" w:right="499" w:hanging="322"/>
        <w:spacing w:after="0" w:line="242" w:lineRule="auto"/>
        <w:tabs>
          <w:tab w:leader="none" w:pos="1089" w:val="left"/>
        </w:tabs>
        <w:numPr>
          <w:ilvl w:val="0"/>
          <w:numId w:val="47"/>
        </w:numPr>
        <w:rPr>
          <w:rFonts w:ascii="Arial" w:cs="Arial" w:eastAsia="Arial" w:hAnsi="Arial"/>
          <w:sz w:val="18"/>
          <w:szCs w:val="18"/>
          <w:color w:val="auto"/>
        </w:rPr>
      </w:pPr>
      <w:r>
        <w:rPr>
          <w:rFonts w:ascii="Arial" w:cs="Arial" w:eastAsia="Arial" w:hAnsi="Arial"/>
          <w:sz w:val="18"/>
          <w:szCs w:val="18"/>
          <w:color w:val="auto"/>
        </w:rPr>
        <w:t>meeting to review and discuss our annual audited financial statements and quarterly financial statements with management and the independent registered public accounting firm, including reviewing our specific disclosures under “Management’s Discussion and Analysis of Financial Condition and Results of Operations”; reviewing and approving any related party transaction required to be disclosed pursuant to Item 404 of Regulation S-K promulgated by the SEC prior to us entering into such transaction; and</w:t>
      </w:r>
    </w:p>
    <w:p>
      <w:pPr>
        <w:spacing w:after="0" w:line="3" w:lineRule="exact"/>
        <w:rPr>
          <w:rFonts w:ascii="Arial" w:cs="Arial" w:eastAsia="Arial" w:hAnsi="Arial"/>
          <w:sz w:val="18"/>
          <w:szCs w:val="18"/>
          <w:color w:val="auto"/>
        </w:rPr>
      </w:pPr>
    </w:p>
    <w:p>
      <w:pPr>
        <w:ind w:left="1100" w:right="599" w:hanging="322"/>
        <w:spacing w:after="0"/>
        <w:tabs>
          <w:tab w:leader="none" w:pos="1089"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reviewing with management, the independent,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44" w:lineRule="exact"/>
        <w:rPr>
          <w:sz w:val="20"/>
          <w:szCs w:val="20"/>
          <w:color w:val="auto"/>
        </w:rPr>
      </w:pPr>
    </w:p>
    <w:p>
      <w:pPr>
        <w:ind w:left="460" w:right="479"/>
        <w:spacing w:after="0" w:line="255" w:lineRule="auto"/>
        <w:rPr>
          <w:sz w:val="20"/>
          <w:szCs w:val="20"/>
          <w:color w:val="auto"/>
        </w:rPr>
      </w:pPr>
      <w:r>
        <w:rPr>
          <w:rFonts w:ascii="Arial" w:cs="Arial" w:eastAsia="Arial" w:hAnsi="Arial"/>
          <w:sz w:val="18"/>
          <w:szCs w:val="18"/>
          <w:color w:val="auto"/>
        </w:rPr>
        <w:t>We have established a compensation committee of the board of directors. Mr. Islam, Dr. Leproust and Mr. Turner will serve as members of our compensation committee. Dr. Leproust will chair the compensation committee.</w:t>
      </w:r>
    </w:p>
    <w:p>
      <w:pPr>
        <w:spacing w:after="0" w:line="96" w:lineRule="exact"/>
        <w:rPr>
          <w:sz w:val="20"/>
          <w:szCs w:val="20"/>
          <w:color w:val="auto"/>
        </w:rPr>
      </w:pPr>
    </w:p>
    <w:p>
      <w:pPr>
        <w:ind w:left="460" w:right="939"/>
        <w:spacing w:after="0" w:line="258" w:lineRule="auto"/>
        <w:rPr>
          <w:sz w:val="20"/>
          <w:szCs w:val="20"/>
          <w:color w:val="auto"/>
        </w:rPr>
      </w:pPr>
      <w:r>
        <w:rPr>
          <w:rFonts w:ascii="Arial" w:cs="Arial" w:eastAsia="Arial" w:hAnsi="Arial"/>
          <w:sz w:val="18"/>
          <w:szCs w:val="18"/>
          <w:color w:val="auto"/>
        </w:rPr>
        <w:t>We have adopted a compensation committee charter, which details the principal functions of the compensation committee, including:</w:t>
      </w:r>
    </w:p>
    <w:p>
      <w:pPr>
        <w:ind w:left="1100" w:right="679" w:hanging="322"/>
        <w:spacing w:after="0" w:line="242" w:lineRule="auto"/>
        <w:tabs>
          <w:tab w:leader="none" w:pos="1089"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(if any) evaluating our Chief Executive Officer’s performance in light of such goals and objectives and determining and approving the remuneration (if any) of our Chief Executive Officer based on such evaluation;</w:t>
      </w:r>
    </w:p>
    <w:p>
      <w:pPr>
        <w:spacing w:after="0" w:line="2" w:lineRule="exact"/>
        <w:rPr>
          <w:rFonts w:ascii="Arial" w:cs="Arial" w:eastAsia="Arial" w:hAnsi="Arial"/>
          <w:sz w:val="18"/>
          <w:szCs w:val="18"/>
          <w:color w:val="auto"/>
        </w:rPr>
      </w:pPr>
    </w:p>
    <w:p>
      <w:pPr>
        <w:ind w:left="1100" w:right="739" w:hanging="322"/>
        <w:spacing w:after="0" w:line="250" w:lineRule="auto"/>
        <w:tabs>
          <w:tab w:leader="none" w:pos="1089"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the compensation, and any incentive compensation and equity based plans that are subject to board approval of all of our other officers;</w:t>
      </w:r>
    </w:p>
    <w:p>
      <w:pPr>
        <w:spacing w:after="0" w:line="1" w:lineRule="exact"/>
        <w:rPr>
          <w:rFonts w:ascii="Arial" w:cs="Arial" w:eastAsia="Arial" w:hAnsi="Arial"/>
          <w:sz w:val="18"/>
          <w:szCs w:val="18"/>
          <w:color w:val="auto"/>
        </w:rPr>
      </w:pPr>
    </w:p>
    <w:p>
      <w:pPr>
        <w:ind w:left="1100" w:hanging="322"/>
        <w:spacing w:after="0"/>
        <w:tabs>
          <w:tab w:leader="none" w:pos="11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09" w:name="page110"/>
    <w:bookmarkEnd w:id="109"/>
    <w:p>
      <w:pPr>
        <w:ind w:left="1100" w:right="959" w:hanging="322"/>
        <w:spacing w:after="0" w:line="258" w:lineRule="auto"/>
        <w:tabs>
          <w:tab w:leader="none" w:pos="1089" w:val="left"/>
        </w:tabs>
        <w:numPr>
          <w:ilvl w:val="0"/>
          <w:numId w:val="49"/>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ind w:left="1100" w:right="739" w:hanging="322"/>
        <w:spacing w:after="0" w:line="250" w:lineRule="auto"/>
        <w:tabs>
          <w:tab w:leader="none" w:pos="1089"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ind w:left="1100" w:right="519" w:hanging="322"/>
        <w:spacing w:after="0" w:line="258" w:lineRule="auto"/>
        <w:tabs>
          <w:tab w:leader="none" w:pos="1089" w:val="left"/>
        </w:tabs>
        <w:numPr>
          <w:ilvl w:val="0"/>
          <w:numId w:val="49"/>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officers and employees;</w:t>
      </w:r>
    </w:p>
    <w:p>
      <w:pPr>
        <w:ind w:left="1100" w:right="599" w:hanging="322"/>
        <w:spacing w:after="0" w:line="258" w:lineRule="auto"/>
        <w:tabs>
          <w:tab w:leader="none" w:pos="1089"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producing a report on executive compensation to be included in our annual proxy statement; and</w:t>
      </w:r>
    </w:p>
    <w:p>
      <w:pPr>
        <w:ind w:left="1100" w:right="859" w:hanging="322"/>
        <w:spacing w:after="0" w:line="260" w:lineRule="auto"/>
        <w:tabs>
          <w:tab w:leader="none" w:pos="1089"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92" w:lineRule="exact"/>
        <w:rPr>
          <w:sz w:val="20"/>
          <w:szCs w:val="20"/>
          <w:color w:val="auto"/>
        </w:rPr>
      </w:pPr>
    </w:p>
    <w:p>
      <w:pPr>
        <w:ind w:left="460" w:right="679"/>
        <w:spacing w:after="0" w:line="241" w:lineRule="auto"/>
        <w:rPr>
          <w:sz w:val="20"/>
          <w:szCs w:val="20"/>
          <w:color w:val="auto"/>
        </w:rPr>
      </w:pPr>
      <w:r>
        <w:rPr>
          <w:rFonts w:ascii="Arial" w:cs="Arial" w:eastAsia="Arial" w:hAnsi="Arial"/>
          <w:sz w:val="18"/>
          <w:szCs w:val="18"/>
          <w:color w:val="auto"/>
        </w:rPr>
        <w:t>Notwithstanding the foregoing, as indicated above, no compensation of any kind, including finders, consulting or other similar fees, will be paid to any of our existing stockholders, officers, directors or any of their respective affiliates, prior to, or for any services they render in order to effectuate the consummation of an initial business combination. Accordingly, it is likely that prior to the consummation of an initial business combination, the compensation committee will only be responsible for the review and recommendation of any compensation arrangements to be entered into in connection with such initial business combination.</w:t>
      </w:r>
    </w:p>
    <w:p>
      <w:pPr>
        <w:spacing w:after="0" w:line="111" w:lineRule="exact"/>
        <w:rPr>
          <w:sz w:val="20"/>
          <w:szCs w:val="20"/>
          <w:color w:val="auto"/>
        </w:rPr>
      </w:pPr>
    </w:p>
    <w:p>
      <w:pPr>
        <w:ind w:left="460" w:right="479"/>
        <w:spacing w:after="0" w:line="243" w:lineRule="auto"/>
        <w:rPr>
          <w:sz w:val="20"/>
          <w:szCs w:val="20"/>
          <w:color w:val="auto"/>
        </w:rPr>
      </w:pPr>
      <w:r>
        <w:rPr>
          <w:rFonts w:ascii="Arial" w:cs="Arial" w:eastAsia="Arial" w:hAnsi="Arial"/>
          <w:sz w:val="18"/>
          <w:szCs w:val="18"/>
          <w:color w:val="auto"/>
        </w:rPr>
        <w:t>The charter also provides that the compensation committee may, in its sole discretion, retain or obtain the advice of a compensation consultant, independent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31" w:lineRule="exact"/>
        <w:rPr>
          <w:sz w:val="20"/>
          <w:szCs w:val="20"/>
          <w:color w:val="auto"/>
        </w:rPr>
      </w:pPr>
    </w:p>
    <w:p>
      <w:pPr>
        <w:ind w:left="460" w:right="699"/>
        <w:spacing w:after="0" w:line="248" w:lineRule="auto"/>
        <w:rPr>
          <w:sz w:val="20"/>
          <w:szCs w:val="20"/>
          <w:color w:val="auto"/>
        </w:rPr>
      </w:pPr>
      <w:r>
        <w:rPr>
          <w:rFonts w:ascii="Arial" w:cs="Arial" w:eastAsia="Arial" w:hAnsi="Arial"/>
          <w:sz w:val="18"/>
          <w:szCs w:val="18"/>
          <w:color w:val="auto"/>
        </w:rPr>
        <w:t>We have established a nominating and corporate governance committee of the board of directors. The initial members of our nominating and corporate governance committee will be Dr. George, Mr. Islam and Mr. Meister. Dr. George will serve as chair of the nominating and corporate governance committee.</w:t>
      </w:r>
    </w:p>
    <w:p>
      <w:pPr>
        <w:spacing w:after="0" w:line="103" w:lineRule="exact"/>
        <w:rPr>
          <w:sz w:val="20"/>
          <w:szCs w:val="20"/>
          <w:color w:val="auto"/>
        </w:rPr>
      </w:pPr>
    </w:p>
    <w:p>
      <w:pPr>
        <w:jc w:val="both"/>
        <w:ind w:left="460" w:right="1019"/>
        <w:spacing w:after="0" w:line="273" w:lineRule="auto"/>
        <w:rPr>
          <w:sz w:val="20"/>
          <w:szCs w:val="20"/>
          <w:color w:val="auto"/>
        </w:rPr>
      </w:pPr>
      <w:r>
        <w:rPr>
          <w:rFonts w:ascii="Arial" w:cs="Arial" w:eastAsia="Arial" w:hAnsi="Arial"/>
          <w:sz w:val="17"/>
          <w:szCs w:val="17"/>
          <w:color w:val="auto"/>
        </w:rPr>
        <w:t>We have adopted a nominating and corporate governance committee charter, which details the purpose and responsibilities of the nominating and corporate governance committee, including:</w:t>
      </w:r>
    </w:p>
    <w:p>
      <w:pPr>
        <w:spacing w:after="0" w:line="1" w:lineRule="exact"/>
        <w:rPr>
          <w:sz w:val="20"/>
          <w:szCs w:val="20"/>
          <w:color w:val="auto"/>
        </w:rPr>
      </w:pPr>
    </w:p>
    <w:p>
      <w:pPr>
        <w:ind w:left="1100" w:right="519" w:hanging="322"/>
        <w:spacing w:after="0" w:line="246" w:lineRule="auto"/>
        <w:tabs>
          <w:tab w:leader="none" w:pos="1089" w:val="left"/>
        </w:tabs>
        <w:numPr>
          <w:ilvl w:val="0"/>
          <w:numId w:val="50"/>
        </w:numPr>
        <w:rPr>
          <w:rFonts w:ascii="Arial" w:cs="Arial" w:eastAsia="Arial" w:hAnsi="Arial"/>
          <w:sz w:val="18"/>
          <w:szCs w:val="18"/>
          <w:color w:val="auto"/>
        </w:rPr>
      </w:pPr>
      <w:r>
        <w:rPr>
          <w:rFonts w:ascii="Arial" w:cs="Arial" w:eastAsia="Arial" w:hAnsi="Arial"/>
          <w:sz w:val="18"/>
          <w:szCs w:val="18"/>
          <w:color w:val="auto"/>
        </w:rPr>
        <w:t>screening and reviewing individuals qualified to serve as directors, consistent with criteria approved by the board, and recommending to the board of directors candidates for nomination for election at the annual meeting of stockholders or to fill vacancies on the board of directors;</w:t>
      </w:r>
    </w:p>
    <w:p>
      <w:pPr>
        <w:spacing w:after="0" w:line="1" w:lineRule="exact"/>
        <w:rPr>
          <w:rFonts w:ascii="Arial" w:cs="Arial" w:eastAsia="Arial" w:hAnsi="Arial"/>
          <w:sz w:val="18"/>
          <w:szCs w:val="18"/>
          <w:color w:val="auto"/>
        </w:rPr>
      </w:pPr>
    </w:p>
    <w:p>
      <w:pPr>
        <w:ind w:left="1100" w:right="759" w:hanging="322"/>
        <w:spacing w:after="0" w:line="250" w:lineRule="auto"/>
        <w:tabs>
          <w:tab w:leader="none" w:pos="1089"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and overseeing implementation of our corporate governance guidelines;</w:t>
      </w:r>
    </w:p>
    <w:p>
      <w:pPr>
        <w:ind w:left="1100" w:right="799" w:hanging="322"/>
        <w:spacing w:after="0" w:line="273" w:lineRule="auto"/>
        <w:tabs>
          <w:tab w:leader="none" w:pos="1089" w:val="left"/>
        </w:tabs>
        <w:numPr>
          <w:ilvl w:val="0"/>
          <w:numId w:val="50"/>
        </w:numPr>
        <w:rPr>
          <w:rFonts w:ascii="Arial" w:cs="Arial" w:eastAsia="Arial" w:hAnsi="Arial"/>
          <w:sz w:val="17"/>
          <w:szCs w:val="17"/>
          <w:color w:val="auto"/>
        </w:rPr>
      </w:pPr>
      <w:r>
        <w:rPr>
          <w:rFonts w:ascii="Arial" w:cs="Arial" w:eastAsia="Arial" w:hAnsi="Arial"/>
          <w:sz w:val="17"/>
          <w:szCs w:val="17"/>
          <w:color w:val="auto"/>
        </w:rPr>
        <w:t>coordinating and overseeing the annual self-evaluation of the board of directors, its committees, individual directors and management in the governance of the company; and</w:t>
      </w:r>
    </w:p>
    <w:p>
      <w:pPr>
        <w:ind w:left="1100" w:right="1399" w:hanging="322"/>
        <w:spacing w:after="0" w:line="276" w:lineRule="auto"/>
        <w:tabs>
          <w:tab w:leader="none" w:pos="1089"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reviewing on a regular basis our overall corporate governance and recommending improvements as and when necessary.</w:t>
      </w:r>
    </w:p>
    <w:p>
      <w:pPr>
        <w:spacing w:after="0" w:line="64" w:lineRule="exact"/>
        <w:rPr>
          <w:sz w:val="20"/>
          <w:szCs w:val="20"/>
          <w:color w:val="auto"/>
        </w:rPr>
      </w:pPr>
    </w:p>
    <w:p>
      <w:pPr>
        <w:ind w:left="460" w:right="539"/>
        <w:spacing w:after="0" w:line="248" w:lineRule="auto"/>
        <w:rPr>
          <w:sz w:val="20"/>
          <w:szCs w:val="20"/>
          <w:color w:val="auto"/>
        </w:rPr>
      </w:pPr>
      <w:r>
        <w:rPr>
          <w:rFonts w:ascii="Arial" w:cs="Arial" w:eastAsia="Arial" w:hAnsi="Arial"/>
          <w:sz w:val="18"/>
          <w:szCs w:val="18"/>
          <w:color w:val="auto"/>
        </w:rPr>
        <w:t>The charter also provides that the nominating and corporate governance committee may, in its sole discretion, retain or obtain the advice of, and terminate, any search firm to be used to identify director candidates, and will be directly responsible for approving the search firm’s fees and other retention terms.</w:t>
      </w:r>
    </w:p>
    <w:p>
      <w:pPr>
        <w:spacing w:after="0" w:line="103" w:lineRule="exact"/>
        <w:rPr>
          <w:sz w:val="20"/>
          <w:szCs w:val="20"/>
          <w:color w:val="auto"/>
        </w:rPr>
      </w:pPr>
    </w:p>
    <w:p>
      <w:pPr>
        <w:ind w:left="460" w:right="479"/>
        <w:spacing w:after="0" w:line="241" w:lineRule="auto"/>
        <w:rPr>
          <w:sz w:val="20"/>
          <w:szCs w:val="20"/>
          <w:color w:val="auto"/>
        </w:rPr>
      </w:pPr>
      <w:r>
        <w:rPr>
          <w:rFonts w:ascii="Arial" w:cs="Arial" w:eastAsia="Arial" w:hAnsi="Arial"/>
          <w:sz w:val="18"/>
          <w:szCs w:val="18"/>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stockholders. Prior to our initial business combination, holders of our public shares will not have the right to recommend director candidates for nomination to our board of directors.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57" w:right="1440" w:bottom="1440" w:gutter="0" w:footer="0" w:header="0"/>
        </w:sectPr>
      </w:pPr>
    </w:p>
    <w:bookmarkStart w:id="110" w:name="page111"/>
    <w:bookmarkEnd w:id="110"/>
    <w:p>
      <w:pPr>
        <w:ind w:left="460"/>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144" w:lineRule="exact"/>
        <w:rPr>
          <w:sz w:val="20"/>
          <w:szCs w:val="20"/>
          <w:color w:val="auto"/>
        </w:rPr>
      </w:pPr>
    </w:p>
    <w:p>
      <w:pPr>
        <w:ind w:left="460" w:right="599"/>
        <w:spacing w:after="0" w:line="255" w:lineRule="auto"/>
        <w:rPr>
          <w:sz w:val="20"/>
          <w:szCs w:val="20"/>
          <w:color w:val="auto"/>
        </w:rPr>
      </w:pPr>
      <w:r>
        <w:rPr>
          <w:rFonts w:ascii="Arial" w:cs="Arial" w:eastAsia="Arial" w:hAnsi="Arial"/>
          <w:sz w:val="18"/>
          <w:szCs w:val="18"/>
          <w:color w:val="auto"/>
        </w:rPr>
        <w:t>None of our executive officers currently serves, and in the past year has not served, as a member of the compensation committee of any entity that has one or more executive officers serving on our board of directors.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Code of Ethics</w:t>
      </w:r>
    </w:p>
    <w:p>
      <w:pPr>
        <w:spacing w:after="0" w:line="133" w:lineRule="exact"/>
        <w:rPr>
          <w:sz w:val="20"/>
          <w:szCs w:val="20"/>
          <w:color w:val="auto"/>
        </w:rPr>
      </w:pPr>
    </w:p>
    <w:p>
      <w:pPr>
        <w:ind w:left="460" w:right="539"/>
        <w:spacing w:after="0" w:line="238" w:lineRule="auto"/>
        <w:rPr>
          <w:sz w:val="20"/>
          <w:szCs w:val="20"/>
          <w:color w:val="auto"/>
        </w:rPr>
      </w:pPr>
      <w:r>
        <w:rPr>
          <w:rFonts w:ascii="Arial" w:cs="Arial" w:eastAsia="Arial" w:hAnsi="Arial"/>
          <w:sz w:val="18"/>
          <w:szCs w:val="18"/>
          <w:color w:val="auto"/>
        </w:rPr>
        <w:t xml:space="preserve">We have adopted a Code of Business Conduct and Ethics applicable to our directors, officers and employees. We have filed a copy of our form of the Code of Business Conduct and Ethics and our audit committee, compensation committee and nominating and corporate governance committee charters as exhibits to the registration statement of which this prospectus is a part. You will be able to review this document by accessing our public filings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In addition, a copy of the Code of Business Conduct and Ethics and the charters of the committees will be provided without charge upon request from us. See the section of this prospectus entitled “Where You Can Find Additional Information.” If we make any amendments to our Code of Business Conduct and Ethics other than technical, administrative or other non-substantive amendments, or grant any waiver, including any implicit waiver, from a provision of the Code of Business Conduct and Ethics applicable to our principal executive officer, principal financial officer principal accounting officer or controller or persons performing similar functions requiring disclosure under applicable SEC or Nasdaq rules, we will disclose the nature of such amendment or waiver in a Current Report on Form 8-K.</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Conflicts of Interest</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general, officers and directors of a corporation incorporated under the laws of the State of</w:t>
      </w:r>
    </w:p>
    <w:p>
      <w:pPr>
        <w:spacing w:after="0" w:line="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Delaware are required to present business opportunities to a corporation if:</w:t>
      </w:r>
    </w:p>
    <w:p>
      <w:pPr>
        <w:spacing w:after="0" w:line="14" w:lineRule="exact"/>
        <w:rPr>
          <w:sz w:val="20"/>
          <w:szCs w:val="20"/>
          <w:color w:val="auto"/>
        </w:rPr>
      </w:pPr>
    </w:p>
    <w:p>
      <w:pPr>
        <w:ind w:left="1100" w:hanging="322"/>
        <w:spacing w:after="0"/>
        <w:tabs>
          <w:tab w:leader="none" w:pos="11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corporation could financially undertake the opportunity;</w:t>
      </w:r>
    </w:p>
    <w:p>
      <w:pPr>
        <w:spacing w:after="0" w:line="35" w:lineRule="exact"/>
        <w:rPr>
          <w:rFonts w:ascii="Arial" w:cs="Arial" w:eastAsia="Arial" w:hAnsi="Arial"/>
          <w:sz w:val="18"/>
          <w:szCs w:val="18"/>
          <w:color w:val="auto"/>
        </w:rPr>
      </w:pPr>
    </w:p>
    <w:p>
      <w:pPr>
        <w:ind w:left="1100" w:hanging="322"/>
        <w:spacing w:after="0"/>
        <w:tabs>
          <w:tab w:leader="none" w:pos="11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opportunity is within the corporation’s line of business; and</w:t>
      </w:r>
    </w:p>
    <w:p>
      <w:pPr>
        <w:spacing w:after="0" w:line="22" w:lineRule="exact"/>
        <w:rPr>
          <w:rFonts w:ascii="Arial" w:cs="Arial" w:eastAsia="Arial" w:hAnsi="Arial"/>
          <w:sz w:val="18"/>
          <w:szCs w:val="18"/>
          <w:color w:val="auto"/>
        </w:rPr>
      </w:pPr>
    </w:p>
    <w:p>
      <w:pPr>
        <w:ind w:left="1100" w:right="619" w:hanging="322"/>
        <w:spacing w:after="0" w:line="276" w:lineRule="auto"/>
        <w:tabs>
          <w:tab w:leader="none" w:pos="1089" w:val="left"/>
        </w:tabs>
        <w:numPr>
          <w:ilvl w:val="0"/>
          <w:numId w:val="51"/>
        </w:numPr>
        <w:rPr>
          <w:rFonts w:ascii="Arial" w:cs="Arial" w:eastAsia="Arial" w:hAnsi="Arial"/>
          <w:sz w:val="18"/>
          <w:szCs w:val="18"/>
          <w:color w:val="auto"/>
        </w:rPr>
      </w:pPr>
      <w:r>
        <w:rPr>
          <w:rFonts w:ascii="Arial" w:cs="Arial" w:eastAsia="Arial" w:hAnsi="Arial"/>
          <w:sz w:val="18"/>
          <w:szCs w:val="18"/>
          <w:color w:val="auto"/>
        </w:rPr>
        <w:t>it would not be fair to our company and its stockholders for the opportunity not to be brought to the attention of the corporation.</w:t>
      </w:r>
    </w:p>
    <w:p>
      <w:pPr>
        <w:spacing w:after="0" w:line="77"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Each of our officers and directors presently has, and any of them in the future may have additional, fiduciary or contractual obligations to another entity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business combination opportunity to such entity. Our amended and restated certificate of incorporation provides that we renounce our interest in any corporate opportunity offered to any director or officer unless such opportunity is expressly offered to such person solely in his or her capacity as a director or officer of the company and such opportunity is one we are legally and contractually permitted to undertake and would otherwise be reasonable for us to pursue, and to the extent the director or officer is permitted to refer that opportunity to us without violating another legal obligation. We do not believe, however, that the fiduciary duties or contractual obligations of our officers or directors will materially affect our ability to complete our initial business combination.</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11" w:name="page112"/>
    <w:bookmarkEnd w:id="111"/>
    <w:p>
      <w:pPr>
        <w:ind w:left="460" w:right="579"/>
        <w:spacing w:after="0" w:line="255" w:lineRule="auto"/>
        <w:rPr>
          <w:sz w:val="20"/>
          <w:szCs w:val="20"/>
          <w:color w:val="auto"/>
        </w:rPr>
      </w:pPr>
      <w:r>
        <w:rPr>
          <w:rFonts w:ascii="Arial" w:cs="Arial" w:eastAsia="Arial" w:hAnsi="Arial"/>
          <w:sz w:val="18"/>
          <w:szCs w:val="18"/>
          <w:color w:val="auto"/>
        </w:rPr>
        <w:t>Below is a table summarizing the entities to which our executive officers and directors currently have fiduciary duties or contractual obligations to another entity (excluding non-profit and educational organizations with no connection to the life sciences sector):</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211"/>
        </w:trPr>
        <w:tc>
          <w:tcPr>
            <w:tcW w:w="1800" w:type="dxa"/>
            <w:vAlign w:val="bottom"/>
            <w:gridSpan w:val="2"/>
          </w:tcPr>
          <w:p>
            <w:pPr>
              <w:spacing w:after="0"/>
              <w:rPr>
                <w:sz w:val="20"/>
                <w:szCs w:val="20"/>
                <w:color w:val="auto"/>
              </w:rPr>
            </w:pPr>
            <w:r>
              <w:rPr>
                <w:rFonts w:ascii="Arial" w:cs="Arial" w:eastAsia="Arial" w:hAnsi="Arial"/>
                <w:sz w:val="14"/>
                <w:szCs w:val="14"/>
                <w:b w:val="1"/>
                <w:bCs w:val="1"/>
                <w:color w:val="auto"/>
              </w:rPr>
              <w:t>Individual</w:t>
            </w:r>
          </w:p>
        </w:tc>
        <w:tc>
          <w:tcPr>
            <w:tcW w:w="2140" w:type="dxa"/>
            <w:vAlign w:val="bottom"/>
          </w:tcPr>
          <w:p>
            <w:pPr>
              <w:ind w:left="860"/>
              <w:spacing w:after="0"/>
              <w:rPr>
                <w:sz w:val="20"/>
                <w:szCs w:val="20"/>
                <w:color w:val="auto"/>
              </w:rPr>
            </w:pPr>
            <w:r>
              <w:rPr>
                <w:rFonts w:ascii="Arial" w:cs="Arial" w:eastAsia="Arial" w:hAnsi="Arial"/>
                <w:sz w:val="14"/>
                <w:szCs w:val="14"/>
                <w:b w:val="1"/>
                <w:bCs w:val="1"/>
                <w:color w:val="auto"/>
              </w:rPr>
              <w:t>Entity</w:t>
            </w:r>
          </w:p>
        </w:tc>
        <w:tc>
          <w:tcPr>
            <w:tcW w:w="100" w:type="dxa"/>
            <w:vAlign w:val="bottom"/>
          </w:tcPr>
          <w:p>
            <w:pPr>
              <w:spacing w:after="0"/>
              <w:rPr>
                <w:sz w:val="18"/>
                <w:szCs w:val="18"/>
                <w:color w:val="auto"/>
              </w:rPr>
            </w:pPr>
          </w:p>
        </w:tc>
        <w:tc>
          <w:tcPr>
            <w:tcW w:w="2000" w:type="dxa"/>
            <w:vAlign w:val="bottom"/>
            <w:gridSpan w:val="2"/>
          </w:tcPr>
          <w:p>
            <w:pPr>
              <w:ind w:left="360"/>
              <w:spacing w:after="0"/>
              <w:rPr>
                <w:sz w:val="20"/>
                <w:szCs w:val="20"/>
                <w:color w:val="auto"/>
              </w:rPr>
            </w:pPr>
            <w:r>
              <w:rPr>
                <w:rFonts w:ascii="Arial" w:cs="Arial" w:eastAsia="Arial" w:hAnsi="Arial"/>
                <w:sz w:val="14"/>
                <w:szCs w:val="14"/>
                <w:b w:val="1"/>
                <w:bCs w:val="1"/>
                <w:color w:val="auto"/>
              </w:rPr>
              <w:t>Entity’s Business</w:t>
            </w:r>
          </w:p>
        </w:tc>
        <w:tc>
          <w:tcPr>
            <w:tcW w:w="2060" w:type="dxa"/>
            <w:vAlign w:val="bottom"/>
          </w:tcPr>
          <w:p>
            <w:pPr>
              <w:ind w:left="700"/>
              <w:spacing w:after="0"/>
              <w:rPr>
                <w:sz w:val="20"/>
                <w:szCs w:val="20"/>
                <w:color w:val="auto"/>
              </w:rPr>
            </w:pPr>
            <w:r>
              <w:rPr>
                <w:rFonts w:ascii="Arial" w:cs="Arial" w:eastAsia="Arial" w:hAnsi="Arial"/>
                <w:sz w:val="14"/>
                <w:szCs w:val="14"/>
                <w:b w:val="1"/>
                <w:bCs w:val="1"/>
                <w:color w:val="auto"/>
              </w:rPr>
              <w:t>Affiliation</w:t>
            </w:r>
          </w:p>
        </w:tc>
        <w:tc>
          <w:tcPr>
            <w:tcW w:w="0" w:type="dxa"/>
            <w:vAlign w:val="bottom"/>
          </w:tcPr>
          <w:p>
            <w:pPr>
              <w:spacing w:after="0"/>
              <w:rPr>
                <w:sz w:val="1"/>
                <w:szCs w:val="1"/>
                <w:color w:val="auto"/>
              </w:rPr>
            </w:pPr>
          </w:p>
        </w:tc>
      </w:tr>
      <w:tr>
        <w:trPr>
          <w:trHeight w:val="247"/>
        </w:trPr>
        <w:tc>
          <w:tcPr>
            <w:tcW w:w="1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Eli Casdin</w:t>
            </w:r>
          </w:p>
        </w:tc>
        <w:tc>
          <w:tcPr>
            <w:tcW w:w="100" w:type="dxa"/>
            <w:vAlign w:val="bottom"/>
          </w:tcPr>
          <w:p>
            <w:pPr>
              <w:spacing w:after="0"/>
              <w:rPr>
                <w:sz w:val="21"/>
                <w:szCs w:val="21"/>
                <w:color w:val="auto"/>
              </w:rPr>
            </w:pPr>
          </w:p>
        </w:tc>
        <w:tc>
          <w:tcPr>
            <w:tcW w:w="2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Casdin Capital, LLC</w:t>
            </w:r>
            <w:r>
              <w:rPr>
                <w:rFonts w:ascii="Arial" w:cs="Arial" w:eastAsia="Arial" w:hAnsi="Arial"/>
                <w:sz w:val="20"/>
                <w:szCs w:val="20"/>
                <w:color w:val="auto"/>
                <w:vertAlign w:val="superscript"/>
              </w:rPr>
              <w:t>(1)</w:t>
            </w:r>
          </w:p>
        </w:tc>
        <w:tc>
          <w:tcPr>
            <w:tcW w:w="100" w:type="dxa"/>
            <w:vAlign w:val="bottom"/>
          </w:tcPr>
          <w:p>
            <w:pPr>
              <w:spacing w:after="0"/>
              <w:rPr>
                <w:sz w:val="21"/>
                <w:szCs w:val="21"/>
                <w:color w:val="auto"/>
              </w:rPr>
            </w:pPr>
          </w:p>
        </w:tc>
        <w:tc>
          <w:tcPr>
            <w:tcW w:w="1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Investment manager</w:t>
            </w:r>
          </w:p>
        </w:tc>
        <w:tc>
          <w:tcPr>
            <w:tcW w:w="100" w:type="dxa"/>
            <w:vAlign w:val="bottom"/>
          </w:tcPr>
          <w:p>
            <w:pPr>
              <w:spacing w:after="0"/>
              <w:rPr>
                <w:sz w:val="21"/>
                <w:szCs w:val="21"/>
                <w:color w:val="auto"/>
              </w:rPr>
            </w:pPr>
          </w:p>
        </w:tc>
        <w:tc>
          <w:tcPr>
            <w:tcW w:w="2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Chief Investment Officer</w:t>
            </w: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Exact Sciences Corp.</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20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3"/>
        </w:trPr>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C2i Genomics</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20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3"/>
        </w:trPr>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DNA Script</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20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4"/>
        </w:trPr>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EQRx, Inc.</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20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3"/>
        </w:trPr>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GeneMatters, LLC</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20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3"/>
        </w:trPr>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Genomatica, Inc.</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20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3"/>
        </w:trPr>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New York Genome Center</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20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3"/>
        </w:trPr>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Sexton Biotechnologies</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20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3"/>
        </w:trPr>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Tenaya Therapeutics, Inc.</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20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Thrive Earlier Detection</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20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Corp.</w:t>
            </w:r>
          </w:p>
        </w:tc>
        <w:tc>
          <w:tcPr>
            <w:tcW w:w="1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Prominex Inc.</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20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92"/>
        </w:trPr>
        <w:tc>
          <w:tcPr>
            <w:tcW w:w="1800" w:type="dxa"/>
            <w:vAlign w:val="bottom"/>
            <w:gridSpan w:val="2"/>
          </w:tcPr>
          <w:p>
            <w:pPr>
              <w:spacing w:after="0"/>
              <w:rPr>
                <w:sz w:val="20"/>
                <w:szCs w:val="20"/>
                <w:color w:val="auto"/>
              </w:rPr>
            </w:pPr>
            <w:r>
              <w:rPr>
                <w:rFonts w:ascii="Arial" w:cs="Arial" w:eastAsia="Arial" w:hAnsi="Arial"/>
                <w:sz w:val="18"/>
                <w:szCs w:val="18"/>
                <w:color w:val="auto"/>
              </w:rPr>
              <w:t>Keith Meister</w:t>
            </w:r>
          </w:p>
        </w:tc>
        <w:tc>
          <w:tcPr>
            <w:tcW w:w="2140" w:type="dxa"/>
            <w:vAlign w:val="bottom"/>
          </w:tcPr>
          <w:p>
            <w:pPr>
              <w:spacing w:after="0"/>
              <w:rPr>
                <w:sz w:val="20"/>
                <w:szCs w:val="20"/>
                <w:color w:val="auto"/>
              </w:rPr>
            </w:pPr>
            <w:r>
              <w:rPr>
                <w:rFonts w:ascii="Arial" w:cs="Arial" w:eastAsia="Arial" w:hAnsi="Arial"/>
                <w:sz w:val="18"/>
                <w:szCs w:val="18"/>
                <w:color w:val="auto"/>
              </w:rPr>
              <w:t>Corvex Management LP</w:t>
            </w:r>
            <w:r>
              <w:rPr>
                <w:rFonts w:ascii="Arial" w:cs="Arial" w:eastAsia="Arial" w:hAnsi="Arial"/>
                <w:sz w:val="20"/>
                <w:szCs w:val="20"/>
                <w:color w:val="auto"/>
                <w:vertAlign w:val="superscript"/>
              </w:rPr>
              <w:t>(1)</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Investment manager</w:t>
            </w:r>
          </w:p>
        </w:tc>
        <w:tc>
          <w:tcPr>
            <w:tcW w:w="2060" w:type="dxa"/>
            <w:vAlign w:val="bottom"/>
          </w:tcPr>
          <w:p>
            <w:pPr>
              <w:spacing w:after="0"/>
              <w:rPr>
                <w:sz w:val="20"/>
                <w:szCs w:val="20"/>
                <w:color w:val="auto"/>
              </w:rPr>
            </w:pPr>
            <w:r>
              <w:rPr>
                <w:rFonts w:ascii="Arial" w:cs="Arial" w:eastAsia="Arial" w:hAnsi="Arial"/>
                <w:sz w:val="18"/>
                <w:szCs w:val="18"/>
                <w:color w:val="auto"/>
              </w:rPr>
              <w:t>Managing Partner and</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vMerge w:val="restart"/>
          </w:tcPr>
          <w:p>
            <w:pPr>
              <w:spacing w:after="0"/>
              <w:rPr>
                <w:sz w:val="20"/>
                <w:szCs w:val="20"/>
                <w:color w:val="auto"/>
              </w:rPr>
            </w:pPr>
            <w:r>
              <w:rPr>
                <w:rFonts w:ascii="Arial" w:cs="Arial" w:eastAsia="Arial" w:hAnsi="Arial"/>
                <w:sz w:val="18"/>
                <w:szCs w:val="18"/>
                <w:color w:val="auto"/>
              </w:rPr>
              <w:t>MGM Resorts</w:t>
            </w:r>
          </w:p>
        </w:tc>
        <w:tc>
          <w:tcPr>
            <w:tcW w:w="2100" w:type="dxa"/>
            <w:vAlign w:val="bottom"/>
            <w:gridSpan w:val="3"/>
            <w:vMerge w:val="restart"/>
          </w:tcPr>
          <w:p>
            <w:pPr>
              <w:ind w:left="100"/>
              <w:spacing w:after="0"/>
              <w:rPr>
                <w:sz w:val="20"/>
                <w:szCs w:val="20"/>
                <w:color w:val="auto"/>
              </w:rPr>
            </w:pPr>
            <w:r>
              <w:rPr>
                <w:rFonts w:ascii="Arial" w:cs="Arial" w:eastAsia="Arial" w:hAnsi="Arial"/>
                <w:sz w:val="18"/>
                <w:szCs w:val="18"/>
                <w:color w:val="auto"/>
              </w:rPr>
              <w:t>Hospitality and</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Chief Investment Officer</w:t>
            </w: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vMerge w:val="continue"/>
          </w:tcPr>
          <w:p>
            <w:pPr>
              <w:spacing w:after="0"/>
              <w:rPr>
                <w:sz w:val="11"/>
                <w:szCs w:val="11"/>
                <w:color w:val="auto"/>
              </w:rPr>
            </w:pPr>
          </w:p>
        </w:tc>
        <w:tc>
          <w:tcPr>
            <w:tcW w:w="2100" w:type="dxa"/>
            <w:vAlign w:val="bottom"/>
            <w:gridSpan w:val="3"/>
            <w:vMerge w:val="continue"/>
          </w:tcPr>
          <w:p>
            <w:pPr>
              <w:spacing w:after="0"/>
              <w:rPr>
                <w:sz w:val="11"/>
                <w:szCs w:val="11"/>
                <w:color w:val="auto"/>
              </w:rPr>
            </w:pPr>
          </w:p>
        </w:tc>
        <w:tc>
          <w:tcPr>
            <w:tcW w:w="206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08"/>
        </w:trPr>
        <w:tc>
          <w:tcPr>
            <w:tcW w:w="1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40" w:type="dxa"/>
            <w:vAlign w:val="bottom"/>
            <w:vMerge w:val="restart"/>
          </w:tcPr>
          <w:p>
            <w:pPr>
              <w:spacing w:after="0" w:line="202" w:lineRule="exact"/>
              <w:rPr>
                <w:sz w:val="20"/>
                <w:szCs w:val="20"/>
                <w:color w:val="auto"/>
              </w:rPr>
            </w:pPr>
            <w:r>
              <w:rPr>
                <w:rFonts w:ascii="Arial" w:cs="Arial" w:eastAsia="Arial" w:hAnsi="Arial"/>
                <w:sz w:val="18"/>
                <w:szCs w:val="18"/>
                <w:color w:val="auto"/>
              </w:rPr>
              <w:t>International</w:t>
            </w:r>
          </w:p>
        </w:tc>
        <w:tc>
          <w:tcPr>
            <w:tcW w:w="2100" w:type="dxa"/>
            <w:vAlign w:val="bottom"/>
            <w:gridSpan w:val="3"/>
            <w:vMerge w:val="restart"/>
          </w:tcPr>
          <w:p>
            <w:pPr>
              <w:ind w:left="100"/>
              <w:spacing w:after="0" w:line="202" w:lineRule="exact"/>
              <w:rPr>
                <w:sz w:val="20"/>
                <w:szCs w:val="20"/>
                <w:color w:val="auto"/>
              </w:rPr>
            </w:pPr>
            <w:r>
              <w:rPr>
                <w:rFonts w:ascii="Arial" w:cs="Arial" w:eastAsia="Arial" w:hAnsi="Arial"/>
                <w:sz w:val="18"/>
                <w:szCs w:val="18"/>
                <w:color w:val="auto"/>
              </w:rPr>
              <w:t>entertainment</w:t>
            </w:r>
          </w:p>
        </w:tc>
        <w:tc>
          <w:tcPr>
            <w:tcW w:w="2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40" w:type="dxa"/>
            <w:vAlign w:val="bottom"/>
            <w:vMerge w:val="continue"/>
          </w:tcPr>
          <w:p>
            <w:pPr>
              <w:spacing w:after="0"/>
              <w:rPr>
                <w:sz w:val="8"/>
                <w:szCs w:val="8"/>
                <w:color w:val="auto"/>
              </w:rPr>
            </w:pPr>
          </w:p>
        </w:tc>
        <w:tc>
          <w:tcPr>
            <w:tcW w:w="2100" w:type="dxa"/>
            <w:vAlign w:val="bottom"/>
            <w:gridSpan w:val="3"/>
            <w:vMerge w:val="continue"/>
          </w:tcPr>
          <w:p>
            <w:pPr>
              <w:spacing w:after="0"/>
              <w:rPr>
                <w:sz w:val="8"/>
                <w:szCs w:val="8"/>
                <w:color w:val="auto"/>
              </w:rPr>
            </w:pPr>
          </w:p>
        </w:tc>
        <w:tc>
          <w:tcPr>
            <w:tcW w:w="2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vMerge w:val="restart"/>
          </w:tcPr>
          <w:p>
            <w:pPr>
              <w:spacing w:after="0"/>
              <w:rPr>
                <w:sz w:val="20"/>
                <w:szCs w:val="20"/>
                <w:color w:val="auto"/>
              </w:rPr>
            </w:pPr>
            <w:r>
              <w:rPr>
                <w:rFonts w:ascii="Arial" w:cs="Arial" w:eastAsia="Arial" w:hAnsi="Arial"/>
                <w:sz w:val="18"/>
                <w:szCs w:val="18"/>
                <w:color w:val="auto"/>
              </w:rPr>
              <w:t>Roar Digital, LLC</w:t>
            </w:r>
          </w:p>
        </w:tc>
        <w:tc>
          <w:tcPr>
            <w:tcW w:w="210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Sports betting and</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40" w:type="dxa"/>
            <w:vAlign w:val="bottom"/>
            <w:vMerge w:val="continue"/>
          </w:tcPr>
          <w:p>
            <w:pPr>
              <w:spacing w:after="0"/>
              <w:rPr>
                <w:sz w:val="21"/>
                <w:szCs w:val="21"/>
                <w:color w:val="auto"/>
              </w:rPr>
            </w:pP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online gaming</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0"/>
        </w:trPr>
        <w:tc>
          <w:tcPr>
            <w:tcW w:w="1800" w:type="dxa"/>
            <w:vAlign w:val="bottom"/>
            <w:gridSpan w:val="2"/>
          </w:tcPr>
          <w:p>
            <w:pPr>
              <w:spacing w:after="0"/>
              <w:rPr>
                <w:sz w:val="20"/>
                <w:szCs w:val="20"/>
                <w:color w:val="auto"/>
              </w:rPr>
            </w:pPr>
            <w:r>
              <w:rPr>
                <w:rFonts w:ascii="Arial" w:cs="Arial" w:eastAsia="Arial" w:hAnsi="Arial"/>
                <w:sz w:val="18"/>
                <w:szCs w:val="18"/>
                <w:color w:val="auto"/>
              </w:rPr>
              <w:t>Brian Emes</w:t>
            </w:r>
          </w:p>
        </w:tc>
        <w:tc>
          <w:tcPr>
            <w:tcW w:w="2140" w:type="dxa"/>
            <w:vAlign w:val="bottom"/>
          </w:tcPr>
          <w:p>
            <w:pPr>
              <w:spacing w:after="0"/>
              <w:rPr>
                <w:sz w:val="20"/>
                <w:szCs w:val="20"/>
                <w:color w:val="auto"/>
              </w:rPr>
            </w:pPr>
            <w:r>
              <w:rPr>
                <w:rFonts w:ascii="Arial" w:cs="Arial" w:eastAsia="Arial" w:hAnsi="Arial"/>
                <w:sz w:val="18"/>
                <w:szCs w:val="18"/>
                <w:color w:val="auto"/>
              </w:rPr>
              <w:t>Corvex Management LP</w:t>
            </w:r>
            <w:r>
              <w:rPr>
                <w:rFonts w:ascii="Arial" w:cs="Arial" w:eastAsia="Arial" w:hAnsi="Arial"/>
                <w:sz w:val="20"/>
                <w:szCs w:val="20"/>
                <w:color w:val="auto"/>
                <w:vertAlign w:val="superscript"/>
              </w:rPr>
              <w:t>(1)</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Investment manager</w:t>
            </w:r>
          </w:p>
        </w:tc>
        <w:tc>
          <w:tcPr>
            <w:tcW w:w="20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303"/>
        </w:trPr>
        <w:tc>
          <w:tcPr>
            <w:tcW w:w="1800" w:type="dxa"/>
            <w:vAlign w:val="bottom"/>
            <w:gridSpan w:val="2"/>
          </w:tcPr>
          <w:p>
            <w:pPr>
              <w:spacing w:after="0"/>
              <w:rPr>
                <w:sz w:val="20"/>
                <w:szCs w:val="20"/>
                <w:color w:val="auto"/>
              </w:rPr>
            </w:pPr>
            <w:r>
              <w:rPr>
                <w:rFonts w:ascii="Arial" w:cs="Arial" w:eastAsia="Arial" w:hAnsi="Arial"/>
                <w:sz w:val="18"/>
                <w:szCs w:val="18"/>
                <w:color w:val="auto"/>
              </w:rPr>
              <w:t>Shaun Rodriguez</w:t>
            </w:r>
          </w:p>
        </w:tc>
        <w:tc>
          <w:tcPr>
            <w:tcW w:w="2140" w:type="dxa"/>
            <w:vAlign w:val="bottom"/>
          </w:tcPr>
          <w:p>
            <w:pPr>
              <w:spacing w:after="0"/>
              <w:rPr>
                <w:sz w:val="20"/>
                <w:szCs w:val="20"/>
                <w:color w:val="auto"/>
              </w:rPr>
            </w:pPr>
            <w:r>
              <w:rPr>
                <w:rFonts w:ascii="Arial" w:cs="Arial" w:eastAsia="Arial" w:hAnsi="Arial"/>
                <w:sz w:val="18"/>
                <w:szCs w:val="18"/>
                <w:color w:val="auto"/>
              </w:rPr>
              <w:t>Casdin Capital, LLC</w:t>
            </w:r>
            <w:r>
              <w:rPr>
                <w:rFonts w:ascii="Arial" w:cs="Arial" w:eastAsia="Arial" w:hAnsi="Arial"/>
                <w:sz w:val="20"/>
                <w:szCs w:val="20"/>
                <w:color w:val="auto"/>
                <w:vertAlign w:val="superscript"/>
              </w:rPr>
              <w:t>(1)</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Investment manager</w:t>
            </w:r>
          </w:p>
        </w:tc>
        <w:tc>
          <w:tcPr>
            <w:tcW w:w="2060" w:type="dxa"/>
            <w:vAlign w:val="bottom"/>
          </w:tcPr>
          <w:p>
            <w:pPr>
              <w:spacing w:after="0"/>
              <w:rPr>
                <w:sz w:val="20"/>
                <w:szCs w:val="20"/>
                <w:color w:val="auto"/>
              </w:rPr>
            </w:pPr>
            <w:r>
              <w:rPr>
                <w:rFonts w:ascii="Arial" w:cs="Arial" w:eastAsia="Arial" w:hAnsi="Arial"/>
                <w:sz w:val="18"/>
                <w:szCs w:val="18"/>
                <w:color w:val="auto"/>
              </w:rPr>
              <w:t>Director of Life Science</w:t>
            </w: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Research</w:t>
            </w: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GeneMatters, LLC</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20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3"/>
        </w:trPr>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Prominex Inc.</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20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32"/>
        </w:trPr>
        <w:tc>
          <w:tcPr>
            <w:tcW w:w="1800" w:type="dxa"/>
            <w:vAlign w:val="bottom"/>
            <w:gridSpan w:val="2"/>
          </w:tcPr>
          <w:p>
            <w:pPr>
              <w:spacing w:after="0"/>
              <w:rPr>
                <w:sz w:val="20"/>
                <w:szCs w:val="20"/>
                <w:color w:val="auto"/>
              </w:rPr>
            </w:pPr>
            <w:r>
              <w:rPr>
                <w:rFonts w:ascii="Arial" w:cs="Arial" w:eastAsia="Arial" w:hAnsi="Arial"/>
                <w:sz w:val="18"/>
                <w:szCs w:val="18"/>
                <w:color w:val="auto"/>
              </w:rPr>
              <w:t>Sean George</w:t>
            </w:r>
          </w:p>
        </w:tc>
        <w:tc>
          <w:tcPr>
            <w:tcW w:w="2140" w:type="dxa"/>
            <w:vAlign w:val="bottom"/>
          </w:tcPr>
          <w:p>
            <w:pPr>
              <w:spacing w:after="0"/>
              <w:rPr>
                <w:sz w:val="20"/>
                <w:szCs w:val="20"/>
                <w:color w:val="auto"/>
              </w:rPr>
            </w:pPr>
            <w:r>
              <w:rPr>
                <w:rFonts w:ascii="Arial" w:cs="Arial" w:eastAsia="Arial" w:hAnsi="Arial"/>
                <w:sz w:val="18"/>
                <w:szCs w:val="18"/>
                <w:color w:val="auto"/>
              </w:rPr>
              <w:t>Invitae Corporation</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20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351"/>
        </w:trPr>
        <w:tc>
          <w:tcPr>
            <w:tcW w:w="1800" w:type="dxa"/>
            <w:vAlign w:val="bottom"/>
            <w:gridSpan w:val="2"/>
          </w:tcPr>
          <w:p>
            <w:pPr>
              <w:spacing w:after="0"/>
              <w:rPr>
                <w:sz w:val="20"/>
                <w:szCs w:val="20"/>
                <w:color w:val="auto"/>
              </w:rPr>
            </w:pPr>
            <w:r>
              <w:rPr>
                <w:rFonts w:ascii="Arial" w:cs="Arial" w:eastAsia="Arial" w:hAnsi="Arial"/>
                <w:sz w:val="18"/>
                <w:szCs w:val="18"/>
                <w:color w:val="auto"/>
              </w:rPr>
              <w:t>Emily Leproust</w:t>
            </w:r>
          </w:p>
        </w:tc>
        <w:tc>
          <w:tcPr>
            <w:tcW w:w="2140" w:type="dxa"/>
            <w:vAlign w:val="bottom"/>
          </w:tcPr>
          <w:p>
            <w:pPr>
              <w:spacing w:after="0"/>
              <w:rPr>
                <w:sz w:val="20"/>
                <w:szCs w:val="20"/>
                <w:color w:val="auto"/>
              </w:rPr>
            </w:pPr>
            <w:r>
              <w:rPr>
                <w:rFonts w:ascii="Arial" w:cs="Arial" w:eastAsia="Arial" w:hAnsi="Arial"/>
                <w:sz w:val="18"/>
                <w:szCs w:val="18"/>
                <w:color w:val="auto"/>
              </w:rPr>
              <w:t>Twist Bioscience Corp.</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2060" w:type="dxa"/>
            <w:vAlign w:val="bottom"/>
          </w:tcPr>
          <w:p>
            <w:pPr>
              <w:spacing w:after="0"/>
              <w:rPr>
                <w:sz w:val="20"/>
                <w:szCs w:val="20"/>
                <w:color w:val="auto"/>
              </w:rPr>
            </w:pPr>
            <w:r>
              <w:rPr>
                <w:rFonts w:ascii="Arial" w:cs="Arial" w:eastAsia="Arial" w:hAnsi="Arial"/>
                <w:sz w:val="18"/>
                <w:szCs w:val="18"/>
                <w:color w:val="auto"/>
              </w:rPr>
              <w:t>President, Chief</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Executive Officer and</w:t>
            </w: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Chair of the Board</w:t>
            </w:r>
          </w:p>
        </w:tc>
        <w:tc>
          <w:tcPr>
            <w:tcW w:w="0" w:type="dxa"/>
            <w:vAlign w:val="bottom"/>
          </w:tcPr>
          <w:p>
            <w:pPr>
              <w:spacing w:after="0"/>
              <w:rPr>
                <w:sz w:val="1"/>
                <w:szCs w:val="1"/>
                <w:color w:val="auto"/>
              </w:rPr>
            </w:pPr>
          </w:p>
        </w:tc>
      </w:tr>
      <w:tr>
        <w:trPr>
          <w:trHeight w:val="351"/>
        </w:trPr>
        <w:tc>
          <w:tcPr>
            <w:tcW w:w="1800" w:type="dxa"/>
            <w:vAlign w:val="bottom"/>
            <w:gridSpan w:val="2"/>
          </w:tcPr>
          <w:p>
            <w:pPr>
              <w:spacing w:after="0"/>
              <w:rPr>
                <w:sz w:val="20"/>
                <w:szCs w:val="20"/>
                <w:color w:val="auto"/>
              </w:rPr>
            </w:pPr>
            <w:r>
              <w:rPr>
                <w:rFonts w:ascii="Arial" w:cs="Arial" w:eastAsia="Arial" w:hAnsi="Arial"/>
                <w:sz w:val="18"/>
                <w:szCs w:val="18"/>
                <w:color w:val="auto"/>
              </w:rPr>
              <w:t>Nat Turner</w:t>
            </w:r>
          </w:p>
        </w:tc>
        <w:tc>
          <w:tcPr>
            <w:tcW w:w="2140" w:type="dxa"/>
            <w:vAlign w:val="bottom"/>
          </w:tcPr>
          <w:p>
            <w:pPr>
              <w:spacing w:after="0"/>
              <w:rPr>
                <w:sz w:val="20"/>
                <w:szCs w:val="20"/>
                <w:color w:val="auto"/>
              </w:rPr>
            </w:pPr>
            <w:r>
              <w:rPr>
                <w:rFonts w:ascii="Arial" w:cs="Arial" w:eastAsia="Arial" w:hAnsi="Arial"/>
                <w:sz w:val="18"/>
                <w:szCs w:val="18"/>
                <w:color w:val="auto"/>
              </w:rPr>
              <w:t>Flatiron Health, Inc.</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20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and Director</w:t>
            </w: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Clover Health, Inc.</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20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4"/>
        </w:trPr>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Zenreach, Inc.</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20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01"/>
        </w:trPr>
        <w:tc>
          <w:tcPr>
            <w:tcW w:w="1700" w:type="dxa"/>
            <w:vAlign w:val="bottom"/>
          </w:tcPr>
          <w:p>
            <w:pPr>
              <w:spacing w:after="0"/>
              <w:rPr>
                <w:sz w:val="20"/>
                <w:szCs w:val="20"/>
                <w:color w:val="auto"/>
              </w:rPr>
            </w:pPr>
            <w:r>
              <w:rPr>
                <w:rFonts w:ascii="Arial" w:cs="Arial" w:eastAsia="Arial" w:hAnsi="Arial"/>
                <w:sz w:val="16"/>
                <w:szCs w:val="16"/>
                <w:color w:val="auto"/>
              </w:rPr>
              <w:t>____________</w:t>
            </w: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880" w:hanging="426"/>
        <w:spacing w:after="0"/>
        <w:tabs>
          <w:tab w:leader="none" w:pos="8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Including with respect to one or more investment funds, clients or accounts for which such entity acts as investment advisor.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Potential investors should also be aware of the following other potential conflicts of interest:</w:t>
      </w:r>
    </w:p>
    <w:p>
      <w:pPr>
        <w:spacing w:after="0" w:line="36" w:lineRule="exact"/>
        <w:rPr>
          <w:sz w:val="20"/>
          <w:szCs w:val="20"/>
          <w:color w:val="auto"/>
        </w:rPr>
      </w:pPr>
    </w:p>
    <w:p>
      <w:pPr>
        <w:ind w:left="1100" w:right="559" w:hanging="322"/>
        <w:spacing w:after="0" w:line="239" w:lineRule="auto"/>
        <w:tabs>
          <w:tab w:leader="none" w:pos="1089"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executive officers is engaged in several other business endeavors for which he may be entitled to substantial compensation, and our executive officers are not obligated to contribute any specific number of hours per week to our affairs.</w:t>
      </w:r>
    </w:p>
    <w:p>
      <w:pPr>
        <w:spacing w:after="0" w:line="1" w:lineRule="exact"/>
        <w:rPr>
          <w:rFonts w:ascii="Arial" w:cs="Arial" w:eastAsia="Arial" w:hAnsi="Arial"/>
          <w:sz w:val="18"/>
          <w:szCs w:val="18"/>
          <w:color w:val="auto"/>
        </w:rPr>
      </w:pPr>
    </w:p>
    <w:p>
      <w:pPr>
        <w:ind w:left="1100" w:right="539" w:hanging="322"/>
        <w:spacing w:after="0" w:line="245" w:lineRule="auto"/>
        <w:tabs>
          <w:tab w:leader="none" w:pos="1089"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initial stockholders purchased founder shares prior to the date of this prospectus and will purchase private placement warrants in a transaction that will close simultaneously with the closing of this offering. Our initial stockholders have entered into agreements with us, pursuant to which they have agreed to waive their redemption rights with respect to their founder shares and any public shares they hold in connection</w:t>
      </w:r>
    </w:p>
    <w:p>
      <w:pPr>
        <w:sectPr>
          <w:pgSz w:w="11900" w:h="16838" w:orient="portrait"/>
          <w:cols w:equalWidth="0" w:num="1">
            <w:col w:w="9019"/>
          </w:cols>
          <w:pgMar w:left="1440" w:top="265" w:right="1440" w:bottom="1440" w:gutter="0" w:footer="0" w:header="0"/>
        </w:sectPr>
      </w:pP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19050</wp:posOffset>
            </wp:positionV>
            <wp:extent cx="51435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12" w:name="page113"/>
    <w:bookmarkEnd w:id="112"/>
    <w:p>
      <w:pPr>
        <w:ind w:left="1100" w:right="499"/>
        <w:spacing w:after="0" w:line="236" w:lineRule="auto"/>
        <w:rPr>
          <w:sz w:val="20"/>
          <w:szCs w:val="20"/>
          <w:color w:val="auto"/>
        </w:rPr>
      </w:pPr>
      <w:r>
        <w:rPr>
          <w:rFonts w:ascii="Arial" w:cs="Arial" w:eastAsia="Arial" w:hAnsi="Arial"/>
          <w:sz w:val="18"/>
          <w:szCs w:val="18"/>
          <w:color w:val="auto"/>
        </w:rPr>
        <w:t>with the completion of our initial business combination. The other members of our management team have entered into agreements similar to the one entered into by our initial stockholders with respect to any public shares acquired by them in or after this offering. Additionally, our initial stockholders have agreed to waive their rights to liquidating distributions from the trust account with respect to their founder shares if we fail to complete our initial business combination within the prescribed time frame or during any Extension Period. If we do not complete our initial business combination within the prescribed time frame, the private placement warrants will expire worthless. Furthermore, our initial stockholders have agreed not to transfer, assign or sell any of their founder shares until the earlier to occur of: (i) one year after the completion of our initial business combination and (ii) the date following the completion of our initial business combination on which we complete a liquidation, merger, capital stock exchange or other similar transaction that results in all of our stockholders having the right to exchange their common stock for cash, securities or other property. Notwithstanding the foregoing, if the closing price of our Class A common stock equals or exceeds $12.00 per share (as adjusted for stock splits, stock capitalizations, reorganizations, recapitalizations and the like) for any 20 trading days within any 30-trading day period commencing at least 150 days after our initial business combination, the founder shares will be released from the lockup. Subject to certain limited exceptions, the private placement warrants will not be transferable until 30 days following the completion of our initial business combination. Because each of our executive officers and director nominees will own common stock or warrants directly or indirectly, they may have a conflict of interest in determining whether a particular target business is an appropriate business with which to effectuate our initial business combination.</w:t>
      </w:r>
    </w:p>
    <w:p>
      <w:pPr>
        <w:spacing w:after="0" w:line="17" w:lineRule="exact"/>
        <w:rPr>
          <w:sz w:val="20"/>
          <w:szCs w:val="20"/>
          <w:color w:val="auto"/>
        </w:rPr>
      </w:pPr>
    </w:p>
    <w:p>
      <w:pPr>
        <w:ind w:left="1100" w:right="659" w:hanging="322"/>
        <w:spacing w:after="0" w:line="243" w:lineRule="auto"/>
        <w:tabs>
          <w:tab w:leader="none" w:pos="1089"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66"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We are not prohibited from pursuing an initial business combination with a business combination target that is affiliated with our sponsor, officers or directors or completing the business combination through a joint venture or other form of shared ownership with our sponsor, officers or directors. In the event we seek to complete our initial business combination with an business combination target that is affiliated with our sponsor, executive officers or directors, we, or a committee of independent directors, would obtain an opinion from an independent investment banking which is a member of FINRA or a valuation or appraisal firm, that such initial business combination is fair to our company from a financial point of view. We are not required to obtain such an opinion in any other context. Furthermore, in no event will our sponsor or any of our existing officers or directors, or any of their respective affiliates, be paid by the company any finder’s fee, consulting fee or other compensation prior to, or for any services they render in order to effectuate, the completion of our initial business combination.</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cannot assure you that any of the above mentioned conflicts will be resolved in our favor.</w:t>
      </w:r>
    </w:p>
    <w:p>
      <w:pPr>
        <w:spacing w:after="0" w:line="104" w:lineRule="exact"/>
        <w:rPr>
          <w:sz w:val="20"/>
          <w:szCs w:val="20"/>
          <w:color w:val="auto"/>
        </w:rPr>
      </w:pPr>
    </w:p>
    <w:p>
      <w:pPr>
        <w:ind w:left="460" w:right="599"/>
        <w:spacing w:after="0" w:line="248" w:lineRule="auto"/>
        <w:rPr>
          <w:sz w:val="20"/>
          <w:szCs w:val="20"/>
          <w:color w:val="auto"/>
        </w:rPr>
      </w:pPr>
      <w:r>
        <w:rPr>
          <w:rFonts w:ascii="Arial" w:cs="Arial" w:eastAsia="Arial" w:hAnsi="Arial"/>
          <w:sz w:val="18"/>
          <w:szCs w:val="18"/>
          <w:color w:val="auto"/>
        </w:rPr>
        <w:t>In the event that we submit our initial business combination to our public stockholders for a vote, our initial stockholders have agreed to vote their founder shares, and they and the other members of our management team have agreed to vote any founder shares they hold and any shares purchased during or after the offering in favor of our initial business combination.</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106" w:lineRule="exact"/>
        <w:rPr>
          <w:sz w:val="20"/>
          <w:szCs w:val="20"/>
          <w:color w:val="auto"/>
        </w:rPr>
      </w:pPr>
    </w:p>
    <w:p>
      <w:pPr>
        <w:ind w:left="460" w:right="639"/>
        <w:spacing w:after="0"/>
        <w:rPr>
          <w:sz w:val="20"/>
          <w:szCs w:val="20"/>
          <w:color w:val="auto"/>
        </w:rPr>
      </w:pPr>
      <w:r>
        <w:rPr>
          <w:rFonts w:ascii="Arial" w:cs="Arial" w:eastAsia="Arial" w:hAnsi="Arial"/>
          <w:sz w:val="18"/>
          <w:szCs w:val="18"/>
          <w:color w:val="auto"/>
        </w:rPr>
        <w:t>Our amended and restated certificate of incorporation provides that our officers and directors will be indemnified by us to the fullest extent authorized by Delaware law, as it now exists or may in the future be amended. In addition, our amended and restated certificate of incorporation provides that our directors will not be personally liable for monetary damages to us or our stockholders for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w:t>
      </w:r>
    </w:p>
    <w:p>
      <w:pPr>
        <w:spacing w:after="0" w:line="72" w:lineRule="exact"/>
        <w:rPr>
          <w:sz w:val="20"/>
          <w:szCs w:val="20"/>
          <w:color w:val="auto"/>
        </w:rPr>
      </w:pPr>
    </w:p>
    <w:p>
      <w:pPr>
        <w:ind w:left="460" w:right="459"/>
        <w:spacing w:after="0" w:line="245" w:lineRule="auto"/>
        <w:rPr>
          <w:sz w:val="20"/>
          <w:szCs w:val="20"/>
          <w:color w:val="auto"/>
        </w:rPr>
      </w:pPr>
      <w:r>
        <w:rPr>
          <w:rFonts w:ascii="Arial" w:cs="Arial" w:eastAsia="Arial" w:hAnsi="Arial"/>
          <w:sz w:val="18"/>
          <w:szCs w:val="18"/>
          <w:color w:val="auto"/>
        </w:rPr>
        <w:t>We have entered into agreements with our officers and directors to provide contractual indemnification in addition to the indemnification provided for in our amended and restated certificate of incorporation. Our bylaws also will permit us to secure insurance on behalf of any officer, director or employee for any liability arising out of his or her actions, regardless of whether Delaware law would permit such indemnification. We will purchase a policy of directors’ and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57" w:right="1440" w:bottom="1440" w:gutter="0" w:footer="0" w:header="0"/>
        </w:sectPr>
      </w:pPr>
    </w:p>
    <w:bookmarkStart w:id="113" w:name="page114"/>
    <w:bookmarkEnd w:id="113"/>
    <w:p>
      <w:pPr>
        <w:ind w:left="460" w:right="499"/>
        <w:spacing w:after="0"/>
        <w:rPr>
          <w:sz w:val="20"/>
          <w:szCs w:val="20"/>
          <w:color w:val="auto"/>
        </w:rPr>
      </w:pPr>
      <w:r>
        <w:rPr>
          <w:rFonts w:ascii="Arial" w:cs="Arial" w:eastAsia="Arial" w:hAnsi="Arial"/>
          <w:sz w:val="18"/>
          <w:szCs w:val="18"/>
          <w:color w:val="auto"/>
        </w:rPr>
        <w:t>officers’ liability insurance that insures our officers and directors against the cost of defense, settlement or payment of a judgment in some circumstances and insures us against our obligations to indemnify our officers and directors. Except with respect to any public shares they may acquire in this offering or thereafter (in the event we do not consummate an initial business combination), our officers and directors have agreed to waive (and any other persons who may become an officer or director prior to the initial business combination will also be required to waive) any right, title, interest or claim of any kind in or to any monies in the trust account, and not to seek recourse against the trust account for any reason whatsoever, including with respect to such indemnification.</w:t>
      </w:r>
    </w:p>
    <w:p>
      <w:pPr>
        <w:spacing w:after="0" w:line="72" w:lineRule="exact"/>
        <w:rPr>
          <w:sz w:val="20"/>
          <w:szCs w:val="20"/>
          <w:color w:val="auto"/>
        </w:rPr>
      </w:pPr>
    </w:p>
    <w:p>
      <w:pPr>
        <w:ind w:left="460" w:right="479"/>
        <w:spacing w:after="0" w:line="243" w:lineRule="auto"/>
        <w:rPr>
          <w:sz w:val="20"/>
          <w:szCs w:val="20"/>
          <w:color w:val="auto"/>
        </w:rPr>
      </w:pPr>
      <w:r>
        <w:rPr>
          <w:rFonts w:ascii="Arial" w:cs="Arial" w:eastAsia="Arial" w:hAnsi="Arial"/>
          <w:sz w:val="18"/>
          <w:szCs w:val="18"/>
          <w:color w:val="auto"/>
        </w:rPr>
        <w:t>These provisions may discourage stockholders from bringing a lawsuit against our directors for breach of their fiduciary duty. These provisions also may have the effect of reducing the likelihood of derivative litigation against officers and directors, even though such an action, if successful, might otherwise benefit us and our stockholders. Furthermore, a stockholder’s investment may be adversely affected to the extent we pay the costs of settlement and damage awards against officers and directors pursuant to these indemnification provisions.</w:t>
      </w:r>
    </w:p>
    <w:p>
      <w:pPr>
        <w:spacing w:after="0" w:line="79" w:lineRule="exact"/>
        <w:rPr>
          <w:sz w:val="20"/>
          <w:szCs w:val="20"/>
          <w:color w:val="auto"/>
        </w:rPr>
      </w:pPr>
    </w:p>
    <w:p>
      <w:pPr>
        <w:jc w:val="both"/>
        <w:ind w:left="460" w:right="939"/>
        <w:spacing w:after="0" w:line="306" w:lineRule="auto"/>
        <w:rPr>
          <w:sz w:val="20"/>
          <w:szCs w:val="20"/>
          <w:color w:val="auto"/>
        </w:rPr>
      </w:pPr>
      <w:r>
        <w:rPr>
          <w:rFonts w:ascii="Arial" w:cs="Arial" w:eastAsia="Arial" w:hAnsi="Arial"/>
          <w:sz w:val="17"/>
          <w:szCs w:val="17"/>
          <w:color w:val="auto"/>
        </w:rPr>
        <w:t>We believe that these provisions, the directors’ and officers’ liability insurance and the indemnity agreements are necessary to attract and retain talented and experienced officers and directors.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25" w:right="1440"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65" w:lineRule="exact"/>
        <w:rPr>
          <w:sz w:val="20"/>
          <w:szCs w:val="20"/>
          <w:color w:val="auto"/>
        </w:rPr>
      </w:pPr>
    </w:p>
    <w:p>
      <w:pPr>
        <w:ind w:left="460" w:right="479"/>
        <w:spacing w:after="0" w:line="277" w:lineRule="auto"/>
        <w:rPr>
          <w:sz w:val="20"/>
          <w:szCs w:val="20"/>
          <w:color w:val="auto"/>
        </w:rPr>
      </w:pPr>
      <w:r>
        <w:rPr>
          <w:rFonts w:ascii="Arial" w:cs="Arial" w:eastAsia="Arial" w:hAnsi="Arial"/>
          <w:sz w:val="17"/>
          <w:szCs w:val="17"/>
          <w:color w:val="auto"/>
        </w:rPr>
        <w:t>The following table sets forth information regarding the beneficial ownership of our common stock as of the date of this prospectus, and as adjusted to reflect the sale of our Class A common stock included in the units offered by this prospectus, and assuming no purchase of units in this offering, by:</w:t>
      </w:r>
    </w:p>
    <w:p>
      <w:pPr>
        <w:spacing w:after="0" w:line="12" w:lineRule="exact"/>
        <w:rPr>
          <w:sz w:val="20"/>
          <w:szCs w:val="20"/>
          <w:color w:val="auto"/>
        </w:rPr>
      </w:pPr>
    </w:p>
    <w:p>
      <w:pPr>
        <w:ind w:left="1100" w:right="919" w:hanging="322"/>
        <w:spacing w:after="0" w:line="273" w:lineRule="auto"/>
        <w:tabs>
          <w:tab w:leader="none" w:pos="1089" w:val="left"/>
        </w:tabs>
        <w:numPr>
          <w:ilvl w:val="0"/>
          <w:numId w:val="55"/>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shares of common stock;</w:t>
      </w:r>
    </w:p>
    <w:p>
      <w:pPr>
        <w:spacing w:after="0" w:line="1" w:lineRule="exact"/>
        <w:rPr>
          <w:rFonts w:ascii="Arial" w:cs="Arial" w:eastAsia="Arial" w:hAnsi="Arial"/>
          <w:sz w:val="18"/>
          <w:szCs w:val="18"/>
          <w:color w:val="auto"/>
        </w:rPr>
      </w:pPr>
    </w:p>
    <w:p>
      <w:pPr>
        <w:ind w:left="1100" w:hanging="322"/>
        <w:spacing w:after="0"/>
        <w:tabs>
          <w:tab w:leader="none" w:pos="11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each of our executive officers, directors and director nominees; and</w:t>
      </w:r>
    </w:p>
    <w:p>
      <w:pPr>
        <w:spacing w:after="0" w:line="63" w:lineRule="exact"/>
        <w:rPr>
          <w:rFonts w:ascii="Arial" w:cs="Arial" w:eastAsia="Arial" w:hAnsi="Arial"/>
          <w:sz w:val="18"/>
          <w:szCs w:val="18"/>
          <w:color w:val="auto"/>
        </w:rPr>
      </w:pPr>
    </w:p>
    <w:p>
      <w:pPr>
        <w:ind w:left="1100" w:hanging="322"/>
        <w:spacing w:after="0"/>
        <w:tabs>
          <w:tab w:leader="none" w:pos="11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our executive officers and directors as a group.</w:t>
      </w:r>
    </w:p>
    <w:p>
      <w:pPr>
        <w:spacing w:after="0" w:line="77" w:lineRule="exact"/>
        <w:rPr>
          <w:sz w:val="20"/>
          <w:szCs w:val="20"/>
          <w:color w:val="auto"/>
        </w:rPr>
      </w:pPr>
    </w:p>
    <w:p>
      <w:pPr>
        <w:ind w:left="460" w:right="619"/>
        <w:spacing w:after="0" w:line="248"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of our common stock beneficially owned by them. The following table does not reflect record or beneficial ownership of the private placement warrants as these warrants are not exercisable within 60 days of the date of this prospectus.</w:t>
      </w:r>
    </w:p>
    <w:p>
      <w:pPr>
        <w:spacing w:after="0" w:line="22"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On July 16, 2020 our sponsor purchased an aggregate 10,062,500 founder shares for a total purchase price of $25,000, or approximately $0.002 per share. In August 2020, our sponsor transferred 25,000 founder shares to each of Mr. Islam, Dr. Leproust and Mr. Turner. On September 1, 2020, we effected a 1:1.1 stock split of our Class B common stock, resulting in our sponsor holding an aggregate of 10,993,750 founder shares and there being an aggregate of 11,068,750 founder shares outstanding. Prior to the initial investment in the company of $25,000 by the sponsor, the company had no assets, tangible or intangible. The purchase price of the founder shares was determined by dividing the amount of cash contributed to the company by the number of founder shares issued. The number of founder shares outstanding was determined based on the expectation that the total size of this offering would be a maximum of 44,275,000 units if the underwriters’ over-allotment option is exercised in full, and therefore that such founder shares would represent 20% of the outstanding shares after this offering. Up to 1,443,750 of the founder shares will be forfeited by our sponsor depending on the extent to which the underwriters’ over-allotment is exercised. The post-offering percentages in the following table assume that the underwriters do not exercise their over-allotment option, that our sponsor has forfeited 1,443,750 founder shares, and that there are 48,125,000 shares of common stock issued and outstanding after this offering.</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Number of</w:t>
            </w:r>
          </w:p>
        </w:tc>
        <w:tc>
          <w:tcPr>
            <w:tcW w:w="2740" w:type="dxa"/>
            <w:vAlign w:val="bottom"/>
            <w:gridSpan w:val="3"/>
          </w:tcPr>
          <w:p>
            <w:pPr>
              <w:jc w:val="center"/>
              <w:spacing w:after="0"/>
              <w:rPr>
                <w:sz w:val="20"/>
                <w:szCs w:val="20"/>
                <w:color w:val="auto"/>
              </w:rPr>
            </w:pPr>
            <w:r>
              <w:rPr>
                <w:rFonts w:ascii="Arial" w:cs="Arial" w:eastAsia="Arial" w:hAnsi="Arial"/>
                <w:sz w:val="14"/>
                <w:szCs w:val="14"/>
                <w:b w:val="1"/>
                <w:bCs w:val="1"/>
                <w:color w:val="auto"/>
              </w:rPr>
              <w:t>Approximate Percentage of</w:t>
            </w:r>
          </w:p>
        </w:tc>
        <w:tc>
          <w:tcPr>
            <w:tcW w:w="0" w:type="dxa"/>
            <w:vAlign w:val="bottom"/>
          </w:tcPr>
          <w:p>
            <w:pPr>
              <w:spacing w:after="0"/>
              <w:rPr>
                <w:sz w:val="1"/>
                <w:szCs w:val="1"/>
                <w:color w:val="auto"/>
              </w:rPr>
            </w:pPr>
          </w:p>
        </w:tc>
      </w:tr>
      <w:tr>
        <w:trPr>
          <w:trHeight w:val="150"/>
        </w:trPr>
        <w:tc>
          <w:tcPr>
            <w:tcW w:w="4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2740" w:type="dxa"/>
            <w:vAlign w:val="bottom"/>
            <w:gridSpan w:val="3"/>
          </w:tcPr>
          <w:p>
            <w:pPr>
              <w:jc w:val="center"/>
              <w:spacing w:after="0" w:line="150"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Shares</w:t>
            </w:r>
          </w:p>
        </w:tc>
        <w:tc>
          <w:tcPr>
            <w:tcW w:w="2740" w:type="dxa"/>
            <w:vAlign w:val="bottom"/>
            <w:gridSpan w:val="3"/>
          </w:tcPr>
          <w:p>
            <w:pPr>
              <w:jc w:val="center"/>
              <w:spacing w:after="0"/>
              <w:rPr>
                <w:sz w:val="20"/>
                <w:szCs w:val="20"/>
                <w:color w:val="auto"/>
              </w:rPr>
            </w:pPr>
            <w:r>
              <w:rPr>
                <w:rFonts w:ascii="Arial" w:cs="Arial" w:eastAsia="Arial" w:hAnsi="Arial"/>
                <w:sz w:val="14"/>
                <w:szCs w:val="14"/>
                <w:b w:val="1"/>
                <w:bCs w:val="1"/>
                <w:color w:val="auto"/>
              </w:rPr>
              <w:t>Common Stock</w:t>
            </w:r>
          </w:p>
        </w:tc>
        <w:tc>
          <w:tcPr>
            <w:tcW w:w="0" w:type="dxa"/>
            <w:vAlign w:val="bottom"/>
          </w:tcPr>
          <w:p>
            <w:pPr>
              <w:spacing w:after="0"/>
              <w:rPr>
                <w:sz w:val="1"/>
                <w:szCs w:val="1"/>
                <w:color w:val="auto"/>
              </w:rPr>
            </w:pPr>
          </w:p>
        </w:tc>
      </w:tr>
      <w:tr>
        <w:trPr>
          <w:trHeight w:val="68"/>
        </w:trPr>
        <w:tc>
          <w:tcPr>
            <w:tcW w:w="40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restart"/>
          </w:tcPr>
          <w:p>
            <w:pPr>
              <w:jc w:val="center"/>
              <w:ind w:right="120"/>
              <w:spacing w:after="0" w:line="147" w:lineRule="exact"/>
              <w:rPr>
                <w:sz w:val="20"/>
                <w:szCs w:val="20"/>
                <w:color w:val="auto"/>
              </w:rPr>
            </w:pPr>
            <w:r>
              <w:rPr>
                <w:rFonts w:ascii="Arial" w:cs="Arial" w:eastAsia="Arial" w:hAnsi="Arial"/>
                <w:sz w:val="14"/>
                <w:szCs w:val="14"/>
                <w:b w:val="1"/>
                <w:bCs w:val="1"/>
                <w:color w:val="auto"/>
              </w:rPr>
              <w:t>Beneficially</w:t>
            </w: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40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4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and Address of Beneficial Owner</w:t>
            </w:r>
            <w:r>
              <w:rPr>
                <w:rFonts w:ascii="Arial" w:cs="Arial" w:eastAsia="Arial" w:hAnsi="Arial"/>
                <w:sz w:val="16"/>
                <w:szCs w:val="16"/>
                <w:b w:val="1"/>
                <w:bCs w:val="1"/>
                <w:color w:val="auto"/>
                <w:vertAlign w:val="superscript"/>
              </w:rPr>
              <w:t>(1)</w:t>
            </w: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center"/>
              <w:spacing w:after="0" w:line="217" w:lineRule="exact"/>
              <w:rPr>
                <w:sz w:val="20"/>
                <w:szCs w:val="20"/>
                <w:color w:val="auto"/>
              </w:rPr>
            </w:pPr>
            <w:r>
              <w:rPr>
                <w:rFonts w:ascii="Arial" w:cs="Arial" w:eastAsia="Arial" w:hAnsi="Arial"/>
                <w:sz w:val="25"/>
                <w:szCs w:val="25"/>
                <w:b w:val="1"/>
                <w:bCs w:val="1"/>
                <w:color w:val="auto"/>
                <w:w w:val="90"/>
                <w:vertAlign w:val="subscript"/>
              </w:rPr>
              <w:t>Owned</w:t>
            </w:r>
            <w:r>
              <w:rPr>
                <w:rFonts w:ascii="Arial" w:cs="Arial" w:eastAsia="Arial" w:hAnsi="Arial"/>
                <w:sz w:val="8"/>
                <w:szCs w:val="8"/>
                <w:b w:val="1"/>
                <w:bCs w:val="1"/>
                <w:color w:val="auto"/>
                <w:w w:val="90"/>
              </w:rPr>
              <w:t>(2)(4)</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Before Offering</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After Offering</w:t>
            </w:r>
          </w:p>
        </w:tc>
        <w:tc>
          <w:tcPr>
            <w:tcW w:w="0" w:type="dxa"/>
            <w:vAlign w:val="bottom"/>
          </w:tcPr>
          <w:p>
            <w:pPr>
              <w:spacing w:after="0"/>
              <w:rPr>
                <w:sz w:val="1"/>
                <w:szCs w:val="1"/>
                <w:color w:val="auto"/>
              </w:rPr>
            </w:pPr>
          </w:p>
        </w:tc>
      </w:tr>
      <w:tr>
        <w:trPr>
          <w:trHeight w:val="263"/>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CMLS Holdings LLC (our sponsor)</w:t>
            </w:r>
            <w:r>
              <w:rPr>
                <w:rFonts w:ascii="Arial" w:cs="Arial" w:eastAsia="Arial" w:hAnsi="Arial"/>
                <w:sz w:val="20"/>
                <w:szCs w:val="20"/>
                <w:color w:val="auto"/>
                <w:vertAlign w:val="superscript"/>
              </w:rPr>
              <w:t>(3)</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10,993,750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84"/>
        </w:trPr>
        <w:tc>
          <w:tcPr>
            <w:tcW w:w="4160" w:type="dxa"/>
            <w:vAlign w:val="bottom"/>
            <w:gridSpan w:val="2"/>
          </w:tcPr>
          <w:p>
            <w:pPr>
              <w:spacing w:after="0"/>
              <w:rPr>
                <w:sz w:val="20"/>
                <w:szCs w:val="20"/>
                <w:color w:val="auto"/>
              </w:rPr>
            </w:pPr>
            <w:r>
              <w:rPr>
                <w:rFonts w:ascii="Arial" w:cs="Arial" w:eastAsia="Arial" w:hAnsi="Arial"/>
                <w:sz w:val="18"/>
                <w:szCs w:val="18"/>
                <w:color w:val="auto"/>
              </w:rPr>
              <w:t>Eli Casdin</w:t>
            </w:r>
            <w:r>
              <w:rPr>
                <w:rFonts w:ascii="Arial" w:cs="Arial" w:eastAsia="Arial" w:hAnsi="Arial"/>
                <w:sz w:val="20"/>
                <w:szCs w:val="20"/>
                <w:color w:val="auto"/>
                <w:vertAlign w:val="superscript"/>
              </w:rPr>
              <w:t>(3)</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10,993,750</w:t>
            </w:r>
          </w:p>
        </w:tc>
        <w:tc>
          <w:tcPr>
            <w:tcW w:w="1260" w:type="dxa"/>
            <w:vAlign w:val="bottom"/>
          </w:tcPr>
          <w:p>
            <w:pPr>
              <w:jc w:val="right"/>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83"/>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Keith Meister</w:t>
            </w:r>
            <w:r>
              <w:rPr>
                <w:rFonts w:ascii="Arial" w:cs="Arial" w:eastAsia="Arial" w:hAnsi="Arial"/>
                <w:sz w:val="20"/>
                <w:szCs w:val="20"/>
                <w:color w:val="auto"/>
                <w:vertAlign w:val="superscript"/>
              </w:rPr>
              <w:t>(3)</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10,993,750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60"/>
        </w:trPr>
        <w:tc>
          <w:tcPr>
            <w:tcW w:w="4160" w:type="dxa"/>
            <w:vAlign w:val="bottom"/>
            <w:gridSpan w:val="2"/>
          </w:tcPr>
          <w:p>
            <w:pPr>
              <w:spacing w:after="0"/>
              <w:rPr>
                <w:sz w:val="20"/>
                <w:szCs w:val="20"/>
                <w:color w:val="auto"/>
              </w:rPr>
            </w:pPr>
            <w:r>
              <w:rPr>
                <w:rFonts w:ascii="Arial" w:cs="Arial" w:eastAsia="Arial" w:hAnsi="Arial"/>
                <w:sz w:val="18"/>
                <w:szCs w:val="18"/>
                <w:color w:val="auto"/>
              </w:rPr>
              <w:t>Brian Emes</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Shaun Rodriguez</w:t>
            </w:r>
            <w:r>
              <w:rPr>
                <w:rFonts w:ascii="Arial" w:cs="Arial" w:eastAsia="Arial" w:hAnsi="Arial"/>
                <w:sz w:val="20"/>
                <w:szCs w:val="20"/>
                <w:color w:val="auto"/>
                <w:vertAlign w:val="superscript"/>
              </w:rPr>
              <w:t>(5)</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0"/>
        </w:trPr>
        <w:tc>
          <w:tcPr>
            <w:tcW w:w="4160" w:type="dxa"/>
            <w:vAlign w:val="bottom"/>
            <w:gridSpan w:val="2"/>
          </w:tcPr>
          <w:p>
            <w:pPr>
              <w:spacing w:after="0"/>
              <w:rPr>
                <w:sz w:val="20"/>
                <w:szCs w:val="20"/>
                <w:color w:val="auto"/>
              </w:rPr>
            </w:pPr>
            <w:r>
              <w:rPr>
                <w:rFonts w:ascii="Arial" w:cs="Arial" w:eastAsia="Arial" w:hAnsi="Arial"/>
                <w:sz w:val="18"/>
                <w:szCs w:val="18"/>
                <w:color w:val="auto"/>
              </w:rPr>
              <w:t>Sean George</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Munib Islam</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1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0"/>
        </w:trPr>
        <w:tc>
          <w:tcPr>
            <w:tcW w:w="4160" w:type="dxa"/>
            <w:vAlign w:val="bottom"/>
            <w:gridSpan w:val="2"/>
          </w:tcPr>
          <w:p>
            <w:pPr>
              <w:spacing w:after="0"/>
              <w:rPr>
                <w:sz w:val="20"/>
                <w:szCs w:val="20"/>
                <w:color w:val="auto"/>
              </w:rPr>
            </w:pPr>
            <w:r>
              <w:rPr>
                <w:rFonts w:ascii="Arial" w:cs="Arial" w:eastAsia="Arial" w:hAnsi="Arial"/>
                <w:sz w:val="18"/>
                <w:szCs w:val="18"/>
                <w:color w:val="auto"/>
              </w:rPr>
              <w:t>Emily Leproust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25,000</w:t>
            </w:r>
          </w:p>
        </w:tc>
        <w:tc>
          <w:tcPr>
            <w:tcW w:w="126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Nat Turner</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1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0"/>
        </w:trPr>
        <w:tc>
          <w:tcPr>
            <w:tcW w:w="4160" w:type="dxa"/>
            <w:vAlign w:val="bottom"/>
            <w:gridSpan w:val="2"/>
          </w:tcPr>
          <w:p>
            <w:pPr>
              <w:spacing w:after="0" w:line="180" w:lineRule="exact"/>
              <w:rPr>
                <w:sz w:val="20"/>
                <w:szCs w:val="20"/>
                <w:color w:val="auto"/>
              </w:rPr>
            </w:pPr>
            <w:r>
              <w:rPr>
                <w:rFonts w:ascii="Arial" w:cs="Arial" w:eastAsia="Arial" w:hAnsi="Arial"/>
                <w:sz w:val="18"/>
                <w:szCs w:val="18"/>
                <w:color w:val="auto"/>
              </w:rPr>
              <w:t>All executive officers, directors and director</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gridSpan w:val="2"/>
          </w:tcPr>
          <w:p>
            <w:pPr>
              <w:ind w:left="180"/>
              <w:spacing w:after="0"/>
              <w:rPr>
                <w:sz w:val="20"/>
                <w:szCs w:val="20"/>
                <w:color w:val="auto"/>
              </w:rPr>
            </w:pPr>
            <w:r>
              <w:rPr>
                <w:rFonts w:ascii="Arial" w:cs="Arial" w:eastAsia="Arial" w:hAnsi="Arial"/>
                <w:sz w:val="18"/>
                <w:szCs w:val="18"/>
                <w:color w:val="auto"/>
              </w:rPr>
              <w:t>nominees as a group (eight individuals)</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11,068,750</w:t>
            </w:r>
          </w:p>
        </w:tc>
        <w:tc>
          <w:tcPr>
            <w:tcW w:w="12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6" w:lineRule="exact"/>
        <w:rPr>
          <w:sz w:val="20"/>
          <w:szCs w:val="20"/>
          <w:color w:val="auto"/>
        </w:rPr>
      </w:pPr>
    </w:p>
    <w:p>
      <w:pPr>
        <w:ind w:left="880" w:hanging="426"/>
        <w:spacing w:after="0"/>
        <w:tabs>
          <w:tab w:leader="none" w:pos="880" w:val="left"/>
        </w:tabs>
        <w:numPr>
          <w:ilvl w:val="0"/>
          <w:numId w:val="56"/>
        </w:numPr>
        <w:rPr>
          <w:rFonts w:ascii="Arial" w:cs="Arial" w:eastAsia="Arial" w:hAnsi="Arial"/>
          <w:sz w:val="12"/>
          <w:szCs w:val="12"/>
          <w:color w:val="auto"/>
        </w:rPr>
      </w:pPr>
      <w:r>
        <w:rPr>
          <w:rFonts w:ascii="Arial" w:cs="Arial" w:eastAsia="Arial" w:hAnsi="Arial"/>
          <w:sz w:val="12"/>
          <w:szCs w:val="12"/>
          <w:color w:val="auto"/>
        </w:rPr>
        <w:t>Unless otherwise noted, the business address of each of the following is 667 Madison Avenue, 2</w:t>
      </w:r>
      <w:r>
        <w:rPr>
          <w:rFonts w:ascii="Arial" w:cs="Arial" w:eastAsia="Arial" w:hAnsi="Arial"/>
          <w:sz w:val="13"/>
          <w:szCs w:val="13"/>
          <w:color w:val="auto"/>
          <w:vertAlign w:val="superscript"/>
        </w:rPr>
        <w:t>nd</w:t>
      </w:r>
      <w:r>
        <w:rPr>
          <w:rFonts w:ascii="Arial" w:cs="Arial" w:eastAsia="Arial" w:hAnsi="Arial"/>
          <w:sz w:val="12"/>
          <w:szCs w:val="12"/>
          <w:color w:val="auto"/>
        </w:rPr>
        <w:t xml:space="preserve"> Floor, New York, New York 10065.</w:t>
      </w:r>
    </w:p>
    <w:p>
      <w:pPr>
        <w:ind w:left="880" w:right="479" w:hanging="426"/>
        <w:spacing w:after="0" w:line="216" w:lineRule="auto"/>
        <w:tabs>
          <w:tab w:leader="none" w:pos="882" w:val="left"/>
        </w:tabs>
        <w:numPr>
          <w:ilvl w:val="0"/>
          <w:numId w:val="56"/>
        </w:numPr>
        <w:rPr>
          <w:rFonts w:ascii="Arial" w:cs="Arial" w:eastAsia="Arial" w:hAnsi="Arial"/>
          <w:sz w:val="13"/>
          <w:szCs w:val="13"/>
          <w:color w:val="auto"/>
        </w:rPr>
      </w:pPr>
      <w:r>
        <w:rPr>
          <w:rFonts w:ascii="Arial" w:cs="Arial" w:eastAsia="Arial" w:hAnsi="Arial"/>
          <w:sz w:val="13"/>
          <w:szCs w:val="13"/>
          <w:color w:val="auto"/>
        </w:rPr>
        <w:t>Interests shown consist solely of founder shares, classified as Class B common stock. Such shares will automatically convert into Class A common stock concurrently with or immediately following the consummation of our initial business combination on a one-for-one basis, subject to adjustment, as described in the section entitled “Description of Securities.” Excludes Class A common stock issuable pursuant to the forward purchase agreements, as such shares, if any, would only be issued concurrently with the closing of our initial business combination.</w:t>
      </w:r>
    </w:p>
    <w:p>
      <w:pPr>
        <w:spacing w:after="0" w:line="2" w:lineRule="exact"/>
        <w:rPr>
          <w:rFonts w:ascii="Arial" w:cs="Arial" w:eastAsia="Arial" w:hAnsi="Arial"/>
          <w:sz w:val="13"/>
          <w:szCs w:val="13"/>
          <w:color w:val="auto"/>
        </w:rPr>
      </w:pPr>
    </w:p>
    <w:p>
      <w:pPr>
        <w:ind w:left="880" w:right="579" w:hanging="426"/>
        <w:spacing w:after="0" w:line="216" w:lineRule="auto"/>
        <w:tabs>
          <w:tab w:leader="none" w:pos="882" w:val="left"/>
        </w:tabs>
        <w:numPr>
          <w:ilvl w:val="0"/>
          <w:numId w:val="56"/>
        </w:numPr>
        <w:rPr>
          <w:rFonts w:ascii="Arial" w:cs="Arial" w:eastAsia="Arial" w:hAnsi="Arial"/>
          <w:sz w:val="13"/>
          <w:szCs w:val="13"/>
          <w:color w:val="auto"/>
        </w:rPr>
      </w:pPr>
      <w:r>
        <w:rPr>
          <w:rFonts w:ascii="Arial" w:cs="Arial" w:eastAsia="Arial" w:hAnsi="Arial"/>
          <w:sz w:val="13"/>
          <w:szCs w:val="13"/>
          <w:color w:val="auto"/>
        </w:rPr>
        <w:t>CMLS Holdings LLC is the record holder of the shares reported herein. The Board of Managers of CMLS Holdings LLC is comprised of Eli Casdin and Keith Meister who share voting and investment discretion with respect to the common stock held of record by CMLS Holdings LLC. Each of Messrs. Casdin and Meister disclaims beneficial ownership of these shares except to the extent of his respective pecuniary interest therein.</w:t>
      </w:r>
    </w:p>
    <w:p>
      <w:pPr>
        <w:spacing w:after="0" w:line="1" w:lineRule="exact"/>
        <w:rPr>
          <w:rFonts w:ascii="Arial" w:cs="Arial" w:eastAsia="Arial" w:hAnsi="Arial"/>
          <w:sz w:val="13"/>
          <w:szCs w:val="13"/>
          <w:color w:val="auto"/>
        </w:rPr>
      </w:pPr>
    </w:p>
    <w:p>
      <w:pPr>
        <w:ind w:left="880" w:right="579" w:hanging="426"/>
        <w:spacing w:after="0" w:line="216" w:lineRule="auto"/>
        <w:tabs>
          <w:tab w:leader="none" w:pos="882" w:val="left"/>
        </w:tabs>
        <w:numPr>
          <w:ilvl w:val="0"/>
          <w:numId w:val="56"/>
        </w:numPr>
        <w:rPr>
          <w:rFonts w:ascii="Arial" w:cs="Arial" w:eastAsia="Arial" w:hAnsi="Arial"/>
          <w:sz w:val="13"/>
          <w:szCs w:val="13"/>
          <w:color w:val="auto"/>
        </w:rPr>
      </w:pPr>
      <w:r>
        <w:rPr>
          <w:rFonts w:ascii="Arial" w:cs="Arial" w:eastAsia="Arial" w:hAnsi="Arial"/>
          <w:sz w:val="13"/>
          <w:szCs w:val="13"/>
          <w:color w:val="auto"/>
        </w:rPr>
        <w:t>Includes up to 1,443,750 founder shares, which will be forfeited by our sponsor depending on the extent to which the underwriters’ over-allotment option is exercised.</w:t>
      </w:r>
    </w:p>
    <w:p>
      <w:pPr>
        <w:ind w:left="880" w:hanging="426"/>
        <w:spacing w:after="0" w:line="216" w:lineRule="auto"/>
        <w:tabs>
          <w:tab w:leader="none" w:pos="8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Does not include any shares indirectly owned by this individual as a result of his indirect ownership interest in our sponsor.</w:t>
      </w:r>
    </w:p>
    <w:p>
      <w:pPr>
        <w:ind w:left="860" w:hanging="406"/>
        <w:spacing w:after="0"/>
        <w:tabs>
          <w:tab w:leader="none" w:pos="860" w:val="left"/>
        </w:tabs>
        <w:numPr>
          <w:ilvl w:val="0"/>
          <w:numId w:val="57"/>
        </w:numPr>
        <w:rPr>
          <w:rFonts w:ascii="Arial" w:cs="Arial" w:eastAsia="Arial" w:hAnsi="Arial"/>
          <w:sz w:val="13"/>
          <w:szCs w:val="13"/>
          <w:color w:val="auto"/>
        </w:rPr>
      </w:pPr>
      <w:r>
        <w:rPr>
          <w:rFonts w:ascii="Arial" w:cs="Arial" w:eastAsia="Arial" w:hAnsi="Arial"/>
          <w:sz w:val="13"/>
          <w:szCs w:val="13"/>
          <w:color w:val="auto"/>
        </w:rPr>
        <w:t>Less than 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sectPr>
      </w:pPr>
    </w:p>
    <w:bookmarkStart w:id="115" w:name="page116"/>
    <w:bookmarkEnd w:id="115"/>
    <w:p>
      <w:pPr>
        <w:ind w:left="460" w:right="459"/>
        <w:spacing w:after="0" w:line="243" w:lineRule="auto"/>
        <w:rPr>
          <w:sz w:val="20"/>
          <w:szCs w:val="20"/>
          <w:color w:val="auto"/>
        </w:rPr>
      </w:pPr>
      <w:r>
        <w:rPr>
          <w:rFonts w:ascii="Arial" w:cs="Arial" w:eastAsia="Arial" w:hAnsi="Arial"/>
          <w:sz w:val="18"/>
          <w:szCs w:val="18"/>
          <w:color w:val="auto"/>
        </w:rPr>
        <w:t>Immediately after this offering, our initial stockholders will beneficially own 20.0% of the then issued and outstanding common stock (assuming they do not purchase any units in this offering). Because of this ownership block, our initial stockholders may be able to effectively influence the outcome of all other matters requiring approval by our stockholders, including amendments to our amended and restated certificate of incorporation and approval of significant corporate transactions including our initial business combination.</w:t>
      </w:r>
    </w:p>
    <w:p>
      <w:pPr>
        <w:spacing w:after="0" w:line="39" w:lineRule="exact"/>
        <w:rPr>
          <w:sz w:val="20"/>
          <w:szCs w:val="20"/>
          <w:color w:val="auto"/>
        </w:rPr>
      </w:pPr>
    </w:p>
    <w:p>
      <w:pPr>
        <w:ind w:left="460" w:right="519"/>
        <w:spacing w:after="0" w:line="247" w:lineRule="auto"/>
        <w:rPr>
          <w:sz w:val="20"/>
          <w:szCs w:val="20"/>
          <w:color w:val="auto"/>
        </w:rPr>
      </w:pPr>
      <w:r>
        <w:rPr>
          <w:rFonts w:ascii="Arial" w:cs="Arial" w:eastAsia="Arial" w:hAnsi="Arial"/>
          <w:sz w:val="18"/>
          <w:szCs w:val="18"/>
          <w:color w:val="auto"/>
        </w:rPr>
        <w:t>Our sponsor and certain of our independent director nominees have severally committed, pursuant to a written agreement, to purchase an aggregate of 6,466,667 private placement warrants (or</w:t>
      </w:r>
    </w:p>
    <w:p>
      <w:pPr>
        <w:spacing w:after="0" w:line="1"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7,236,667 warrants if the underwriters’ over-allotment option is exercised in full), at a price of $ 1.50 per warrant, or $9,700,000 in the aggregate (or $10,855,000 if the underwriters’ over-allotment option is exercised in full), in a private placement that will occur simultaneously with the closing of this offering. Our sponsor has committed to purchase 6,133,335 private placement warrants (or 6,903,335 warrants if the underwriters’ over-allotment option is exercised in full), and each of Mr. Islam and Dr. Leproust (and/or one or more entities controlled by them) has committed to purchase 166,666 private placement warrants. Each private placement warrant entitles the holder to purchase one share of Class A common stock at $11.50 per share. A portion of the purchase price of the private placement warrants will be added to the proceeds from this offering to be held in the trust account such that at the time of closing of this offering $ 385.00 million (or $442.75 million if the underwriters exercise their over-allotment option in full) will be held in the trust account. If we do not complete our initial business combination within 24 months from the closing of this offering, the private placement warrants will expire worthless. The private placement warrants are subject to the transfer restrictions described below. The private placement warrants will not be redeemable by us (except as described below under “Description of Securities — Redeemable Warrants — Public Stockholders’ Warrants — Redemption of warrants when the price per share of Class A common stock equals or exceeds $10.00”) so long as they are held by the initial purchasers or their permitted transferees. The initial purchasers, or their permitted transferees, have the option to exercise the private placement warrants on a cashless basis. If the private placement warrants are held by holders other than initial purchasers or their permitted transferees, the private placement warrants will be redeemable by us and exercisable by the holders on the same basis as the warrants included in the units being sold in this offering. Otherwise, the private placement warrants have terms and provisions that are identical to those of the warrants being sold as part of the units in this offering.</w:t>
      </w:r>
    </w:p>
    <w:p>
      <w:pPr>
        <w:spacing w:after="0" w:line="69"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We have entered into separate forward purchase agreements with affiliates of our sponsor, Casdin Capital and Corvex Management, in their capacities as investment advisors on behalf of their Clients, pursuant to which, subject to the conditions described below, they will cause certain Clients to purchase from us up to an aggregate amount of 15,000,000 shares of Class A common stock, or the forward purchase shares, for $10.00 per forward purchase share, or an aggregate amount of up to $150,000,000, in a private placement that will close concurrently with the closing of our initial business combination. The amount of forward purchase shares sold pursuant to the forward purchase agreements will be determined in our discretion based on our need for additional capital to consummate the initial business combination. Under each forward purchase agreement, we are required to approach Casdin Capital and Corvex Management if we propose to raise additional capital by issuing any equity, or securities convertible into, exchangeable or exercisable for equity securities in connection with the initial business combination. The respective obligations of Casdin Capital and Corvex Management to cause Clients to purchase forward purchase shares will, among other things, be conditioned on our completing an initial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Capital or Corvex Management, as relevant, as investment advisors on behalf of such Clients. In determining whether a target is reasonably acceptable to Clients, we expect that Casdin Capital or Corvex Management, as relevant, would consider many of the same criteria as we will consider, but will also consider whether the investment is an appropriate investment for such Clients, including whether the investment complies with any guidelines, restrictions or conflicts of interest provisions applicable to such Clients. Each of Casdin Capital and Corvex Management will have the right to transfer a portion of the purchase obligation under the forward purchase agreement to third parties, or upon mutual agreement, to each other, subject to compliance with applicable securities laws. To the extent that we obtain alternative financing to fund the initial business combination and the Clients participate in such financing, the aggregate commitment under the forward purchase agreement will be reduced by the amount of such alternative financing.</w:t>
      </w:r>
    </w:p>
    <w:p>
      <w:pPr>
        <w:spacing w:after="0" w:line="66" w:lineRule="exact"/>
        <w:rPr>
          <w:sz w:val="20"/>
          <w:szCs w:val="20"/>
          <w:color w:val="auto"/>
        </w:rPr>
      </w:pPr>
    </w:p>
    <w:p>
      <w:pPr>
        <w:ind w:left="460" w:right="499"/>
        <w:spacing w:after="0" w:line="245" w:lineRule="auto"/>
        <w:rPr>
          <w:sz w:val="20"/>
          <w:szCs w:val="20"/>
          <w:color w:val="auto"/>
        </w:rPr>
      </w:pPr>
      <w:r>
        <w:rPr>
          <w:rFonts w:ascii="Arial" w:cs="Arial" w:eastAsia="Arial" w:hAnsi="Arial"/>
          <w:sz w:val="18"/>
          <w:szCs w:val="18"/>
          <w:color w:val="auto"/>
        </w:rPr>
        <w:t>The forward purchase shares will be identical to the shares of Class A common stock included in the units being sold in this offering, except that they will not be transferable, assignable or salable until 30 days after the completion of our initial business combination, except as described herein under “Principal Stockholders — Transfers of Founder Shares, Private Placement Warrants and Forward Purchase Shares,” and will be subject to registration rights.</w:t>
      </w:r>
    </w:p>
    <w:p>
      <w:pPr>
        <w:sectPr>
          <w:pgSz w:w="11900" w:h="16838" w:orient="portrait"/>
          <w:cols w:equalWidth="0" w:num="1">
            <w:col w:w="9019"/>
          </w:cols>
          <w:pgMar w:left="1440" w:top="211" w:right="1440" w:bottom="1440" w:gutter="0" w:footer="0" w:header="0"/>
        </w:sectPr>
      </w:pP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26035</wp:posOffset>
            </wp:positionV>
            <wp:extent cx="51435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11" w:right="1440" w:bottom="1440" w:gutter="0" w:footer="0" w:header="0"/>
          <w:type w:val="continuous"/>
        </w:sectPr>
      </w:pPr>
    </w:p>
    <w:bookmarkStart w:id="116" w:name="page117"/>
    <w:bookmarkEnd w:id="116"/>
    <w:p>
      <w:pPr>
        <w:ind w:left="460" w:right="759"/>
        <w:spacing w:after="0" w:line="276" w:lineRule="auto"/>
        <w:rPr>
          <w:sz w:val="20"/>
          <w:szCs w:val="20"/>
          <w:color w:val="auto"/>
        </w:rPr>
      </w:pPr>
      <w:r>
        <w:rPr>
          <w:rFonts w:ascii="Arial" w:cs="Arial" w:eastAsia="Arial" w:hAnsi="Arial"/>
          <w:sz w:val="18"/>
          <w:szCs w:val="18"/>
          <w:color w:val="auto"/>
        </w:rPr>
        <w:t>CMLS Holdings LLC, our sponsor, and our executive officers are deemed to be our “promoters” as such term is defined under the federal securities laws.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Transfers of Founder Shares, Private Placement Warrants and Forward Purchase Shares</w:t>
      </w:r>
    </w:p>
    <w:p>
      <w:pPr>
        <w:spacing w:after="0" w:line="133" w:lineRule="exact"/>
        <w:rPr>
          <w:sz w:val="20"/>
          <w:szCs w:val="20"/>
          <w:color w:val="auto"/>
        </w:rPr>
      </w:pPr>
    </w:p>
    <w:p>
      <w:pPr>
        <w:ind w:left="460" w:right="519"/>
        <w:spacing w:after="0" w:line="239" w:lineRule="auto"/>
        <w:rPr>
          <w:sz w:val="20"/>
          <w:szCs w:val="20"/>
          <w:color w:val="auto"/>
        </w:rPr>
      </w:pPr>
      <w:r>
        <w:rPr>
          <w:rFonts w:ascii="Arial" w:cs="Arial" w:eastAsia="Arial" w:hAnsi="Arial"/>
          <w:sz w:val="18"/>
          <w:szCs w:val="18"/>
          <w:color w:val="auto"/>
        </w:rPr>
        <w:t>The founder shares, private placement warrants, forward purchase shares and any shares of Class A common stock issued upon conversion or exercise thereof are each subject to transfer restrictions pursuant to lock-up provisions in the agreements entered into by our initial stockholders and management team and the forward purchase agreements. Those lock-up provisions provide that such securities are not transferable or salable (i) in the case of the founder shares, until the earlier of</w:t>
      </w:r>
    </w:p>
    <w:p>
      <w:pPr>
        <w:spacing w:after="0" w:line="4" w:lineRule="exact"/>
        <w:rPr>
          <w:sz w:val="20"/>
          <w:szCs w:val="20"/>
          <w:color w:val="auto"/>
        </w:rPr>
      </w:pPr>
    </w:p>
    <w:p>
      <w:pPr>
        <w:ind w:left="460" w:right="499" w:hanging="6"/>
        <w:spacing w:after="0" w:line="234" w:lineRule="auto"/>
        <w:tabs>
          <w:tab w:leader="none" w:pos="75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one year after the completion of our initial business combination or earlier if, subsequent to our initial business combination, the closing price of the Class A common stock equals or exceeds $12.00 per share (as adjusted for stock splits, stock capitalizations, reorganizations, recapitalizations and the like) for any 20 trading days within any 30-trading day period commencing at least 150 days after our initial business combination and (B) the date following the completion of our initial business combination on which we complete a liquidation, merger, capital stock exchange or other similar transaction that results in all of our stockholders having the right to exchange their Class A common stock for cash, securities or other property and (ii) in the case of the private placement warrants and the respective shares of Class A common stock underlying such warrants and forward purchase shares, until 30 days after the completion of our initial business combination except in each case</w:t>
      </w:r>
    </w:p>
    <w:p>
      <w:pPr>
        <w:spacing w:after="0" w:line="6" w:lineRule="exact"/>
        <w:rPr>
          <w:rFonts w:ascii="Arial" w:cs="Arial" w:eastAsia="Arial" w:hAnsi="Arial"/>
          <w:sz w:val="18"/>
          <w:szCs w:val="18"/>
          <w:color w:val="auto"/>
        </w:rPr>
      </w:pPr>
    </w:p>
    <w:p>
      <w:pPr>
        <w:ind w:left="460" w:right="499"/>
        <w:spacing w:after="0" w:line="235" w:lineRule="auto"/>
        <w:rPr>
          <w:rFonts w:ascii="Arial" w:cs="Arial" w:eastAsia="Arial" w:hAnsi="Arial"/>
          <w:sz w:val="18"/>
          <w:szCs w:val="18"/>
          <w:color w:val="auto"/>
        </w:rPr>
      </w:pPr>
      <w:r>
        <w:rPr>
          <w:rFonts w:ascii="Arial" w:cs="Arial" w:eastAsia="Arial" w:hAnsi="Arial"/>
          <w:sz w:val="18"/>
          <w:szCs w:val="18"/>
          <w:color w:val="auto"/>
        </w:rPr>
        <w:t>(a) to our officers or directors, any affiliates or family members of any of our officers or directors, any members or partners of our sponsor or their affiliates (including members of our sponsor’s members), any affiliates of our sponsor, or any employees of such affiliates, (b) in the case of an individual, by gift to a member of such person’s immediate family or to a trust, the beneficiary of which is a member of such person’s immediate family, an affiliate of such person or to a charitable organization; (c) in the case of an individual, by virtue of laws of descent and distribution upon death of such person; (d) in the case of an individual, pursuant to a qualified domestic relations order; (e) by private sales or transfers made in connection with the consummation of a business combination at prices no greater than the price at which the private placement warrants or shares of Class A common stock, as applicable, were originally purchased; (f) by virtue of the laws of the State of Delaware or our sponsor’s organizational documents upon liquidation or dissolution of our sponsor, (g) to the Company for no value for cancellation in connection with the consummation of our initial business combination; (h) in the event of our liquidation prior to our consummation of our initial business combination; or (i) in the event of our completion of a liquidation, merger, capital stock exchange or other similar transaction which results in all of our stockholders having the right to exchange their Class A common stock for cash, securities or other property subsequent to the completion of our initial business combination; provided, however, that in the case of clauses (a) through (f) these permitted transferees must enter into a written agreement agreeing to be bound by these transfer restrictions and the other restrictions contained in the letter agreement.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Registration Rights</w:t>
      </w:r>
    </w:p>
    <w:p>
      <w:pPr>
        <w:spacing w:after="0" w:line="146"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The holders of the (i) founder shares, which were issued in a private placement prior to the closing of this offering, (ii) private placement warrants, which will be issued in a private placement simultaneously with the closing of this offering and the shares of Class A common stock underlying such private placement warrants, (iii) private placement warrants that may be issued upon conversion of working capital loans and (iv) any forward purchase shares that are issued in a private placement simultaneously with the closing of the initial business combination, will have registration rights to require us to register a sale of any of our securities held by them pursuant to a registration rights agreement. Pursuant to the registration rights agreement and assuming the underwriters exercise their over-allotment option in full and $1.5 million of working capital loans are converted into private placement warrants, we will be obligated to register up to 34,305,417 shares of Class A common stock and 8,236,667 warrants. The number of shares of Class A common stock includes (i) 11,068,750 shares of Class A common stock to be issued upon conversion of the founder shares,</w:t>
      </w:r>
    </w:p>
    <w:p>
      <w:pPr>
        <w:spacing w:after="0" w:line="10" w:lineRule="exact"/>
        <w:rPr>
          <w:sz w:val="20"/>
          <w:szCs w:val="20"/>
          <w:color w:val="auto"/>
        </w:rPr>
      </w:pPr>
    </w:p>
    <w:p>
      <w:pPr>
        <w:ind w:left="460" w:right="499" w:hanging="6"/>
        <w:spacing w:after="0" w:line="237" w:lineRule="auto"/>
        <w:tabs>
          <w:tab w:leader="none" w:pos="710" w:val="left"/>
        </w:tabs>
        <w:numPr>
          <w:ilvl w:val="0"/>
          <w:numId w:val="59"/>
        </w:numPr>
        <w:rPr>
          <w:rFonts w:ascii="Arial" w:cs="Arial" w:eastAsia="Arial" w:hAnsi="Arial"/>
          <w:sz w:val="18"/>
          <w:szCs w:val="18"/>
          <w:color w:val="auto"/>
        </w:rPr>
      </w:pPr>
      <w:r>
        <w:rPr>
          <w:rFonts w:ascii="Arial" w:cs="Arial" w:eastAsia="Arial" w:hAnsi="Arial"/>
          <w:sz w:val="18"/>
          <w:szCs w:val="18"/>
          <w:color w:val="auto"/>
        </w:rPr>
        <w:t>7,236,667 shares of Class A common stock underlying the private placement warrants, (iii) 1,000,000 shares of Class A common stock underlying the private placement warrants issued upon conversion of working capital loans and (iv) up to 15,000,000 forward purchase shares. The number of warrants includes 7,236,667 private placement warrants and 1,000,000 private placement warrants issued upon conversion of working capital loans. The holders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We will bear the expenses incurred in connection with the filing of any such registration statements.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7" w:name="page118"/>
    <w:bookmarkEnd w:id="117"/>
    <w:p>
      <w:pPr>
        <w:jc w:val="center"/>
        <w:ind w:right="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46" w:lineRule="exact"/>
        <w:rPr>
          <w:sz w:val="20"/>
          <w:szCs w:val="20"/>
          <w:color w:val="auto"/>
        </w:rPr>
      </w:pPr>
    </w:p>
    <w:p>
      <w:pPr>
        <w:ind w:left="460" w:right="479"/>
        <w:spacing w:after="0" w:line="239" w:lineRule="auto"/>
        <w:rPr>
          <w:sz w:val="20"/>
          <w:szCs w:val="20"/>
          <w:color w:val="auto"/>
        </w:rPr>
      </w:pPr>
      <w:r>
        <w:rPr>
          <w:rFonts w:ascii="Arial" w:cs="Arial" w:eastAsia="Arial" w:hAnsi="Arial"/>
          <w:sz w:val="18"/>
          <w:szCs w:val="18"/>
          <w:color w:val="auto"/>
        </w:rPr>
        <w:t>During the period ended July 16, 2020, our sponsor paid $25,000, or approximately $0.002 per share, to cover certain of our offering costs in consideration of 10,062,500 founder shares. In August 2020, our sponsor transferred 25,000 founder shares to each of Mr. Islam, Dr. Leproust and Mr. Turner. On September 1, 2020, we effected a 1:1.1 stock split of our Class B common stock, resulting in our sponsor holding an aggregate of 10,993,750 founder shares and there being an aggregate of 11,068,750 founder shares outstanding. The number of founder shares outstanding was determined based on the expectation that the total size of this offering would be a maximum of 44,275,000 units if the underwriters’ over-allotment option is exercised in full, and therefore that such founder shares would represent 20% of the outstanding shares after this offering. Up to 1,443,750 of the founder shares will be forfeited by our sponsor depending on the extent to which the underwriters’ over-allotment is exercised.</w:t>
      </w:r>
    </w:p>
    <w:p>
      <w:pPr>
        <w:spacing w:after="0" w:line="95" w:lineRule="exact"/>
        <w:rPr>
          <w:sz w:val="20"/>
          <w:szCs w:val="20"/>
          <w:color w:val="auto"/>
        </w:rPr>
      </w:pPr>
    </w:p>
    <w:p>
      <w:pPr>
        <w:ind w:left="460" w:right="519"/>
        <w:spacing w:after="0" w:line="247" w:lineRule="auto"/>
        <w:rPr>
          <w:sz w:val="20"/>
          <w:szCs w:val="20"/>
          <w:color w:val="auto"/>
        </w:rPr>
      </w:pPr>
      <w:r>
        <w:rPr>
          <w:rFonts w:ascii="Arial" w:cs="Arial" w:eastAsia="Arial" w:hAnsi="Arial"/>
          <w:sz w:val="18"/>
          <w:szCs w:val="18"/>
          <w:color w:val="auto"/>
        </w:rPr>
        <w:t>Our sponsor and certain of our independent director nominees have severally committed, pursuant to a written agreement, to purchase an aggregate of 6,466,667 private placement warrants (or</w:t>
      </w:r>
    </w:p>
    <w:p>
      <w:pPr>
        <w:spacing w:after="0" w:line="1"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7,236,667 warrants if the underwriters’ over-allotment option is exercised in full), at a price of $ 1.50 per warrant, or $9,700,000 in the aggregate (or $10,855,000 if the underwriters’ over-allotment option is exercised in full), in a private placement that will close simultaneously with the closing of this offering. Our sponsor has committed to purchase 6,133,335 private placement warrants (or 6,903,335 warrants if the underwriters’ over-allotment option is exercised in full), and each of Mr. Islam and Dr. Leproust (and/or one or more entities controlled by them) has committed to purchase 166,666 private placement warrants. Each private placement warrant entitles the holder to purchase one share of Class A common stock at $11.50 per share. The private placement warrants (including the Class A common stock issuable upon exercise of the private placement warrants) may not, subject to certain limited exceptions, be transferred, assigned or sold until 30 days after the completion of our initial business combination.</w:t>
      </w:r>
    </w:p>
    <w:p>
      <w:pPr>
        <w:spacing w:after="0" w:line="115"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We have entered into separate forward purchase agreements with affiliates of our sponsor, Casdin Capital and Corvex Management, in their capacities as investment advisors on behalf of their Clients, pursuant to which, subject to the conditions described below, they will cause certain Clients to purchase from us up to an aggregate amount of 15,000,000 shares of Class A common stock, or the forward purchase shares, for $10.00 per forward purchase share, or an aggregate amount of up to $150,000,000, in a private placement that will close concurrently with the closing of our initial business combination. The amount of forward purchase shares sold pursuant to the forward purchase agreements will be determined in our discretion based on our need for additional capital to consummate the initial business combination. Under each forward purchase agreement, we are required to approach Casdin Capital and Corvex Management if we propose to raise additional capital by issuing any equity, or securities convertible into, exchangeable or exercisable for equity securities in connection with the initial business combination. The respective obligations of Casdin Capital and Corvex Management to cause Clients to purchase forward purchase shares will, among other things, be conditioned on our completing an initial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Capital or Corvex Management, as relevant, as investment advisors on behalf of such Clients. In determining whether a target is reasonably acceptable to Clients, we expect that Casdin Capital or Corvex Management, as relevant, would consider many of the same criteria as we will consider, but will also consider whether the investment is an appropriate investment for such Clients, including whether the investment complies with any guidelines, restrictions or conflicts of interest provisions applicable to such Clients. Each of Casdin Capital and Corvex Management will have the right to transfer a portion of the purchase obligation under the forward purchase agreement to third parties, or upon mutual agreement, to each other, subject to compliance with applicable securities laws. To the extent that we obtain alternative financing to fund the initial business combination and the Clients participate in such financing, the aggregate commitment under the forward purchase agreement will be reduced by the amount of such alternative financing.</w:t>
      </w:r>
    </w:p>
    <w:p>
      <w:pPr>
        <w:spacing w:after="0" w:line="120" w:lineRule="exact"/>
        <w:rPr>
          <w:sz w:val="20"/>
          <w:szCs w:val="20"/>
          <w:color w:val="auto"/>
        </w:rPr>
      </w:pPr>
    </w:p>
    <w:p>
      <w:pPr>
        <w:ind w:left="460" w:right="499"/>
        <w:spacing w:after="0" w:line="245" w:lineRule="auto"/>
        <w:rPr>
          <w:sz w:val="20"/>
          <w:szCs w:val="20"/>
          <w:color w:val="auto"/>
        </w:rPr>
      </w:pPr>
      <w:r>
        <w:rPr>
          <w:rFonts w:ascii="Arial" w:cs="Arial" w:eastAsia="Arial" w:hAnsi="Arial"/>
          <w:sz w:val="18"/>
          <w:szCs w:val="18"/>
          <w:color w:val="auto"/>
        </w:rPr>
        <w:t>The forward purchase shares will be identical to the shares of Class A common stock included in the units being sold in this offering, except that they will not be transferable, assignable or salable until 30 days after the completion of our initial business combination, except as described herein under “Principal Stockholders — Transfers of Founder Shares, Private Placement Warrants and Forward Purchase Shares,” and will be subject to registration rights.</w:t>
      </w:r>
    </w:p>
    <w:p>
      <w:pPr>
        <w:spacing w:after="0" w:line="91" w:lineRule="exact"/>
        <w:rPr>
          <w:sz w:val="20"/>
          <w:szCs w:val="20"/>
          <w:color w:val="auto"/>
        </w:rPr>
      </w:pPr>
    </w:p>
    <w:p>
      <w:pPr>
        <w:ind w:left="460" w:right="559"/>
        <w:spacing w:after="0" w:line="276" w:lineRule="auto"/>
        <w:rPr>
          <w:sz w:val="20"/>
          <w:szCs w:val="20"/>
          <w:color w:val="auto"/>
        </w:rPr>
      </w:pPr>
      <w:r>
        <w:rPr>
          <w:rFonts w:ascii="Arial" w:cs="Arial" w:eastAsia="Arial" w:hAnsi="Arial"/>
          <w:sz w:val="18"/>
          <w:szCs w:val="18"/>
          <w:color w:val="auto"/>
        </w:rPr>
        <w:t>We currently utilize office space at 667 Madison Avenue, New York, New York 10065 from an affiliate of our sponsor and the members of our management team.</w:t>
      </w:r>
    </w:p>
    <w:p>
      <w:pPr>
        <w:sectPr>
          <w:pgSz w:w="11900" w:h="16838" w:orient="portrait"/>
          <w:cols w:equalWidth="0" w:num="1">
            <w:col w:w="9019"/>
          </w:cols>
          <w:pgMar w:left="1440" w:top="331" w:right="1440" w:bottom="1440" w:gutter="0" w:footer="0" w:header="0"/>
        </w:sectPr>
      </w:pP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26035</wp:posOffset>
            </wp:positionV>
            <wp:extent cx="51435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type w:val="continuous"/>
        </w:sectPr>
      </w:pPr>
    </w:p>
    <w:bookmarkStart w:id="118" w:name="page119"/>
    <w:bookmarkEnd w:id="118"/>
    <w:p>
      <w:pPr>
        <w:ind w:left="460" w:right="479"/>
        <w:spacing w:after="0" w:line="241" w:lineRule="auto"/>
        <w:rPr>
          <w:sz w:val="20"/>
          <w:szCs w:val="20"/>
          <w:color w:val="auto"/>
        </w:rPr>
      </w:pPr>
      <w:r>
        <w:rPr>
          <w:rFonts w:ascii="Arial" w:cs="Arial" w:eastAsia="Arial" w:hAnsi="Arial"/>
          <w:sz w:val="18"/>
          <w:szCs w:val="18"/>
          <w:color w:val="auto"/>
        </w:rPr>
        <w:t>No compensation of any kind, including finder’s and consulting fees, will be paid by the company to our sponsor, executive officers and directors, or any of their respective affiliates, for services rendered prior to or in connection with the completion of an initial business combination. However, these individuals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directors or our or their affiliates.</w:t>
      </w:r>
    </w:p>
    <w:p>
      <w:pPr>
        <w:spacing w:after="0" w:line="71" w:lineRule="exact"/>
        <w:rPr>
          <w:sz w:val="20"/>
          <w:szCs w:val="20"/>
          <w:color w:val="auto"/>
        </w:rPr>
      </w:pPr>
    </w:p>
    <w:p>
      <w:pPr>
        <w:jc w:val="both"/>
        <w:ind w:left="460" w:right="839"/>
        <w:spacing w:after="0" w:line="255" w:lineRule="auto"/>
        <w:rPr>
          <w:sz w:val="20"/>
          <w:szCs w:val="20"/>
          <w:color w:val="auto"/>
        </w:rPr>
      </w:pPr>
      <w:r>
        <w:rPr>
          <w:rFonts w:ascii="Arial" w:cs="Arial" w:eastAsia="Arial" w:hAnsi="Arial"/>
          <w:sz w:val="18"/>
          <w:szCs w:val="18"/>
          <w:color w:val="auto"/>
        </w:rPr>
        <w:t>Our sponsor has loaned us funds to be used for a portion of the expenses of this offering. These loans are non-interest bearing, unsecured and are due at the earlier of December 31, 2020 or the closing of this offering.</w:t>
      </w:r>
    </w:p>
    <w:p>
      <w:pPr>
        <w:spacing w:after="0" w:line="56" w:lineRule="exact"/>
        <w:rPr>
          <w:sz w:val="20"/>
          <w:szCs w:val="20"/>
          <w:color w:val="auto"/>
        </w:rPr>
      </w:pPr>
    </w:p>
    <w:p>
      <w:pPr>
        <w:ind w:left="460" w:right="519"/>
        <w:spacing w:after="0" w:line="238" w:lineRule="auto"/>
        <w:rPr>
          <w:sz w:val="20"/>
          <w:szCs w:val="20"/>
          <w:color w:val="auto"/>
        </w:rPr>
      </w:pPr>
      <w:r>
        <w:rPr>
          <w:rFonts w:ascii="Arial" w:cs="Arial" w:eastAsia="Arial" w:hAnsi="Arial"/>
          <w:sz w:val="18"/>
          <w:szCs w:val="18"/>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on a non-interest basis. If we complete an initial business combination, we would repay such loaned amounts. In the event that the initial business combination does not close, we may use a portion of the working capital held outside the trust account to repay such loaned amounts but no proceeds from our trust account would be used for such repayment. Up to $ 1,500,000 of such loans may be convertible into warrants of the post business combination entity at a price of $1.50 per warrant at the option of the lender. The warrants would be identical to the private placement warrants. Except as set forth above, the terms of such loans, if any, have not been determined and no written agreements exist with respect to such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69" w:lineRule="exact"/>
        <w:rPr>
          <w:sz w:val="20"/>
          <w:szCs w:val="20"/>
          <w:color w:val="auto"/>
        </w:rPr>
      </w:pPr>
    </w:p>
    <w:p>
      <w:pPr>
        <w:jc w:val="both"/>
        <w:ind w:left="460" w:right="499"/>
        <w:spacing w:after="0" w:line="255" w:lineRule="auto"/>
        <w:rPr>
          <w:sz w:val="20"/>
          <w:szCs w:val="20"/>
          <w:color w:val="auto"/>
        </w:rPr>
      </w:pPr>
      <w:r>
        <w:rPr>
          <w:rFonts w:ascii="Arial" w:cs="Arial" w:eastAsia="Arial" w:hAnsi="Arial"/>
          <w:sz w:val="18"/>
          <w:szCs w:val="18"/>
          <w:color w:val="auto"/>
        </w:rPr>
        <w:t>Any of the foregoing payments to our sponsor, repayments of loans from our sponsor or repayments of working capital loans prior to our initial business combination will be made using funds held outside the trust account.</w:t>
      </w:r>
    </w:p>
    <w:p>
      <w:pPr>
        <w:spacing w:after="0" w:line="56" w:lineRule="exact"/>
        <w:rPr>
          <w:sz w:val="20"/>
          <w:szCs w:val="20"/>
          <w:color w:val="auto"/>
        </w:rPr>
      </w:pPr>
    </w:p>
    <w:p>
      <w:pPr>
        <w:ind w:left="460" w:right="479"/>
        <w:spacing w:after="0" w:line="241" w:lineRule="auto"/>
        <w:rPr>
          <w:sz w:val="20"/>
          <w:szCs w:val="20"/>
          <w:color w:val="auto"/>
        </w:rPr>
      </w:pPr>
      <w:r>
        <w:rPr>
          <w:rFonts w:ascii="Arial" w:cs="Arial" w:eastAsia="Arial" w:hAnsi="Arial"/>
          <w:sz w:val="18"/>
          <w:szCs w:val="18"/>
          <w:color w:val="auto"/>
        </w:rPr>
        <w:t>After our initial business combination, members of our management team who remain with us may be paid consulting, management or other fees from the combined company with any and all amounts being fully disclosed to our stockholders, to the extent then known, in the proxy solicitation or tender offer materials, as applicable, furnished to our stockholders. It is unlikely the amount of such compensation will be known at the time of distribution of such tender offer materials or at the time of a stockholder meeting held to consider our initial business combination, as applicable, as it will be up to the directors of the post-combination business to determine executive and director compensation.</w:t>
      </w:r>
    </w:p>
    <w:p>
      <w:pPr>
        <w:spacing w:after="0" w:line="71" w:lineRule="exact"/>
        <w:rPr>
          <w:sz w:val="20"/>
          <w:szCs w:val="20"/>
          <w:color w:val="auto"/>
        </w:rPr>
      </w:pPr>
    </w:p>
    <w:p>
      <w:pPr>
        <w:ind w:left="460" w:right="739"/>
        <w:spacing w:after="0" w:line="255" w:lineRule="auto"/>
        <w:rPr>
          <w:sz w:val="20"/>
          <w:szCs w:val="20"/>
          <w:color w:val="auto"/>
        </w:rPr>
      </w:pPr>
      <w:r>
        <w:rPr>
          <w:rFonts w:ascii="Arial" w:cs="Arial" w:eastAsia="Arial" w:hAnsi="Arial"/>
          <w:sz w:val="18"/>
          <w:szCs w:val="18"/>
          <w:color w:val="auto"/>
        </w:rPr>
        <w:t>We have entered into a registration rights agreement with respect to the founder shares, private placement warrants and forward purchase shares, which is described under the heading “Principal Stockholders — Registration Rights.”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Policy for Approval of Related Party Transactions</w:t>
      </w:r>
    </w:p>
    <w:p>
      <w:pPr>
        <w:spacing w:after="0" w:line="106"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The audit committee of our board of directors will adopt a policy setting forth the policies and procedures for its review and approval or ratification of “related party transactions.” A “related party transaction” is any consummated or proposed transaction or series of transactions: (i) in which the company was or is to be a participant; (ii) the amount of which exceeds (or is reasonably expected to exceed) the lesser of $120,000 or 1% of the average of the company’s total assets at year end for the prior two completed fiscal years in the aggregate over the duration of the transaction (without regard to profit or loss); and (iii) in which a “related party” had, has or will have a direct or indirect material interest. “Related parties” under this policy will include: (i) our directors, nominees for director or executive officers; (ii) any record or beneficial owner of more than 5% of any class of our voting securities; (iii) any immediate family member of any of the foregoing if the foregoing person is a natural person; and (iv) any other person who maybe a “related person” pursuant to Item 404 of Regulation S-K under the Exchange Act. Pursuant to the policy, the audit committee will consider</w:t>
      </w:r>
    </w:p>
    <w:p>
      <w:pPr>
        <w:spacing w:after="0" w:line="10" w:lineRule="exact"/>
        <w:rPr>
          <w:sz w:val="20"/>
          <w:szCs w:val="20"/>
          <w:color w:val="auto"/>
        </w:rPr>
      </w:pPr>
    </w:p>
    <w:p>
      <w:pPr>
        <w:ind w:left="460" w:right="519" w:hanging="6"/>
        <w:spacing w:after="0" w:line="251" w:lineRule="auto"/>
        <w:tabs>
          <w:tab w:leader="none" w:pos="67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relevant facts and circumstances of each related party transaction, including if the transaction is on terms comparable to those that could be obtained in arm’s-length dealings with an unrelated third party, (ii) the extent of the related party’s interest in the transaction, (iii) whether the transaction contravenes our code of ethics or other policies, (iv) whether the audit committee believes the relationship underlying the transaction to be in the best interests of the company and its stockholders and (v) the effect that the transaction may have on a director’s status as an independent member of the board and on his or her eligibility to serve on the board’s committees. Management will present to the audit committee each proposed related party transaction, including all relevant facts and circumstances relating thereto. Under the policy, we may consummate related party transactions only if our audit committee approves or ratifies the transaction in accordance with the guidelines set forth in the policy. The policy will not permit any director or executive officer to participate in the discussion of, or decision concerning, a related person transaction in which he or she is the related party.</w:t>
      </w:r>
    </w:p>
    <w:p>
      <w:pPr>
        <w:sectPr>
          <w:pgSz w:w="11900" w:h="16838" w:orient="portrait"/>
          <w:cols w:equalWidth="0" w:num="1">
            <w:col w:w="9019"/>
          </w:cols>
          <w:pgMar w:left="1440" w:top="225" w:right="1440" w:bottom="1440" w:gutter="0" w:footer="0" w:header="0"/>
        </w:sectPr>
      </w:pP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26035</wp:posOffset>
            </wp:positionV>
            <wp:extent cx="51435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25" w:right="1440" w:bottom="1440" w:gutter="0" w:footer="0" w:header="0"/>
          <w:type w:val="continuous"/>
        </w:sectPr>
      </w:pPr>
    </w:p>
    <w:bookmarkStart w:id="119" w:name="page120"/>
    <w:bookmarkEnd w:id="119"/>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146" w:lineRule="exact"/>
        <w:rPr>
          <w:sz w:val="20"/>
          <w:szCs w:val="20"/>
          <w:color w:val="auto"/>
        </w:rPr>
      </w:pPr>
    </w:p>
    <w:p>
      <w:pPr>
        <w:ind w:left="460" w:right="499"/>
        <w:spacing w:after="0"/>
        <w:rPr>
          <w:sz w:val="20"/>
          <w:szCs w:val="20"/>
          <w:color w:val="auto"/>
        </w:rPr>
      </w:pPr>
      <w:r>
        <w:rPr>
          <w:rFonts w:ascii="Arial" w:cs="Arial" w:eastAsia="Arial" w:hAnsi="Arial"/>
          <w:sz w:val="18"/>
          <w:szCs w:val="18"/>
          <w:color w:val="auto"/>
        </w:rPr>
        <w:t>We are a Delaware corporation and our affairs are governed by our amended and restated certificate of incorporation and the DGCL. Pursuant to our amended and restated certificate of incorporation, we are authorized to issue 400,000,000 shares of common stock, $0.0001 par value each, including 380,000,000 shares of Class A common stock and 20,000,000 shares of Class B common stock, as well as 1,000,000 shares of preferred stock, $ 0.0001 par value each. The following description summarizes certain terms of our capital stock as set out more particularly in our amended and restated certificate of incorporation. Because it is only a summary, it may not contain all the information that is important to you.</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Units</w:t>
      </w:r>
    </w:p>
    <w:p>
      <w:pPr>
        <w:spacing w:after="0" w:line="133"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Each unit has an offering price of $10.00 and consists of one share of Class A common stock and one-third of one redeemable warrant. Each whole warrant entitles the holder thereof to purchase one share of Class A common stock at a price of $11.50 per share, subject to adjustment as described in this prospectus. Pursuant to the warrant agreement, a warrant holder may exercise its warrants only for a whole number of the shares of Company’s Class A common stock. This means only a whole warrant may be exercised at any given time by a warrant holder. For example, if a warrant holder holds one-third of one warrant to purchase a share of Class A common stock, such warrant will not be exercisable. If a warrant holder holds three-thirds of one warrant, such whole warrant will be exercisable for one share of Class A common stock at a price of $ 11.50 per share. The Class A common stock and warrants comprising the units are expected to begin separate trading on the 52</w:t>
      </w:r>
      <w:r>
        <w:rPr>
          <w:rFonts w:ascii="Arial" w:cs="Arial" w:eastAsia="Arial" w:hAnsi="Arial"/>
          <w:sz w:val="20"/>
          <w:szCs w:val="20"/>
          <w:color w:val="auto"/>
          <w:vertAlign w:val="superscript"/>
        </w:rPr>
        <w:t>nd</w:t>
      </w:r>
      <w:r>
        <w:rPr>
          <w:rFonts w:ascii="Arial" w:cs="Arial" w:eastAsia="Arial" w:hAnsi="Arial"/>
          <w:sz w:val="18"/>
          <w:szCs w:val="18"/>
          <w:color w:val="auto"/>
        </w:rPr>
        <w:t xml:space="preserve"> day following the date of this prospectus unless Jefferies LLC informs us of its decision to allow earlier separate trading, subject to our having filed the Current Report on Form 8-K described below and having issued a press release announcing when such separate trading will begin. Once the shares of Class A common stock and warrants commence separate trading, holders will have the option to continue to hold units or separate their units into the component securities. Holders will need to have their brokers contact our transfer agent in order to separate the units into Class A common stock and warrants. No fractional warrants will be issued upon separation of the units and only whole warrants will trade. Accordingly, unless you purchase at least three units, you will not be able to receive or trade a whole warrant.</w:t>
      </w:r>
    </w:p>
    <w:p>
      <w:pPr>
        <w:spacing w:after="0" w:line="123" w:lineRule="exact"/>
        <w:rPr>
          <w:sz w:val="20"/>
          <w:szCs w:val="20"/>
          <w:color w:val="auto"/>
        </w:rPr>
      </w:pPr>
    </w:p>
    <w:p>
      <w:pPr>
        <w:ind w:left="460" w:right="499"/>
        <w:spacing w:after="0"/>
        <w:rPr>
          <w:sz w:val="20"/>
          <w:szCs w:val="20"/>
          <w:color w:val="auto"/>
        </w:rPr>
      </w:pPr>
      <w:r>
        <w:rPr>
          <w:rFonts w:ascii="Arial" w:cs="Arial" w:eastAsia="Arial" w:hAnsi="Arial"/>
          <w:sz w:val="18"/>
          <w:szCs w:val="18"/>
          <w:color w:val="auto"/>
        </w:rPr>
        <w:t>In no event will the Class A common stock and warrants be traded separately until we have filed with the SEC a Current Report on Form 8-K which includes an audited balance sheet reflecting our receipt of the gross proceeds at closing of this offering. We will file a Current Report on Form 8-K which includes this audited balance sheet promptly after the completion of this offering, which closing is anticipated to take place three business days after the date of this prospectus.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Common Stock</w:t>
      </w:r>
    </w:p>
    <w:p>
      <w:pPr>
        <w:spacing w:after="0" w:line="146" w:lineRule="exact"/>
        <w:rPr>
          <w:sz w:val="20"/>
          <w:szCs w:val="20"/>
          <w:color w:val="auto"/>
        </w:rPr>
      </w:pPr>
    </w:p>
    <w:p>
      <w:pPr>
        <w:ind w:left="460" w:right="519"/>
        <w:spacing w:after="0"/>
        <w:rPr>
          <w:sz w:val="20"/>
          <w:szCs w:val="20"/>
          <w:color w:val="auto"/>
        </w:rPr>
      </w:pPr>
      <w:r>
        <w:rPr>
          <w:rFonts w:ascii="Arial" w:cs="Arial" w:eastAsia="Arial" w:hAnsi="Arial"/>
          <w:sz w:val="18"/>
          <w:szCs w:val="18"/>
          <w:color w:val="auto"/>
        </w:rPr>
        <w:t>Prior to the date of this prospectus, there were 11,068,750 shares of Class B common stock outstanding, all of which were held of record by our initial stockholders, so that our initial stockholders will own 20% of our issued and outstanding shares after this offering (assuming our initial stockholders do not purchase any units in this offering). Up to 1,443,750 of the founder shares will be forfeited by our sponsor depending on the extent to which the underwriters’ over-allotment is exercised. Upon the closing of this offering, 48,125,000 of our shares of common stock will be outstanding (assuming no exercise of the underwriters’ over-allotment option and the corresponding forfeiture by our sponsor of 1,443,750 founder shares) including:</w:t>
      </w:r>
    </w:p>
    <w:p>
      <w:pPr>
        <w:spacing w:after="0" w:line="4" w:lineRule="exact"/>
        <w:rPr>
          <w:sz w:val="20"/>
          <w:szCs w:val="20"/>
          <w:color w:val="auto"/>
        </w:rPr>
      </w:pPr>
    </w:p>
    <w:p>
      <w:pPr>
        <w:ind w:left="1100" w:right="659" w:hanging="322"/>
        <w:spacing w:after="0" w:line="250" w:lineRule="auto"/>
        <w:tabs>
          <w:tab w:leader="none" w:pos="1089" w:val="left"/>
        </w:tabs>
        <w:numPr>
          <w:ilvl w:val="0"/>
          <w:numId w:val="61"/>
        </w:numPr>
        <w:rPr>
          <w:rFonts w:ascii="Arial" w:cs="Arial" w:eastAsia="Arial" w:hAnsi="Arial"/>
          <w:sz w:val="18"/>
          <w:szCs w:val="18"/>
          <w:color w:val="auto"/>
        </w:rPr>
      </w:pPr>
      <w:r>
        <w:rPr>
          <w:rFonts w:ascii="Arial" w:cs="Arial" w:eastAsia="Arial" w:hAnsi="Arial"/>
          <w:sz w:val="18"/>
          <w:szCs w:val="18"/>
          <w:color w:val="auto"/>
        </w:rPr>
        <w:t>38,500,000 shares of Class A common stock underlying units issued as part of this offering; and</w:t>
      </w:r>
    </w:p>
    <w:p>
      <w:pPr>
        <w:ind w:left="1100" w:hanging="322"/>
        <w:spacing w:after="0"/>
        <w:tabs>
          <w:tab w:leader="none" w:pos="11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9,625,000 shares of Class B common stock held by our initial stockholders.</w:t>
      </w:r>
    </w:p>
    <w:p>
      <w:pPr>
        <w:spacing w:after="0" w:line="144" w:lineRule="exact"/>
        <w:rPr>
          <w:sz w:val="20"/>
          <w:szCs w:val="20"/>
          <w:color w:val="auto"/>
        </w:rPr>
      </w:pPr>
    </w:p>
    <w:p>
      <w:pPr>
        <w:ind w:left="460" w:right="499"/>
        <w:spacing w:after="0"/>
        <w:rPr>
          <w:sz w:val="20"/>
          <w:szCs w:val="20"/>
          <w:color w:val="auto"/>
        </w:rPr>
      </w:pPr>
      <w:r>
        <w:rPr>
          <w:rFonts w:ascii="Arial" w:cs="Arial" w:eastAsia="Arial" w:hAnsi="Arial"/>
          <w:sz w:val="18"/>
          <w:szCs w:val="18"/>
          <w:color w:val="auto"/>
        </w:rPr>
        <w:t>Stockholders of record are entitled to one vote for each share held on all matters to be voted on by stockholders. Holders of Class A common stock and holders of Class B common stock will vote together as a single class on all matters submitted to a vote of our stockholders except as required by law. Unless specified in our amended and restated certificate of incorporation, or as required by applicable provisions of the DGCL or applicable stock exchange rules, the affirmative vote of a majority of our shares of common stock that are voted is required to approve any such matter voted on by our stockholders. Our board of directors is divided into three classes, each of which will generally serve for a term of three years with only one class of directors being elected in each year. There is no cumulative</w:t>
      </w:r>
    </w:p>
    <w:p>
      <w:pPr>
        <w:sectPr>
          <w:pgSz w:w="11900" w:h="16838" w:orient="portrait"/>
          <w:cols w:equalWidth="0" w:num="1">
            <w:col w:w="9019"/>
          </w:cols>
          <w:pgMar w:left="1440" w:top="331" w:right="1440" w:bottom="1440" w:gutter="0" w:footer="0" w:header="0"/>
        </w:sectPr>
      </w:pP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26035</wp:posOffset>
            </wp:positionV>
            <wp:extent cx="51435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type w:val="continuous"/>
        </w:sectPr>
      </w:pPr>
    </w:p>
    <w:bookmarkStart w:id="120" w:name="page121"/>
    <w:bookmarkEnd w:id="120"/>
    <w:p>
      <w:pPr>
        <w:ind w:left="460" w:right="499"/>
        <w:spacing w:after="0" w:line="248" w:lineRule="auto"/>
        <w:rPr>
          <w:sz w:val="20"/>
          <w:szCs w:val="20"/>
          <w:color w:val="auto"/>
        </w:rPr>
      </w:pPr>
      <w:r>
        <w:rPr>
          <w:rFonts w:ascii="Arial" w:cs="Arial" w:eastAsia="Arial" w:hAnsi="Arial"/>
          <w:sz w:val="18"/>
          <w:szCs w:val="18"/>
          <w:color w:val="auto"/>
        </w:rPr>
        <w:t>voting with respect to the election of directors, with the result that the holders of more than 50% of the shares voted for the election of directors can elect all of the directors. Our stockholders are entitled to receive ratable dividends when, as and if declared by the board of directors out of funds legally available therefor.</w:t>
      </w:r>
    </w:p>
    <w:p>
      <w:pPr>
        <w:spacing w:after="0" w:line="89" w:lineRule="exact"/>
        <w:rPr>
          <w:sz w:val="20"/>
          <w:szCs w:val="20"/>
          <w:color w:val="auto"/>
        </w:rPr>
      </w:pPr>
    </w:p>
    <w:p>
      <w:pPr>
        <w:ind w:left="460" w:right="559"/>
        <w:spacing w:after="0"/>
        <w:rPr>
          <w:sz w:val="20"/>
          <w:szCs w:val="20"/>
          <w:color w:val="auto"/>
        </w:rPr>
      </w:pPr>
      <w:r>
        <w:rPr>
          <w:rFonts w:ascii="Arial" w:cs="Arial" w:eastAsia="Arial" w:hAnsi="Arial"/>
          <w:sz w:val="18"/>
          <w:szCs w:val="18"/>
          <w:color w:val="auto"/>
        </w:rPr>
        <w:t>Because our amended and restated certificate of incorporation authorizes the issuance of up to 380,000,000 shares of Class A common stock, if we were to enter into a business combination, we may (depending on the terms of such a business combination) be required to increase the number of shares of Class A common stock which we are authorized to issue at the same time as our stockholders vote on the business combination to the extent we seek stockholder approval in connection with our initial business combination. Our board of directors is divided into three classes with only one class of directors being elected in each year and each class (except for those directors appointed prior to our first annual meeting of stockholders) serving a three-year term.</w:t>
      </w:r>
    </w:p>
    <w:p>
      <w:pPr>
        <w:spacing w:after="0" w:line="113" w:lineRule="exact"/>
        <w:rPr>
          <w:sz w:val="20"/>
          <w:szCs w:val="20"/>
          <w:color w:val="auto"/>
        </w:rPr>
      </w:pPr>
    </w:p>
    <w:p>
      <w:pPr>
        <w:ind w:left="460" w:right="519"/>
        <w:spacing w:after="0" w:line="239" w:lineRule="auto"/>
        <w:rPr>
          <w:sz w:val="20"/>
          <w:szCs w:val="20"/>
          <w:color w:val="auto"/>
        </w:rPr>
      </w:pPr>
      <w:r>
        <w:rPr>
          <w:rFonts w:ascii="Arial" w:cs="Arial" w:eastAsia="Arial" w:hAnsi="Arial"/>
          <w:sz w:val="18"/>
          <w:szCs w:val="18"/>
          <w:color w:val="auto"/>
        </w:rPr>
        <w:t>In accordance with Nasdaq corporate governance requirements, we are not required to hold an annual meeting until no later than one year after our first fiscal year end following our listing on Nasdaq. Under Section 211(b) of the DGCL, we are, however, required to hold an annual meeting of stockholders for the 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DGCL.</w:t>
      </w:r>
    </w:p>
    <w:p>
      <w:pPr>
        <w:spacing w:after="0" w:line="112"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We will provide our public stockholders with the opportunity to redeem all or a portion of their public shares upon the completion of our initial business combination at a per-share price, payable in cash, equal to the aggregate amount then on deposit in the trust account calculated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Our initial stockholders, sponsor, officers and directors have entered into a letter agreement with us, pursuant to which they have agreed to waive their redemption rights with respect to any founder shares and public shares they hold in connection with the completion of our initial business combination. Unlike many special purpose acquisition companies that hold stockholder votes and conduct proxy solicitations in conjunction with their initial business combinations and provide for related redemptions of public shares for cash upon completion of such initial business combinations even when a vote is not required by law, if a stockholder vote is not required by law and we do not decide to hold a stockholder vote for business or other legal reasons, we will, pursuant to our amended and restated certificate of incorporation, conduct the redemptions pursuant to the tender offer rules of the SEC, and file tender offer documents with the SEC prior to completing our initial business combination. Our amended and restated certificate of incorporation requires these tender offer documents to contain substantially the same financial and other information about our initial business combination and the redemption rights as is required under the SEC’s proxy rules. If, however, a stockholder approval of the transaction is required by law, or we decide to obtain stockholder approval for business or other legal reasons, we will, like many special purpose acquisition companies, offer to redeem shares in conjunction with a proxy solicitation pursuant to the proxy rules and not pursuant to the tender offer rules. If we seek stockholder approval, we will complete our initial business combination only if a majority of the shares of common stock voted are voted in favor of our initial business combination. However, the participation of our sponsor, officers, directors, advisors or their respective affiliates in privately-negotiated transactions (as described in this prospectus), if any, could result in the approval of our initial business combination even if a majority of our public stockholders vote, or indicate their intention to vote, against such initial business combination. For purposes of seeking approval of the majority of our outstanding shares of common stock, non-votes will have no effect on the approval of our initial business combination once a quorum is obtained.</w:t>
      </w:r>
    </w:p>
    <w:p>
      <w:pPr>
        <w:spacing w:after="0" w:line="101" w:lineRule="exact"/>
        <w:rPr>
          <w:sz w:val="20"/>
          <w:szCs w:val="20"/>
          <w:color w:val="auto"/>
        </w:rPr>
      </w:pPr>
    </w:p>
    <w:p>
      <w:pPr>
        <w:ind w:left="460" w:right="479"/>
        <w:spacing w:after="0" w:line="245"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1" w:name="page122"/>
    <w:bookmarkEnd w:id="121"/>
    <w:p>
      <w:pPr>
        <w:ind w:left="460" w:right="519"/>
        <w:spacing w:after="0" w:line="239" w:lineRule="auto"/>
        <w:rPr>
          <w:sz w:val="20"/>
          <w:szCs w:val="20"/>
          <w:color w:val="auto"/>
        </w:rPr>
      </w:pPr>
      <w:r>
        <w:rPr>
          <w:rFonts w:ascii="Arial" w:cs="Arial" w:eastAsia="Arial" w:hAnsi="Arial"/>
          <w:sz w:val="18"/>
          <w:szCs w:val="18"/>
          <w:color w:val="auto"/>
        </w:rPr>
        <w:t>Exchange Act), will be restricted from redeeming its shares with respect to Excess Shares, without our prior consent. However, we would not be restricting our stockholders’ ability to vote all of their shares (including Excess Shares) for or against our initial business combination. Our stockholders’ inability to redeem the Excess Shares will reduce their influence over our ability to complete our initial business combination, and such stockholders could suffer a material loss in their investment if they sell such Excess Shares on the open market. Additionally, such stockholders will not receive redemption distributions with respect to the Excess Shares if we complete our initial business combination. And, as a result, such stockholders will continue to hold that number of shares exceeding 20% and, in order to dispose such shares would be required to sell their shares in open market transactions, potentially at a loss.</w:t>
      </w:r>
    </w:p>
    <w:p>
      <w:pPr>
        <w:spacing w:after="0" w:line="99" w:lineRule="exact"/>
        <w:rPr>
          <w:sz w:val="20"/>
          <w:szCs w:val="20"/>
          <w:color w:val="auto"/>
        </w:rPr>
      </w:pPr>
    </w:p>
    <w:p>
      <w:pPr>
        <w:ind w:left="460" w:right="679"/>
        <w:spacing w:after="0" w:line="255" w:lineRule="auto"/>
        <w:rPr>
          <w:sz w:val="20"/>
          <w:szCs w:val="20"/>
          <w:color w:val="auto"/>
        </w:rPr>
      </w:pPr>
      <w:r>
        <w:rPr>
          <w:rFonts w:ascii="Arial" w:cs="Arial" w:eastAsia="Arial" w:hAnsi="Arial"/>
          <w:sz w:val="17"/>
          <w:szCs w:val="17"/>
          <w:color w:val="auto"/>
        </w:rPr>
        <w:t>If we seek stockholder approval in connection with our initial business combination, our initial stockholders, sponsor, officers and directors have agreed to vote any founder shares they hold and any public shares purchased during or after this offering in favor of our initial business combination. As a result, in addition to our initial stockholders’ founder shares, we would need 14,437,501, or</w:t>
      </w:r>
    </w:p>
    <w:p>
      <w:pPr>
        <w:spacing w:after="0" w:line="1" w:lineRule="exact"/>
        <w:rPr>
          <w:sz w:val="20"/>
          <w:szCs w:val="20"/>
          <w:color w:val="auto"/>
        </w:rPr>
      </w:pPr>
    </w:p>
    <w:p>
      <w:pPr>
        <w:ind w:left="460" w:right="499"/>
        <w:spacing w:after="0" w:line="239" w:lineRule="auto"/>
        <w:rPr>
          <w:sz w:val="20"/>
          <w:szCs w:val="20"/>
          <w:color w:val="auto"/>
        </w:rPr>
      </w:pPr>
      <w:r>
        <w:rPr>
          <w:rFonts w:ascii="Arial" w:cs="Arial" w:eastAsia="Arial" w:hAnsi="Arial"/>
          <w:sz w:val="18"/>
          <w:szCs w:val="18"/>
          <w:color w:val="auto"/>
        </w:rPr>
        <w:t>37.5%, of the 38,500,000 public shares sold in this offering to be voted in favor of an initial business combination in order to have our initial business combination approved (assuming all outstanding shares are voted and the over-allotment option is not exercised). Additionally, each public stockholder may elect to redeem their public shares irrespective of whether they vote for or against the proposed transaction.</w:t>
      </w:r>
    </w:p>
    <w:p>
      <w:pPr>
        <w:spacing w:after="0" w:line="108"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Pursuant to our amended and restated certificate of incorporation, if we are unable to complete our initial business combination within 24 months from the closing of this offering, we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our board of directors, liquidate and dissolve, subject in each case to our obligations under Delaware law to provide for claims of creditors and the requirements of other applicable law. Our initial stockholders have entered into agreements with us, pursuant to which they have agreed to waive their rights to liquidating distributions from the trust account with respect to their founder shares if we fail to complete our initial business combination within 24 months from the closing of this offering or during any Extension Period. However, if our initial stockholders or management team acquire public shares in or after this offering, they will be entitled to liquidating distributions from the trust account with respect to such public shares if we fail to complete our initial business combination within the prescribed time period.</w:t>
      </w:r>
    </w:p>
    <w:p>
      <w:pPr>
        <w:spacing w:after="0" w:line="112" w:lineRule="exact"/>
        <w:rPr>
          <w:sz w:val="20"/>
          <w:szCs w:val="20"/>
          <w:color w:val="auto"/>
        </w:rPr>
      </w:pPr>
    </w:p>
    <w:p>
      <w:pPr>
        <w:ind w:left="460" w:right="479"/>
        <w:spacing w:after="0" w:line="239" w:lineRule="auto"/>
        <w:rPr>
          <w:sz w:val="20"/>
          <w:szCs w:val="20"/>
          <w:color w:val="auto"/>
        </w:rPr>
      </w:pPr>
      <w:r>
        <w:rPr>
          <w:rFonts w:ascii="Arial" w:cs="Arial" w:eastAsia="Arial" w:hAnsi="Arial"/>
          <w:sz w:val="18"/>
          <w:szCs w:val="18"/>
          <w:color w:val="auto"/>
        </w:rPr>
        <w:t>In the event of a liquidation, dissolution or winding up of the company after a business combination, our stockholders are entitled to share ratably in all assets remaining available for distribution to them after payment of liabilities and after provision is made for each class of shares, if any, having preference over the common stock. Our stockholders have no preemptive or other subscription rights. There are no sinking fund provisions applicable to the common stock, except that we will provide our public stockholders with the opportunity to redeem their public shares for cash at a per share price equal to the aggregate amount then on deposit in the trust account, including interest earned on the funds held in the trust account and not previously released to us to pay our taxes, divided by the number of then outstanding public shares, upon the completion of our initial business combination, subject to the limitations described herein.</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Founder Shares</w:t>
      </w:r>
    </w:p>
    <w:p>
      <w:pPr>
        <w:spacing w:after="0" w:line="131" w:lineRule="exact"/>
        <w:rPr>
          <w:sz w:val="20"/>
          <w:szCs w:val="20"/>
          <w:color w:val="auto"/>
        </w:rPr>
      </w:pPr>
    </w:p>
    <w:p>
      <w:pPr>
        <w:ind w:left="460" w:right="519"/>
        <w:spacing w:after="0" w:line="238" w:lineRule="auto"/>
        <w:rPr>
          <w:sz w:val="20"/>
          <w:szCs w:val="20"/>
          <w:color w:val="auto"/>
        </w:rPr>
      </w:pPr>
      <w:r>
        <w:rPr>
          <w:rFonts w:ascii="Arial" w:cs="Arial" w:eastAsia="Arial" w:hAnsi="Arial"/>
          <w:sz w:val="18"/>
          <w:szCs w:val="18"/>
          <w:color w:val="auto"/>
        </w:rPr>
        <w:t>The founder shares are designated as Class B common stock and, except as described below, are identical to the shares of Class A common stock included in the units being sold in this offering, and holders of founder shares have the same stockholder rights as public stockholders, except that (i) the founder shares are subject to certain transfer restrictions, as described in more detail below, (ii) our initial stockholders, sponsor, officers and directors have entered into a letter agreement with us, pursuant to which they have agreed (A) to waive their redemption rights with respect to any founder shares and public shares they hold in connection with the completion of our initial business combination, (B) to waive their redemption rights with respect to any founder shares and public shares they hold in connection with a stockholder vote to approve an amendment to our amended and restated certificate of incorporation to modify the substance or timing of our obligation to redeem 100% of our public shares if we have not consummated an initial business combination within 24 months from the closing of this offering or with respect</w:t>
      </w:r>
    </w:p>
    <w:p>
      <w:pPr>
        <w:sectPr>
          <w:pgSz w:w="11900" w:h="16838" w:orient="portrait"/>
          <w:cols w:equalWidth="0" w:num="1">
            <w:col w:w="9019"/>
          </w:cols>
          <w:pgMar w:left="1440" w:top="265" w:right="1440" w:bottom="1440" w:gutter="0" w:footer="0" w:header="0"/>
        </w:sectPr>
      </w:pP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26035</wp:posOffset>
            </wp:positionV>
            <wp:extent cx="51435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22" w:name="page123"/>
    <w:bookmarkEnd w:id="122"/>
    <w:p>
      <w:pPr>
        <w:ind w:left="460" w:right="579"/>
        <w:spacing w:after="0" w:line="238" w:lineRule="auto"/>
        <w:rPr>
          <w:sz w:val="20"/>
          <w:szCs w:val="20"/>
          <w:color w:val="auto"/>
        </w:rPr>
      </w:pPr>
      <w:r>
        <w:rPr>
          <w:rFonts w:ascii="Arial" w:cs="Arial" w:eastAsia="Arial" w:hAnsi="Arial"/>
          <w:sz w:val="18"/>
          <w:szCs w:val="18"/>
          <w:color w:val="auto"/>
        </w:rPr>
        <w:t>to any other material provisions relating to stockholders’ rights or pre-initial business combination activity and (C) to waive their rights to liquidating distributions from the trust account with respect to any founder shares they hold if we fail to complete our initial business combination within 24 months from the closing of this offering or during any Extension Period, although they will be entitled to liquidating distributions from the trust account with respect to any public shares they hold if we fail to complete our initial business combination within such time period, and (iii) the founder shares are automatically convertible into Class A common stock concurrently with or immediately following the consummation of our initial business combination on a one-for-one basis, subject to adjustment as described herein and in our amended and restated certificate of incorporation. If we submit our initial business combination to our public stockholders for a vote, our initial stockholders have agreed to vote their founder shares and any public shares purchased during or after this offering in favor of our initial business combination.</w:t>
      </w:r>
    </w:p>
    <w:p>
      <w:pPr>
        <w:spacing w:after="0" w:line="102" w:lineRule="exact"/>
        <w:rPr>
          <w:sz w:val="20"/>
          <w:szCs w:val="20"/>
          <w:color w:val="auto"/>
        </w:rPr>
      </w:pPr>
    </w:p>
    <w:p>
      <w:pPr>
        <w:ind w:left="460" w:right="479"/>
        <w:spacing w:after="0" w:line="251" w:lineRule="auto"/>
        <w:rPr>
          <w:sz w:val="20"/>
          <w:szCs w:val="20"/>
          <w:color w:val="auto"/>
        </w:rPr>
      </w:pPr>
      <w:r>
        <w:rPr>
          <w:rFonts w:ascii="Arial" w:cs="Arial" w:eastAsia="Arial" w:hAnsi="Arial"/>
          <w:sz w:val="17"/>
          <w:szCs w:val="17"/>
          <w:color w:val="auto"/>
        </w:rPr>
        <w:t>The founder shares will automatically convert into shares of Class A common stock concurrently with or immediately following the consummation of our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connection with our initial business combination, the number of shares of Class A common stock issuable upon conversion of all founder shares will equal, in the aggregate, on an as-converted basis, 20% of the total number of shares of Class A common stock outstanding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the initial business combination (including any forward purchase shares), excluding any shares of Class A common stock or equity-linked securities or rights exercisable for or convertible into shares of Class A common stock issued, or to be issued, to any seller in the initial business combination and any private placement warrants issued to our sponsor, officers or directors upon conversion of working capital loans, provided that such conversion of founder shares will never occur on a less than one-for-one basis. The term “equity-linked securities” refers to any debt or equity securities that are convertible, exercisable or exchangeable for our shares of Class A common stock issued in a financing transaction in connection with our initial business combination, including, but not limited to, a private placement of equity or debt.</w:t>
      </w:r>
    </w:p>
    <w:p>
      <w:pPr>
        <w:spacing w:after="0" w:line="314"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With certain limited exceptions, the founder shares are not transferable, assignable or salable (except to our officers and directors and other persons or entities affiliated with our sponsor, each of whom will be subject to the same transfer restrictions) until the earlier of (A) one year after the completion of our initial business combination or earlier if, subsequent to our initial business combination, the closing price of the Class A common stock equals or exceeds $12.00 per share (as adjusted for stock splits, stock capitalizations, reorganizations, recapitalizations and the like) for any 20 trading days within any 30-trading day period commencing at least 150 days after our initial business combination, and (B) the date following the completion of our initial business combination on which we complete a liquidation, merger, capital stock exchange or other similar transaction that results in all of our stockholders having the right to exchange their Class A common stock for cash, securities or other property. Up to 1,443,750 founder shares will be forfeited by our sponsor depending on the exercise of the over-allotment option.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Preferred Stock</w:t>
      </w:r>
    </w:p>
    <w:p>
      <w:pPr>
        <w:spacing w:after="0" w:line="146"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Our amended and restated certificate of incorporation authorizes 1,000,000 shares of preferred stock and provides that shares of preferred stock may be issued from time to time in one or more series. Our board of directors will be authorized to fix the voting rights, if any, designations, powers, preferences, the relative, participating, optional or other special rights and any qualifications, limitations and restrictions thereof, applicable to the shares of each series. Our board of directors will be able to, without stockholder approval, issue shares of preferred stock with voting and other rights that could adversely affect the voting power and other rights of the holders of the common stock and could have anti-takeover effects. The ability of our board of directors to issue shares of preferred stock without stockholder approval could have the effect of delaying, deferring or preventing a change of control of us or the removal of existing management. We have no preferred shares outstanding at the date hereof. Although we do not currently intend to issue any shares of preferred stock, we cannot assure you that we will not do so in the future. No shares of preferred stock are being issued or registered in this offering.</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3" w:name="page124"/>
    <w:bookmarkEnd w:id="123"/>
    <w:p>
      <w:pPr>
        <w:ind w:left="460"/>
        <w:spacing w:after="0"/>
        <w:rPr>
          <w:sz w:val="20"/>
          <w:szCs w:val="20"/>
          <w:color w:val="auto"/>
        </w:rPr>
      </w:pPr>
      <w:r>
        <w:rPr>
          <w:rFonts w:ascii="Arial" w:cs="Arial" w:eastAsia="Arial" w:hAnsi="Arial"/>
          <w:sz w:val="18"/>
          <w:szCs w:val="18"/>
          <w:b w:val="1"/>
          <w:bCs w:val="1"/>
          <w:color w:val="auto"/>
        </w:rPr>
        <w:t>Warrants</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Public Stockholders’ Warrants</w:t>
      </w:r>
    </w:p>
    <w:p>
      <w:pPr>
        <w:spacing w:after="0" w:line="144" w:lineRule="exact"/>
        <w:rPr>
          <w:sz w:val="20"/>
          <w:szCs w:val="20"/>
          <w:color w:val="auto"/>
        </w:rPr>
      </w:pPr>
    </w:p>
    <w:p>
      <w:pPr>
        <w:ind w:left="460" w:right="539"/>
        <w:spacing w:after="0" w:line="237" w:lineRule="auto"/>
        <w:rPr>
          <w:sz w:val="20"/>
          <w:szCs w:val="20"/>
          <w:color w:val="auto"/>
        </w:rPr>
      </w:pPr>
      <w:r>
        <w:rPr>
          <w:rFonts w:ascii="Arial" w:cs="Arial" w:eastAsia="Arial" w:hAnsi="Arial"/>
          <w:sz w:val="18"/>
          <w:szCs w:val="18"/>
          <w:color w:val="auto"/>
        </w:rPr>
        <w:t>Each whole warrant entitles the registered holder to purchase one share of Class A common stock at a price of $ 11.50 per share, subject to adjustment as discussed below, at any time commencing on the later of 12 months from the closing of this offering and 30 days after the completion of our initial business combination, provided in each case that we have an effective registration statement under the Securities Act covering the shares of Class A common stock issuable upon exercise of the warrants and a current prospectus relating to them is available (or we permit holders to exercise their warrants on a cashless basis under the circumstances specified in the warrant agreement) and such shares are registered, qualified or exempt from registration under the securities, or blue sky, laws of the state of residence of the holder. Pursuant to the warrant agreement, a warrant holder may exercise its warrants only for a whole number of shares of Class A common stock. This means only a whole warrant may be exercised at a given time by a warrant holder. No fractional warrants will be issued upon separation of the units and only whole warrants will trade. Accordingly, unless you purchase at least three units, you will not be able to receive or trade a whole warrant. The warrants will expire five years after the completion of our initial business combination, at 5:00 p.m., New York City time, or earlier upon redemption or liquidation.</w:t>
      </w:r>
    </w:p>
    <w:p>
      <w:pPr>
        <w:spacing w:after="0" w:line="107"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We will not be obligated to deliver any Class A common stock pursuant to the exercise of a warrant and will have no obligation to settle such warrant exercise unless a registration statement under the Securities Act with respect to the Class A common stock underlying the warrants is then effective and a prospectus relating thereto is current, subject to our satisfying our obligations described below with respect to registration. No warrant will be exercisable and we will not be obligated to issue a share of Class A common stock upon exercise of a warrant unless the share of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share of Class A common stock underlying such unit.</w:t>
      </w:r>
    </w:p>
    <w:p>
      <w:pPr>
        <w:spacing w:after="0" w:line="110" w:lineRule="exact"/>
        <w:rPr>
          <w:sz w:val="20"/>
          <w:szCs w:val="20"/>
          <w:color w:val="auto"/>
        </w:rPr>
      </w:pPr>
    </w:p>
    <w:p>
      <w:pPr>
        <w:ind w:left="460" w:right="459"/>
        <w:spacing w:after="0" w:line="234" w:lineRule="auto"/>
        <w:rPr>
          <w:sz w:val="20"/>
          <w:szCs w:val="20"/>
          <w:color w:val="auto"/>
        </w:rPr>
      </w:pPr>
      <w:r>
        <w:rPr>
          <w:rFonts w:ascii="Arial" w:cs="Arial" w:eastAsia="Arial" w:hAnsi="Arial"/>
          <w:sz w:val="18"/>
          <w:szCs w:val="18"/>
          <w:color w:val="auto"/>
        </w:rPr>
        <w:t>We have agreed that as soon as practicable, but in no event later than fifteen (15) business days after the closing of our initial business combination, we will use our best efforts to file with the SEC a registration statement for the registration, under the Securities Act, of the Class A common stock issuable upon exercise of the warrants. We will use our best efforts to cause the same to become effective and to maintain the effectiveness of such registration statement, and a current prospectus relating thereto, until the expiration of the warrants in accordance with the provisions of the warrant agreement. If a registration statement covering the shares of Class A common stock issuable upon exercise of the warrants is not effective by the sixtieth (60</w:t>
      </w:r>
      <w:r>
        <w:rPr>
          <w:rFonts w:ascii="Arial" w:cs="Arial" w:eastAsia="Arial" w:hAnsi="Arial"/>
          <w:sz w:val="20"/>
          <w:szCs w:val="20"/>
          <w:color w:val="auto"/>
          <w:vertAlign w:val="superscript"/>
        </w:rPr>
        <w:t>th</w:t>
      </w:r>
      <w:r>
        <w:rPr>
          <w:rFonts w:ascii="Arial" w:cs="Arial" w:eastAsia="Arial" w:hAnsi="Arial"/>
          <w:sz w:val="18"/>
          <w:szCs w:val="18"/>
          <w:color w:val="auto"/>
        </w:rPr>
        <w:t>) business day after the closing of our initial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Notwithstanding the above, if our Class A common stock are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best efforts to register or qualify the shares under applicable blue sky laws to the extent an exemption is not available. In such event, each holder would pay the exercise price by surrendering the warrants for that number of shares of Class A common stock equal to the lesser of</w:t>
      </w:r>
    </w:p>
    <w:p>
      <w:pPr>
        <w:spacing w:after="0" w:line="13" w:lineRule="exact"/>
        <w:rPr>
          <w:sz w:val="20"/>
          <w:szCs w:val="20"/>
          <w:color w:val="auto"/>
        </w:rPr>
      </w:pPr>
    </w:p>
    <w:p>
      <w:pPr>
        <w:ind w:left="460" w:right="559" w:hanging="6"/>
        <w:spacing w:after="0" w:line="238" w:lineRule="auto"/>
        <w:tabs>
          <w:tab w:leader="none" w:pos="75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quotient obtained by dividing (x) the product of the number of shares of Class A common stock underlying the warrants, multiplied by the excess of the “fair market value” (defined below) less the exercise price of the warrants by (y) the fair market value and (B) 0.361. The “fair market value” as used in this paragraph shall mean the volume weighted average price of the Class A common stock for the 10 trading days ending on the trading day prior to the date on which the notice of exercise is received by the warrant agent.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sectPr>
      </w:pPr>
    </w:p>
    <w:bookmarkStart w:id="124" w:name="page125"/>
    <w:bookmarkEnd w:id="124"/>
    <w:p>
      <w:pPr>
        <w:ind w:left="460" w:right="479"/>
        <w:spacing w:after="0" w:line="285" w:lineRule="auto"/>
        <w:rPr>
          <w:sz w:val="20"/>
          <w:szCs w:val="20"/>
          <w:color w:val="auto"/>
        </w:rPr>
      </w:pPr>
      <w:r>
        <w:rPr>
          <w:rFonts w:ascii="Arial" w:cs="Arial" w:eastAsia="Arial" w:hAnsi="Arial"/>
          <w:sz w:val="18"/>
          <w:szCs w:val="18"/>
          <w:b w:val="1"/>
          <w:bCs w:val="1"/>
          <w:i w:val="1"/>
          <w:iCs w:val="1"/>
          <w:color w:val="auto"/>
        </w:rPr>
        <w:t>Redemption of warrants when the price per share of Class A common stock equals or exceeds $18.00.</w:t>
      </w:r>
    </w:p>
    <w:p>
      <w:pPr>
        <w:spacing w:after="0" w:line="62" w:lineRule="exact"/>
        <w:rPr>
          <w:sz w:val="20"/>
          <w:szCs w:val="20"/>
          <w:color w:val="auto"/>
        </w:rPr>
      </w:pPr>
    </w:p>
    <w:p>
      <w:pPr>
        <w:ind w:left="460" w:right="1159"/>
        <w:spacing w:after="0" w:line="258" w:lineRule="auto"/>
        <w:rPr>
          <w:sz w:val="20"/>
          <w:szCs w:val="20"/>
          <w:color w:val="auto"/>
        </w:rPr>
      </w:pPr>
      <w:r>
        <w:rPr>
          <w:rFonts w:ascii="Arial" w:cs="Arial" w:eastAsia="Arial" w:hAnsi="Arial"/>
          <w:sz w:val="18"/>
          <w:szCs w:val="18"/>
          <w:color w:val="auto"/>
        </w:rPr>
        <w:t>Once the warrants become exercisable, we may redeem the outstanding warrants (except as described herein with respect to the private placement warrants):</w:t>
      </w:r>
    </w:p>
    <w:p>
      <w:pPr>
        <w:ind w:left="1100" w:hanging="322"/>
        <w:spacing w:after="0"/>
        <w:tabs>
          <w:tab w:leader="none" w:pos="11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to each warrant holder; and</w:t>
      </w:r>
    </w:p>
    <w:p>
      <w:pPr>
        <w:spacing w:after="0" w:line="35" w:lineRule="exact"/>
        <w:rPr>
          <w:rFonts w:ascii="Arial" w:cs="Arial" w:eastAsia="Arial" w:hAnsi="Arial"/>
          <w:sz w:val="18"/>
          <w:szCs w:val="18"/>
          <w:color w:val="auto"/>
        </w:rPr>
      </w:pPr>
    </w:p>
    <w:p>
      <w:pPr>
        <w:ind w:left="1100" w:right="639" w:hanging="322"/>
        <w:spacing w:after="0"/>
        <w:tabs>
          <w:tab w:leader="none" w:pos="1089"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and only if, the closing price of the Class A common stock equals or exceeds $18.00 per share (as adjusted for adjustments to the number of shares issuable upon exercise or the exercise price of a warrant as described under the heading “— Warrants — Public Stockholders’ Warrants — Anti-Dilution Adjustments”) for any 20 trading days within a 30-trading day period ending three trading days before we send the notice of redemption to the warrant holders.</w:t>
      </w:r>
    </w:p>
    <w:p>
      <w:pPr>
        <w:spacing w:after="0" w:line="108" w:lineRule="exact"/>
        <w:rPr>
          <w:sz w:val="20"/>
          <w:szCs w:val="20"/>
          <w:color w:val="auto"/>
        </w:rPr>
      </w:pPr>
    </w:p>
    <w:p>
      <w:pPr>
        <w:ind w:left="460" w:right="519"/>
        <w:spacing w:after="0" w:line="239" w:lineRule="auto"/>
        <w:rPr>
          <w:sz w:val="20"/>
          <w:szCs w:val="20"/>
          <w:color w:val="auto"/>
        </w:rPr>
      </w:pPr>
      <w:r>
        <w:rPr>
          <w:rFonts w:ascii="Arial" w:cs="Arial" w:eastAsia="Arial" w:hAnsi="Arial"/>
          <w:sz w:val="18"/>
          <w:szCs w:val="18"/>
          <w:color w:val="auto"/>
        </w:rPr>
        <w:t>We will not redeem the warrants as described above unless a registration statement under the Securities Act covering the issuance of the Class A common stock issuable upon exercise of the warrants is then effective and a current prospectus relating to those shares of Class A common stock is available throughout the 30-day redemption period. If and when the warrants become redeemable by us, we may exercise our redemption right even if we are unable to register or qualify the underlying securities for sale under all applicable state securities laws. None of the private placement warrants will be redeemable by us (except as described below under “Description of Securities — Redeemable Warrants — Public Stockholders’ Warrants — Redemption of warrants when the price per share of Class A common stock equals or exceeds $10.00”) so long as they are held by the initial purchasers of the private placement warrants or their permitted transferees.</w:t>
      </w:r>
    </w:p>
    <w:p>
      <w:pPr>
        <w:spacing w:after="0" w:line="112" w:lineRule="exact"/>
        <w:rPr>
          <w:sz w:val="20"/>
          <w:szCs w:val="20"/>
          <w:color w:val="auto"/>
        </w:rPr>
      </w:pPr>
    </w:p>
    <w:p>
      <w:pPr>
        <w:ind w:left="460" w:right="459"/>
        <w:spacing w:after="0"/>
        <w:rPr>
          <w:sz w:val="20"/>
          <w:szCs w:val="20"/>
          <w:color w:val="auto"/>
        </w:rPr>
      </w:pPr>
      <w:r>
        <w:rPr>
          <w:rFonts w:ascii="Arial" w:cs="Arial" w:eastAsia="Arial" w:hAnsi="Arial"/>
          <w:sz w:val="18"/>
          <w:szCs w:val="18"/>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Class A common stock may fall below the $18.00 redemption trigger price (as adjusted for adjustments to the number of shares issuable upon exercise or the exercise price of a warrant as described under the heading “— Warrants — Public Stockholders’ Warrants — Anti-dilution Adjustments”) as well as the $11.50 (for whole shares) warrant exercise price after the redemption notice is issued.</w:t>
      </w:r>
    </w:p>
    <w:p>
      <w:pPr>
        <w:spacing w:after="0" w:line="176" w:lineRule="exact"/>
        <w:rPr>
          <w:sz w:val="20"/>
          <w:szCs w:val="20"/>
          <w:color w:val="auto"/>
        </w:rPr>
      </w:pPr>
    </w:p>
    <w:p>
      <w:pPr>
        <w:ind w:left="460" w:right="479"/>
        <w:spacing w:after="0" w:line="285" w:lineRule="auto"/>
        <w:rPr>
          <w:sz w:val="20"/>
          <w:szCs w:val="20"/>
          <w:color w:val="auto"/>
        </w:rPr>
      </w:pPr>
      <w:r>
        <w:rPr>
          <w:rFonts w:ascii="Arial" w:cs="Arial" w:eastAsia="Arial" w:hAnsi="Arial"/>
          <w:sz w:val="18"/>
          <w:szCs w:val="18"/>
          <w:b w:val="1"/>
          <w:bCs w:val="1"/>
          <w:i w:val="1"/>
          <w:iCs w:val="1"/>
          <w:color w:val="auto"/>
        </w:rPr>
        <w:t>Redemption of warrants when the price per share of Class A common stock equals or exceeds $10.00.</w:t>
      </w:r>
    </w:p>
    <w:p>
      <w:pPr>
        <w:spacing w:after="0" w:line="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Once the warrants become exercisable, we may redeem the outstanding warrants:</w:t>
      </w:r>
    </w:p>
    <w:p>
      <w:pPr>
        <w:spacing w:after="0" w:line="36" w:lineRule="exact"/>
        <w:rPr>
          <w:sz w:val="20"/>
          <w:szCs w:val="20"/>
          <w:color w:val="auto"/>
        </w:rPr>
      </w:pPr>
    </w:p>
    <w:p>
      <w:pPr>
        <w:ind w:left="1100" w:hanging="322"/>
        <w:spacing w:after="0"/>
        <w:tabs>
          <w:tab w:leader="none" w:pos="11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36" w:lineRule="exact"/>
        <w:rPr>
          <w:rFonts w:ascii="Arial" w:cs="Arial" w:eastAsia="Arial" w:hAnsi="Arial"/>
          <w:sz w:val="18"/>
          <w:szCs w:val="18"/>
          <w:color w:val="auto"/>
        </w:rPr>
      </w:pPr>
    </w:p>
    <w:p>
      <w:pPr>
        <w:ind w:left="1100" w:right="559" w:hanging="322"/>
        <w:spacing w:after="0" w:line="244" w:lineRule="auto"/>
        <w:tabs>
          <w:tab w:leader="none" w:pos="1089"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at $0.10 per warrant upon a minimum of 30 days’ prior written notice of redemption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holders will be able to exercise their warrants on a cashless basis prior to redemption and receive that number of shares determined by reference to the table below, based on the redemption date and the “fair market value” (as defined below) of our Class A common stock except as otherwise described below;</w:t>
      </w:r>
    </w:p>
    <w:p>
      <w:pPr>
        <w:ind w:left="1100" w:right="599" w:hanging="322"/>
        <w:spacing w:after="0"/>
        <w:tabs>
          <w:tab w:leader="none" w:pos="1089"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and only if, the closing price of our Class A common stock equals or exceeds $10.00 per public share (as adjusted for adjustments to the number of shares issuable upon exercise or the exercise price of a warrant as described under the heading “— Warrants — Public Stockholders’ Warrants — Anti-Dilution Adjustments”) for any 20 trading days within the 30-trading day period ending three trading days before we send the notice of redemption to the warrant holders; and</w:t>
      </w:r>
    </w:p>
    <w:p>
      <w:pPr>
        <w:ind w:left="1100" w:right="559" w:hanging="322"/>
        <w:spacing w:after="0" w:line="241" w:lineRule="auto"/>
        <w:tabs>
          <w:tab w:leader="none" w:pos="1089"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the closing price of our Class A common stock for any 20 trading days within a 30-trading day period ending three trading days before we send notice of redemption to the warrant holders is less than $18.00 per share (as adjusted for adjustments to the number of shares issuable upon exercise or the exercise price of a warrant as described under the heading “— Warrants — Public Shareholders’ Warrants — Anti-dilution Adjustments”), the private placement warrants must also be concurrently called for redemption on the same terms as the outstanding public warrants, as described above.</w:t>
      </w:r>
    </w:p>
    <w:p>
      <w:pPr>
        <w:spacing w:after="0" w:line="111" w:lineRule="exact"/>
        <w:rPr>
          <w:sz w:val="20"/>
          <w:szCs w:val="20"/>
          <w:color w:val="auto"/>
        </w:rPr>
      </w:pPr>
    </w:p>
    <w:p>
      <w:pPr>
        <w:ind w:left="460" w:right="479"/>
        <w:spacing w:after="0" w:line="243" w:lineRule="auto"/>
        <w:rPr>
          <w:sz w:val="20"/>
          <w:szCs w:val="20"/>
          <w:color w:val="auto"/>
        </w:rPr>
      </w:pPr>
      <w:r>
        <w:rPr>
          <w:rFonts w:ascii="Arial" w:cs="Arial" w:eastAsia="Arial" w:hAnsi="Arial"/>
          <w:sz w:val="18"/>
          <w:szCs w:val="18"/>
          <w:color w:val="auto"/>
        </w:rPr>
        <w:t>Beginning on the date the notice of redemption is given until the warrants are redeemed or exercised, holders may elect to exercise their warrants on a cashless basis. The numbers in the table below represent the number of shares of Class A common stock that a warrant holder will receive upon such cashless exercise in connection with a redemption by us pursuant to this redemption feature, based on the “fair market value” of our Class A common stock on the corresponding redemption date (assuming holders elect to exercise their warrants and such warrants are</w:t>
      </w:r>
    </w:p>
    <w:p>
      <w:pPr>
        <w:sectPr>
          <w:pgSz w:w="11900" w:h="16838" w:orient="portrait"/>
          <w:cols w:equalWidth="0" w:num="1">
            <w:col w:w="9019"/>
          </w:cols>
          <w:pgMar w:left="1440" w:top="333" w:right="1440" w:bottom="1440" w:gutter="0" w:footer="0" w:header="0"/>
        </w:sectPr>
      </w:pP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19050</wp:posOffset>
            </wp:positionV>
            <wp:extent cx="51435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125" w:name="page126"/>
    <w:bookmarkEnd w:id="125"/>
    <w:p>
      <w:pPr>
        <w:ind w:left="460" w:right="499"/>
        <w:spacing w:after="0" w:line="238" w:lineRule="auto"/>
        <w:rPr>
          <w:sz w:val="20"/>
          <w:szCs w:val="20"/>
          <w:color w:val="auto"/>
        </w:rPr>
      </w:pPr>
      <w:r>
        <w:rPr>
          <w:rFonts w:ascii="Arial" w:cs="Arial" w:eastAsia="Arial" w:hAnsi="Arial"/>
          <w:sz w:val="18"/>
          <w:szCs w:val="18"/>
          <w:color w:val="auto"/>
        </w:rPr>
        <w:t>not redeemed for $0.10 per warrant), determined for these purposes based on volume weighted average price of our Class A common stock during the 10 trading days immediately following the date on which the notice of redemption is sent to the holders of warrants, and the number of months that the corresponding redemption date precedes the expiration date of the warrants, each as set forth in the table below. We will provide our warrant holders with the final fair market value no later than one business day after the 10-trading day period described above ends. Pursuant to the warrant agreement, references above to Class A common stock shall include a security other than Class A common stock into which the Class A common stock have been converted or exchanged for in the event we are not the surviving company in our initial business combination. The numbers in the table below will not be adjusted when determining the number of shares of Class A common stock to be issued upon exercise of the warrants if we are not the surviving entity following our initial business combination.</w:t>
      </w:r>
    </w:p>
    <w:p>
      <w:pPr>
        <w:spacing w:after="0" w:line="102"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The share prices set forth in the column headings of the table below will be adjusted as of any date on which the number of shares issuable upon exercise of a warrant or the exercise price of a warrant is adjusted as set forth under the heading “— Anti-dilution Adjustments” below. If the number of shares issuable upon exercise of a warrant is adjusted, the adjusted share prices in the column headings will equal the share prices immediately prior to such adjustment, multiplied by a fraction, the numerator of which is the number of shares deliverable upon exercise of a warrant immediately prior to such adjustment and the denominator of which is the number of shares deliverable upon exercise of a warrant as so adjusted. The number of shares in the table below shall be adjusted in the same manner and at the same time as the number of shares issuable upon exercise of a warrant. If the exercise price of a warrant is adjusted, (a) in the case of an adjustment pursuant to the fifth paragraph under the heading “— Anti-dilution Adjustments” below, the adjusted share prices in the column headings will equal the unadjusted share price multiplied by a fraction, the numerator of which is the higher of the Market Value and the Newly Issued Price as set forth under the heading “— Anti-dilution Adjustments” and the denominator of which is $10.00 and (b) in the case of an adjustment pursuant to the second paragraph under the heading “— Anti-dilution Adjustments” below, the adjusted share prices in the column headings will equal the unadjusted share price less the decrease in the exercise price of a warrant pursuant to such exercise price adjustment.</w:t>
      </w:r>
    </w:p>
    <w:p>
      <w:pPr>
        <w:spacing w:after="0" w:line="172" w:lineRule="exact"/>
        <w:rPr>
          <w:sz w:val="20"/>
          <w:szCs w:val="20"/>
          <w:color w:val="auto"/>
        </w:rPr>
      </w:pPr>
    </w:p>
    <w:p>
      <w:pPr>
        <w:ind w:left="4000"/>
        <w:spacing w:after="0"/>
        <w:rPr>
          <w:sz w:val="20"/>
          <w:szCs w:val="20"/>
          <w:color w:val="auto"/>
        </w:rPr>
      </w:pPr>
      <w:r>
        <w:rPr>
          <w:rFonts w:ascii="Arial" w:cs="Arial" w:eastAsia="Arial" w:hAnsi="Arial"/>
          <w:sz w:val="14"/>
          <w:szCs w:val="14"/>
          <w:b w:val="1"/>
          <w:bCs w:val="1"/>
          <w:color w:val="auto"/>
        </w:rPr>
        <w:t>Fair Market Value of Class A Common Stock</w:t>
      </w:r>
    </w:p>
    <w:tbl>
      <w:tblPr>
        <w:tblLayout w:type="fixed"/>
        <w:tblInd w:w="460" w:type="dxa"/>
        <w:tblCellMar>
          <w:top w:w="0" w:type="dxa"/>
          <w:left w:w="0" w:type="dxa"/>
          <w:bottom w:w="0" w:type="dxa"/>
          <w:right w:w="0" w:type="dxa"/>
        </w:tblCellMar>
      </w:tblPr>
      <w:tr>
        <w:trPr>
          <w:trHeight w:val="63"/>
        </w:trPr>
        <w:tc>
          <w:tcPr>
            <w:tcW w:w="2020" w:type="dxa"/>
            <w:vAlign w:val="bottom"/>
            <w:gridSpan w:val="2"/>
            <w:vMerge w:val="restart"/>
          </w:tcPr>
          <w:p>
            <w:pPr>
              <w:spacing w:after="0" w:line="142" w:lineRule="exact"/>
              <w:rPr>
                <w:sz w:val="20"/>
                <w:szCs w:val="20"/>
                <w:color w:val="auto"/>
              </w:rPr>
            </w:pPr>
            <w:r>
              <w:rPr>
                <w:rFonts w:ascii="Arial" w:cs="Arial" w:eastAsia="Arial" w:hAnsi="Arial"/>
                <w:sz w:val="14"/>
                <w:szCs w:val="14"/>
                <w:b w:val="1"/>
                <w:bCs w:val="1"/>
                <w:color w:val="auto"/>
              </w:rPr>
              <w:t>Redemption Date (period to</w:t>
            </w:r>
          </w:p>
        </w:tc>
        <w:tc>
          <w:tcPr>
            <w:tcW w:w="5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2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1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expiration of warrants)</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≤10.00</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11.00</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12.00</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13.00</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14.00</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15.00</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16.00</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17.00</w:t>
            </w:r>
          </w:p>
        </w:tc>
        <w:tc>
          <w:tcPr>
            <w:tcW w:w="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≥18.00</w:t>
            </w:r>
          </w:p>
        </w:tc>
        <w:tc>
          <w:tcPr>
            <w:tcW w:w="0" w:type="dxa"/>
            <w:vAlign w:val="bottom"/>
          </w:tcPr>
          <w:p>
            <w:pPr>
              <w:spacing w:after="0"/>
              <w:rPr>
                <w:sz w:val="1"/>
                <w:szCs w:val="1"/>
                <w:color w:val="auto"/>
              </w:rPr>
            </w:pPr>
          </w:p>
        </w:tc>
      </w:tr>
      <w:tr>
        <w:trPr>
          <w:trHeight w:val="250"/>
        </w:trPr>
        <w:tc>
          <w:tcPr>
            <w:tcW w:w="2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60 months</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0.261</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0.281</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0.297</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0.311</w:t>
            </w:r>
          </w:p>
        </w:tc>
        <w:tc>
          <w:tcPr>
            <w:tcW w:w="6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0.324</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0.337</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0.348</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0.358</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60"/>
        </w:trPr>
        <w:tc>
          <w:tcPr>
            <w:tcW w:w="2020" w:type="dxa"/>
            <w:vAlign w:val="bottom"/>
            <w:gridSpan w:val="2"/>
          </w:tcPr>
          <w:p>
            <w:pPr>
              <w:spacing w:after="0"/>
              <w:rPr>
                <w:sz w:val="20"/>
                <w:szCs w:val="20"/>
                <w:color w:val="auto"/>
              </w:rPr>
            </w:pPr>
            <w:r>
              <w:rPr>
                <w:rFonts w:ascii="Arial" w:cs="Arial" w:eastAsia="Arial" w:hAnsi="Arial"/>
                <w:sz w:val="18"/>
                <w:szCs w:val="18"/>
                <w:color w:val="auto"/>
              </w:rPr>
              <w:t>57 months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0.257</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0.277</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0.294</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0.310</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0.324</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0.337</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0.348</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0.358</w:t>
            </w:r>
          </w:p>
        </w:tc>
        <w:tc>
          <w:tcPr>
            <w:tcW w:w="700" w:type="dxa"/>
            <w:vAlign w:val="bottom"/>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3"/>
        </w:trPr>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54 months</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0.252</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0.272</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0.291</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0.307</w:t>
            </w:r>
          </w:p>
        </w:tc>
        <w:tc>
          <w:tcPr>
            <w:tcW w:w="6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0.322</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0.335</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0.347</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0.357</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60"/>
        </w:trPr>
        <w:tc>
          <w:tcPr>
            <w:tcW w:w="2020" w:type="dxa"/>
            <w:vAlign w:val="bottom"/>
            <w:gridSpan w:val="2"/>
          </w:tcPr>
          <w:p>
            <w:pPr>
              <w:spacing w:after="0"/>
              <w:rPr>
                <w:sz w:val="20"/>
                <w:szCs w:val="20"/>
                <w:color w:val="auto"/>
              </w:rPr>
            </w:pPr>
            <w:r>
              <w:rPr>
                <w:rFonts w:ascii="Arial" w:cs="Arial" w:eastAsia="Arial" w:hAnsi="Arial"/>
                <w:sz w:val="18"/>
                <w:szCs w:val="18"/>
                <w:color w:val="auto"/>
              </w:rPr>
              <w:t>51 months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0.246</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0.268</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0.287</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0.304</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0.320</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0.333</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0.346</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0.357</w:t>
            </w:r>
          </w:p>
        </w:tc>
        <w:tc>
          <w:tcPr>
            <w:tcW w:w="700" w:type="dxa"/>
            <w:vAlign w:val="bottom"/>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3"/>
        </w:trPr>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48 months</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0.241</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0.263</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0.283</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0.301</w:t>
            </w:r>
          </w:p>
        </w:tc>
        <w:tc>
          <w:tcPr>
            <w:tcW w:w="6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0.317</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0.332</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0.344</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0.356</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60"/>
        </w:trPr>
        <w:tc>
          <w:tcPr>
            <w:tcW w:w="2020" w:type="dxa"/>
            <w:vAlign w:val="bottom"/>
            <w:gridSpan w:val="2"/>
          </w:tcPr>
          <w:p>
            <w:pPr>
              <w:spacing w:after="0"/>
              <w:rPr>
                <w:sz w:val="20"/>
                <w:szCs w:val="20"/>
                <w:color w:val="auto"/>
              </w:rPr>
            </w:pPr>
            <w:r>
              <w:rPr>
                <w:rFonts w:ascii="Arial" w:cs="Arial" w:eastAsia="Arial" w:hAnsi="Arial"/>
                <w:sz w:val="18"/>
                <w:szCs w:val="18"/>
                <w:color w:val="auto"/>
              </w:rPr>
              <w:t>45 months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0.235</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0.258</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0.279</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0.298</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0.315</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0.330</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0.343</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0.356</w:t>
            </w:r>
          </w:p>
        </w:tc>
        <w:tc>
          <w:tcPr>
            <w:tcW w:w="700" w:type="dxa"/>
            <w:vAlign w:val="bottom"/>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3"/>
        </w:trPr>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42 months</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0.228</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0.252</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0.274</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0.294</w:t>
            </w:r>
          </w:p>
        </w:tc>
        <w:tc>
          <w:tcPr>
            <w:tcW w:w="6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0.312</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0.328</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0.342</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0.355</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60"/>
        </w:trPr>
        <w:tc>
          <w:tcPr>
            <w:tcW w:w="2020" w:type="dxa"/>
            <w:vAlign w:val="bottom"/>
            <w:gridSpan w:val="2"/>
          </w:tcPr>
          <w:p>
            <w:pPr>
              <w:spacing w:after="0"/>
              <w:rPr>
                <w:sz w:val="20"/>
                <w:szCs w:val="20"/>
                <w:color w:val="auto"/>
              </w:rPr>
            </w:pPr>
            <w:r>
              <w:rPr>
                <w:rFonts w:ascii="Arial" w:cs="Arial" w:eastAsia="Arial" w:hAnsi="Arial"/>
                <w:sz w:val="18"/>
                <w:szCs w:val="18"/>
                <w:color w:val="auto"/>
              </w:rPr>
              <w:t>39 months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0.221</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0.246</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0.269</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0.290</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0.309</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0.325</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0.340</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0.354</w:t>
            </w:r>
          </w:p>
        </w:tc>
        <w:tc>
          <w:tcPr>
            <w:tcW w:w="700" w:type="dxa"/>
            <w:vAlign w:val="bottom"/>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3"/>
        </w:trPr>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36 months</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0.213</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0.239</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0.263</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0.285</w:t>
            </w:r>
          </w:p>
        </w:tc>
        <w:tc>
          <w:tcPr>
            <w:tcW w:w="6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0.305</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0.323</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0.339</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0.353</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60"/>
        </w:trPr>
        <w:tc>
          <w:tcPr>
            <w:tcW w:w="2020" w:type="dxa"/>
            <w:vAlign w:val="bottom"/>
            <w:gridSpan w:val="2"/>
          </w:tcPr>
          <w:p>
            <w:pPr>
              <w:spacing w:after="0"/>
              <w:rPr>
                <w:sz w:val="20"/>
                <w:szCs w:val="20"/>
                <w:color w:val="auto"/>
              </w:rPr>
            </w:pPr>
            <w:r>
              <w:rPr>
                <w:rFonts w:ascii="Arial" w:cs="Arial" w:eastAsia="Arial" w:hAnsi="Arial"/>
                <w:sz w:val="18"/>
                <w:szCs w:val="18"/>
                <w:color w:val="auto"/>
              </w:rPr>
              <w:t>33 months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0.205</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0.232</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0.257</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0.280</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0.301</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0.320</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0.337</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0.352</w:t>
            </w:r>
          </w:p>
        </w:tc>
        <w:tc>
          <w:tcPr>
            <w:tcW w:w="700" w:type="dxa"/>
            <w:vAlign w:val="bottom"/>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3"/>
        </w:trPr>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30 months</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0.196</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0.224</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0.250</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0.274</w:t>
            </w:r>
          </w:p>
        </w:tc>
        <w:tc>
          <w:tcPr>
            <w:tcW w:w="6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0.297</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0.316</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0.335</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0.351</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60"/>
        </w:trPr>
        <w:tc>
          <w:tcPr>
            <w:tcW w:w="2020" w:type="dxa"/>
            <w:vAlign w:val="bottom"/>
            <w:gridSpan w:val="2"/>
          </w:tcPr>
          <w:p>
            <w:pPr>
              <w:spacing w:after="0"/>
              <w:rPr>
                <w:sz w:val="20"/>
                <w:szCs w:val="20"/>
                <w:color w:val="auto"/>
              </w:rPr>
            </w:pPr>
            <w:r>
              <w:rPr>
                <w:rFonts w:ascii="Arial" w:cs="Arial" w:eastAsia="Arial" w:hAnsi="Arial"/>
                <w:sz w:val="18"/>
                <w:szCs w:val="18"/>
                <w:color w:val="auto"/>
              </w:rPr>
              <w:t>27 months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0.185</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0.214</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0.242</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0.268</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0.291</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0.313</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0.332</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0.350</w:t>
            </w:r>
          </w:p>
        </w:tc>
        <w:tc>
          <w:tcPr>
            <w:tcW w:w="700" w:type="dxa"/>
            <w:vAlign w:val="bottom"/>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3"/>
        </w:trPr>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24 months</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0.173</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0.204</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0.233</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0.260</w:t>
            </w:r>
          </w:p>
        </w:tc>
        <w:tc>
          <w:tcPr>
            <w:tcW w:w="6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0.285</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0.308</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0.329</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0.348</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60"/>
        </w:trPr>
        <w:tc>
          <w:tcPr>
            <w:tcW w:w="2020" w:type="dxa"/>
            <w:vAlign w:val="bottom"/>
            <w:gridSpan w:val="2"/>
          </w:tcPr>
          <w:p>
            <w:pPr>
              <w:spacing w:after="0"/>
              <w:rPr>
                <w:sz w:val="20"/>
                <w:szCs w:val="20"/>
                <w:color w:val="auto"/>
              </w:rPr>
            </w:pPr>
            <w:r>
              <w:rPr>
                <w:rFonts w:ascii="Arial" w:cs="Arial" w:eastAsia="Arial" w:hAnsi="Arial"/>
                <w:sz w:val="18"/>
                <w:szCs w:val="18"/>
                <w:color w:val="auto"/>
              </w:rPr>
              <w:t>21 months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0.161</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0.193</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0.223</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0.252</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0.279</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0.304</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0.326</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0.347</w:t>
            </w:r>
          </w:p>
        </w:tc>
        <w:tc>
          <w:tcPr>
            <w:tcW w:w="700" w:type="dxa"/>
            <w:vAlign w:val="bottom"/>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3"/>
        </w:trPr>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18 months</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0.146</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0.179</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0.211</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0.242</w:t>
            </w:r>
          </w:p>
        </w:tc>
        <w:tc>
          <w:tcPr>
            <w:tcW w:w="6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0.271</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0.298</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0.322</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0.345</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60"/>
        </w:trPr>
        <w:tc>
          <w:tcPr>
            <w:tcW w:w="2020" w:type="dxa"/>
            <w:vAlign w:val="bottom"/>
            <w:gridSpan w:val="2"/>
          </w:tcPr>
          <w:p>
            <w:pPr>
              <w:spacing w:after="0"/>
              <w:rPr>
                <w:sz w:val="20"/>
                <w:szCs w:val="20"/>
                <w:color w:val="auto"/>
              </w:rPr>
            </w:pPr>
            <w:r>
              <w:rPr>
                <w:rFonts w:ascii="Arial" w:cs="Arial" w:eastAsia="Arial" w:hAnsi="Arial"/>
                <w:sz w:val="18"/>
                <w:szCs w:val="18"/>
                <w:color w:val="auto"/>
              </w:rPr>
              <w:t>15 months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0.130</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0.164</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0.197</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0.230</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0.262</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0.291</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0.317</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0.342</w:t>
            </w:r>
          </w:p>
        </w:tc>
        <w:tc>
          <w:tcPr>
            <w:tcW w:w="700" w:type="dxa"/>
            <w:vAlign w:val="bottom"/>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3"/>
        </w:trPr>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12 months</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0.111</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0.146</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0.181</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0.216</w:t>
            </w:r>
          </w:p>
        </w:tc>
        <w:tc>
          <w:tcPr>
            <w:tcW w:w="6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0.250</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0.282</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0.312</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0.339</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60"/>
        </w:trPr>
        <w:tc>
          <w:tcPr>
            <w:tcW w:w="2020" w:type="dxa"/>
            <w:vAlign w:val="bottom"/>
            <w:gridSpan w:val="2"/>
          </w:tcPr>
          <w:p>
            <w:pPr>
              <w:spacing w:after="0"/>
              <w:rPr>
                <w:sz w:val="20"/>
                <w:szCs w:val="20"/>
                <w:color w:val="auto"/>
              </w:rPr>
            </w:pPr>
            <w:r>
              <w:rPr>
                <w:rFonts w:ascii="Arial" w:cs="Arial" w:eastAsia="Arial" w:hAnsi="Arial"/>
                <w:sz w:val="18"/>
                <w:szCs w:val="18"/>
                <w:color w:val="auto"/>
              </w:rPr>
              <w:t>9 months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0.090</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0.125</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0.162</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0.199</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0.237</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0.272</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0.305</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0.336</w:t>
            </w:r>
          </w:p>
        </w:tc>
        <w:tc>
          <w:tcPr>
            <w:tcW w:w="700" w:type="dxa"/>
            <w:vAlign w:val="bottom"/>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3"/>
        </w:trPr>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6 months</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0.065</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0.099</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0.137</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0.178</w:t>
            </w:r>
          </w:p>
        </w:tc>
        <w:tc>
          <w:tcPr>
            <w:tcW w:w="6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0.219</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0.259</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0.296</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0.331</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60"/>
        </w:trPr>
        <w:tc>
          <w:tcPr>
            <w:tcW w:w="2020" w:type="dxa"/>
            <w:vAlign w:val="bottom"/>
            <w:gridSpan w:val="2"/>
          </w:tcPr>
          <w:p>
            <w:pPr>
              <w:spacing w:after="0"/>
              <w:rPr>
                <w:sz w:val="20"/>
                <w:szCs w:val="20"/>
                <w:color w:val="auto"/>
              </w:rPr>
            </w:pPr>
            <w:r>
              <w:rPr>
                <w:rFonts w:ascii="Arial" w:cs="Arial" w:eastAsia="Arial" w:hAnsi="Arial"/>
                <w:sz w:val="18"/>
                <w:szCs w:val="18"/>
                <w:color w:val="auto"/>
              </w:rPr>
              <w:t>3 months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0.034</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0.065</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0.104</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0.150</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0.197</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0.243</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0.286</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0.326</w:t>
            </w:r>
          </w:p>
        </w:tc>
        <w:tc>
          <w:tcPr>
            <w:tcW w:w="700" w:type="dxa"/>
            <w:vAlign w:val="bottom"/>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3"/>
        </w:trPr>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 months</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0.042</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0.115</w:t>
            </w: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0.179</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0.233</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0.281</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0.323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3"/>
        </w:trPr>
        <w:tc>
          <w:tcPr>
            <w:tcW w:w="19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6" w:name="page127"/>
    <w:bookmarkEnd w:id="126"/>
    <w:p>
      <w:pPr>
        <w:ind w:left="460" w:right="479"/>
        <w:spacing w:after="0" w:line="237" w:lineRule="auto"/>
        <w:rPr>
          <w:sz w:val="20"/>
          <w:szCs w:val="20"/>
          <w:color w:val="auto"/>
        </w:rPr>
      </w:pPr>
      <w:r>
        <w:rPr>
          <w:rFonts w:ascii="Arial" w:cs="Arial" w:eastAsia="Arial" w:hAnsi="Arial"/>
          <w:sz w:val="18"/>
          <w:szCs w:val="18"/>
          <w:color w:val="auto"/>
        </w:rPr>
        <w:t>The exact fair market value and redemption date may not be set forth in the table above, in which case, if the fair market value is between two values in the table or the redemption date is between two redemption dates in the table, the number of shares of Class A common stock to be issued for each warrant exercised will be determined by a straight-line interpolation between the number of shares set forth for the higher and lower fair market values and the earlier and later redemption dates, as applicable, based on a 365 or 366-day year, as applicable. For example, if the volume weighted average price of our Class A common stock during the 10 trading days immediately following the date on which the notice of redemption is sent to the holders of the warrants is $11.00 per share, and at such time there are 57 months until the expiration of the warrants, holders may choose to, in connection with this redemption feature, exercise their warrants for 0.277 Class A common stock for each whole warrant. For an example where the exact fair market value and redemption date are not as set forth in the table above, if the volume weighted average price of our Class common stock during the 10 trading days immediately following the date on which the notice of redemption is sent to the holders of the warrants is $13.50 per share, and at such time there are 38 months until the expiration of the warrants, holders may choose to, in connection with this redemption feature, exercise their warrants for 0.298 Class A common stock for each whole warrant. In no event will the warrants be exercisable on a cashless basis in connection with this redemption feature for more than 0.361 shares of Class A common stock per warrant (subject to adjustment). Finally, as reflected in the table above, if the warrants are out of the money and about to expire, they cannot be exercised on a cashless basis in connection with a redemption by us pursuant to this redemption feature, since they will not be exercisable for any shares of Class A common stock.</w:t>
      </w:r>
    </w:p>
    <w:p>
      <w:pPr>
        <w:spacing w:after="0" w:line="95" w:lineRule="exact"/>
        <w:rPr>
          <w:sz w:val="20"/>
          <w:szCs w:val="20"/>
          <w:color w:val="auto"/>
        </w:rPr>
      </w:pPr>
    </w:p>
    <w:p>
      <w:pPr>
        <w:ind w:left="460" w:right="459"/>
        <w:spacing w:after="0" w:line="251" w:lineRule="auto"/>
        <w:rPr>
          <w:sz w:val="20"/>
          <w:szCs w:val="20"/>
          <w:color w:val="auto"/>
        </w:rPr>
      </w:pPr>
      <w:r>
        <w:rPr>
          <w:rFonts w:ascii="Arial" w:cs="Arial" w:eastAsia="Arial" w:hAnsi="Arial"/>
          <w:sz w:val="17"/>
          <w:szCs w:val="17"/>
          <w:color w:val="auto"/>
        </w:rPr>
        <w:t>This redemption feature differs from the typical warrant redemption features used in other blank check offerings, which typically only provide for a redemption of warrants for cash (other than the private placement warrants) when the trading price for the Class A common stock exceeds $18.00 per share for a specified period of time. This redemption feature is structured to allow for all of the outstanding warrants to be redeemed when the Class A common stock are trading at or above $10.00 per share, which may be at a time when the trading price of our Class A common stock is below the exercise price of the warrants. We have established this redemption feature to provide us with the flexibility to redeem the warrants without the warrants having to reach the $18.00 per share threshold set forth above under “— Redemption of warrants when the price per share of Class A common stock equals or exceeds $18.00.” Holders choosing to exercise their warrants in connection with a redemption pursuant to this feature will, in effect, receive a number of shares for their warrants based on an option pricing model with a fixed volatility input as of the date of this prospectus. This redemption right provides us with an additional mechanism by which to redeem all of the outstanding warrants, and therefore have certainty as to our capital structure as the warrants would no longer be outstanding and would have been exercised or redeemed and we will be required to pay the redemption price to warrant holders if we choose to exercise this redemption right and it will allow us to quickly proceed with a redemption of the warrants if we determine it is in our best interest to do so. As such, we would redeem the warrants in this manner when we believe it is in our best interest to update our capital structure to remove the warrants and pay the redemption price to the warrant holders.</w:t>
      </w:r>
    </w:p>
    <w:p>
      <w:pPr>
        <w:spacing w:after="0" w:line="316" w:lineRule="exact"/>
        <w:rPr>
          <w:sz w:val="20"/>
          <w:szCs w:val="20"/>
          <w:color w:val="auto"/>
        </w:rPr>
      </w:pPr>
    </w:p>
    <w:p>
      <w:pPr>
        <w:ind w:left="460" w:right="559"/>
        <w:spacing w:after="0"/>
        <w:rPr>
          <w:sz w:val="20"/>
          <w:szCs w:val="20"/>
          <w:color w:val="auto"/>
        </w:rPr>
      </w:pPr>
      <w:r>
        <w:rPr>
          <w:rFonts w:ascii="Arial" w:cs="Arial" w:eastAsia="Arial" w:hAnsi="Arial"/>
          <w:sz w:val="18"/>
          <w:szCs w:val="18"/>
          <w:color w:val="auto"/>
        </w:rPr>
        <w:t>As stated above, we can redeem the warrants when the Class A common stock are trading at a price starting at $10.00, which is below the exercise price of $11.50, because it will provide certainty with respect to our capital structure and cash position while providing warrant holders with the opportunity to exercise their warrants on a cashless basis for the applicable number of shares. If we choose to redeem the warrants when the Class A common stock are trading at a price below the exercise price of the warrants, this could result in the warrant holders receiving fewer Class A common stock than they would have received if they had chosen to wait to exercise their warrants for Class A common stock if and when such Class A common stock were trading at a price higher than the exercise price of $11.50.</w:t>
      </w:r>
    </w:p>
    <w:p>
      <w:pPr>
        <w:spacing w:after="0" w:line="108" w:lineRule="exact"/>
        <w:rPr>
          <w:sz w:val="20"/>
          <w:szCs w:val="20"/>
          <w:color w:val="auto"/>
        </w:rPr>
      </w:pPr>
    </w:p>
    <w:p>
      <w:pPr>
        <w:ind w:left="460" w:right="539"/>
        <w:spacing w:after="0" w:line="245" w:lineRule="auto"/>
        <w:rPr>
          <w:sz w:val="20"/>
          <w:szCs w:val="20"/>
          <w:color w:val="auto"/>
        </w:rPr>
      </w:pPr>
      <w:r>
        <w:rPr>
          <w:rFonts w:ascii="Arial" w:cs="Arial" w:eastAsia="Arial" w:hAnsi="Arial"/>
          <w:sz w:val="18"/>
          <w:szCs w:val="18"/>
          <w:color w:val="auto"/>
        </w:rPr>
        <w:t>No fractional Class A common stock will be issued upon exercise. If, upon exercise, a holder would be entitled to receive a fractional interest in a share, we will round down to the nearest whole number of the number of Class A common stock to be issued to the holder. If, at the time of redemption, the warrants are exercisable for a security other than the shares of Class A common stock pursuant to the warrant agreement (for instance, if we are not the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7" w:name="page128"/>
    <w:bookmarkEnd w:id="127"/>
    <w:p>
      <w:pPr>
        <w:ind w:left="460" w:right="699"/>
        <w:spacing w:after="0" w:line="248" w:lineRule="auto"/>
        <w:rPr>
          <w:sz w:val="20"/>
          <w:szCs w:val="20"/>
          <w:color w:val="auto"/>
        </w:rPr>
      </w:pPr>
      <w:r>
        <w:rPr>
          <w:rFonts w:ascii="Arial" w:cs="Arial" w:eastAsia="Arial" w:hAnsi="Arial"/>
          <w:sz w:val="18"/>
          <w:szCs w:val="18"/>
          <w:color w:val="auto"/>
        </w:rPr>
        <w:t>surviving company in our initial business combination), the warrants may be exercised for such security. At such time as the warrants become exercisable for a security other than the Class A common stock, the Company (or surviving company) will use its commercially reasonable efforts to register under the Securities Act the security issuable upon exercise of the warrants.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Redemption procedures</w:t>
      </w:r>
    </w:p>
    <w:p>
      <w:pPr>
        <w:spacing w:after="0" w:line="131" w:lineRule="exact"/>
        <w:rPr>
          <w:sz w:val="20"/>
          <w:szCs w:val="20"/>
          <w:color w:val="auto"/>
        </w:rPr>
      </w:pPr>
    </w:p>
    <w:p>
      <w:pPr>
        <w:ind w:left="460" w:right="599"/>
        <w:spacing w:after="0" w:line="245" w:lineRule="auto"/>
        <w:rPr>
          <w:sz w:val="20"/>
          <w:szCs w:val="20"/>
          <w:color w:val="auto"/>
        </w:rPr>
      </w:pPr>
      <w:r>
        <w:rPr>
          <w:rFonts w:ascii="Arial" w:cs="Arial" w:eastAsia="Arial" w:hAnsi="Arial"/>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Class A common stock outstanding immediately after giving effect to such exercise.</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Anti-Dilution Adjustments</w:t>
      </w:r>
    </w:p>
    <w:p>
      <w:pPr>
        <w:spacing w:after="0" w:line="144"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If the number of outstanding shares of Class A common stock is increased by a capitalization or share dividend payable in Class A common stock, or by a split-up of common stock or other similar event, then, on the effective date of such capitalization or share dividend, split-up or similar event, the number of shares of Class A common stock issuable on exercise of each warrant will be increased in proportion to such increase in the outstanding ordinary stock. A rights offering made to all or substantially all holders of common stock entitling holders to purchase Class A common stock at a price less than the “historical fair market value” (as defined below) will be deemed a share dividend of a number of shares of Class A common stock equal to the product of (i) the number of shares of Class A common stock actually sold in such rights offering (or issuable under any other equity securities sold in such rights offering that are convertible into or exercisable for Class A common stock) and (ii) one minus the quotient of (x) the price per share of Class A common stock paid in such rights offering and (y) the historical fair market value. For these purposes, (i) if the rights offering is for securities convertible into or exercisable for Class A common stock, in determining the price payable for Class A common stock, there will be taken into account any consideration received for such rights, as well as any additional amount payable upon exercise or conversion and (ii) “historical fair market value” means the volume weighted average price of Class A Common stock as reported during the 10 trading day period ending on the trading day prior to the first date on which the Class A common stock trade on the applicable exchange or in the applicable market, regular way, without the right to receive such rights.</w:t>
      </w:r>
    </w:p>
    <w:p>
      <w:pPr>
        <w:spacing w:after="0" w:line="112"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In addition, if we, at any time while the warrants are outstanding and unexpired, pay a dividend or make a distribution in cash, securities or other assets to all or substantially all of the holders of the Class A common stock on account of such Class A common stock (or other securities into which the warrants are convertible), other than (a) as described above, (b) any cash dividends or cash distributions which, when combined on a per share basis with all other cash dividends and cash distributions paid on the Class A common stock during the 365-day period ending on the date of declaration of such dividend or distribution does not exceed $0.50 (as adjusted to appropriately reflect any other adjustments and excluding cash dividends or cash distributions that resulted in an adjustment to the exercise price or to the number of shares of Class A common stock issuable on exercise of each warrant) but only with respect to the amount of the aggregate cash dividends or cash distributions equal to or less than $0.50 per share, (c) to satisfy the redemption rights of the holders of Class A common stock in connection with a proposed initial business combination, (d) to satisfy the redemption rights of the holders of Class A common stock in connection with a shareholder vote to amend our amended and restated certificate of incorporation (A) to modify the substance or timing of our obligation to provide holders of our Class A common stock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common stock, or (e)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111" w:lineRule="exact"/>
        <w:rPr>
          <w:sz w:val="20"/>
          <w:szCs w:val="20"/>
          <w:color w:val="auto"/>
        </w:rPr>
      </w:pPr>
    </w:p>
    <w:p>
      <w:pPr>
        <w:ind w:left="460" w:right="639"/>
        <w:spacing w:after="0" w:line="263" w:lineRule="auto"/>
        <w:rPr>
          <w:sz w:val="20"/>
          <w:szCs w:val="20"/>
          <w:color w:val="auto"/>
        </w:rPr>
      </w:pPr>
      <w:r>
        <w:rPr>
          <w:rFonts w:ascii="Arial" w:cs="Arial" w:eastAsia="Arial" w:hAnsi="Arial"/>
          <w:sz w:val="17"/>
          <w:szCs w:val="17"/>
          <w:color w:val="auto"/>
        </w:rPr>
        <w:t>If the number of outstanding shares of Class A common stock is decreased by a consolidation, combination, reverse share split or reclassification of Class A common stock or other similar event, then, on the effective date of such consolidation, combination, reverse share split, reclassification or similar event, the number of shares of Class A common stock issuable on exercise of each warrant will be decreased in proportion to such decrease in outstanding shares of Class A common stock.</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8" w:name="page129"/>
    <w:bookmarkEnd w:id="128"/>
    <w:p>
      <w:pPr>
        <w:ind w:left="460" w:right="519"/>
        <w:spacing w:after="0" w:line="243" w:lineRule="auto"/>
        <w:rPr>
          <w:sz w:val="20"/>
          <w:szCs w:val="20"/>
          <w:color w:val="auto"/>
        </w:rPr>
      </w:pPr>
      <w:r>
        <w:rPr>
          <w:rFonts w:ascii="Arial" w:cs="Arial" w:eastAsia="Arial" w:hAnsi="Arial"/>
          <w:sz w:val="18"/>
          <w:szCs w:val="18"/>
          <w:color w:val="auto"/>
        </w:rPr>
        <w:t>Whenever the number of shares of Class A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warrants immediately prior to such adjustment and (y) the denominator of which will be the number of shares of Class A common stock so purchasable immediately thereafter.</w:t>
      </w:r>
    </w:p>
    <w:p>
      <w:pPr>
        <w:spacing w:after="0" w:line="93"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In addition, if (x) we issue additional shares of Class A common stock or equity-linked securities for capital raising purposes in connection with the closing of our initial business combination (excluding any issuance of forward purchase shares) at an issue price or effective issue price of less than $9.20 per share (with such issue price or effective issue price to be determined in good faith by our board of directors and, in the case of any such issuance to our sponsor or its affiliates, without taking into account any founder shares held by our sponsor or such affiliates, as applicable, prior to such issuance) (the “Newly Issued Price”),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volume weighted average trading price of our Class A common stock during the 20 trading day period starting on the trading day prior to the day on which we consummate our initial business combination (such price, the “Market Value”) is below $9.20 per share, the exercise price of the warrants will be adjusted (to the nearest cent) to be equal to 115% of the higher of the Market Value and the Newly Issued Price, the $18.00 per share redemption trigger price described above under “— Redemption of warrants when the price per share of Class A common stock equals or exceeds $18.00” will be adjusted (to the nearest cent) to be equal to 180% of the higher of the Market Value and the Newly Issued Price, and the $10.00 per share redemption trigger price described above under “— Redemption of warrants when the price per share of Class A common stock equals or exceeds $10.00” will be adjusted (to the nearest cent) to be equal to the higher of the Market Value and the Newly Issued Price.</w:t>
      </w:r>
    </w:p>
    <w:p>
      <w:pPr>
        <w:spacing w:after="0" w:line="111"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In case of any reclassification or reorganization of the outstanding Class A common stock (other than those described above or that solely affects the par value of such Class A common stock), or in the case of any merger or consolidation of us with or into another corporation (other than a consolidation or merger in which we are the continuing corporation and that does not result in any reclassification or reorganization of our outstanding Class A common stock),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Class A common stock immediately theretofore purchasable and receivable upon the exercise of the rights represented thereby, the kind and amount of shares of Class A common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Class A common stock in such a transaction is payable in the form of Class A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Warrant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124" w:lineRule="exact"/>
        <w:rPr>
          <w:sz w:val="20"/>
          <w:szCs w:val="20"/>
          <w:color w:val="auto"/>
        </w:rPr>
      </w:pPr>
    </w:p>
    <w:p>
      <w:pPr>
        <w:ind w:left="460" w:right="499"/>
        <w:spacing w:after="0"/>
        <w:rPr>
          <w:sz w:val="20"/>
          <w:szCs w:val="20"/>
          <w:color w:val="auto"/>
        </w:rPr>
      </w:pPr>
      <w:r>
        <w:rPr>
          <w:rFonts w:ascii="Arial" w:cs="Arial" w:eastAsia="Arial" w:hAnsi="Arial"/>
          <w:sz w:val="18"/>
          <w:szCs w:val="18"/>
          <w:color w:val="auto"/>
        </w:rPr>
        <w:t>The warrants will be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and that all other modifications or amendments will require the vote or written consent of the holders of at least 50% of the then outstanding public warrants, and, solely with respect to any amendment to the terms of the private placement warrants, a majority of the then outstanding private placement warrants. You should review a copy of the warrant agreement, which will be filed as an exhibit to the registration statement of which this prospectus is a part, for a complete description of the terms and conditions applicable to the warrants.</w:t>
      </w:r>
    </w:p>
    <w:p>
      <w:pPr>
        <w:spacing w:after="0" w:line="95" w:lineRule="exact"/>
        <w:rPr>
          <w:sz w:val="20"/>
          <w:szCs w:val="20"/>
          <w:color w:val="auto"/>
        </w:rPr>
      </w:pPr>
    </w:p>
    <w:p>
      <w:pPr>
        <w:ind w:left="460" w:right="619"/>
        <w:spacing w:after="0" w:line="248" w:lineRule="auto"/>
        <w:rPr>
          <w:sz w:val="20"/>
          <w:szCs w:val="20"/>
          <w:color w:val="auto"/>
        </w:rPr>
      </w:pPr>
      <w:r>
        <w:rPr>
          <w:rFonts w:ascii="Arial" w:cs="Arial" w:eastAsia="Arial" w:hAnsi="Arial"/>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w:t>
      </w:r>
    </w:p>
    <w:p>
      <w:pPr>
        <w:sectPr>
          <w:pgSz w:w="11900" w:h="16838" w:orient="portrait"/>
          <w:cols w:equalWidth="0" w:num="1">
            <w:col w:w="9019"/>
          </w:cols>
          <w:pgMar w:left="1440" w:top="265"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19050</wp:posOffset>
            </wp:positionV>
            <wp:extent cx="51435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29" w:name="page130"/>
    <w:bookmarkEnd w:id="129"/>
    <w:p>
      <w:pPr>
        <w:ind w:left="460" w:right="499"/>
        <w:spacing w:after="0" w:line="245" w:lineRule="auto"/>
        <w:rPr>
          <w:sz w:val="20"/>
          <w:szCs w:val="20"/>
          <w:color w:val="auto"/>
        </w:rPr>
      </w:pPr>
      <w:r>
        <w:rPr>
          <w:rFonts w:ascii="Arial" w:cs="Arial" w:eastAsia="Arial" w:hAnsi="Arial"/>
          <w:sz w:val="18"/>
          <w:szCs w:val="18"/>
          <w:color w:val="auto"/>
        </w:rPr>
        <w:t>certified or official bank check payable to us, for the number of warrants being exercised. The warrant holders do not have the rights or privileges of holders of common stock and any voting rights until they exercise their warrants and receive Class A common stock. After the issuance of Class A common stock upon exercise of the warrants, each holder will be entitled to one vote for each share held of record on all matters to be voted on by stockholders.</w:t>
      </w:r>
    </w:p>
    <w:p>
      <w:pPr>
        <w:spacing w:after="0" w:line="91" w:lineRule="exact"/>
        <w:rPr>
          <w:sz w:val="20"/>
          <w:szCs w:val="20"/>
          <w:color w:val="auto"/>
        </w:rPr>
      </w:pPr>
    </w:p>
    <w:p>
      <w:pPr>
        <w:ind w:left="460" w:right="539"/>
        <w:spacing w:after="0" w:line="248" w:lineRule="auto"/>
        <w:rPr>
          <w:sz w:val="20"/>
          <w:szCs w:val="20"/>
          <w:color w:val="auto"/>
        </w:rPr>
      </w:pPr>
      <w:r>
        <w:rPr>
          <w:rFonts w:ascii="Arial" w:cs="Arial" w:eastAsia="Arial" w:hAnsi="Arial"/>
          <w:sz w:val="18"/>
          <w:szCs w:val="18"/>
          <w:color w:val="auto"/>
        </w:rPr>
        <w:t>No fractional shares will be issued upon exercise of the warrants. If, upon exercise of the warrants, a holder would be entitled to receive a fractional interest in a share, we will, upon exercise, round down to the nearest whole number the number of shares of Class A common stock to be issued to the warrant holder.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44"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Except as described below, the private placement warrants have terms and provisions that are identical to those of the warrants being sold as part of the units in this offering. The private placement warrants (including the Class A common stock issuable upon exercise of the private placement warrants) will not be transferable, assignable or salable until 30 days after the completion of our initial business combination (except pursuant to limited exceptions as described under “Principal Shareholders — Transfers of Founder Shares, Private Placement Warrants and Forward Purchase Shares,” to our officers and directors and other persons or entities affiliated with the initial purchasers of the private placement warrants) and they will not be redeemable by us so long as they are held by the initial purchasers of the private placement warrants or their permitted transferees (except as otherwise set forth herein). The initial purchasers of the private placement warrants, or their permitted transferees, have the option to exercise the private placement warrants on a cashless basis. If the private placement warrants are held by holders other than initial purchasers of the private placement warrants or their permitted transferees, the private placement warrants will be redeemable by us in all redemption scenarios and exercisable by the holders on the same basis as the warrants included in the units being sold in this offering.</w:t>
      </w:r>
    </w:p>
    <w:p>
      <w:pPr>
        <w:spacing w:after="0" w:line="120"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If holders of the private placement warrants elect to exercise them on a cashless basis, they would pay the exercise price by surrendering his, her or its warrants for that number of shares of Class A common stock equal to the quotient obtained by dividing (x) the product of the number of shares of Class A common stock underlying the warrants, multiplied by the excess of the “Purchaser fair market value” (defined below) over the exercise price of the warrants by (y) the Purchaser fair market value. For these purposes, the “Purchaser fair market value” shall mean the average reported closing price of the Class A common stock for the 10 trading days ending on the third trading day prior to the date on which the notice of warrant exercise is sent to the warrant agent. The reason that we have agreed that these warrants will be exercisable on a cashless basis so long as they are held by the initial purchasers and their permitted transferees is because it is not known at this time whether they will be affiliated with us following a business combination. If they remain affiliated with us, their ability to sell our securities in the open market will be significantly limited. We expect to have policies in place that restrict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shareholders who could exercise their warrants and sell the Class A common stock received upon such exercise freely in the open market in order to recoup the cost of such exercise, the insiders could be significantly restricted from selling such securities. As a result, we believe that allowing the holders to exercise such warrants on a cashless basis is appropriate.</w:t>
      </w:r>
    </w:p>
    <w:p>
      <w:pPr>
        <w:spacing w:after="0" w:line="99" w:lineRule="exact"/>
        <w:rPr>
          <w:sz w:val="20"/>
          <w:szCs w:val="20"/>
          <w:color w:val="auto"/>
        </w:rPr>
      </w:pPr>
    </w:p>
    <w:p>
      <w:pPr>
        <w:ind w:left="460" w:right="559"/>
        <w:spacing w:after="0" w:line="243" w:lineRule="auto"/>
        <w:rPr>
          <w:sz w:val="20"/>
          <w:szCs w:val="20"/>
          <w:color w:val="auto"/>
        </w:rPr>
      </w:pPr>
      <w:r>
        <w:rPr>
          <w:rFonts w:ascii="Arial" w:cs="Arial" w:eastAsia="Arial" w:hAnsi="Arial"/>
          <w:sz w:val="18"/>
          <w:szCs w:val="18"/>
          <w:color w:val="auto"/>
        </w:rPr>
        <w:t>In order to fund working capital deficiencies or finance transaction costs in connection with an intended initial business combination, our sponsor or an affiliate of our sponsor or certain of our officers and directors may, but are not obligated to, loan us funds as may be required. Up to $ 1,500,000 of such loans may be convertible into warrants of the post business combination entity at a price of $1.50 per warrant at the option of the lender. Such warrants would be identical to the private placement warrants.</w:t>
      </w:r>
    </w:p>
    <w:p>
      <w:pPr>
        <w:spacing w:after="0" w:line="106" w:lineRule="exact"/>
        <w:rPr>
          <w:sz w:val="20"/>
          <w:szCs w:val="20"/>
          <w:color w:val="auto"/>
        </w:rPr>
      </w:pPr>
    </w:p>
    <w:p>
      <w:pPr>
        <w:ind w:left="460" w:right="599"/>
        <w:spacing w:after="0" w:line="243" w:lineRule="auto"/>
        <w:rPr>
          <w:sz w:val="20"/>
          <w:szCs w:val="20"/>
          <w:color w:val="auto"/>
        </w:rPr>
      </w:pPr>
      <w:r>
        <w:rPr>
          <w:rFonts w:ascii="Arial" w:cs="Arial" w:eastAsia="Arial" w:hAnsi="Arial"/>
          <w:sz w:val="18"/>
          <w:szCs w:val="18"/>
          <w:color w:val="auto"/>
        </w:rPr>
        <w:t>Our initial stockholders have agreed not to transfer, assign or sell any of the private placement warrants (including the Class A common stock issuable upon exercise of any of these warrants) until the date that is 30 days after the date we complete our initial business combination, except that, among other limited exceptions as described under “Principal Stockholders — Transfers of Founder Shares, Private Placement Warrants and Forward Purchase Shares,” transfers can be made to our officers and directors and other persons or entities affiliated with the sponsor.</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0" w:name="page131"/>
    <w:bookmarkEnd w:id="130"/>
    <w:p>
      <w:pPr>
        <w:ind w:left="460"/>
        <w:spacing w:after="0"/>
        <w:rPr>
          <w:sz w:val="20"/>
          <w:szCs w:val="20"/>
          <w:color w:val="auto"/>
        </w:rPr>
      </w:pPr>
      <w:r>
        <w:rPr>
          <w:rFonts w:ascii="Arial" w:cs="Arial" w:eastAsia="Arial" w:hAnsi="Arial"/>
          <w:sz w:val="18"/>
          <w:szCs w:val="18"/>
          <w:b w:val="1"/>
          <w:bCs w:val="1"/>
          <w:color w:val="auto"/>
        </w:rPr>
        <w:t>Dividends</w:t>
      </w:r>
    </w:p>
    <w:p>
      <w:pPr>
        <w:spacing w:after="0" w:line="146" w:lineRule="exact"/>
        <w:rPr>
          <w:sz w:val="20"/>
          <w:szCs w:val="20"/>
          <w:color w:val="auto"/>
        </w:rPr>
      </w:pPr>
    </w:p>
    <w:p>
      <w:pPr>
        <w:ind w:left="460" w:right="559"/>
        <w:spacing w:after="0" w:line="241" w:lineRule="auto"/>
        <w:rPr>
          <w:sz w:val="20"/>
          <w:szCs w:val="20"/>
          <w:color w:val="auto"/>
        </w:rPr>
      </w:pPr>
      <w:r>
        <w:rPr>
          <w:rFonts w:ascii="Arial" w:cs="Arial" w:eastAsia="Arial" w:hAnsi="Arial"/>
          <w:sz w:val="18"/>
          <w:szCs w:val="18"/>
          <w:color w:val="auto"/>
        </w:rPr>
        <w:t>We have not paid any cash dividends on our common stock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cash dividends subsequent to a business combination will be within the discretion of our board of directors at such time. If we incur any indebtedness, our ability to declare dividends may be limited by restrictive covenants we may agree to in connection therewith.</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Transfer Agent and Warrant Agent</w:t>
      </w:r>
    </w:p>
    <w:p>
      <w:pPr>
        <w:spacing w:after="0" w:line="133" w:lineRule="exact"/>
        <w:rPr>
          <w:sz w:val="20"/>
          <w:szCs w:val="20"/>
          <w:color w:val="auto"/>
        </w:rPr>
      </w:pPr>
    </w:p>
    <w:p>
      <w:pPr>
        <w:ind w:left="460" w:right="519"/>
        <w:spacing w:after="0" w:line="238" w:lineRule="auto"/>
        <w:rPr>
          <w:sz w:val="20"/>
          <w:szCs w:val="20"/>
          <w:color w:val="auto"/>
        </w:rPr>
      </w:pPr>
      <w:r>
        <w:rPr>
          <w:rFonts w:ascii="Arial" w:cs="Arial" w:eastAsia="Arial" w:hAnsi="Arial"/>
          <w:sz w:val="18"/>
          <w:szCs w:val="18"/>
          <w:color w:val="auto"/>
        </w:rPr>
        <w:t>The transfer agent for our common stock and warrant agent for our warrants is Continental Stock Transfer &amp; Trust Company. We have agreed to indemnify Continental Stock Transfer &amp; Trust Company in its roles as transfer agent and warrant agent, its agents and each of its stockholders, directors, officers and employees against all claims and losses that may arise out of acts performed or omitted for its activities in that capacity, except for any liability due to any gross negligence or intentional misconduct of the indemnified person or entity. Continental Stock Transfer &amp; Trust Company has agreed that it has no right of set-off or any right, title, interest or claim of any kind to, or to any monies in, the trust account, and has irrevocably waived any right, title, interest or claim of any kind to, or to any monies in, the trust account that it may have now or in the future. Accordingly, any indemnification provided will only be able to be satisfied, or a claim will only be able to be pursued, solely against us and our assets outside the trust account and not against the any monies in the trust account or interest earned thereon.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146" w:lineRule="exact"/>
        <w:rPr>
          <w:sz w:val="20"/>
          <w:szCs w:val="20"/>
          <w:color w:val="auto"/>
        </w:rPr>
      </w:pPr>
    </w:p>
    <w:p>
      <w:pPr>
        <w:ind w:left="460" w:right="599"/>
        <w:spacing w:after="0"/>
        <w:rPr>
          <w:sz w:val="20"/>
          <w:szCs w:val="20"/>
          <w:color w:val="auto"/>
        </w:rPr>
      </w:pPr>
      <w:r>
        <w:rPr>
          <w:rFonts w:ascii="Arial" w:cs="Arial" w:eastAsia="Arial" w:hAnsi="Arial"/>
          <w:sz w:val="18"/>
          <w:szCs w:val="18"/>
          <w:color w:val="auto"/>
        </w:rPr>
        <w:t>Our amended and restated certificate of incorporation contains certain requirements and restrictions relating to this offering that will apply to us until the completion of our initial business combination. These provisions cannot be amended without the approval of the holders of 65% of our common stock. Our initial stockholders, who will collectively beneficially own 20% of our common stock upon the closing of this offering (assuming they do not purchase any units in this offering), may participate in any vote to amend our amended and restated certificate of incorporation and will have the discretion to vote in any manner they choose. Specifically, our amended and restated certificate of incorporation provides, among other things, that:</w:t>
      </w:r>
    </w:p>
    <w:p>
      <w:pPr>
        <w:spacing w:after="0" w:line="5" w:lineRule="exact"/>
        <w:rPr>
          <w:sz w:val="20"/>
          <w:szCs w:val="20"/>
          <w:color w:val="auto"/>
        </w:rPr>
      </w:pPr>
    </w:p>
    <w:p>
      <w:pPr>
        <w:ind w:left="1100" w:right="699" w:hanging="322"/>
        <w:spacing w:after="0" w:line="262" w:lineRule="auto"/>
        <w:tabs>
          <w:tab w:leader="none" w:pos="1089" w:val="left"/>
        </w:tabs>
        <w:numPr>
          <w:ilvl w:val="0"/>
          <w:numId w:val="65"/>
        </w:numPr>
        <w:rPr>
          <w:rFonts w:ascii="Arial" w:cs="Arial" w:eastAsia="Arial" w:hAnsi="Arial"/>
          <w:sz w:val="17"/>
          <w:szCs w:val="17"/>
          <w:color w:val="auto"/>
        </w:rPr>
      </w:pPr>
      <w:r>
        <w:rPr>
          <w:rFonts w:ascii="Arial" w:cs="Arial" w:eastAsia="Arial" w:hAnsi="Arial"/>
          <w:sz w:val="17"/>
          <w:szCs w:val="17"/>
          <w:color w:val="auto"/>
        </w:rPr>
        <w:t>If we are unable to complete our initial business combination within 24 months from the closing of this offering, we will (i) cease all operations except for the purpose of winding up,</w:t>
      </w:r>
    </w:p>
    <w:p>
      <w:pPr>
        <w:ind w:left="1100" w:right="479" w:firstLine="2"/>
        <w:spacing w:after="0" w:line="236" w:lineRule="auto"/>
        <w:tabs>
          <w:tab w:leader="none" w:pos="135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as promptly as reasonably possible but no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our board of directors, liquidate and dissolve, subject in each case to our obligations under Delaware law to provide for claims of creditors and in all cases subject to the requirements of other applicable law;</w:t>
      </w:r>
    </w:p>
    <w:p>
      <w:pPr>
        <w:spacing w:after="0" w:line="6" w:lineRule="exact"/>
        <w:rPr>
          <w:rFonts w:ascii="Arial" w:cs="Arial" w:eastAsia="Arial" w:hAnsi="Arial"/>
          <w:sz w:val="18"/>
          <w:szCs w:val="18"/>
          <w:color w:val="auto"/>
        </w:rPr>
      </w:pPr>
    </w:p>
    <w:p>
      <w:pPr>
        <w:ind w:left="1100" w:right="499" w:hanging="322"/>
        <w:spacing w:after="0" w:line="250" w:lineRule="auto"/>
        <w:tabs>
          <w:tab w:leader="none" w:pos="1089" w:val="left"/>
        </w:tabs>
        <w:numPr>
          <w:ilvl w:val="0"/>
          <w:numId w:val="65"/>
        </w:numPr>
        <w:rPr>
          <w:rFonts w:ascii="Arial" w:cs="Arial" w:eastAsia="Arial" w:hAnsi="Arial"/>
          <w:sz w:val="17"/>
          <w:szCs w:val="17"/>
          <w:color w:val="auto"/>
        </w:rPr>
      </w:pPr>
      <w:r>
        <w:rPr>
          <w:rFonts w:ascii="Arial" w:cs="Arial" w:eastAsia="Arial" w:hAnsi="Arial"/>
          <w:sz w:val="17"/>
          <w:szCs w:val="17"/>
          <w:color w:val="auto"/>
        </w:rPr>
        <w:t>Prior to our initial business combination, we may not issue additional securities that would entitle the holders thereof to (i) receive funds from the trust account or (ii) vote as a class with our public shares (a) on our initial business combination or (b) to approve an amendment to our amended and restated certificate of incorporation to (x) extend the time we have to consummate a business combination beyond 24 months from the closing of this offering or</w:t>
      </w:r>
    </w:p>
    <w:p>
      <w:pPr>
        <w:spacing w:after="0" w:line="3" w:lineRule="exact"/>
        <w:rPr>
          <w:rFonts w:ascii="Arial" w:cs="Arial" w:eastAsia="Arial" w:hAnsi="Arial"/>
          <w:sz w:val="17"/>
          <w:szCs w:val="17"/>
          <w:color w:val="auto"/>
        </w:rPr>
      </w:pPr>
    </w:p>
    <w:p>
      <w:pPr>
        <w:ind w:left="1360" w:hanging="258"/>
        <w:spacing w:after="0"/>
        <w:tabs>
          <w:tab w:leader="none" w:pos="13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amend the foregoing provisions;</w:t>
      </w:r>
    </w:p>
    <w:p>
      <w:pPr>
        <w:spacing w:after="0" w:line="14" w:lineRule="exact"/>
        <w:rPr>
          <w:rFonts w:ascii="Arial" w:cs="Arial" w:eastAsia="Arial" w:hAnsi="Arial"/>
          <w:sz w:val="18"/>
          <w:szCs w:val="18"/>
          <w:color w:val="auto"/>
        </w:rPr>
      </w:pPr>
    </w:p>
    <w:p>
      <w:pPr>
        <w:ind w:left="1100" w:right="519" w:hanging="322"/>
        <w:spacing w:after="0"/>
        <w:tabs>
          <w:tab w:leader="none" w:pos="1089"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are not prohibited from entering into a business combination with a target business that is affiliated with our sponsor, our directors or our executive officers. In the event we enter into such a transaction, we, or a committee of independent directors, will obtain an opinion from an independent investment banking firm which is a member of FINRA or a valuation or appraisal firm that such a business combination is fair to our company from a financial point of view. A target will not be deemed an affiliate solely by virtue of ownership by our sponsor or its affiliates, or any of their or our executive officers or directors, of less than 10% of its common stock, individually or in the aggregate;</w:t>
      </w:r>
    </w:p>
    <w:p>
      <w:pPr>
        <w:spacing w:after="0" w:line="4" w:lineRule="exact"/>
        <w:rPr>
          <w:rFonts w:ascii="Arial" w:cs="Arial" w:eastAsia="Arial" w:hAnsi="Arial"/>
          <w:sz w:val="18"/>
          <w:szCs w:val="18"/>
          <w:color w:val="auto"/>
        </w:rPr>
      </w:pPr>
    </w:p>
    <w:p>
      <w:pPr>
        <w:jc w:val="both"/>
        <w:ind w:left="1100" w:right="579" w:hanging="322"/>
        <w:spacing w:after="0" w:line="255" w:lineRule="auto"/>
        <w:tabs>
          <w:tab w:leader="none" w:pos="1089"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a stockholder vote on our initial business combination is not required by law and we do not decide to hold a stockholder vote for business or other legal reasons, we will offer to redeem our public shares pursuant</w:t>
      </w:r>
    </w:p>
    <w:p>
      <w:pPr>
        <w:sectPr>
          <w:pgSz w:w="11900" w:h="16838" w:orient="portrait"/>
          <w:cols w:equalWidth="0" w:num="1">
            <w:col w:w="9019"/>
          </w:cols>
          <w:pgMar w:left="1440" w:top="331" w:right="1440" w:bottom="1440" w:gutter="0" w:footer="0" w:header="0"/>
        </w:sectPr>
      </w:pP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19050</wp:posOffset>
            </wp:positionV>
            <wp:extent cx="51435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type w:val="continuous"/>
        </w:sectPr>
      </w:pPr>
    </w:p>
    <w:bookmarkStart w:id="131" w:name="page132"/>
    <w:bookmarkEnd w:id="131"/>
    <w:p>
      <w:pPr>
        <w:ind w:left="1100" w:right="519"/>
        <w:spacing w:after="0" w:line="241" w:lineRule="auto"/>
        <w:rPr>
          <w:sz w:val="20"/>
          <w:szCs w:val="20"/>
          <w:color w:val="auto"/>
        </w:rPr>
      </w:pPr>
      <w:r>
        <w:rPr>
          <w:rFonts w:ascii="Arial" w:cs="Arial" w:eastAsia="Arial" w:hAnsi="Arial"/>
          <w:sz w:val="18"/>
          <w:szCs w:val="18"/>
          <w:color w:val="auto"/>
        </w:rPr>
        <w:t>to Rule 13e-4 and Regulation 14E of the Exchange Act, and will 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 Whether or not we maintain our registration under the Exchange Act or our listing on Nasdaq, we will provide our public stockholders with the opportunity to redeem their public shares by one of the two methods listed above;</w:t>
      </w:r>
    </w:p>
    <w:p>
      <w:pPr>
        <w:spacing w:after="0" w:line="3" w:lineRule="exact"/>
        <w:rPr>
          <w:sz w:val="20"/>
          <w:szCs w:val="20"/>
          <w:color w:val="auto"/>
        </w:rPr>
      </w:pPr>
    </w:p>
    <w:p>
      <w:pPr>
        <w:ind w:left="1100" w:right="459" w:hanging="322"/>
        <w:spacing w:after="0"/>
        <w:tabs>
          <w:tab w:leader="none" w:pos="1089" w:val="left"/>
        </w:tabs>
        <w:numPr>
          <w:ilvl w:val="0"/>
          <w:numId w:val="67"/>
        </w:numPr>
        <w:rPr>
          <w:rFonts w:ascii="Arial" w:cs="Arial" w:eastAsia="Arial" w:hAnsi="Arial"/>
          <w:sz w:val="18"/>
          <w:szCs w:val="18"/>
          <w:color w:val="auto"/>
        </w:rPr>
      </w:pPr>
      <w:r>
        <w:rPr>
          <w:rFonts w:ascii="Arial" w:cs="Arial" w:eastAsia="Arial" w:hAnsi="Arial"/>
          <w:sz w:val="18"/>
          <w:szCs w:val="18"/>
          <w:color w:val="auto"/>
        </w:rPr>
        <w:t>So long as we obtain and maintain a listing for our securities on Nasdaq, 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our initial business combination;</w:t>
      </w:r>
    </w:p>
    <w:p>
      <w:pPr>
        <w:ind w:left="1100" w:right="739" w:hanging="322"/>
        <w:spacing w:after="0" w:line="239" w:lineRule="auto"/>
        <w:tabs>
          <w:tab w:leader="none" w:pos="1089"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our stockholders approve an amendment to our amended and restated certificate of incorporation to modify the substance or timing of our obligation to redeem 100% of our public shares if we do not complete our initial business combination within 24 months from the closing of this offering, or with respect to any other material provisions relating to stockholders’ rights or pre-initial business combination activity, we will provide our public stockholders with the opportunity to redeem all or a portion of their Class A common stock upon such approval at a per-share price, payable in cash, equal to the aggregate amount then on deposit in the trust account, including interest earned on the funds held in the trust account and not previously released to us to pay our taxes, divided by the number of then outstanding public shares, subject to the limitations described herein; and</w:t>
      </w:r>
    </w:p>
    <w:p>
      <w:pPr>
        <w:spacing w:after="0" w:line="4" w:lineRule="exact"/>
        <w:rPr>
          <w:rFonts w:ascii="Arial" w:cs="Arial" w:eastAsia="Arial" w:hAnsi="Arial"/>
          <w:sz w:val="18"/>
          <w:szCs w:val="18"/>
          <w:color w:val="auto"/>
        </w:rPr>
      </w:pPr>
    </w:p>
    <w:p>
      <w:pPr>
        <w:ind w:left="1100" w:right="499" w:hanging="322"/>
        <w:spacing w:after="0" w:line="276" w:lineRule="auto"/>
        <w:tabs>
          <w:tab w:leader="none" w:pos="1089"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will not effectuate our initial business combination with another blank check company or a similar company with nominal operations.</w:t>
      </w:r>
    </w:p>
    <w:p>
      <w:pPr>
        <w:spacing w:after="0" w:line="64" w:lineRule="exact"/>
        <w:rPr>
          <w:sz w:val="20"/>
          <w:szCs w:val="20"/>
          <w:color w:val="auto"/>
        </w:rPr>
      </w:pPr>
    </w:p>
    <w:p>
      <w:pPr>
        <w:ind w:left="460" w:right="979"/>
        <w:spacing w:after="0" w:line="255" w:lineRule="auto"/>
        <w:rPr>
          <w:sz w:val="20"/>
          <w:szCs w:val="20"/>
          <w:color w:val="auto"/>
        </w:rPr>
      </w:pPr>
      <w:r>
        <w:rPr>
          <w:rFonts w:ascii="Arial" w:cs="Arial" w:eastAsia="Arial" w:hAnsi="Arial"/>
          <w:sz w:val="18"/>
          <w:szCs w:val="18"/>
          <w:color w:val="auto"/>
        </w:rPr>
        <w:t>In addition, our amended and restated certificate of incorporation provides that under no circumstances will we redeem our public shares in an amount that would cause our net tangible assets to be less than $5,000,001.</w:t>
      </w:r>
    </w:p>
    <w:p>
      <w:pPr>
        <w:spacing w:after="0" w:line="162" w:lineRule="exact"/>
        <w:rPr>
          <w:sz w:val="20"/>
          <w:szCs w:val="20"/>
          <w:color w:val="auto"/>
        </w:rPr>
      </w:pPr>
    </w:p>
    <w:p>
      <w:pPr>
        <w:ind w:left="460" w:right="599"/>
        <w:spacing w:after="0" w:line="287" w:lineRule="auto"/>
        <w:rPr>
          <w:sz w:val="20"/>
          <w:szCs w:val="20"/>
          <w:color w:val="auto"/>
        </w:rPr>
      </w:pPr>
      <w:r>
        <w:rPr>
          <w:rFonts w:ascii="Arial" w:cs="Arial" w:eastAsia="Arial" w:hAnsi="Arial"/>
          <w:sz w:val="18"/>
          <w:szCs w:val="18"/>
          <w:b w:val="1"/>
          <w:bCs w:val="1"/>
          <w:color w:val="auto"/>
        </w:rPr>
        <w:t>Certain Anti-Takeover Provisions of Delaware Law and our Amended and Restated Certificate of Incorporation and Bylaws</w:t>
      </w:r>
    </w:p>
    <w:p>
      <w:pPr>
        <w:spacing w:after="0" w:line="60" w:lineRule="exact"/>
        <w:rPr>
          <w:sz w:val="20"/>
          <w:szCs w:val="20"/>
          <w:color w:val="auto"/>
        </w:rPr>
      </w:pPr>
    </w:p>
    <w:p>
      <w:pPr>
        <w:ind w:left="460" w:right="519"/>
        <w:spacing w:after="0" w:line="246" w:lineRule="auto"/>
        <w:rPr>
          <w:sz w:val="20"/>
          <w:szCs w:val="20"/>
          <w:color w:val="auto"/>
        </w:rPr>
      </w:pPr>
      <w:r>
        <w:rPr>
          <w:rFonts w:ascii="Arial" w:cs="Arial" w:eastAsia="Arial" w:hAnsi="Arial"/>
          <w:sz w:val="18"/>
          <w:szCs w:val="18"/>
          <w:color w:val="auto"/>
        </w:rPr>
        <w:t>We have opted out of the provisions of Section 203 of the DGCL regulating corporate takeovers upon completion of this offering. However, our amended and restated certificate of incorporation contains similar provisions that will prevent us, under certain circumstances, from engaging in a “business combination” with:</w:t>
      </w:r>
    </w:p>
    <w:p>
      <w:pPr>
        <w:spacing w:after="0" w:line="2" w:lineRule="exact"/>
        <w:rPr>
          <w:sz w:val="20"/>
          <w:szCs w:val="20"/>
          <w:color w:val="auto"/>
        </w:rPr>
      </w:pPr>
    </w:p>
    <w:p>
      <w:pPr>
        <w:ind w:left="1100" w:right="499" w:hanging="322"/>
        <w:spacing w:after="0" w:line="258" w:lineRule="auto"/>
        <w:tabs>
          <w:tab w:leader="none" w:pos="1089"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stockholder who owns 15% or more of our outstanding voting stock (otherwise known as an “interested stockholder”);</w:t>
      </w:r>
    </w:p>
    <w:p>
      <w:pPr>
        <w:ind w:left="1100" w:hanging="322"/>
        <w:spacing w:after="0"/>
        <w:tabs>
          <w:tab w:leader="none" w:pos="11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affiliate of an interested stockholder; or</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associate of an interested stockholder,</w:t>
      </w:r>
    </w:p>
    <w:p>
      <w:pPr>
        <w:spacing w:after="0" w:line="144" w:lineRule="exact"/>
        <w:rPr>
          <w:sz w:val="20"/>
          <w:szCs w:val="20"/>
          <w:color w:val="auto"/>
        </w:rPr>
      </w:pPr>
    </w:p>
    <w:p>
      <w:pPr>
        <w:ind w:left="460" w:right="599"/>
        <w:spacing w:after="0" w:line="248" w:lineRule="auto"/>
        <w:rPr>
          <w:sz w:val="20"/>
          <w:szCs w:val="20"/>
          <w:color w:val="auto"/>
        </w:rPr>
      </w:pPr>
      <w:r>
        <w:rPr>
          <w:rFonts w:ascii="Arial" w:cs="Arial" w:eastAsia="Arial" w:hAnsi="Arial"/>
          <w:sz w:val="18"/>
          <w:szCs w:val="18"/>
          <w:color w:val="auto"/>
        </w:rPr>
        <w:t>for three years following the date that the stockholder became an interested stockholder, provided that our sponsor and its affiliates, any of its respective direct or indirect transferees who hold at least 15% of our outstanding common stock after such transfer and any group as to which such persons are party to, do not constitute “interested stockholders” for purposes of this provision.</w:t>
      </w:r>
    </w:p>
    <w:p>
      <w:pPr>
        <w:spacing w:after="0" w:line="89" w:lineRule="exact"/>
        <w:rPr>
          <w:sz w:val="20"/>
          <w:szCs w:val="20"/>
          <w:color w:val="auto"/>
        </w:rPr>
      </w:pPr>
    </w:p>
    <w:p>
      <w:pPr>
        <w:ind w:left="460" w:right="779"/>
        <w:spacing w:after="0" w:line="258" w:lineRule="auto"/>
        <w:rPr>
          <w:sz w:val="20"/>
          <w:szCs w:val="20"/>
          <w:color w:val="auto"/>
        </w:rPr>
      </w:pPr>
      <w:r>
        <w:rPr>
          <w:rFonts w:ascii="Arial" w:cs="Arial" w:eastAsia="Arial" w:hAnsi="Arial"/>
          <w:sz w:val="18"/>
          <w:szCs w:val="18"/>
          <w:color w:val="auto"/>
        </w:rPr>
        <w:t>A “business combination” includes a merger or sale of more than 10% of our assets. However, the above provisions of our amended and restated certificate of incorporation do not apply if:</w:t>
      </w:r>
    </w:p>
    <w:p>
      <w:pPr>
        <w:ind w:left="1100" w:right="919" w:hanging="322"/>
        <w:spacing w:after="0" w:line="258" w:lineRule="auto"/>
        <w:tabs>
          <w:tab w:leader="none" w:pos="1089"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board of directors approves the transaction that made the stockholder an “interested stockholder,” prior to the date of the transaction;</w:t>
      </w:r>
    </w:p>
    <w:p>
      <w:pPr>
        <w:ind w:left="1100" w:right="499" w:hanging="322"/>
        <w:spacing w:after="0" w:line="265" w:lineRule="auto"/>
        <w:tabs>
          <w:tab w:leader="none" w:pos="1089" w:val="left"/>
        </w:tabs>
        <w:numPr>
          <w:ilvl w:val="0"/>
          <w:numId w:val="69"/>
        </w:numPr>
        <w:rPr>
          <w:rFonts w:ascii="Arial" w:cs="Arial" w:eastAsia="Arial" w:hAnsi="Arial"/>
          <w:sz w:val="17"/>
          <w:szCs w:val="17"/>
          <w:color w:val="auto"/>
        </w:rPr>
      </w:pPr>
      <w:r>
        <w:rPr>
          <w:rFonts w:ascii="Arial" w:cs="Arial" w:eastAsia="Arial" w:hAnsi="Arial"/>
          <w:sz w:val="17"/>
          <w:szCs w:val="17"/>
          <w:color w:val="auto"/>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p>
      <w:pPr>
        <w:ind w:left="1100" w:right="599" w:hanging="322"/>
        <w:spacing w:after="0" w:line="243" w:lineRule="auto"/>
        <w:tabs>
          <w:tab w:leader="none" w:pos="1089" w:val="left"/>
        </w:tabs>
        <w:numPr>
          <w:ilvl w:val="0"/>
          <w:numId w:val="69"/>
        </w:numPr>
        <w:rPr>
          <w:rFonts w:ascii="Arial" w:cs="Arial" w:eastAsia="Arial" w:hAnsi="Arial"/>
          <w:sz w:val="18"/>
          <w:szCs w:val="18"/>
          <w:color w:val="auto"/>
        </w:rPr>
      </w:pPr>
      <w:r>
        <w:rPr>
          <w:rFonts w:ascii="Arial" w:cs="Arial" w:eastAsia="Arial" w:hAnsi="Arial"/>
          <w:sz w:val="18"/>
          <w:szCs w:val="18"/>
          <w:color w:val="auto"/>
        </w:rPr>
        <w:t>on or subsequent to the date of the transaction, the initial business combination is approved by our board of directors and authorized at a meeting of our stockholders, and not by written consent, by an affirmative vote of at least two-thirds of the outstanding voting stock not owned by the interested stockholder.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57" w:right="1440" w:bottom="1440" w:gutter="0" w:footer="0" w:header="0"/>
        </w:sectPr>
      </w:pPr>
    </w:p>
    <w:bookmarkStart w:id="132" w:name="page133"/>
    <w:bookmarkEnd w:id="132"/>
    <w:p>
      <w:pPr>
        <w:ind w:left="460" w:right="479"/>
        <w:spacing w:after="0" w:line="255" w:lineRule="auto"/>
        <w:rPr>
          <w:sz w:val="20"/>
          <w:szCs w:val="20"/>
          <w:color w:val="auto"/>
        </w:rPr>
      </w:pPr>
      <w:r>
        <w:rPr>
          <w:rFonts w:ascii="Arial" w:cs="Arial" w:eastAsia="Arial" w:hAnsi="Arial"/>
          <w:sz w:val="18"/>
          <w:szCs w:val="18"/>
          <w:color w:val="auto"/>
        </w:rPr>
        <w:t>Our amended and restated certificate of incorporation provides that our board of directors will be classified into three classes of directors. As a result, in most circumstances, a person can gain control of our board only by successfully engaging in a proxy contest at two or more annual meetings.</w:t>
      </w:r>
    </w:p>
    <w:p>
      <w:pPr>
        <w:spacing w:after="0" w:line="83" w:lineRule="exact"/>
        <w:rPr>
          <w:sz w:val="20"/>
          <w:szCs w:val="20"/>
          <w:color w:val="auto"/>
        </w:rPr>
      </w:pPr>
    </w:p>
    <w:p>
      <w:pPr>
        <w:ind w:left="460" w:right="479"/>
        <w:spacing w:after="0" w:line="243" w:lineRule="auto"/>
        <w:rPr>
          <w:sz w:val="20"/>
          <w:szCs w:val="20"/>
          <w:color w:val="auto"/>
        </w:rPr>
      </w:pPr>
      <w:r>
        <w:rPr>
          <w:rFonts w:ascii="Arial" w:cs="Arial" w:eastAsia="Arial" w:hAnsi="Arial"/>
          <w:sz w:val="18"/>
          <w:szCs w:val="18"/>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Exclusive forum for certain lawsuits</w:t>
      </w:r>
    </w:p>
    <w:p>
      <w:pPr>
        <w:spacing w:after="0" w:line="144" w:lineRule="exact"/>
        <w:rPr>
          <w:sz w:val="20"/>
          <w:szCs w:val="20"/>
          <w:color w:val="auto"/>
        </w:rPr>
      </w:pPr>
    </w:p>
    <w:p>
      <w:pPr>
        <w:jc w:val="both"/>
        <w:ind w:left="460" w:right="759"/>
        <w:spacing w:after="0" w:line="262" w:lineRule="auto"/>
        <w:rPr>
          <w:sz w:val="20"/>
          <w:szCs w:val="20"/>
          <w:color w:val="auto"/>
        </w:rPr>
      </w:pPr>
      <w:r>
        <w:rPr>
          <w:rFonts w:ascii="Arial" w:cs="Arial" w:eastAsia="Arial" w:hAnsi="Arial"/>
          <w:sz w:val="17"/>
          <w:szCs w:val="17"/>
          <w:color w:val="auto"/>
        </w:rPr>
        <w:t>Our amended and restated certificate of incorporation requires, unless we consent in writing to the selection of an alternative forum, that (i) any derivative action or proceeding brought on our behalf,</w:t>
      </w:r>
    </w:p>
    <w:p>
      <w:pPr>
        <w:ind w:left="460" w:right="479" w:hanging="6"/>
        <w:spacing w:after="0" w:line="235" w:lineRule="auto"/>
        <w:tabs>
          <w:tab w:leader="none" w:pos="71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director, officer or other employee to us or our stockholders, (iii) any action asserting a claim against us, our directors, officers or employees arising pursuant to any provision of the DGCL or our amended and restated certificate of incorporation or bylaws, or (iv) any action asserting a claim against us, our directors, officers or employees governed by the internal affairs doctrine may be brought only in the Court of Chancery in the State of Delaware, except any claim (A) as to which the Court of Chancery of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as to which the Court of Chancery and the federal district court for the District of Delaware shall have concurrent jurisdiction. If an action is brought outside of Delaware, the stockholder bringing the suit will be deemed to have consented to service of process on such stockholder’s counsel. Although we believe this provision benefits us by providing increased consistency in the application of Delaware law in the types of lawsuits to which it applies, a court may determine that this provision is unenforceable, and to the extent it is enforceable, the provision may have the effect of discouraging lawsuits against our directors and officers, although our stockholders will not be deemed to have waived our compliance with federal securities laws and the rules and regulations thereunder.</w:t>
      </w:r>
    </w:p>
    <w:p>
      <w:pPr>
        <w:spacing w:after="0" w:line="123"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Notwithstanding the foregoing, our amended and restated certificate of incorporation provides that the exclusive forum provision will not apply to suits brought to enforce a duty or liability created by the Exchange Act or any other claim for which the federal courts have exclusive jurisdiction. Section 27 of the Exchange Act creates exclusive federal jurisdiction over all suits brought to enforce any duty or liability created by the Exchange Act or the rules and regulations thereunder. Additionally, unless we consent in writing to the selection of an alternative forum, the federal courts shall be the exclusive forum for the resolution of any complaint asserting a cause of action arising under the Securities Act against us or any of our directors, officers, other employees or agents. Section 22 of the Securities Act, however, created concurrent jurisdiction for federal and state courts over all suits brought to enforce any duty or liability created by the Securities Act or the rules and regulations thereunder. Accordingly, there is uncertainty as to whether a court would enforce such provisions, and the enforceability of similar choice of forum provisions in other companies’ charter documents has been challenged in legal proceedings. While the Delaware courts have determined that such exclusive forum provisions are facially valid, a stockholder may nevertheless seek to bring a claim in a venue other than those designated in the exclusive forum provisions, and there can be no assurance that such provisions will be enforced by a court in those other jurisdictions. Any person or entity purchasing or otherwise acquiring any interest in our securities shall be deemed to have notice of and consented to these provisions; however, we note that investors cannot waive compliance with the federal securities laws and the rules and regulations thereunder.</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Special meeting of stockholders</w:t>
      </w:r>
    </w:p>
    <w:p>
      <w:pPr>
        <w:spacing w:after="0" w:line="131" w:lineRule="exact"/>
        <w:rPr>
          <w:sz w:val="20"/>
          <w:szCs w:val="20"/>
          <w:color w:val="auto"/>
        </w:rPr>
      </w:pPr>
    </w:p>
    <w:p>
      <w:pPr>
        <w:ind w:left="460" w:right="519"/>
        <w:spacing w:after="0" w:line="276" w:lineRule="auto"/>
        <w:rPr>
          <w:sz w:val="20"/>
          <w:szCs w:val="20"/>
          <w:color w:val="auto"/>
        </w:rPr>
      </w:pPr>
      <w:r>
        <w:rPr>
          <w:rFonts w:ascii="Arial" w:cs="Arial" w:eastAsia="Arial" w:hAnsi="Arial"/>
          <w:sz w:val="18"/>
          <w:szCs w:val="18"/>
          <w:color w:val="auto"/>
        </w:rPr>
        <w:t>Our bylaws provide that special meetings of our stockholders may be called only by a majority vote of our board of directors, by our Chief Executive Officer or by our Chairman.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3" w:name="page134"/>
    <w:bookmarkEnd w:id="133"/>
    <w:p>
      <w:pPr>
        <w:ind w:left="460"/>
        <w:spacing w:after="0"/>
        <w:rPr>
          <w:sz w:val="20"/>
          <w:szCs w:val="20"/>
          <w:color w:val="auto"/>
        </w:rPr>
      </w:pPr>
      <w:r>
        <w:rPr>
          <w:rFonts w:ascii="Arial" w:cs="Arial" w:eastAsia="Arial" w:hAnsi="Arial"/>
          <w:sz w:val="18"/>
          <w:szCs w:val="18"/>
          <w:b w:val="1"/>
          <w:bCs w:val="1"/>
          <w:i w:val="1"/>
          <w:iCs w:val="1"/>
          <w:color w:val="auto"/>
        </w:rPr>
        <w:t>Advance notice requirements for stockholder proposals and director nominations</w:t>
      </w:r>
    </w:p>
    <w:p>
      <w:pPr>
        <w:spacing w:after="0" w:line="144"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received by the company secretary at our principal executive offices not later than the close of business on the 90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day nor earlier than the opening of business on the 120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day prior to the anniversary date of the immediately preceding annual meeting of stockholders. Pursuant to Rule 14a-8 of the Exchange Act, proposals seeking inclusion in our annual proxy statement must comply with the notice periods contained therein. Our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Action by written consent</w:t>
      </w:r>
    </w:p>
    <w:p>
      <w:pPr>
        <w:spacing w:after="0" w:line="117" w:lineRule="exact"/>
        <w:rPr>
          <w:sz w:val="20"/>
          <w:szCs w:val="20"/>
          <w:color w:val="auto"/>
        </w:rPr>
      </w:pPr>
    </w:p>
    <w:p>
      <w:pPr>
        <w:ind w:left="460" w:right="599"/>
        <w:spacing w:after="0" w:line="248" w:lineRule="auto"/>
        <w:rPr>
          <w:sz w:val="20"/>
          <w:szCs w:val="20"/>
          <w:color w:val="auto"/>
        </w:rPr>
      </w:pPr>
      <w:r>
        <w:rPr>
          <w:rFonts w:ascii="Arial" w:cs="Arial" w:eastAsia="Arial" w:hAnsi="Arial"/>
          <w:sz w:val="18"/>
          <w:szCs w:val="18"/>
          <w:color w:val="auto"/>
        </w:rPr>
        <w:t>Subsequent to the consummation of the offering, any action required or permitted to be taken by our common stockholders must be effected by a duly called annual or special meeting of such stockholders and may not be effected by written consent of the stockholders other than with respect to our Class B common stock.</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17" w:lineRule="exact"/>
        <w:rPr>
          <w:sz w:val="20"/>
          <w:szCs w:val="20"/>
          <w:color w:val="auto"/>
        </w:rPr>
      </w:pPr>
    </w:p>
    <w:p>
      <w:pPr>
        <w:ind w:left="460" w:right="479"/>
        <w:spacing w:after="0"/>
        <w:rPr>
          <w:sz w:val="20"/>
          <w:szCs w:val="20"/>
          <w:color w:val="auto"/>
        </w:rPr>
      </w:pPr>
      <w:r>
        <w:rPr>
          <w:rFonts w:ascii="Arial" w:cs="Arial" w:eastAsia="Arial" w:hAnsi="Arial"/>
          <w:sz w:val="18"/>
          <w:szCs w:val="18"/>
          <w:color w:val="auto"/>
        </w:rPr>
        <w:t>Our board of directors is divided into three classes, Class I, Class II and Class III, with members of each class serving staggered three-year terms. Our amended and restated certificate of incorporation provides that the authorized number of directors may be changed only by resolution of the board of directors. Subject to the terms of any preferred stock, any or all of the directors may be removed from office at any time, but only for cause and only by the affirmative vote of holders of a majority of the voting power of all then outstanding shares of our capital stock entitled to vote generally in the election of directors, voting together as a single class. Any vacancy on our board of directors, including a vacancy resulting from an enlargement of our board of directors, may be filled only by vote of a majority of our directors then in office.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Class B Common Stock Consent Right</w:t>
      </w:r>
    </w:p>
    <w:p>
      <w:pPr>
        <w:spacing w:after="0" w:line="131" w:lineRule="exact"/>
        <w:rPr>
          <w:sz w:val="20"/>
          <w:szCs w:val="20"/>
          <w:color w:val="auto"/>
        </w:rPr>
      </w:pPr>
    </w:p>
    <w:p>
      <w:pPr>
        <w:ind w:left="460" w:right="499"/>
        <w:spacing w:after="0" w:line="239" w:lineRule="auto"/>
        <w:rPr>
          <w:sz w:val="20"/>
          <w:szCs w:val="20"/>
          <w:color w:val="auto"/>
        </w:rPr>
      </w:pPr>
      <w:r>
        <w:rPr>
          <w:rFonts w:ascii="Arial" w:cs="Arial" w:eastAsia="Arial" w:hAnsi="Arial"/>
          <w:sz w:val="18"/>
          <w:szCs w:val="18"/>
          <w:color w:val="auto"/>
        </w:rPr>
        <w:t>For so long as any shares of Class B common stock remain outstanding, we may not, without the prior vote or written consent of the holders of a majority of the shares of Class B common stock then outstanding, voting separately as a single class, amend, alter or repeal any provision of our certificate of incorporation, whether by merger, consolidation or otherwise, if such amendment, alteration or repeal would alter or change the powers, preferences or relative, participating, optional or other or special rights of the Class B common stock. Any action required or permitted to be taken at any meeting of the holders of Class B common stock may be taken without a meeting, without prior notice and without a vote, if a consent or consents in writing, setting forth the action so taken, shall be signed by the holders of the outstanding Class B common stock having not less than the minimum number of votes that would be necessary to authorize or take such action at a meeting at which all shares of Class B common stock were present and voted.</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Securities Eligible for Future Sale</w:t>
      </w:r>
    </w:p>
    <w:p>
      <w:pPr>
        <w:spacing w:after="0" w:line="119"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Immediately after this offering we will have 48,125,000 (or 55,343,750 if the underwriters’ over-allotment option is exercised in full) shares of common stock outstanding. Of these shares, the shares of Class A common stock sold in this offering (38,500,000 shares of Class A common stock if the underwriters’ over-allotment option is not exercised and 44,275,000 shares if the underwriters’ over-allotment option is exercised in full) will be freely tradable without restriction or further registration under the Securities Act, except for any Class A common stock purchased by one of our affiliates within the meaning of Rule 144 under the Securities Act. All of the outstanding founder shares (9,625,000 founder shares if the underwriters’ over-allotment option is not exercised and 11,068,750 founder shares if the underwriters’ over-allotment option is exercised in full) and all of the outstanding private placement warrants (6,466,667 warrants if the underwriters’ over-allotment option is not exercised and 7,236,667 warrants if the underwriters’ over-allotment option is exercised in full) will be restricted securities under Rule 144, in that they were issued in private transactions not involving a public offering. Upon the closing of the sale of any forward purchase shares, all such forward purchase shares, up to 15,000,000, will be restricted securities under Rule 144.</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34" w:name="page135"/>
    <w:bookmarkEnd w:id="134"/>
    <w:p>
      <w:pPr>
        <w:ind w:left="460"/>
        <w:spacing w:after="0"/>
        <w:rPr>
          <w:sz w:val="20"/>
          <w:szCs w:val="20"/>
          <w:color w:val="auto"/>
        </w:rPr>
      </w:pPr>
      <w:r>
        <w:rPr>
          <w:rFonts w:ascii="Arial" w:cs="Arial" w:eastAsia="Arial" w:hAnsi="Arial"/>
          <w:sz w:val="18"/>
          <w:szCs w:val="18"/>
          <w:b w:val="1"/>
          <w:bCs w:val="1"/>
          <w:i w:val="1"/>
          <w:iCs w:val="1"/>
          <w:color w:val="auto"/>
        </w:rPr>
        <w:t>Rule 144</w:t>
      </w:r>
    </w:p>
    <w:p>
      <w:pPr>
        <w:spacing w:after="0" w:line="117" w:lineRule="exact"/>
        <w:rPr>
          <w:sz w:val="20"/>
          <w:szCs w:val="20"/>
          <w:color w:val="auto"/>
        </w:rPr>
      </w:pPr>
    </w:p>
    <w:p>
      <w:pPr>
        <w:ind w:left="460" w:right="499"/>
        <w:spacing w:after="0" w:line="260" w:lineRule="auto"/>
        <w:rPr>
          <w:sz w:val="20"/>
          <w:szCs w:val="20"/>
          <w:color w:val="auto"/>
        </w:rPr>
      </w:pPr>
      <w:r>
        <w:rPr>
          <w:rFonts w:ascii="Arial" w:cs="Arial" w:eastAsia="Arial" w:hAnsi="Arial"/>
          <w:sz w:val="17"/>
          <w:szCs w:val="17"/>
          <w:color w:val="auto"/>
        </w:rPr>
        <w:t>Pursuant to Rule 144, a person who has beneficially owned restricted shares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79" w:lineRule="exact"/>
        <w:rPr>
          <w:sz w:val="20"/>
          <w:szCs w:val="20"/>
          <w:color w:val="auto"/>
        </w:rPr>
      </w:pPr>
    </w:p>
    <w:p>
      <w:pPr>
        <w:ind w:left="460" w:right="759"/>
        <w:spacing w:after="0" w:line="246" w:lineRule="auto"/>
        <w:rPr>
          <w:sz w:val="20"/>
          <w:szCs w:val="20"/>
          <w:color w:val="auto"/>
        </w:rPr>
      </w:pPr>
      <w:r>
        <w:rPr>
          <w:rFonts w:ascii="Arial" w:cs="Arial" w:eastAsia="Arial" w:hAnsi="Arial"/>
          <w:sz w:val="18"/>
          <w:szCs w:val="18"/>
          <w:color w:val="auto"/>
        </w:rPr>
        <w:t>Persons who have beneficially owned restricted shares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2" w:lineRule="exact"/>
        <w:rPr>
          <w:sz w:val="20"/>
          <w:szCs w:val="20"/>
          <w:color w:val="auto"/>
        </w:rPr>
      </w:pPr>
    </w:p>
    <w:p>
      <w:pPr>
        <w:jc w:val="both"/>
        <w:ind w:left="1100" w:right="479" w:hanging="322"/>
        <w:spacing w:after="0" w:line="245" w:lineRule="auto"/>
        <w:tabs>
          <w:tab w:leader="none" w:pos="1089" w:val="left"/>
        </w:tabs>
        <w:numPr>
          <w:ilvl w:val="0"/>
          <w:numId w:val="71"/>
        </w:numPr>
        <w:rPr>
          <w:rFonts w:ascii="Arial" w:cs="Arial" w:eastAsia="Arial" w:hAnsi="Arial"/>
          <w:sz w:val="18"/>
          <w:szCs w:val="18"/>
          <w:color w:val="auto"/>
        </w:rPr>
      </w:pPr>
      <w:r>
        <w:rPr>
          <w:rFonts w:ascii="Arial" w:cs="Arial" w:eastAsia="Arial" w:hAnsi="Arial"/>
          <w:sz w:val="18"/>
          <w:szCs w:val="18"/>
          <w:color w:val="auto"/>
        </w:rPr>
        <w:t>1% of the total number of shares of common stock then outstanding, which will equal 481,250 shares immediately after this offering (or 553,438 if the underwriters exercise in full their over-allotment option); or</w:t>
      </w:r>
    </w:p>
    <w:p>
      <w:pPr>
        <w:ind w:left="1100" w:right="759" w:hanging="322"/>
        <w:spacing w:after="0" w:line="276" w:lineRule="auto"/>
        <w:tabs>
          <w:tab w:leader="none" w:pos="1089"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average weekly reported trading volume of the common stock during the four calendar weeks preceding the filing of a notice on Form 144 with respect to the sale.</w:t>
      </w:r>
    </w:p>
    <w:p>
      <w:pPr>
        <w:spacing w:after="0" w:line="77" w:lineRule="exact"/>
        <w:rPr>
          <w:sz w:val="20"/>
          <w:szCs w:val="20"/>
          <w:color w:val="auto"/>
        </w:rPr>
      </w:pPr>
    </w:p>
    <w:p>
      <w:pPr>
        <w:ind w:left="460" w:right="1099"/>
        <w:spacing w:after="0" w:line="276" w:lineRule="auto"/>
        <w:rPr>
          <w:sz w:val="20"/>
          <w:szCs w:val="20"/>
          <w:color w:val="auto"/>
        </w:rPr>
      </w:pPr>
      <w:r>
        <w:rPr>
          <w:rFonts w:ascii="Arial" w:cs="Arial" w:eastAsia="Arial" w:hAnsi="Arial"/>
          <w:sz w:val="18"/>
          <w:szCs w:val="18"/>
          <w:color w:val="auto"/>
        </w:rPr>
        <w:t>Sales by our affiliates under Rule 144 are also limited by manner of sale provisions and notice requirements and to the availability of current public information about us.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Restrictions on the Use of Rule 144 by Shell Companies or Former Shell Companies</w:t>
      </w:r>
    </w:p>
    <w:p>
      <w:pPr>
        <w:spacing w:after="0" w:line="131" w:lineRule="exact"/>
        <w:rPr>
          <w:sz w:val="20"/>
          <w:szCs w:val="20"/>
          <w:color w:val="auto"/>
        </w:rPr>
      </w:pPr>
    </w:p>
    <w:p>
      <w:pPr>
        <w:ind w:left="460" w:right="819"/>
        <w:spacing w:after="0" w:line="246"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2" w:lineRule="exact"/>
        <w:rPr>
          <w:sz w:val="20"/>
          <w:szCs w:val="20"/>
          <w:color w:val="auto"/>
        </w:rPr>
      </w:pPr>
    </w:p>
    <w:p>
      <w:pPr>
        <w:ind w:left="1100" w:right="1079" w:hanging="322"/>
        <w:spacing w:after="0" w:line="258" w:lineRule="auto"/>
        <w:tabs>
          <w:tab w:leader="none" w:pos="1089"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ind w:left="1100" w:right="699" w:hanging="322"/>
        <w:spacing w:after="0" w:line="258" w:lineRule="auto"/>
        <w:tabs>
          <w:tab w:leader="none" w:pos="1089"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ind w:left="1100" w:right="479" w:hanging="322"/>
        <w:spacing w:after="0" w:line="245" w:lineRule="auto"/>
        <w:tabs>
          <w:tab w:leader="none" w:pos="1089"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jc w:val="both"/>
        <w:ind w:left="1100" w:right="1199" w:hanging="322"/>
        <w:spacing w:after="0" w:line="306" w:lineRule="auto"/>
        <w:tabs>
          <w:tab w:leader="none" w:pos="1089" w:val="left"/>
        </w:tabs>
        <w:numPr>
          <w:ilvl w:val="0"/>
          <w:numId w:val="72"/>
        </w:numPr>
        <w:rPr>
          <w:rFonts w:ascii="Arial" w:cs="Arial" w:eastAsia="Arial" w:hAnsi="Arial"/>
          <w:sz w:val="17"/>
          <w:szCs w:val="17"/>
          <w:color w:val="auto"/>
        </w:rPr>
      </w:pPr>
      <w:r>
        <w:rPr>
          <w:rFonts w:ascii="Arial" w:cs="Arial" w:eastAsia="Arial" w:hAnsi="Arial"/>
          <w:sz w:val="17"/>
          <w:szCs w:val="17"/>
          <w:color w:val="auto"/>
        </w:rPr>
        <w:t>at least one year has elapsed from the time that the issuer filed current Form 10 type information with the SEC reflecting its status as an entity that is not a shell company.</w:t>
      </w:r>
    </w:p>
    <w:p>
      <w:pPr>
        <w:spacing w:after="0" w:line="55" w:lineRule="exact"/>
        <w:rPr>
          <w:sz w:val="20"/>
          <w:szCs w:val="20"/>
          <w:color w:val="auto"/>
        </w:rPr>
      </w:pPr>
    </w:p>
    <w:p>
      <w:pPr>
        <w:ind w:left="460" w:right="639"/>
        <w:spacing w:after="0" w:line="255" w:lineRule="auto"/>
        <w:rPr>
          <w:sz w:val="20"/>
          <w:szCs w:val="20"/>
          <w:color w:val="auto"/>
        </w:rPr>
      </w:pPr>
      <w:r>
        <w:rPr>
          <w:rFonts w:ascii="Arial" w:cs="Arial" w:eastAsia="Arial" w:hAnsi="Arial"/>
          <w:sz w:val="18"/>
          <w:szCs w:val="18"/>
          <w:color w:val="auto"/>
        </w:rPr>
        <w:t>As a result, our initial stockholders will be able to sell their founder shares and private placement warrants, as applicable, pursuant to Rule 144 without registration one year after we have completed our initial business combination.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Registration Rights</w:t>
      </w:r>
    </w:p>
    <w:p>
      <w:pPr>
        <w:spacing w:after="0" w:line="133"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The holders of the (i) founder shares, which were issued in a private placement prior to the closing of this offering, (ii) private placement warrants, which will be issued in a private placement simultaneously with the closing of this offering and the shares of Class A common stock underlying such private placement warrants, (iii) private placement warrants that may be issued upon conversion of working capital loans and (iv) any forward purchase shares that are issued in a private placement simultaneously with the closing of the initial business combination, will have registration rights to require us to register a sale of any of our securities held by them pursuant to a registration rights agreement to be signed prior to or on the effective date of this offering. Pursuant to the registration rights agreement and assuming the underwriters exercise their over-allotment option in full and $1.5 million of working capital loans are converted into private placement warrants, we will be obligated to register up to 34,305,417 shares of Class A common stock and 8,236,667 warrants. The number of shares of Class A common stock includes (i) 11,068,750 shares of Class A common stock to be issued upon conversion of the founder shares, (ii) 7,236,667 shares of Class A common stock underlying the private placement warrants, (iii) 1,000,000 shares of Class A common stock underlying the private placement warrants issued upon conversion of working capital loans and (iv) up to 15,000,000 forward purchase shares. The number of warrants includes 7,236,667 private placement warrants and 1,000,000 private placement warrants issued upon conversion of working capital loans. The holders of these securities are entitled to make up to three demands, excluding short form demands, that we register such</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35" w:name="page136"/>
    <w:bookmarkEnd w:id="135"/>
    <w:p>
      <w:pPr>
        <w:ind w:left="460" w:right="539"/>
        <w:spacing w:after="0" w:line="255" w:lineRule="auto"/>
        <w:rPr>
          <w:sz w:val="20"/>
          <w:szCs w:val="20"/>
          <w:color w:val="auto"/>
        </w:rPr>
      </w:pPr>
      <w:r>
        <w:rPr>
          <w:rFonts w:ascii="Arial" w:cs="Arial" w:eastAsia="Arial" w:hAnsi="Arial"/>
          <w:sz w:val="18"/>
          <w:szCs w:val="18"/>
          <w:color w:val="auto"/>
        </w:rPr>
        <w:t>securities. In addition, the holders have certain “piggy-back” registration rights with respect to registration statements filed subsequent to our completion of our initial business combination. We will bear the expenses incurred in connection with the filing of any such registration statements.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Listing of Securities</w:t>
      </w:r>
    </w:p>
    <w:p>
      <w:pPr>
        <w:spacing w:after="0" w:line="133" w:lineRule="exact"/>
        <w:rPr>
          <w:sz w:val="20"/>
          <w:szCs w:val="20"/>
          <w:color w:val="auto"/>
        </w:rPr>
      </w:pPr>
    </w:p>
    <w:p>
      <w:pPr>
        <w:ind w:left="460" w:right="539"/>
        <w:spacing w:after="0" w:line="255" w:lineRule="auto"/>
        <w:rPr>
          <w:sz w:val="20"/>
          <w:szCs w:val="20"/>
          <w:color w:val="auto"/>
        </w:rPr>
      </w:pPr>
      <w:r>
        <w:rPr>
          <w:rFonts w:ascii="Arial" w:cs="Arial" w:eastAsia="Arial" w:hAnsi="Arial"/>
          <w:sz w:val="18"/>
          <w:szCs w:val="18"/>
          <w:color w:val="auto"/>
        </w:rPr>
        <w:t>We have been approved to have our units listed on Nasdaq under the symbol “CMLFU.” Once the securities comprising the units begin separate trading, we expect that the Class A common stock and warrants will be listed on Nasdaq under the symbols “CMLF” and “CMLFW,” respectively.</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6" w:name="page137"/>
    <w:bookmarkEnd w:id="136"/>
    <w:p>
      <w:pPr>
        <w:jc w:val="center"/>
        <w:ind w:right="19"/>
        <w:spacing w:after="0"/>
        <w:rPr>
          <w:sz w:val="20"/>
          <w:szCs w:val="20"/>
          <w:color w:val="auto"/>
        </w:rPr>
      </w:pPr>
      <w:r>
        <w:rPr>
          <w:rFonts w:ascii="Arial" w:cs="Arial" w:eastAsia="Arial" w:hAnsi="Arial"/>
          <w:sz w:val="18"/>
          <w:szCs w:val="18"/>
          <w:b w:val="1"/>
          <w:bCs w:val="1"/>
          <w:color w:val="auto"/>
        </w:rPr>
        <w:t>U.S. FEDERAL INCOME TAX CONSIDERATIONS</w:t>
      </w:r>
    </w:p>
    <w:p>
      <w:pPr>
        <w:spacing w:after="0" w:line="146" w:lineRule="exact"/>
        <w:rPr>
          <w:sz w:val="20"/>
          <w:szCs w:val="20"/>
          <w:color w:val="auto"/>
        </w:rPr>
      </w:pPr>
    </w:p>
    <w:p>
      <w:pPr>
        <w:ind w:left="460" w:right="519"/>
        <w:spacing w:after="0"/>
        <w:rPr>
          <w:sz w:val="20"/>
          <w:szCs w:val="20"/>
          <w:color w:val="auto"/>
        </w:rPr>
      </w:pPr>
      <w:r>
        <w:rPr>
          <w:rFonts w:ascii="Arial" w:cs="Arial" w:eastAsia="Arial" w:hAnsi="Arial"/>
          <w:sz w:val="18"/>
          <w:szCs w:val="18"/>
          <w:color w:val="auto"/>
        </w:rPr>
        <w:t>The following is a discussion of certain material U.S. federal income tax consequences of the acquisition, ownership and disposition of our units, shares of Class A common stock and warrants, which we refer to collectively as our securities. Because the components of a unit are separable at the option of the holder, the holder of a unit generally should be treated, for U.S. federal income tax purposes, as the owner of the underlying Class A common stock and one-third of one redeemable warrant components of the unit, as the case may be. As a result, the discussion below with respect to actual holders of Class A common stock and warrants should also apply to holders of units (as the deemed owners of the underlying Class A common stock and warrants that comprise the units).</w:t>
      </w:r>
    </w:p>
    <w:p>
      <w:pPr>
        <w:spacing w:after="0" w:line="99" w:lineRule="exact"/>
        <w:rPr>
          <w:sz w:val="20"/>
          <w:szCs w:val="20"/>
          <w:color w:val="auto"/>
        </w:rPr>
      </w:pPr>
    </w:p>
    <w:p>
      <w:pPr>
        <w:ind w:left="460" w:right="519"/>
        <w:spacing w:after="0" w:line="241" w:lineRule="auto"/>
        <w:rPr>
          <w:sz w:val="20"/>
          <w:szCs w:val="20"/>
          <w:color w:val="auto"/>
        </w:rPr>
      </w:pPr>
      <w:r>
        <w:rPr>
          <w:rFonts w:ascii="Arial" w:cs="Arial" w:eastAsia="Arial" w:hAnsi="Arial"/>
          <w:sz w:val="18"/>
          <w:szCs w:val="18"/>
          <w:color w:val="auto"/>
        </w:rPr>
        <w:t>This discussion is limited to certain U.S. federal income tax considerations to beneficial owners of our securities who are initial purchasers of a unit pursuant to this offering and hold the unit and each component of the unit as a capital asset within the meaning of Section 1221 of the U.S. Internal Revenue Code of 1986, as amended (the “Code”). This discussion assumes that the Class A common stock and warrants will trade separately and that any distributions made (or deemed made) by us on our Class A common stock and any consideration received (or deemed received) by a holder in consideration for the sale or other disposition of our securities will be in U.S. dollars.</w:t>
      </w:r>
    </w:p>
    <w:p>
      <w:pPr>
        <w:spacing w:after="0" w:line="111" w:lineRule="exact"/>
        <w:rPr>
          <w:sz w:val="20"/>
          <w:szCs w:val="20"/>
          <w:color w:val="auto"/>
        </w:rPr>
      </w:pPr>
    </w:p>
    <w:p>
      <w:pPr>
        <w:ind w:left="460" w:right="579"/>
        <w:spacing w:after="0" w:line="242" w:lineRule="auto"/>
        <w:rPr>
          <w:sz w:val="20"/>
          <w:szCs w:val="20"/>
          <w:color w:val="auto"/>
        </w:rPr>
      </w:pPr>
      <w:r>
        <w:rPr>
          <w:rFonts w:ascii="Arial" w:cs="Arial" w:eastAsia="Arial" w:hAnsi="Arial"/>
          <w:sz w:val="18"/>
          <w:szCs w:val="18"/>
          <w:color w:val="auto"/>
        </w:rPr>
        <w:t>This summary is based upon U.S. federal income tax law as of the date of this prospectus, which is subject to change or differing interpretations, possibly with retroactive effect. This discussion is a summary only and does not describe all of the tax consequences that may be relevant to you in light of your particular circumstances, including but not limited to the alternative minimum tax, the Medicare tax on certain net investment income and the different consequences that may apply if you are subject to special rules that apply to certain types of investors, including but not limited to:</w:t>
      </w:r>
    </w:p>
    <w:p>
      <w:pPr>
        <w:spacing w:after="0" w:line="3" w:lineRule="exact"/>
        <w:rPr>
          <w:sz w:val="20"/>
          <w:szCs w:val="20"/>
          <w:color w:val="auto"/>
        </w:rPr>
      </w:pPr>
    </w:p>
    <w:p>
      <w:pPr>
        <w:ind w:left="1100" w:hanging="322"/>
        <w:spacing w:after="0"/>
        <w:tabs>
          <w:tab w:leader="none" w:pos="11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financial institutions or financial services entities;</w:t>
      </w:r>
    </w:p>
    <w:p>
      <w:pPr>
        <w:spacing w:after="0" w:line="35" w:lineRule="exact"/>
        <w:rPr>
          <w:rFonts w:ascii="Arial" w:cs="Arial" w:eastAsia="Arial" w:hAnsi="Arial"/>
          <w:sz w:val="18"/>
          <w:szCs w:val="18"/>
          <w:color w:val="auto"/>
        </w:rPr>
      </w:pPr>
    </w:p>
    <w:p>
      <w:pPr>
        <w:ind w:left="1100" w:hanging="322"/>
        <w:spacing w:after="0"/>
        <w:tabs>
          <w:tab w:leader="none" w:pos="11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35" w:lineRule="exact"/>
        <w:rPr>
          <w:rFonts w:ascii="Arial" w:cs="Arial" w:eastAsia="Arial" w:hAnsi="Arial"/>
          <w:sz w:val="18"/>
          <w:szCs w:val="18"/>
          <w:color w:val="auto"/>
        </w:rPr>
      </w:pPr>
    </w:p>
    <w:p>
      <w:pPr>
        <w:ind w:left="1100" w:hanging="322"/>
        <w:spacing w:after="0"/>
        <w:tabs>
          <w:tab w:leader="none" w:pos="11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expatriates or former long-term residents of the U.S.;</w:t>
      </w:r>
    </w:p>
    <w:p>
      <w:pPr>
        <w:spacing w:after="0" w:line="36" w:lineRule="exact"/>
        <w:rPr>
          <w:rFonts w:ascii="Arial" w:cs="Arial" w:eastAsia="Arial" w:hAnsi="Arial"/>
          <w:sz w:val="18"/>
          <w:szCs w:val="18"/>
          <w:color w:val="auto"/>
        </w:rPr>
      </w:pPr>
    </w:p>
    <w:p>
      <w:pPr>
        <w:ind w:left="1100" w:right="939" w:hanging="322"/>
        <w:spacing w:after="0" w:line="258" w:lineRule="auto"/>
        <w:tabs>
          <w:tab w:leader="none" w:pos="1089"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persons that actually or constructively own five percent or more (by vote or value) of our shares;</w:t>
      </w:r>
    </w:p>
    <w:p>
      <w:pPr>
        <w:ind w:left="1100" w:right="759" w:hanging="322"/>
        <w:spacing w:after="0" w:line="250" w:lineRule="auto"/>
        <w:tabs>
          <w:tab w:leader="none" w:pos="1089"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persons that acquired our securities pursuant to an exercise of employee share options, in connection with employee share incentive plans or otherwise as compensation;</w:t>
      </w:r>
    </w:p>
    <w:p>
      <w:pPr>
        <w:ind w:left="1100" w:hanging="322"/>
        <w:spacing w:after="0"/>
        <w:tabs>
          <w:tab w:leader="none" w:pos="11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36" w:lineRule="exact"/>
        <w:rPr>
          <w:rFonts w:ascii="Arial" w:cs="Arial" w:eastAsia="Arial" w:hAnsi="Arial"/>
          <w:sz w:val="18"/>
          <w:szCs w:val="18"/>
          <w:color w:val="auto"/>
        </w:rPr>
      </w:pPr>
    </w:p>
    <w:p>
      <w:pPr>
        <w:ind w:left="1100" w:right="999" w:hanging="322"/>
        <w:spacing w:after="0" w:line="258" w:lineRule="auto"/>
        <w:tabs>
          <w:tab w:leader="none" w:pos="1089"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dealers or traders subject to a mark-to-market method of accounting with respect to the securities;</w:t>
      </w:r>
    </w:p>
    <w:p>
      <w:pPr>
        <w:ind w:left="1100" w:right="559" w:hanging="322"/>
        <w:spacing w:after="0" w:line="250" w:lineRule="auto"/>
        <w:tabs>
          <w:tab w:leader="none" w:pos="1089"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persons holding the securities as part of a “straddle,” constructive sale, hedge, conversion or other integrated or similar transaction;</w:t>
      </w:r>
    </w:p>
    <w:p>
      <w:pPr>
        <w:ind w:left="1100" w:hanging="322"/>
        <w:spacing w:after="0"/>
        <w:tabs>
          <w:tab w:leader="none" w:pos="11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36" w:lineRule="exact"/>
        <w:rPr>
          <w:rFonts w:ascii="Arial" w:cs="Arial" w:eastAsia="Arial" w:hAnsi="Arial"/>
          <w:sz w:val="18"/>
          <w:szCs w:val="18"/>
          <w:color w:val="auto"/>
        </w:rPr>
      </w:pPr>
    </w:p>
    <w:p>
      <w:pPr>
        <w:ind w:left="1100" w:right="879" w:hanging="322"/>
        <w:spacing w:after="0" w:line="258" w:lineRule="auto"/>
        <w:tabs>
          <w:tab w:leader="none" w:pos="1089" w:val="left"/>
        </w:tabs>
        <w:numPr>
          <w:ilvl w:val="0"/>
          <w:numId w:val="73"/>
        </w:numPr>
        <w:rPr>
          <w:rFonts w:ascii="Arial" w:cs="Arial" w:eastAsia="Arial" w:hAnsi="Arial"/>
          <w:sz w:val="18"/>
          <w:szCs w:val="18"/>
          <w:color w:val="auto"/>
        </w:rPr>
      </w:pPr>
      <w:r>
        <w:rPr>
          <w:rFonts w:ascii="Arial" w:cs="Arial" w:eastAsia="Arial" w:hAnsi="Arial"/>
          <w:sz w:val="18"/>
          <w:szCs w:val="18"/>
          <w:color w:val="auto"/>
        </w:rPr>
        <w:t>partnerships or other pass-through entities for U.S. federal income tax purposes and any beneficial owners of such entities;</w:t>
      </w:r>
    </w:p>
    <w:p>
      <w:pPr>
        <w:ind w:left="1100" w:hanging="322"/>
        <w:spacing w:after="0"/>
        <w:tabs>
          <w:tab w:leader="none" w:pos="11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controlled foreign corporations; and.</w:t>
      </w:r>
    </w:p>
    <w:p>
      <w:pPr>
        <w:spacing w:after="0" w:line="35" w:lineRule="exact"/>
        <w:rPr>
          <w:rFonts w:ascii="Arial" w:cs="Arial" w:eastAsia="Arial" w:hAnsi="Arial"/>
          <w:sz w:val="18"/>
          <w:szCs w:val="18"/>
          <w:color w:val="auto"/>
        </w:rPr>
      </w:pPr>
    </w:p>
    <w:p>
      <w:pPr>
        <w:ind w:left="1100" w:hanging="322"/>
        <w:spacing w:after="0"/>
        <w:tabs>
          <w:tab w:leader="none" w:pos="11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17" w:lineRule="exact"/>
        <w:rPr>
          <w:sz w:val="20"/>
          <w:szCs w:val="20"/>
          <w:color w:val="auto"/>
        </w:rPr>
      </w:pPr>
    </w:p>
    <w:p>
      <w:pPr>
        <w:ind w:left="460" w:right="499"/>
        <w:spacing w:after="0" w:line="241" w:lineRule="auto"/>
        <w:rPr>
          <w:sz w:val="20"/>
          <w:szCs w:val="20"/>
          <w:color w:val="auto"/>
        </w:rPr>
      </w:pPr>
      <w:r>
        <w:rPr>
          <w:rFonts w:ascii="Arial" w:cs="Arial" w:eastAsia="Arial" w:hAnsi="Arial"/>
          <w:sz w:val="18"/>
          <w:szCs w:val="18"/>
          <w:color w:val="auto"/>
        </w:rPr>
        <w:t>If a partnership (including an entity or arrangement treated as a partnership for U.S. federal income tax purposes) holds our securities, the tax treatment of a partner, member or other beneficial owner in such partnership will generally depend upon the status of the partner, member or other beneficial owner, the activities of the partnership and certain determinations made at the partner, member or other beneficial owner level. If you are a partner, member or other beneficial owner of a partnership holding our securities, you are urged to consult your tax advisor regarding the tax consequences of the acquisition, ownership and disposition of our securities.</w:t>
      </w:r>
    </w:p>
    <w:p>
      <w:pPr>
        <w:spacing w:after="0" w:line="84" w:lineRule="exact"/>
        <w:rPr>
          <w:sz w:val="20"/>
          <w:szCs w:val="20"/>
          <w:color w:val="auto"/>
        </w:rPr>
      </w:pPr>
    </w:p>
    <w:p>
      <w:pPr>
        <w:ind w:left="460" w:right="539"/>
        <w:spacing w:after="0" w:line="243" w:lineRule="auto"/>
        <w:rPr>
          <w:sz w:val="20"/>
          <w:szCs w:val="20"/>
          <w:color w:val="auto"/>
        </w:rPr>
      </w:pPr>
      <w:r>
        <w:rPr>
          <w:rFonts w:ascii="Arial" w:cs="Arial" w:eastAsia="Arial" w:hAnsi="Arial"/>
          <w:sz w:val="18"/>
          <w:szCs w:val="18"/>
          <w:color w:val="auto"/>
        </w:rPr>
        <w:t>This discussion is based on the U.S. Internal Revenue Code of 1986, as amended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sectPr>
      </w:pPr>
    </w:p>
    <w:bookmarkStart w:id="137" w:name="page138"/>
    <w:bookmarkEnd w:id="137"/>
    <w:p>
      <w:pPr>
        <w:ind w:left="460" w:right="579"/>
        <w:spacing w:after="0" w:line="241" w:lineRule="auto"/>
        <w:rPr>
          <w:sz w:val="20"/>
          <w:szCs w:val="20"/>
          <w:color w:val="auto"/>
        </w:rPr>
      </w:pPr>
      <w:r>
        <w:rPr>
          <w:rFonts w:ascii="Arial" w:cs="Arial" w:eastAsia="Arial" w:hAnsi="Arial"/>
          <w:sz w:val="18"/>
          <w:szCs w:val="18"/>
          <w:color w:val="auto"/>
        </w:rPr>
        <w:t>We have not sought, and do not expect to seek, a ruling from the U.S. Internal Revenue Service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pacing w:after="0" w:line="109" w:lineRule="exact"/>
        <w:rPr>
          <w:sz w:val="20"/>
          <w:szCs w:val="20"/>
          <w:color w:val="auto"/>
        </w:rPr>
      </w:pPr>
    </w:p>
    <w:p>
      <w:pPr>
        <w:ind w:left="460" w:right="679"/>
        <w:spacing w:after="0" w:line="243" w:lineRule="auto"/>
        <w:rPr>
          <w:sz w:val="20"/>
          <w:szCs w:val="20"/>
          <w:color w:val="auto"/>
        </w:rPr>
      </w:pPr>
      <w:r>
        <w:rPr>
          <w:rFonts w:ascii="Arial" w:cs="Arial" w:eastAsia="Arial" w:hAnsi="Arial"/>
          <w:sz w:val="18"/>
          <w:szCs w:val="18"/>
          <w:b w:val="1"/>
          <w:bCs w:val="1"/>
          <w:color w:val="auto"/>
        </w:rPr>
        <w:t>THIS DISCUSSION IS ONLY A SUMMARY OF CERTAIN U.S. FEDERAL INCOME TAX CONSIDERATIONS ASSOCIATED WITH THE ACQUISITION, OWNERSHIP AND DISPOSITION OF OUR SECURITIES. EACH PROSPECTIVE INVESTOR IN OUR SECURITIES IS URGED TO CONSULT ITS OWN TAX ADVISOR WITH RESPECT TO THE PARTICULAR TAX CONSEQUENCES TO SUCH INVESTOR OF THE ACQUISITION, OWNERSHIP AND DISPOSITION OF OUR SECURITIES, INCLUDING THE APPLICABILITY AND EFFECT OF ANY U.S. FEDERAL NON-INCOME, STATE, LOCAL, AND NON-U.S. TAX LAWS.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Personal Holding Company Status</w:t>
      </w:r>
    </w:p>
    <w:p>
      <w:pPr>
        <w:spacing w:after="0" w:line="146" w:lineRule="exact"/>
        <w:rPr>
          <w:sz w:val="20"/>
          <w:szCs w:val="20"/>
          <w:color w:val="auto"/>
        </w:rPr>
      </w:pPr>
    </w:p>
    <w:p>
      <w:pPr>
        <w:ind w:left="460" w:right="479"/>
        <w:spacing w:after="0" w:line="239" w:lineRule="auto"/>
        <w:rPr>
          <w:sz w:val="20"/>
          <w:szCs w:val="20"/>
          <w:color w:val="auto"/>
        </w:rPr>
      </w:pPr>
      <w:r>
        <w:rPr>
          <w:rFonts w:ascii="Arial" w:cs="Arial" w:eastAsia="Arial" w:hAnsi="Arial"/>
          <w:sz w:val="18"/>
          <w:szCs w:val="18"/>
          <w:color w:val="auto"/>
        </w:rPr>
        <w:t>We could be subject to a second level of U.S. federal income tax on a portion of our income if we are determined to be a personal holding company, or PHC, for U.S. federal income tax purposes. A U.S. corporation generally will be classified as a PHC for U.S. federal income tax purposes in a given taxable year if (i) at any time during the last half of such taxable year, five or fewer individuals (without regard to their citizenship or residency and including as individuals for this purpose certain entities such as certain tax-exempt organizations, pension funds and charitable trusts) own or are deemed to own (pursuant to certain constructive ownership rules) more than 50% of the stock of the corporation by value and (ii) at least 60% of the corporation’s adjusted ordinary gross income, as determined for U.S. federal income tax purposes, for such taxable year consists of PHC income (which includes, among other things, dividends, interest, certain royalties, annuities and, under certain circumstances, rents).</w:t>
      </w:r>
    </w:p>
    <w:p>
      <w:pPr>
        <w:spacing w:after="0" w:line="95" w:lineRule="exact"/>
        <w:rPr>
          <w:sz w:val="20"/>
          <w:szCs w:val="20"/>
          <w:color w:val="auto"/>
        </w:rPr>
      </w:pPr>
    </w:p>
    <w:p>
      <w:pPr>
        <w:ind w:left="460" w:right="499"/>
        <w:spacing w:after="0"/>
        <w:rPr>
          <w:sz w:val="20"/>
          <w:szCs w:val="20"/>
          <w:color w:val="auto"/>
        </w:rPr>
      </w:pPr>
      <w:r>
        <w:rPr>
          <w:rFonts w:ascii="Arial" w:cs="Arial" w:eastAsia="Arial" w:hAnsi="Arial"/>
          <w:sz w:val="18"/>
          <w:szCs w:val="18"/>
          <w:color w:val="auto"/>
        </w:rPr>
        <w:t>At least 60% of our adjusted ordinary gross income may consist of PHC income, depending on the date and size of our initial business combination. In addition, depending on the concentration of our stock in the hands of individuals, including the members of our sponsor and certain tax-exempt organizations, pension funds and charitable trusts, more than 50% of our stock may be owned or deemed owned (pursuant to the constructive ownership rules) by such persons during the last half of a taxable year. Thus, no assurance can be given that we will not be a PHC following this offering or in the future. If we are or were to become a PHC in a given taxable year, we would be subject to an additional PHC tax, currently imposed at a rate of 20%, on our undistributed PHC income, which generally includes our taxable income, subject to certain adjustments.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Allocation of Purchase Price and Characterization of a Unit</w:t>
      </w:r>
    </w:p>
    <w:p>
      <w:pPr>
        <w:spacing w:after="0" w:line="146"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No statutory, administrative or judicial authority directly addresses the treatment of a unit or any instrument similar to a unit for U.S. federal income tax purposes and, therefore, that treatment is not entirely clear. The acquisition of a unit should be treated for U.S. federal income tax purposes as the acquisition of one share of our Class A common stock and one-third of one warrant to acquire one share of our Class A common stock. For U.S. federal income tax purposes, each holder of a unit must allocate the purchase price paid by such holder for such unit between the one share of Class A common stock and the one-third of one warrant based on the relative fair market value of each at the time of issuance. Under U.S. federal income tax law, each investor must make his or her own determination of such value based on all the relevant facts and circumstances. Therefore, we strongly urge each investor to consult his or her tax advisor regarding the determination of value for these purposes. The price allocated to each share of Class A common stock and the one-third of one warrant should be the stockholder’s tax basis in such share or warrant, as the case may be. Any disposition of a unit should be treated for U.S. federal income tax purposes as a disposition of the share of Class A common stock and one-third of one warrant comprising the unit, and the amount realized on the disposition should be allocated between the share of Class A common stock and the one-third of one warrant based on their respective relative fair market values (as determined by each such unit holder based on all the relevant facts and circumstances) at the time of disposition. The separation of shares of Class A common stock and warrants comprising units and the combination of three thirds of warrants into a single warrant should not be a taxable event for U.S. federal income tax purposes.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38" w:right="1440" w:bottom="1440" w:gutter="0" w:footer="0" w:header="0"/>
        </w:sectPr>
      </w:pPr>
    </w:p>
    <w:bookmarkStart w:id="138" w:name="page139"/>
    <w:bookmarkEnd w:id="138"/>
    <w:p>
      <w:pPr>
        <w:jc w:val="both"/>
        <w:ind w:left="460" w:right="559"/>
        <w:spacing w:after="0" w:line="241" w:lineRule="auto"/>
        <w:rPr>
          <w:sz w:val="20"/>
          <w:szCs w:val="20"/>
          <w:color w:val="auto"/>
        </w:rPr>
      </w:pPr>
      <w:r>
        <w:rPr>
          <w:rFonts w:ascii="Arial" w:cs="Arial" w:eastAsia="Arial" w:hAnsi="Arial"/>
          <w:sz w:val="18"/>
          <w:szCs w:val="18"/>
          <w:color w:val="auto"/>
        </w:rPr>
        <w:t>The foregoing treatment of the units, shares of Class A common stock and warrants and a holder’s purchase price allocation are not binding on the IRS or the courts. Because there are no authorities that directly address instruments that are similar to the units, no assurance can be given that the IRS or the courts will agree with the characterization described above or the discussion below.</w:t>
      </w:r>
    </w:p>
    <w:p>
      <w:pPr>
        <w:spacing w:after="0" w:line="1" w:lineRule="exact"/>
        <w:rPr>
          <w:sz w:val="20"/>
          <w:szCs w:val="20"/>
          <w:color w:val="auto"/>
        </w:rPr>
      </w:pPr>
    </w:p>
    <w:p>
      <w:pPr>
        <w:ind w:left="460" w:right="919"/>
        <w:spacing w:after="0"/>
        <w:rPr>
          <w:sz w:val="20"/>
          <w:szCs w:val="20"/>
          <w:color w:val="auto"/>
        </w:rPr>
      </w:pPr>
      <w:r>
        <w:rPr>
          <w:rFonts w:ascii="Arial" w:cs="Arial" w:eastAsia="Arial" w:hAnsi="Arial"/>
          <w:sz w:val="18"/>
          <w:szCs w:val="18"/>
          <w:color w:val="auto"/>
        </w:rPr>
        <w:t>Accordingly, each prospective investor is urged to consult its own tax advisors regarding the tax consequences of an investment in a unit (including alternative characterizations of a unit). The balance of this discussion assumes that the characterization of the units described above will be respected for U.S. federal income tax purposes.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 Holders</w:t>
      </w:r>
    </w:p>
    <w:p>
      <w:pPr>
        <w:spacing w:after="0" w:line="133" w:lineRule="exact"/>
        <w:rPr>
          <w:sz w:val="20"/>
          <w:szCs w:val="20"/>
          <w:color w:val="auto"/>
        </w:rPr>
      </w:pPr>
    </w:p>
    <w:p>
      <w:pPr>
        <w:ind w:left="460" w:right="599"/>
        <w:spacing w:after="0" w:line="273" w:lineRule="auto"/>
        <w:rPr>
          <w:sz w:val="20"/>
          <w:szCs w:val="20"/>
          <w:color w:val="auto"/>
        </w:rPr>
      </w:pPr>
      <w:r>
        <w:rPr>
          <w:rFonts w:ascii="Arial" w:cs="Arial" w:eastAsia="Arial" w:hAnsi="Arial"/>
          <w:sz w:val="17"/>
          <w:szCs w:val="17"/>
          <w:color w:val="auto"/>
        </w:rPr>
        <w:t>This section applies to you if you are a “U.S. holder.” A U.S. holder is a beneficial owner of our units, shares of Class A common stock or warrants who or that is, for U.S. federal income tax purposes:</w:t>
      </w:r>
    </w:p>
    <w:p>
      <w:pPr>
        <w:spacing w:after="0" w:line="1" w:lineRule="exact"/>
        <w:rPr>
          <w:sz w:val="20"/>
          <w:szCs w:val="20"/>
          <w:color w:val="auto"/>
        </w:rPr>
      </w:pPr>
    </w:p>
    <w:p>
      <w:pPr>
        <w:ind w:left="1100" w:hanging="322"/>
        <w:spacing w:after="0"/>
        <w:tabs>
          <w:tab w:leader="none" w:pos="11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36" w:lineRule="exact"/>
        <w:rPr>
          <w:rFonts w:ascii="Arial" w:cs="Arial" w:eastAsia="Arial" w:hAnsi="Arial"/>
          <w:sz w:val="18"/>
          <w:szCs w:val="18"/>
          <w:color w:val="auto"/>
        </w:rPr>
      </w:pPr>
    </w:p>
    <w:p>
      <w:pPr>
        <w:ind w:left="1100" w:right="679" w:hanging="322"/>
        <w:spacing w:after="0" w:line="258" w:lineRule="auto"/>
        <w:tabs>
          <w:tab w:leader="none" w:pos="1089"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organized in or under the laws of the United States, any state thereof or the District of Columbia;</w:t>
      </w:r>
    </w:p>
    <w:p>
      <w:pPr>
        <w:ind w:left="1100" w:right="1079" w:hanging="322"/>
        <w:spacing w:after="0" w:line="250" w:lineRule="auto"/>
        <w:tabs>
          <w:tab w:leader="none" w:pos="1089"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jc w:val="both"/>
        <w:ind w:left="1100" w:right="679" w:hanging="322"/>
        <w:spacing w:after="0" w:line="248" w:lineRule="auto"/>
        <w:tabs>
          <w:tab w:leader="none" w:pos="1089"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the trust and one or more United States persons (as defined in the Code) have authority to control all substantial decisions of the trust or (ii) it has a valid election in effect under Treasury Regulations to be treated as a U.S. person.</w:t>
      </w:r>
    </w:p>
    <w:p>
      <w:pPr>
        <w:spacing w:after="0" w:line="103" w:lineRule="exact"/>
        <w:rPr>
          <w:sz w:val="20"/>
          <w:szCs w:val="20"/>
          <w:color w:val="auto"/>
        </w:rPr>
      </w:pPr>
    </w:p>
    <w:p>
      <w:pPr>
        <w:ind w:left="460" w:right="499"/>
        <w:spacing w:after="0" w:line="239" w:lineRule="auto"/>
        <w:rPr>
          <w:sz w:val="20"/>
          <w:szCs w:val="20"/>
          <w:color w:val="auto"/>
        </w:rPr>
      </w:pPr>
      <w:r>
        <w:rPr>
          <w:rFonts w:ascii="Arial" w:cs="Arial" w:eastAsia="Arial" w:hAnsi="Arial"/>
          <w:sz w:val="18"/>
          <w:szCs w:val="18"/>
          <w:i w:val="1"/>
          <w:iCs w:val="1"/>
          <w:color w:val="auto"/>
        </w:rPr>
        <w:t xml:space="preserve">Taxation of Distributions. </w:t>
      </w:r>
      <w:r>
        <w:rPr>
          <w:rFonts w:ascii="Arial" w:cs="Arial" w:eastAsia="Arial" w:hAnsi="Arial"/>
          <w:sz w:val="18"/>
          <w:szCs w:val="18"/>
          <w:color w:val="auto"/>
        </w:rPr>
        <w:t>If we pay distributions in cash or other property (other than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distributions of our stock or rights to acquire our stock) to U.S. holders of shares of our Class A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Class A common stock. Any remaining excess will be treated as gain realized on the sale or other disposition of the Class A common stock and will be treated as described under “U.S. Holders — Gain or Loss on Sale, Taxable Exchange or Other Taxable Disposition of Class A Common Stock and Warrants” below.</w:t>
      </w:r>
    </w:p>
    <w:p>
      <w:pPr>
        <w:spacing w:after="0" w:line="99" w:lineRule="exact"/>
        <w:rPr>
          <w:sz w:val="20"/>
          <w:szCs w:val="20"/>
          <w:color w:val="auto"/>
        </w:rPr>
      </w:pPr>
    </w:p>
    <w:p>
      <w:pPr>
        <w:ind w:left="460" w:right="559"/>
        <w:spacing w:after="0" w:line="238" w:lineRule="auto"/>
        <w:rPr>
          <w:sz w:val="20"/>
          <w:szCs w:val="20"/>
          <w:color w:val="auto"/>
        </w:rPr>
      </w:pPr>
      <w:r>
        <w:rPr>
          <w:rFonts w:ascii="Arial" w:cs="Arial" w:eastAsia="Arial" w:hAnsi="Arial"/>
          <w:sz w:val="18"/>
          <w:szCs w:val="18"/>
          <w:color w:val="auto"/>
        </w:rPr>
        <w:t>Dividends we pay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 income” that will be subject to tax at the maximum tax rate accorded to long-term capital gains. It is unclear whether the redemption rights with respect to the Class A common stock described in this prospectus may prevent a U.S. holder from satisfying the applicable holding period requirements with respect to the dividends received deduction or the preferential tax rate on qualified dividend income, as the case may be. If the holding period requirements are not satisfied, then a corporation may not be able to qualify for the dividends received deduction and would have taxable income equal to the entire dividend amount, and non-corporate U.S. holders may be subject to tax on such dividend at regular ordinary income tax rates instead of the preferential rate that applies to qualified dividend income.</w:t>
      </w:r>
    </w:p>
    <w:p>
      <w:pPr>
        <w:spacing w:after="0" w:line="115" w:lineRule="exact"/>
        <w:rPr>
          <w:sz w:val="20"/>
          <w:szCs w:val="20"/>
          <w:color w:val="auto"/>
        </w:rPr>
      </w:pPr>
    </w:p>
    <w:p>
      <w:pPr>
        <w:ind w:left="460" w:right="479"/>
        <w:spacing w:after="0" w:line="250" w:lineRule="auto"/>
        <w:rPr>
          <w:sz w:val="20"/>
          <w:szCs w:val="20"/>
          <w:color w:val="auto"/>
        </w:rPr>
      </w:pPr>
      <w:r>
        <w:rPr>
          <w:rFonts w:ascii="Arial" w:cs="Arial" w:eastAsia="Arial" w:hAnsi="Arial"/>
          <w:sz w:val="17"/>
          <w:szCs w:val="17"/>
          <w:i w:val="1"/>
          <w:iCs w:val="1"/>
          <w:color w:val="auto"/>
        </w:rPr>
        <w:t xml:space="preserve">Gain or Loss on Sale, Taxable Exchange or Other Taxable Disposition of Class A Common Stock and Warrants. </w:t>
      </w:r>
      <w:r>
        <w:rPr>
          <w:rFonts w:ascii="Arial" w:cs="Arial" w:eastAsia="Arial" w:hAnsi="Arial"/>
          <w:sz w:val="17"/>
          <w:szCs w:val="17"/>
          <w:color w:val="auto"/>
        </w:rPr>
        <w:t>Upon a sale or other taxable disposition of our Class A common stock or warrants (which,</w:t>
      </w:r>
      <w:r>
        <w:rPr>
          <w:rFonts w:ascii="Arial" w:cs="Arial" w:eastAsia="Arial" w:hAnsi="Arial"/>
          <w:sz w:val="17"/>
          <w:szCs w:val="17"/>
          <w:i w:val="1"/>
          <w:iCs w:val="1"/>
          <w:color w:val="auto"/>
        </w:rPr>
        <w:t xml:space="preserve"> </w:t>
      </w:r>
      <w:r>
        <w:rPr>
          <w:rFonts w:ascii="Arial" w:cs="Arial" w:eastAsia="Arial" w:hAnsi="Arial"/>
          <w:sz w:val="17"/>
          <w:szCs w:val="17"/>
          <w:color w:val="auto"/>
        </w:rPr>
        <w:t>in general, would include a redemption of Class A common stock or warrants that is treated as a sale of such securities as described below, including as a result of a dissolution and liquidation in the event we do not consummate an initial business combination within the required time period), a U.S. holder generally will recognize capital gain or loss in an amount equal to the difference between the amount realized and the U.S. holder’s adjusted tax basis in the Class A common stock or warrants. Any such capital gain or loss generally will be long-term capital gain or loss if the U.S. holder’s holding period for the Class A common stock or warrants so disposed of exceeds one year. It is unclear, however, whether the redemption rights with respect to the Class A common stock described in this prospectus may suspend the running of the applicable holding period for this purpose. If the running of the holding period for the Class A common stock is suspended, then non-corporate</w:t>
      </w:r>
    </w:p>
    <w:p>
      <w:pPr>
        <w:spacing w:after="0" w:line="7" w:lineRule="exact"/>
        <w:rPr>
          <w:sz w:val="20"/>
          <w:szCs w:val="20"/>
          <w:color w:val="auto"/>
        </w:rPr>
      </w:pPr>
    </w:p>
    <w:p>
      <w:pPr>
        <w:jc w:val="both"/>
        <w:ind w:left="460" w:right="499"/>
        <w:spacing w:after="0" w:line="242" w:lineRule="auto"/>
        <w:rPr>
          <w:sz w:val="20"/>
          <w:szCs w:val="20"/>
          <w:color w:val="auto"/>
        </w:rPr>
      </w:pPr>
      <w:r>
        <w:rPr>
          <w:rFonts w:ascii="Arial" w:cs="Arial" w:eastAsia="Arial" w:hAnsi="Arial"/>
          <w:sz w:val="18"/>
          <w:szCs w:val="18"/>
          <w:color w:val="auto"/>
        </w:rPr>
        <w:t>U.S. holders may not be able to satisfy the one-year holding period requirement for long-term capital gain treatment, in which case any gain on a sale or taxable disposition of the shares would be subject to short-term capital gain</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9" w:name="page140"/>
    <w:bookmarkEnd w:id="139"/>
    <w:p>
      <w:pPr>
        <w:jc w:val="both"/>
        <w:ind w:left="460" w:right="1279"/>
        <w:spacing w:after="0" w:line="255" w:lineRule="auto"/>
        <w:rPr>
          <w:sz w:val="20"/>
          <w:szCs w:val="20"/>
          <w:color w:val="auto"/>
        </w:rPr>
      </w:pPr>
      <w:r>
        <w:rPr>
          <w:rFonts w:ascii="Arial" w:cs="Arial" w:eastAsia="Arial" w:hAnsi="Arial"/>
          <w:sz w:val="18"/>
          <w:szCs w:val="18"/>
          <w:color w:val="auto"/>
        </w:rPr>
        <w:t>treatment and would be taxed at regular ordinary income tax rates. Long-term capital gains recognized by non-corporate U.S. holders may be eligible to be taxed at reduced rates. The deductibility of capital losses is subject to limitations.</w:t>
      </w:r>
    </w:p>
    <w:p>
      <w:pPr>
        <w:spacing w:after="0" w:line="83"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Generally, the amount of gain or loss recognized by a U.S. holder is an amount equal to the difference between (i) the sum of the amount of cash and the fair market value of any property received in such disposition (or, if the Class A common stock or warrants are held as part of units at the time of the disposition, the portion of the amount realized on such disposition that is allocated to the Class A common stock or the warrants based upon the then relative fair market values of the Class A common stock and the warrants included in the units) and (ii) the U.S. holder’s adjusted tax basis in its Class A common stock or warrants so disposed of. A U.S. holder’s adjusted tax basis in its Class A common stock or warrants generally will equal the U.S. holder’s acquisition cost (that is, as discussed above, the portion of the purchase price of a unit allocated to a share of Class A common stock or one-third of one warrant or, as discussed below, the U.S. holder’s initial basis for Class A common stock received upon exercise of warrants) less, in the case of a share of Class A common stock, any prior distributions treated as a return of capital.</w:t>
      </w:r>
    </w:p>
    <w:p>
      <w:pPr>
        <w:spacing w:after="0" w:line="115"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i w:val="1"/>
          <w:iCs w:val="1"/>
          <w:color w:val="auto"/>
        </w:rPr>
        <w:t xml:space="preserve">Redemption of Class A Common Stock. </w:t>
      </w:r>
      <w:r>
        <w:rPr>
          <w:rFonts w:ascii="Arial" w:cs="Arial" w:eastAsia="Arial" w:hAnsi="Arial"/>
          <w:sz w:val="18"/>
          <w:szCs w:val="18"/>
          <w:color w:val="auto"/>
        </w:rPr>
        <w:t>In the event that a U.S. holder’s Class A common stock is</w:t>
      </w:r>
      <w:r>
        <w:rPr>
          <w:rFonts w:ascii="Arial" w:cs="Arial" w:eastAsia="Arial" w:hAnsi="Arial"/>
          <w:sz w:val="18"/>
          <w:szCs w:val="18"/>
          <w:i w:val="1"/>
          <w:iCs w:val="1"/>
          <w:color w:val="auto"/>
        </w:rPr>
        <w:t xml:space="preserve"> </w:t>
      </w:r>
      <w:r>
        <w:rPr>
          <w:rFonts w:ascii="Arial" w:cs="Arial" w:eastAsia="Arial" w:hAnsi="Arial"/>
          <w:sz w:val="18"/>
          <w:szCs w:val="18"/>
          <w:color w:val="auto"/>
        </w:rPr>
        <w:t>redeemed pursuant to the redemption provisions described in this prospectus under the section of this prospectus entitled “Description of Securities — Common Stock” or if we purchase a U.S. holder’s Class A common stock in an open market transaction (such open market transaction referred to as a “redemption” for the remainder of this discussion), the treatment of the transaction for U.S. federal income tax purposes will depend on whether the redemption qualifies as a sale of Class A common stock under Section 302 of the Code. If the redemption qualifies as a sale of Class A common stock, the U.S. holder will be treated as described under “U.S. Holders — Gain or Loss on Sale, Taxable Exchange or Other Taxable Disposition of Class A Common Stock and Warrants” above. If the redemption does not qualify as a sale of Class A common stock, the U.S. holder will be treated as receiving a corporate distribution with the tax consequences described above under “U.S. Holders — Taxation of Distributions.” Whether a redemption qualifies for sale treatment will depend largely on the total number of shares of our stock treated as held by the U.S. holder (including any stock constructively owned by the U.S. holder as a result of owning warrants) relative to all of our shares outstanding both before and after the redemption. The redemption of Class A common stock generally will be treated as a sale of the Class A common stock (rather than as a corporate distribution) if the redemption (i) is “substantially disproportionate” with respect to the U.S. holder,</w:t>
      </w:r>
    </w:p>
    <w:p>
      <w:pPr>
        <w:spacing w:after="0" w:line="4" w:lineRule="exact"/>
        <w:rPr>
          <w:sz w:val="20"/>
          <w:szCs w:val="20"/>
          <w:color w:val="auto"/>
        </w:rPr>
      </w:pPr>
    </w:p>
    <w:p>
      <w:pPr>
        <w:ind w:left="460" w:right="619" w:hanging="6"/>
        <w:spacing w:after="0" w:line="279" w:lineRule="auto"/>
        <w:tabs>
          <w:tab w:leader="none" w:pos="710" w:val="left"/>
        </w:tabs>
        <w:numPr>
          <w:ilvl w:val="0"/>
          <w:numId w:val="75"/>
        </w:numPr>
        <w:rPr>
          <w:rFonts w:ascii="Arial" w:cs="Arial" w:eastAsia="Arial" w:hAnsi="Arial"/>
          <w:sz w:val="17"/>
          <w:szCs w:val="17"/>
          <w:color w:val="auto"/>
        </w:rPr>
      </w:pPr>
      <w:r>
        <w:rPr>
          <w:rFonts w:ascii="Arial" w:cs="Arial" w:eastAsia="Arial" w:hAnsi="Arial"/>
          <w:sz w:val="17"/>
          <w:szCs w:val="17"/>
          <w:color w:val="auto"/>
        </w:rPr>
        <w:t>results in a “complete termination” of the U.S. holder’s interest in us or (iii) is “not essentially equivalent to a dividend” with respect to the U.S. holder. These tests are explained more fully below.</w:t>
      </w:r>
    </w:p>
    <w:p>
      <w:pPr>
        <w:spacing w:after="0" w:line="77"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In determining whether any of the foregoing tests are satisfied, a U.S. holder takes into account not only stock actually owned by the U.S. holder, but also shares of our stock that are constructively owned by it. A U.S. holder may constructively own, in addition to stock owned directly, stock owned by certain related individuals and entities in which the U.S. holder has an interest or that have an interest in such U.S. holder, as well as any stock the U.S. holder has a right to acquire by exercise of an option, which would generally include Class A common stock which could be acquired pursuant to the exercise of the warrants. In order to meet the substantially disproportionate test, the percentage of our outstanding voting stock actually and constructively owned by the U.S. holder immediately following the redemption of Class A common stock must, among other requirements, be less than 80% of the percentage of our outstanding voting stock actually and constructively owned by the U.S. holder immediately before the redemption. There will be a complete termination of a U.S. holder’s interest if either (i) all of the shares of our stock actually and constructively owned by the U.S. holder are redeemed or (ii) all of the shares of our stock actually owned by the U.S. holder are redeemed and the U.S. holder is eligible to waive, and effectively waives in accordance with specific rules, the attribution of stock owned by certain family members and the U.S. holder does not constructively own any other shares of our stock (including any stock constructively owned by the U.S. holder as a result of owning warrants). The redemption of the Class A common stock will not be essentially equivalent to a dividend if a U.S. holder’s redemption results in a “meaningful reduction” of the U.S. holder’s proportionate interest in us. Whether the redemption will result in a meaningful reduction in a U.S. holder’s proportionate interest in us will depend on the particular facts and circumstances. However, the IRS has indicated in a published ruling that even a small reduction in the proportionate interest of a small minority stockholder in a publicly held corporation who exercises no control over corporate affairs may constitute such a “meaningful reduction.” A U.S. holder should consult with its own tax advisors as to the tax consequences of a redemption.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0" w:name="page141"/>
    <w:bookmarkEnd w:id="140"/>
    <w:p>
      <w:pPr>
        <w:ind w:left="460" w:right="559"/>
        <w:spacing w:after="0" w:line="243" w:lineRule="auto"/>
        <w:rPr>
          <w:sz w:val="20"/>
          <w:szCs w:val="20"/>
          <w:color w:val="auto"/>
        </w:rPr>
      </w:pPr>
      <w:r>
        <w:rPr>
          <w:rFonts w:ascii="Arial" w:cs="Arial" w:eastAsia="Arial" w:hAnsi="Arial"/>
          <w:sz w:val="18"/>
          <w:szCs w:val="18"/>
          <w:color w:val="auto"/>
        </w:rPr>
        <w:t>If none of the foregoing tests is satisfied, then the redemption will be treated as a corporate distribution and the tax effects will be as described under “U.S. Holders — Taxation of Distributions,” above. After the application of those rules, any remaining tax basis of the U.S. holder in the redeemed Class A common stock will be added to the U.S. holder’s adjusted tax basis in its remaining stock, or, if it has none, to the U.S. holder’s adjusted tax basis in its warrants or possibly in other stock constructively owned by it.</w:t>
      </w:r>
    </w:p>
    <w:p>
      <w:pPr>
        <w:spacing w:after="0" w:line="93" w:lineRule="exact"/>
        <w:rPr>
          <w:sz w:val="20"/>
          <w:szCs w:val="20"/>
          <w:color w:val="auto"/>
        </w:rPr>
      </w:pPr>
    </w:p>
    <w:p>
      <w:pPr>
        <w:ind w:left="460" w:right="459"/>
        <w:spacing w:after="0" w:line="239" w:lineRule="auto"/>
        <w:rPr>
          <w:sz w:val="20"/>
          <w:szCs w:val="20"/>
          <w:color w:val="auto"/>
        </w:rPr>
      </w:pPr>
      <w:r>
        <w:rPr>
          <w:rFonts w:ascii="Arial" w:cs="Arial" w:eastAsia="Arial" w:hAnsi="Arial"/>
          <w:sz w:val="18"/>
          <w:szCs w:val="18"/>
          <w:i w:val="1"/>
          <w:iCs w:val="1"/>
          <w:color w:val="auto"/>
        </w:rPr>
        <w:t xml:space="preserve">Exercise, Lapse or Redemption of a Warrant. </w:t>
      </w:r>
      <w:r>
        <w:rPr>
          <w:rFonts w:ascii="Arial" w:cs="Arial" w:eastAsia="Arial" w:hAnsi="Arial"/>
          <w:sz w:val="18"/>
          <w:szCs w:val="18"/>
          <w:color w:val="auto"/>
        </w:rPr>
        <w:t>A U.S. holder generally will not recognize taxable gain</w:t>
      </w:r>
      <w:r>
        <w:rPr>
          <w:rFonts w:ascii="Arial" w:cs="Arial" w:eastAsia="Arial" w:hAnsi="Arial"/>
          <w:sz w:val="18"/>
          <w:szCs w:val="18"/>
          <w:i w:val="1"/>
          <w:iCs w:val="1"/>
          <w:color w:val="auto"/>
        </w:rPr>
        <w:t xml:space="preserve"> </w:t>
      </w:r>
      <w:r>
        <w:rPr>
          <w:rFonts w:ascii="Arial" w:cs="Arial" w:eastAsia="Arial" w:hAnsi="Arial"/>
          <w:sz w:val="18"/>
          <w:szCs w:val="18"/>
          <w:color w:val="auto"/>
        </w:rPr>
        <w:t>or loss on the acquisition of our Class A common stock upon exercise of a warrant for cash. The U.S. holder’s tax basis in the share of our Class A common stock received upon exercise of the warrant generally will be an amount equal to the sum of the U.S. holder’s initial investment in the warrant (i.e., the portion of the U.S. holder’s purchase price for units that is allocated to the warrant, as described above under “— Allocation of Purchase Price and Characterization of a Unit”) and the exercise price. It is unclear whether the U.S. holder’s holding period for the Class A common stock received upon exercise of the warrants will begin on the date following the date of exercise or on the date of exercise of the warrants; in either case, the holding period will not include the period during which the U.S. holder held the warrants. If a warrant is allowed to lapse unexercised, a U.S. holder generally will recognize a capital loss equal to such holder’s tax basis in the warrant.</w:t>
      </w:r>
    </w:p>
    <w:p>
      <w:pPr>
        <w:spacing w:after="0" w:line="109" w:lineRule="exact"/>
        <w:rPr>
          <w:sz w:val="20"/>
          <w:szCs w:val="20"/>
          <w:color w:val="auto"/>
        </w:rPr>
      </w:pPr>
    </w:p>
    <w:p>
      <w:pPr>
        <w:ind w:left="460" w:right="499"/>
        <w:spacing w:after="0" w:line="239" w:lineRule="auto"/>
        <w:rPr>
          <w:sz w:val="20"/>
          <w:szCs w:val="20"/>
          <w:color w:val="auto"/>
        </w:rPr>
      </w:pPr>
      <w:r>
        <w:rPr>
          <w:rFonts w:ascii="Arial" w:cs="Arial" w:eastAsia="Arial" w:hAnsi="Arial"/>
          <w:sz w:val="18"/>
          <w:szCs w:val="18"/>
          <w:color w:val="auto"/>
        </w:rPr>
        <w:t>The tax consequences of a cashless exercise of a warrant are not clear under current tax law. A cashless exercise may be tax-free, either because the exercise is not a realization event or because the exercise is treated as a recapitalization for U.S. federal income tax purposes. In either tax-free situation, a U.S. holder’s basis in the Class A common stock received would equal the holder’s basis in the warrants exercised therefor. If the cashless exercise were treated as not being a realization event, it is unclear whether a U.S. holder’s holding period in the Class A common stock would be treated as commencing on the date following the date of exercise or on the date of exercise of the warrant; in either case, the holding period would not include the period during which the U.S. holder held the warrants. If the cashless exercise were treated as a recapitalization, the holding period of the Class A common stock would include the holding period of the warrants exercised therefor.</w:t>
      </w:r>
    </w:p>
    <w:p>
      <w:pPr>
        <w:spacing w:after="0" w:line="112"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It is also possible that a cashless exercise could be treated as a taxable exchange in which gain or loss would be recognized. In such event, a U.S. holder could be deemed to have surrendered a number of warrants equal to the number of shares of Class A common stock having a value equal to the exercise price for the total number of warrants to be exercised. The U.S. holder would recognize capital gain or loss in an amount equal to the difference between the fair market value of the Class A common stock received in respect of the warrants deemed surrendered and the U.S. holder’s tax basis in the warrants deemed surrendered. In this case, a U.S. holder’s aggregate tax basis in the Class A common stock received would equal the sum of the fair market value of the Class A common stock received in respect of the warrants deemed surrendered and the U.S. holder’s tax basis in the warrants exercised. It is unclear whether a U.S. holder’s holding period for the Class A common stock would commence on the date following the date of exercise or on the date of exercise of the warrant; in either case, the holding period would not include the period during which the U.S. holder held the warrant.</w:t>
      </w:r>
    </w:p>
    <w:p>
      <w:pPr>
        <w:spacing w:after="0" w:line="99" w:lineRule="exact"/>
        <w:rPr>
          <w:sz w:val="20"/>
          <w:szCs w:val="20"/>
          <w:color w:val="auto"/>
        </w:rPr>
      </w:pPr>
    </w:p>
    <w:p>
      <w:pPr>
        <w:ind w:left="460" w:right="599"/>
        <w:spacing w:after="0" w:line="243" w:lineRule="auto"/>
        <w:rPr>
          <w:sz w:val="20"/>
          <w:szCs w:val="20"/>
          <w:color w:val="auto"/>
        </w:rPr>
      </w:pPr>
      <w:r>
        <w:rPr>
          <w:rFonts w:ascii="Arial" w:cs="Arial" w:eastAsia="Arial" w:hAnsi="Arial"/>
          <w:sz w:val="18"/>
          <w:szCs w:val="18"/>
          <w:color w:val="auto"/>
        </w:rPr>
        <w:t>Due to the absence of authority on the U.S. federal income tax treatment of a cashless exercise, including when a U.S. holder’s holding period would commence with respect to the Class A common stock received, there can be no assurance regarding which, if any, of the alternative tax consequences and holding periods described above would be adopted by the IRS or a court of law. Accordingly, U.S. holders should consult their tax advisors regarding the tax consequences of a cashless exercise.</w:t>
      </w:r>
    </w:p>
    <w:p>
      <w:pPr>
        <w:spacing w:after="0" w:line="106" w:lineRule="exact"/>
        <w:rPr>
          <w:sz w:val="20"/>
          <w:szCs w:val="20"/>
          <w:color w:val="auto"/>
        </w:rPr>
      </w:pPr>
    </w:p>
    <w:p>
      <w:pPr>
        <w:ind w:left="460" w:right="519"/>
        <w:spacing w:after="0" w:line="243" w:lineRule="auto"/>
        <w:rPr>
          <w:sz w:val="20"/>
          <w:szCs w:val="20"/>
          <w:color w:val="auto"/>
        </w:rPr>
      </w:pPr>
      <w:r>
        <w:rPr>
          <w:rFonts w:ascii="Arial" w:cs="Arial" w:eastAsia="Arial" w:hAnsi="Arial"/>
          <w:sz w:val="18"/>
          <w:szCs w:val="18"/>
          <w:color w:val="auto"/>
        </w:rPr>
        <w:t>If we redeem warrants for cash pursuant to the redemption provisions described in the section of this prospectus entitled “Description of Securities — Warrants — Public Stockholders’ Warrants” or if we purchase warrants in an open market transaction, such redemption or purchase generally will be treated as a taxable disposition to the U.S. holder, taxed as described above under “U.S. Holders — Gain or Loss on Sale, Taxable Exchange or Other Taxable Disposition of Class A Common Stock and Warrants.”</w:t>
      </w:r>
    </w:p>
    <w:p>
      <w:pPr>
        <w:spacing w:after="0" w:line="106" w:lineRule="exact"/>
        <w:rPr>
          <w:sz w:val="20"/>
          <w:szCs w:val="20"/>
          <w:color w:val="auto"/>
        </w:rPr>
      </w:pPr>
    </w:p>
    <w:p>
      <w:pPr>
        <w:ind w:left="460" w:right="479"/>
        <w:spacing w:after="0"/>
        <w:rPr>
          <w:sz w:val="20"/>
          <w:szCs w:val="20"/>
          <w:color w:val="auto"/>
        </w:rPr>
      </w:pPr>
      <w:r>
        <w:rPr>
          <w:rFonts w:ascii="Arial" w:cs="Arial" w:eastAsia="Arial" w:hAnsi="Arial"/>
          <w:sz w:val="18"/>
          <w:szCs w:val="18"/>
          <w:i w:val="1"/>
          <w:iCs w:val="1"/>
          <w:color w:val="auto"/>
        </w:rPr>
        <w:t xml:space="preserve">Possible Constructive Distributions. </w:t>
      </w:r>
      <w:r>
        <w:rPr>
          <w:rFonts w:ascii="Arial" w:cs="Arial" w:eastAsia="Arial" w:hAnsi="Arial"/>
          <w:sz w:val="18"/>
          <w:szCs w:val="18"/>
          <w:color w:val="auto"/>
        </w:rPr>
        <w:t>The terms of each warrant provide for an adjustment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shares of Class A common stock for which the warrant may be exercised or to the exercise price of the warrant in certain events, as discussed in the section of this prospectus entitled “Description of Securities — Warrants — Public Stockholders’ Warrants.” An adjustment which has the effect of preventing dilution generally is not taxable. The U.S. holders of the warrants would, however, be treated as receiving a constructive distribution from us if, for example, the adjustment increases the warrant holders’ proportionate interest in our assets or earnings and profits (for example, through an increase in the number of shares of Class A common stock that would be obtained upon</w:t>
      </w:r>
    </w:p>
    <w:p>
      <w:pPr>
        <w:sectPr>
          <w:pgSz w:w="11900" w:h="16838" w:orient="portrait"/>
          <w:cols w:equalWidth="0" w:num="1">
            <w:col w:w="9019"/>
          </w:cols>
          <w:pgMar w:left="1440" w:top="265"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19050</wp:posOffset>
            </wp:positionV>
            <wp:extent cx="514350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41" w:name="page142"/>
    <w:bookmarkEnd w:id="141"/>
    <w:p>
      <w:pPr>
        <w:ind w:left="460" w:right="499"/>
        <w:spacing w:after="0" w:line="239" w:lineRule="auto"/>
        <w:rPr>
          <w:sz w:val="20"/>
          <w:szCs w:val="20"/>
          <w:color w:val="auto"/>
        </w:rPr>
      </w:pPr>
      <w:r>
        <w:rPr>
          <w:rFonts w:ascii="Arial" w:cs="Arial" w:eastAsia="Arial" w:hAnsi="Arial"/>
          <w:sz w:val="18"/>
          <w:szCs w:val="18"/>
          <w:color w:val="auto"/>
        </w:rPr>
        <w:t>exercise or through a decrease in the exercise price of the warrant), which adjustment may be made as a result of a distribution of cash or other property, such as other securities, to the holders of shares of our Class A common stock, or as a result of the issuance of a stock dividend to holders of shares of our Class A common stock, in each case which is taxable to the holders of such shares as a distribution. Such constructive distribution would be subject to tax as described under “U.S. Holders</w:t>
      </w:r>
    </w:p>
    <w:p>
      <w:pPr>
        <w:spacing w:after="0" w:line="4" w:lineRule="exact"/>
        <w:rPr>
          <w:sz w:val="20"/>
          <w:szCs w:val="20"/>
          <w:color w:val="auto"/>
        </w:rPr>
      </w:pPr>
    </w:p>
    <w:p>
      <w:pPr>
        <w:ind w:left="460" w:right="879"/>
        <w:spacing w:after="0" w:line="250" w:lineRule="auto"/>
        <w:rPr>
          <w:sz w:val="20"/>
          <w:szCs w:val="20"/>
          <w:color w:val="auto"/>
        </w:rPr>
      </w:pPr>
      <w:r>
        <w:rPr>
          <w:rFonts w:ascii="Arial" w:cs="Arial" w:eastAsia="Arial" w:hAnsi="Arial"/>
          <w:sz w:val="18"/>
          <w:szCs w:val="18"/>
          <w:color w:val="auto"/>
        </w:rPr>
        <w:t>— Taxation of Distributions” in the same manner as if the U.S. holders of the warrants received a cash distribution from us equal to the fair market value of such increased interest.</w:t>
      </w:r>
    </w:p>
    <w:p>
      <w:pPr>
        <w:spacing w:after="0" w:line="87" w:lineRule="exact"/>
        <w:rPr>
          <w:sz w:val="20"/>
          <w:szCs w:val="20"/>
          <w:color w:val="auto"/>
        </w:rPr>
      </w:pPr>
    </w:p>
    <w:p>
      <w:pPr>
        <w:ind w:left="460" w:right="559"/>
        <w:spacing w:after="0" w:line="243" w:lineRule="auto"/>
        <w:rPr>
          <w:sz w:val="20"/>
          <w:szCs w:val="20"/>
          <w:color w:val="auto"/>
        </w:rPr>
      </w:pPr>
      <w:r>
        <w:rPr>
          <w:rFonts w:ascii="Arial" w:cs="Arial" w:eastAsia="Arial" w:hAnsi="Arial"/>
          <w:sz w:val="18"/>
          <w:szCs w:val="18"/>
          <w:i w:val="1"/>
          <w:iCs w:val="1"/>
          <w:color w:val="auto"/>
        </w:rPr>
        <w:t xml:space="preserve">Information Reporting and Backup Withholding. </w:t>
      </w:r>
      <w:r>
        <w:rPr>
          <w:rFonts w:ascii="Arial" w:cs="Arial" w:eastAsia="Arial" w:hAnsi="Arial"/>
          <w:sz w:val="18"/>
          <w:szCs w:val="18"/>
          <w:color w:val="auto"/>
        </w:rPr>
        <w:t>In general, information reporting requirements may</w:t>
      </w:r>
      <w:r>
        <w:rPr>
          <w:rFonts w:ascii="Arial" w:cs="Arial" w:eastAsia="Arial" w:hAnsi="Arial"/>
          <w:sz w:val="18"/>
          <w:szCs w:val="18"/>
          <w:i w:val="1"/>
          <w:iCs w:val="1"/>
          <w:color w:val="auto"/>
        </w:rPr>
        <w:t xml:space="preserve"> </w:t>
      </w:r>
      <w:r>
        <w:rPr>
          <w:rFonts w:ascii="Arial" w:cs="Arial" w:eastAsia="Arial" w:hAnsi="Arial"/>
          <w:sz w:val="18"/>
          <w:szCs w:val="18"/>
          <w:color w:val="auto"/>
        </w:rPr>
        <w:t>apply to dividends paid to a U.S. holder and to the proceeds of the sale or other disposition of our units, shares of Class A common stock and warrants,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106" w:lineRule="exact"/>
        <w:rPr>
          <w:sz w:val="20"/>
          <w:szCs w:val="20"/>
          <w:color w:val="auto"/>
        </w:rPr>
      </w:pPr>
    </w:p>
    <w:p>
      <w:pPr>
        <w:ind w:left="460" w:right="479"/>
        <w:spacing w:after="0" w:line="255"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Non-U.S. Holders</w:t>
      </w:r>
    </w:p>
    <w:p>
      <w:pPr>
        <w:spacing w:after="0" w:line="146" w:lineRule="exact"/>
        <w:rPr>
          <w:sz w:val="20"/>
          <w:szCs w:val="20"/>
          <w:color w:val="auto"/>
        </w:rPr>
      </w:pPr>
    </w:p>
    <w:p>
      <w:pPr>
        <w:ind w:left="460" w:right="539"/>
        <w:spacing w:after="0" w:line="250" w:lineRule="auto"/>
        <w:rPr>
          <w:sz w:val="20"/>
          <w:szCs w:val="20"/>
          <w:color w:val="auto"/>
        </w:rPr>
      </w:pPr>
      <w:r>
        <w:rPr>
          <w:rFonts w:ascii="Arial" w:cs="Arial" w:eastAsia="Arial" w:hAnsi="Arial"/>
          <w:sz w:val="18"/>
          <w:szCs w:val="18"/>
          <w:color w:val="auto"/>
        </w:rPr>
        <w:t>This section applies to you if you are a “Non-U.S. holder.” As used herein, the term “Non-U.S. holder” means a beneficial owner of our units, Class A common stock or warrants who or that is for U.S. federal income tax purposes:</w:t>
      </w:r>
    </w:p>
    <w:p>
      <w:pPr>
        <w:spacing w:after="0" w:line="1" w:lineRule="exact"/>
        <w:rPr>
          <w:sz w:val="20"/>
          <w:szCs w:val="20"/>
          <w:color w:val="auto"/>
        </w:rPr>
      </w:pPr>
    </w:p>
    <w:p>
      <w:pPr>
        <w:ind w:left="1100" w:right="779" w:hanging="322"/>
        <w:spacing w:after="0" w:line="250" w:lineRule="auto"/>
        <w:tabs>
          <w:tab w:leader="none" w:pos="1089"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non-resident alien individual (other than certain former citizens and residents of the U.S. subject to U.S. tax as expatriates);</w:t>
      </w:r>
    </w:p>
    <w:p>
      <w:pPr>
        <w:ind w:left="1100" w:hanging="322"/>
        <w:spacing w:after="0"/>
        <w:tabs>
          <w:tab w:leader="none" w:pos="11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 estate or trust that is not a U.S. holder;</w:t>
      </w:r>
    </w:p>
    <w:p>
      <w:pPr>
        <w:spacing w:after="0" w:line="131" w:lineRule="exact"/>
        <w:rPr>
          <w:sz w:val="20"/>
          <w:szCs w:val="20"/>
          <w:color w:val="auto"/>
        </w:rPr>
      </w:pPr>
    </w:p>
    <w:p>
      <w:pPr>
        <w:ind w:left="460" w:right="659"/>
        <w:spacing w:after="0" w:line="248" w:lineRule="auto"/>
        <w:rPr>
          <w:sz w:val="20"/>
          <w:szCs w:val="20"/>
          <w:color w:val="auto"/>
        </w:rPr>
      </w:pPr>
      <w:r>
        <w:rPr>
          <w:rFonts w:ascii="Arial" w:cs="Arial" w:eastAsia="Arial" w:hAnsi="Arial"/>
          <w:sz w:val="18"/>
          <w:szCs w:val="18"/>
          <w:color w:val="auto"/>
        </w:rPr>
        <w:t>but generally does not include an individual who is present in the U.S. for 183 days or more in the taxable year of the disposition of our units, Class A common stock or warrants. If you are such an individual, you should consult your tax advisor regarding the U.S. federal income tax consequences of the acquisition, ownership or sale or other disposition of our securities.</w:t>
      </w:r>
    </w:p>
    <w:p>
      <w:pPr>
        <w:spacing w:after="0" w:line="103" w:lineRule="exact"/>
        <w:rPr>
          <w:sz w:val="20"/>
          <w:szCs w:val="20"/>
          <w:color w:val="auto"/>
        </w:rPr>
      </w:pPr>
    </w:p>
    <w:p>
      <w:pPr>
        <w:ind w:left="460" w:right="539"/>
        <w:spacing w:after="0" w:line="239" w:lineRule="auto"/>
        <w:rPr>
          <w:sz w:val="20"/>
          <w:szCs w:val="20"/>
          <w:color w:val="auto"/>
        </w:rPr>
      </w:pPr>
      <w:r>
        <w:rPr>
          <w:rFonts w:ascii="Arial" w:cs="Arial" w:eastAsia="Arial" w:hAnsi="Arial"/>
          <w:sz w:val="18"/>
          <w:szCs w:val="18"/>
          <w:i w:val="1"/>
          <w:iCs w:val="1"/>
          <w:color w:val="auto"/>
        </w:rPr>
        <w:t xml:space="preserve">Taxation of Distributions. </w:t>
      </w:r>
      <w:r>
        <w:rPr>
          <w:rFonts w:ascii="Arial" w:cs="Arial" w:eastAsia="Arial" w:hAnsi="Arial"/>
          <w:sz w:val="18"/>
          <w:szCs w:val="18"/>
          <w:color w:val="auto"/>
        </w:rPr>
        <w:t>In general, any distributions (including constructive distributions) we make</w:t>
      </w:r>
      <w:r>
        <w:rPr>
          <w:rFonts w:ascii="Arial" w:cs="Arial" w:eastAsia="Arial" w:hAnsi="Arial"/>
          <w:sz w:val="18"/>
          <w:szCs w:val="18"/>
          <w:i w:val="1"/>
          <w:iCs w:val="1"/>
          <w:color w:val="auto"/>
        </w:rPr>
        <w:t xml:space="preserve"> </w:t>
      </w:r>
      <w:r>
        <w:rPr>
          <w:rFonts w:ascii="Arial" w:cs="Arial" w:eastAsia="Arial" w:hAnsi="Arial"/>
          <w:sz w:val="18"/>
          <w:szCs w:val="18"/>
          <w:color w:val="auto"/>
        </w:rPr>
        <w:t>to a Non-U.S. holder of shares of our Class A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w:t>
      </w:r>
    </w:p>
    <w:p>
      <w:pPr>
        <w:spacing w:after="0" w:line="4"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In the case of any constructive dividend, it is possible that this tax would be withheld from any amount owed to a Non-U.S. holder by the 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stock, which will be treated as described under “Non-U.S. Holders — Gain on Sale, Taxable Exchange or Other Taxable Disposition of Class A Common Stock and Warrants” below. In addition, if we determine that we are likely to be classified as a “United States real property holding corporation” (see “Non-U.S. Holders — Gain on Sale, Taxable Exchange or Other Taxable Disposition of Class A Common Stock and Warrants” below), we will withhold 15% of any distribution that exceeds our current and accumulated earnings and profits.</w:t>
      </w:r>
    </w:p>
    <w:p>
      <w:pPr>
        <w:spacing w:after="0" w:line="110" w:lineRule="exact"/>
        <w:rPr>
          <w:sz w:val="20"/>
          <w:szCs w:val="20"/>
          <w:color w:val="auto"/>
        </w:rPr>
      </w:pPr>
    </w:p>
    <w:p>
      <w:pPr>
        <w:ind w:left="460" w:right="499"/>
        <w:spacing w:after="0" w:line="241" w:lineRule="auto"/>
        <w:rPr>
          <w:sz w:val="20"/>
          <w:szCs w:val="20"/>
          <w:color w:val="auto"/>
        </w:rPr>
      </w:pPr>
      <w:r>
        <w:rPr>
          <w:rFonts w:ascii="Arial" w:cs="Arial" w:eastAsia="Arial" w:hAnsi="Arial"/>
          <w:sz w:val="18"/>
          <w:szCs w:val="18"/>
          <w:color w:val="auto"/>
        </w:rPr>
        <w:t>The withholding tax generally does not apply to dividends paid to a Non-U.S. holder who provides a Form W-8ECI, certifying that the dividends are effectively connected with the Non-U.S. holder’s conduct of a trade or business within the United States. Instead, the effectively connected dividends will be subject to regular U.S. income tax as if the Non-U.S. holder were a U.S. resident, subject to an applicable income tax treaty providing otherwise. A corporate Non-U.S. holder receiving effectively connected dividends may also be subject to an additional “branch profits tax” imposed at a rate of 30% (or a lower treaty rate).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2" w:name="page143"/>
    <w:bookmarkEnd w:id="142"/>
    <w:p>
      <w:pPr>
        <w:ind w:left="460" w:right="499"/>
        <w:spacing w:after="0" w:line="241" w:lineRule="auto"/>
        <w:rPr>
          <w:sz w:val="20"/>
          <w:szCs w:val="20"/>
          <w:color w:val="auto"/>
        </w:rPr>
      </w:pPr>
      <w:r>
        <w:rPr>
          <w:rFonts w:ascii="Arial" w:cs="Arial" w:eastAsia="Arial" w:hAnsi="Arial"/>
          <w:sz w:val="18"/>
          <w:szCs w:val="18"/>
          <w:i w:val="1"/>
          <w:iCs w:val="1"/>
          <w:color w:val="auto"/>
        </w:rPr>
        <w:t xml:space="preserve">Exercise, Lapse or Redemption of a Warrant. </w:t>
      </w:r>
      <w:r>
        <w:rPr>
          <w:rFonts w:ascii="Arial" w:cs="Arial" w:eastAsia="Arial" w:hAnsi="Arial"/>
          <w:sz w:val="18"/>
          <w:szCs w:val="18"/>
          <w:color w:val="auto"/>
        </w:rPr>
        <w:t>The U.S. federal income tax treatment of a Non-U.S.</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exercise of a warrant, or the lapse of a warrant held by a Non-U.S. holder, generally will correspond to the U.S. federal income tax treatment of the exercise or lapse of a warrant by a U.S. holder, as described under “U.S. Holders — Exercise, Lapse or Redemption of a Warrant” above, although to the extent a cashless exercise results in a taxable exchange, the consequences would be similar to those described below in “Non-U.S. Holders — Gain on Sale, Taxable Exchange or Other Taxable Disposition of Class A Common Stock and Warrants.”</w:t>
      </w:r>
    </w:p>
    <w:p>
      <w:pPr>
        <w:spacing w:after="0" w:line="98" w:lineRule="exact"/>
        <w:rPr>
          <w:sz w:val="20"/>
          <w:szCs w:val="20"/>
          <w:color w:val="auto"/>
        </w:rPr>
      </w:pPr>
    </w:p>
    <w:p>
      <w:pPr>
        <w:ind w:left="460" w:right="519"/>
        <w:spacing w:after="0" w:line="243" w:lineRule="auto"/>
        <w:rPr>
          <w:sz w:val="20"/>
          <w:szCs w:val="20"/>
          <w:color w:val="auto"/>
        </w:rPr>
      </w:pPr>
      <w:r>
        <w:rPr>
          <w:rFonts w:ascii="Arial" w:cs="Arial" w:eastAsia="Arial" w:hAnsi="Arial"/>
          <w:sz w:val="18"/>
          <w:szCs w:val="18"/>
          <w:color w:val="auto"/>
        </w:rPr>
        <w:t>The characterization for U.S. federal income tax purposes of the redemption of the Non-U.S. holder’s warrants generally will correspond to the U.S. federal income tax treatment of such a redemption of a U.S. holder’s warrants, as described under “U.S. Holders — Exercise, Lapse or Redemption of a Warrant” above, and the consequences of the redemption to the Non-U.S. holder will be as described below under the heading “Non-U.S. Holders — Gain on Sale, Taxable Exchange or Other Taxable Disposition of Class A Common Stock and Warrants” depending on such characterization.</w:t>
      </w:r>
    </w:p>
    <w:p>
      <w:pPr>
        <w:spacing w:after="0" w:line="108" w:lineRule="exact"/>
        <w:rPr>
          <w:sz w:val="20"/>
          <w:szCs w:val="20"/>
          <w:color w:val="auto"/>
        </w:rPr>
      </w:pPr>
    </w:p>
    <w:p>
      <w:pPr>
        <w:ind w:left="460" w:right="579"/>
        <w:spacing w:after="0" w:line="241" w:lineRule="auto"/>
        <w:rPr>
          <w:sz w:val="20"/>
          <w:szCs w:val="20"/>
          <w:color w:val="auto"/>
        </w:rPr>
      </w:pPr>
      <w:r>
        <w:rPr>
          <w:rFonts w:ascii="Arial" w:cs="Arial" w:eastAsia="Arial" w:hAnsi="Arial"/>
          <w:sz w:val="18"/>
          <w:szCs w:val="18"/>
          <w:i w:val="1"/>
          <w:iCs w:val="1"/>
          <w:color w:val="auto"/>
        </w:rPr>
        <w:t xml:space="preserve">Gain on Sale, Taxable Exchange or Other Taxable Disposition of Class A Common Stock and Warrants. </w:t>
      </w:r>
      <w:r>
        <w:rPr>
          <w:rFonts w:ascii="Arial" w:cs="Arial" w:eastAsia="Arial" w:hAnsi="Arial"/>
          <w:sz w:val="18"/>
          <w:szCs w:val="18"/>
          <w:color w:val="auto"/>
        </w:rPr>
        <w:t>A Non-U.S. holder generally will not be subject to U.S. federal income or withholding tax</w:t>
      </w:r>
      <w:r>
        <w:rPr>
          <w:rFonts w:ascii="Arial" w:cs="Arial" w:eastAsia="Arial" w:hAnsi="Arial"/>
          <w:sz w:val="18"/>
          <w:szCs w:val="18"/>
          <w:i w:val="1"/>
          <w:iCs w:val="1"/>
          <w:color w:val="auto"/>
        </w:rPr>
        <w:t xml:space="preserve"> </w:t>
      </w:r>
      <w:r>
        <w:rPr>
          <w:rFonts w:ascii="Arial" w:cs="Arial" w:eastAsia="Arial" w:hAnsi="Arial"/>
          <w:sz w:val="18"/>
          <w:szCs w:val="18"/>
          <w:color w:val="auto"/>
        </w:rPr>
        <w:t>in respect of gain recognized on a sale, taxable exchange or other taxable disposition of our Class A common stock, which would include a dissolution and liquidation in the event we do not complete an initial business combination within 24 months from the closing of this offering, or warrants (including an expiration or redemption of our warrants), in each case without regard to whether those securities were held as part of a unit, unless:</w:t>
      </w:r>
    </w:p>
    <w:p>
      <w:pPr>
        <w:spacing w:after="0" w:line="1" w:lineRule="exact"/>
        <w:rPr>
          <w:sz w:val="20"/>
          <w:szCs w:val="20"/>
          <w:color w:val="auto"/>
        </w:rPr>
      </w:pPr>
    </w:p>
    <w:p>
      <w:pPr>
        <w:ind w:left="1100" w:right="559" w:hanging="322"/>
        <w:spacing w:after="0" w:line="265" w:lineRule="auto"/>
        <w:tabs>
          <w:tab w:leader="none" w:pos="1089"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gain is effectively connected with the conduct by the Non-U.S. holder of a trade or business within the United States (and, under certain income tax treaties, is attributable to a United States permanent establishment or fixed base maintained by the Non-U.S. holder); or</w:t>
      </w:r>
    </w:p>
    <w:p>
      <w:pPr>
        <w:ind w:left="1100" w:right="499" w:hanging="322"/>
        <w:spacing w:after="0" w:line="238" w:lineRule="auto"/>
        <w:tabs>
          <w:tab w:leader="none" w:pos="1089"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for U.S. federal income tax purposes at any time during the shorter of the five-year period ending on the date of disposition or the period that the Non-U.S. holder held our Class A common stock, and, in the case where shares of our Class A common stock are regularly traded on an established securities market, the Non-U.S. holder has owned, directly or constructively, more than 5% of our Class A common stock at any time within the shorter of the five-year period preceding the disposition or such Non-U.S. holder’s holding period for the shares of our Class A common stock. There can be no assurance that our Class A common stock will be treated as regularly traded on an established securities market for this purpose.</w:t>
      </w:r>
    </w:p>
    <w:p>
      <w:pPr>
        <w:spacing w:after="0" w:line="110" w:lineRule="exact"/>
        <w:rPr>
          <w:sz w:val="20"/>
          <w:szCs w:val="20"/>
          <w:color w:val="auto"/>
        </w:rPr>
      </w:pPr>
    </w:p>
    <w:p>
      <w:pPr>
        <w:ind w:left="460" w:right="539"/>
        <w:spacing w:after="0" w:line="245" w:lineRule="auto"/>
        <w:rPr>
          <w:sz w:val="20"/>
          <w:szCs w:val="20"/>
          <w:color w:val="auto"/>
        </w:rPr>
      </w:pPr>
      <w:r>
        <w:rPr>
          <w:rFonts w:ascii="Arial" w:cs="Arial" w:eastAsia="Arial" w:hAnsi="Arial"/>
          <w:sz w:val="18"/>
          <w:szCs w:val="18"/>
          <w:color w:val="auto"/>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imposed at a 30% rate (or lower treaty rate).</w:t>
      </w:r>
    </w:p>
    <w:p>
      <w:pPr>
        <w:spacing w:after="0" w:line="105" w:lineRule="exact"/>
        <w:rPr>
          <w:sz w:val="20"/>
          <w:szCs w:val="20"/>
          <w:color w:val="auto"/>
        </w:rPr>
      </w:pPr>
    </w:p>
    <w:p>
      <w:pPr>
        <w:ind w:left="460" w:right="479"/>
        <w:spacing w:after="0" w:line="239" w:lineRule="auto"/>
        <w:rPr>
          <w:sz w:val="20"/>
          <w:szCs w:val="20"/>
          <w:color w:val="auto"/>
        </w:rPr>
      </w:pPr>
      <w:r>
        <w:rPr>
          <w:rFonts w:ascii="Arial" w:cs="Arial" w:eastAsia="Arial" w:hAnsi="Arial"/>
          <w:sz w:val="18"/>
          <w:szCs w:val="18"/>
          <w:color w:val="auto"/>
        </w:rPr>
        <w:t>If the second bullet point above applies to a Non-U.S. holder, gain recognized by such holder on the sale, exchange or other disposition of our Class A common stock or warrants will be subject to tax at generally applicable U.S. federal income tax rates. In addition, a buyer of our Class A common stock or warrants from such holder may be required to withhold U.S. federal income tax at a rate of 15% of the amount realized upon such disposition. We cannot determine whether we will be a “United States real property holding corporation” in the future until we complete an initial business combination.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w:t>
      </w:r>
    </w:p>
    <w:p>
      <w:pPr>
        <w:spacing w:after="0" w:line="99" w:lineRule="exact"/>
        <w:rPr>
          <w:sz w:val="20"/>
          <w:szCs w:val="20"/>
          <w:color w:val="auto"/>
        </w:rPr>
      </w:pPr>
    </w:p>
    <w:p>
      <w:pPr>
        <w:ind w:left="460" w:right="559"/>
        <w:spacing w:after="0" w:line="252" w:lineRule="auto"/>
        <w:rPr>
          <w:sz w:val="20"/>
          <w:szCs w:val="20"/>
          <w:color w:val="auto"/>
        </w:rPr>
      </w:pPr>
      <w:r>
        <w:rPr>
          <w:rFonts w:ascii="Arial" w:cs="Arial" w:eastAsia="Arial" w:hAnsi="Arial"/>
          <w:sz w:val="17"/>
          <w:szCs w:val="17"/>
          <w:i w:val="1"/>
          <w:iCs w:val="1"/>
          <w:color w:val="auto"/>
        </w:rPr>
        <w:t xml:space="preserve">Redemption of Class A Common Stock. </w:t>
      </w:r>
      <w:r>
        <w:rPr>
          <w:rFonts w:ascii="Arial" w:cs="Arial" w:eastAsia="Arial" w:hAnsi="Arial"/>
          <w:sz w:val="17"/>
          <w:szCs w:val="17"/>
          <w:color w:val="auto"/>
        </w:rPr>
        <w:t>The characterization for U.S. federal income tax purposes</w:t>
      </w:r>
      <w:r>
        <w:rPr>
          <w:rFonts w:ascii="Arial" w:cs="Arial" w:eastAsia="Arial" w:hAnsi="Arial"/>
          <w:sz w:val="17"/>
          <w:szCs w:val="17"/>
          <w:i w:val="1"/>
          <w:iCs w:val="1"/>
          <w:color w:val="auto"/>
        </w:rPr>
        <w:t xml:space="preserve"> </w:t>
      </w:r>
      <w:r>
        <w:rPr>
          <w:rFonts w:ascii="Arial" w:cs="Arial" w:eastAsia="Arial" w:hAnsi="Arial"/>
          <w:sz w:val="17"/>
          <w:szCs w:val="17"/>
          <w:color w:val="auto"/>
        </w:rPr>
        <w:t>of the redemption of a Non-U.S. holder’s Class A common stock pursuant to the redemption provisions described in the section of this prospectus entitled “Description of Securities — Common Stock” generally will correspond to the U.S. federal income tax characterization of such a redemption of a U.S. holder’s Class A common stock, as described under “U.S. Holders — Redemption of Class A Common Stock” above, and the consequences of the redemption to the Non-U.S. holder will be as described above under “Non-U.S. Holders — Taxation of Distributions” and “Non-U.S. Holders</w:t>
      </w:r>
    </w:p>
    <w:p>
      <w:pPr>
        <w:spacing w:after="0" w:line="3" w:lineRule="exact"/>
        <w:rPr>
          <w:sz w:val="20"/>
          <w:szCs w:val="20"/>
          <w:color w:val="auto"/>
        </w:rPr>
      </w:pPr>
    </w:p>
    <w:p>
      <w:pPr>
        <w:ind w:left="460" w:right="719"/>
        <w:spacing w:after="0" w:line="239" w:lineRule="auto"/>
        <w:rPr>
          <w:sz w:val="20"/>
          <w:szCs w:val="20"/>
          <w:color w:val="auto"/>
        </w:rPr>
      </w:pPr>
      <w:r>
        <w:rPr>
          <w:rFonts w:ascii="Arial" w:cs="Arial" w:eastAsia="Arial" w:hAnsi="Arial"/>
          <w:sz w:val="18"/>
          <w:szCs w:val="18"/>
          <w:color w:val="auto"/>
        </w:rPr>
        <w:t>— Gain on Sale, Taxable Exchange or Other Taxable Disposition of Class A Common Stock and Warrants,” as applicable. Because it may not be certain at the time a Non-U.S. holder is redeemed whether such Non-U.S. holder’s redemption will be treated as a sale of shares or a distribution constituting a dividend, and because such determination will depend in part on a Non-U.S. holder’s particular circumstances, we or the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3" w:name="page144"/>
    <w:bookmarkEnd w:id="143"/>
    <w:p>
      <w:pPr>
        <w:ind w:left="460" w:right="679"/>
        <w:spacing w:after="0" w:line="239" w:lineRule="auto"/>
        <w:rPr>
          <w:sz w:val="20"/>
          <w:szCs w:val="20"/>
          <w:color w:val="auto"/>
        </w:rPr>
      </w:pPr>
      <w:r>
        <w:rPr>
          <w:rFonts w:ascii="Arial" w:cs="Arial" w:eastAsia="Arial" w:hAnsi="Arial"/>
          <w:sz w:val="18"/>
          <w:szCs w:val="18"/>
          <w:color w:val="auto"/>
        </w:rPr>
        <w:t>applicable withholding agent may not be able to determine whether (or to what extent) a Non-U.S. holder is treated as receiving a dividend for U.S. federal income tax purposes. Therefore, we or the applicable withholding agent may withhold tax at a rate of 30% on the gross amount of any consideration paid to a Non-U.S. holder in redemption of such Non-U.S. holder’s Class A common stock unless special procedures are available to Non-U.S. holders to certify that they are entitled to exemptions from, or reductions in, such withholding tax. However, there can be no assurance that such special certification procedures will be available. A Non-U.S. Holder generally may obtain a refund of any such excess amounts withheld by timely filing an appropriate claim for refund with the IRS. Non-U.S. Holders should consult their own tax advisors regarding the application of the foregoing rules in light of their particular facts and circumstances.</w:t>
      </w:r>
    </w:p>
    <w:p>
      <w:pPr>
        <w:spacing w:after="0" w:line="99"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i w:val="1"/>
          <w:iCs w:val="1"/>
          <w:color w:val="auto"/>
        </w:rPr>
        <w:t xml:space="preserve">Possible Constructive Distributions. </w:t>
      </w:r>
      <w:r>
        <w:rPr>
          <w:rFonts w:ascii="Arial" w:cs="Arial" w:eastAsia="Arial" w:hAnsi="Arial"/>
          <w:sz w:val="18"/>
          <w:szCs w:val="18"/>
          <w:color w:val="auto"/>
        </w:rPr>
        <w:t>The terms of each warrant provide for an adjustment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shares of Class A common stock for which the warrant may be exercised or to the exercise price of the warrant in certain events, as discussed in the section of this prospectus captioned “Description of Securities — Warrants — Public Stockholders’ Warrants.” An adjustment which has the effect of preventing dilution generally is not a taxable event. Nevertheless, a Non-U.S. holder of warrants would be treated as receiving a constructive distribution from us if, for example, the adjustment increases the holder’s proportionate interest in our assets or earnings and profits (for example, through an increase in the number of shares of Class A common stock that would be obtained upon exercise or through a decrease in the exercise price of the warrants), which adjustment may be made as a result of a distribution of cash or other property, such as other securities, to the holders of shares of our Class A common stock which is taxable to such holders as a distribution. Any constructive distribution received by a Non-U.S. holder would be subject to U.S. federal income tax (including any applicable withholding) in the same manner as if such Non-U.S. holder received a cash distribution from us equal to the fair market value of such increased interest without any corresponding receipt of cash. It is possible that any withholding tax on such a constructive distribution might be satisfied by us or the applicable withholding agent through a sale of a portion of the Non-U.S. holder’s shares of Class A common stock, warrants or other property held or controlled by us or the applicable withholding agent on behalf of the Non-U.S. holder or might be withheld from distributions or proceeds subsequently paid or credited to the Non-U.S. holder.</w:t>
      </w:r>
    </w:p>
    <w:p>
      <w:pPr>
        <w:spacing w:after="0" w:line="112" w:lineRule="exact"/>
        <w:rPr>
          <w:sz w:val="20"/>
          <w:szCs w:val="20"/>
          <w:color w:val="auto"/>
        </w:rPr>
      </w:pPr>
    </w:p>
    <w:p>
      <w:pPr>
        <w:ind w:left="460" w:right="539"/>
        <w:spacing w:after="0" w:line="239" w:lineRule="auto"/>
        <w:rPr>
          <w:sz w:val="20"/>
          <w:szCs w:val="20"/>
          <w:color w:val="auto"/>
        </w:rPr>
      </w:pPr>
      <w:r>
        <w:rPr>
          <w:rFonts w:ascii="Arial" w:cs="Arial" w:eastAsia="Arial" w:hAnsi="Arial"/>
          <w:sz w:val="18"/>
          <w:szCs w:val="18"/>
          <w:i w:val="1"/>
          <w:iCs w:val="1"/>
          <w:color w:val="auto"/>
        </w:rPr>
        <w:t xml:space="preserve">Information Reporting and Backup Withholding. </w:t>
      </w:r>
      <w:r>
        <w:rPr>
          <w:rFonts w:ascii="Arial" w:cs="Arial" w:eastAsia="Arial" w:hAnsi="Arial"/>
          <w:sz w:val="18"/>
          <w:szCs w:val="18"/>
          <w:color w:val="auto"/>
        </w:rPr>
        <w:t>Information returns will be filed with the IRS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payments of dividends and the proceeds from a sale or other disposition of our units, shares of Class A common stock and warrants.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12" w:lineRule="exact"/>
        <w:rPr>
          <w:sz w:val="20"/>
          <w:szCs w:val="20"/>
          <w:color w:val="auto"/>
        </w:rPr>
      </w:pPr>
    </w:p>
    <w:p>
      <w:pPr>
        <w:ind w:left="460" w:right="459"/>
        <w:spacing w:after="0" w:line="237" w:lineRule="auto"/>
        <w:rPr>
          <w:sz w:val="20"/>
          <w:szCs w:val="20"/>
          <w:color w:val="auto"/>
        </w:rPr>
      </w:pPr>
      <w:r>
        <w:rPr>
          <w:rFonts w:ascii="Arial" w:cs="Arial" w:eastAsia="Arial" w:hAnsi="Arial"/>
          <w:sz w:val="18"/>
          <w:szCs w:val="18"/>
          <w:i w:val="1"/>
          <w:iCs w:val="1"/>
          <w:color w:val="auto"/>
        </w:rPr>
        <w:t xml:space="preserve">FATCA Withholding Taxes. </w:t>
      </w:r>
      <w:r>
        <w:rPr>
          <w:rFonts w:ascii="Arial" w:cs="Arial" w:eastAsia="Arial" w:hAnsi="Arial"/>
          <w:sz w:val="18"/>
          <w:szCs w:val="18"/>
          <w:color w:val="auto"/>
        </w:rPr>
        <w:t>Provisions commonly referred to as “FATCA” impose withholding of 30%</w:t>
      </w:r>
      <w:r>
        <w:rPr>
          <w:rFonts w:ascii="Arial" w:cs="Arial" w:eastAsia="Arial" w:hAnsi="Arial"/>
          <w:sz w:val="18"/>
          <w:szCs w:val="18"/>
          <w:i w:val="1"/>
          <w:iCs w:val="1"/>
          <w:color w:val="auto"/>
        </w:rPr>
        <w:t xml:space="preserve"> </w:t>
      </w:r>
      <w:r>
        <w:rPr>
          <w:rFonts w:ascii="Arial" w:cs="Arial" w:eastAsia="Arial" w:hAnsi="Arial"/>
          <w:sz w:val="18"/>
          <w:szCs w:val="18"/>
          <w:color w:val="auto"/>
        </w:rPr>
        <w:t>on payments of dividends (including constructive dividends) on our Class A common stock to “foreign financial institutions”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Thirty percent withholding under FATCA was scheduled to apply to payments of gross proceeds from the sale or other disposition of property that produces U.S.-source interest or dividends beginning on January 1, 2019, but on December 13, 2018, the IRS released proposed regulations that, if finalized in their proposed form, would eliminate the obligation to withhold on gross proceeds. Such proposed regulations also delayed withholding on certain other payments received from other foreign financial institutions that are allocable, as provided for under final Treasury Regulations, to payments of U.S.-source dividends, and other fixed or determinable annual or periodic income. Although these proposed Treasury Regulations are not final, taxpayers generally may rely on them until final Treasury Regulations are issued. Prospective investors should consult their tax advisors regarding the effects of FATCA on their investment in our securities.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b w:val="1"/>
          <w:bCs w:val="1"/>
          <w:color w:val="auto"/>
        </w:rPr>
        <w:t>UNDERWRITING</w:t>
      </w:r>
    </w:p>
    <w:p>
      <w:pPr>
        <w:spacing w:after="0" w:line="146" w:lineRule="exact"/>
        <w:rPr>
          <w:sz w:val="20"/>
          <w:szCs w:val="20"/>
          <w:color w:val="auto"/>
        </w:rPr>
      </w:pPr>
    </w:p>
    <w:p>
      <w:pPr>
        <w:ind w:left="460" w:right="459"/>
        <w:spacing w:after="0" w:line="245" w:lineRule="auto"/>
        <w:rPr>
          <w:sz w:val="20"/>
          <w:szCs w:val="20"/>
          <w:color w:val="auto"/>
        </w:rPr>
      </w:pPr>
      <w:r>
        <w:rPr>
          <w:rFonts w:ascii="Arial" w:cs="Arial" w:eastAsia="Arial" w:hAnsi="Arial"/>
          <w:sz w:val="18"/>
          <w:szCs w:val="18"/>
          <w:color w:val="auto"/>
        </w:rPr>
        <w:t>Subject to the terms and conditions set forth in the underwriting agreement, dated September 1, 2020 between us and Jefferies LLC, as the representatives of the underwriters named below and the book running manager of this offering, we have agreed to sell to the underwriters, and each of the underwriters has agreed, severally and not jointly, to purchase from us, the respective number of units shown opposite its name below:</w:t>
      </w:r>
    </w:p>
    <w:p>
      <w:pPr>
        <w:spacing w:after="0" w:line="220" w:lineRule="exact"/>
        <w:rPr>
          <w:sz w:val="20"/>
          <w:szCs w:val="20"/>
          <w:color w:val="auto"/>
        </w:rPr>
      </w:pPr>
    </w:p>
    <w:tbl>
      <w:tblPr>
        <w:tblLayout w:type="fixed"/>
        <w:tblInd w:w="460" w:type="dxa"/>
        <w:tblCellMar>
          <w:top w:w="0" w:type="dxa"/>
          <w:left w:w="0" w:type="dxa"/>
          <w:bottom w:w="0" w:type="dxa"/>
          <w:right w:w="0" w:type="dxa"/>
        </w:tblCellMar>
      </w:tblPr>
      <w:tr>
        <w:trPr>
          <w:trHeight w:val="211"/>
        </w:trPr>
        <w:tc>
          <w:tcPr>
            <w:tcW w:w="6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Underwriters</w:t>
            </w:r>
          </w:p>
        </w:tc>
        <w:tc>
          <w:tcPr>
            <w:tcW w:w="1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Number of Units</w:t>
            </w:r>
          </w:p>
        </w:tc>
      </w:tr>
      <w:tr>
        <w:trPr>
          <w:trHeight w:val="270"/>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Jefferies LLC</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38,500,000</w:t>
            </w:r>
          </w:p>
        </w:tc>
      </w:tr>
      <w:tr>
        <w:trPr>
          <w:trHeight w:val="250"/>
        </w:trPr>
        <w:tc>
          <w:tcPr>
            <w:tcW w:w="66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38,500,000</w:t>
            </w:r>
          </w:p>
        </w:tc>
      </w:tr>
      <w:tr>
        <w:trPr>
          <w:trHeight w:val="20"/>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460" w:right="499"/>
        <w:spacing w:after="0"/>
        <w:rPr>
          <w:sz w:val="20"/>
          <w:szCs w:val="20"/>
          <w:color w:val="auto"/>
        </w:rPr>
      </w:pPr>
      <w:r>
        <w:rPr>
          <w:rFonts w:ascii="Arial" w:cs="Arial" w:eastAsia="Arial" w:hAnsi="Arial"/>
          <w:sz w:val="18"/>
          <w:szCs w:val="18"/>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units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95" w:lineRule="exact"/>
        <w:rPr>
          <w:sz w:val="20"/>
          <w:szCs w:val="20"/>
          <w:color w:val="auto"/>
        </w:rPr>
      </w:pPr>
    </w:p>
    <w:p>
      <w:pPr>
        <w:ind w:left="460" w:right="499"/>
        <w:spacing w:after="0" w:line="243" w:lineRule="auto"/>
        <w:rPr>
          <w:sz w:val="20"/>
          <w:szCs w:val="20"/>
          <w:color w:val="auto"/>
        </w:rPr>
      </w:pPr>
      <w:r>
        <w:rPr>
          <w:rFonts w:ascii="Arial" w:cs="Arial" w:eastAsia="Arial" w:hAnsi="Arial"/>
          <w:sz w:val="18"/>
          <w:szCs w:val="18"/>
          <w:color w:val="auto"/>
        </w:rPr>
        <w:t>The underwriters have advised us that, following the completion of this offering, they currently intend to make a market in the units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units, that you will be able to sell any of the units held by you at a particular time or that the prices that you receive when you sell will be favorable.</w:t>
      </w:r>
    </w:p>
    <w:p>
      <w:pPr>
        <w:spacing w:after="0" w:line="106" w:lineRule="exact"/>
        <w:rPr>
          <w:sz w:val="20"/>
          <w:szCs w:val="20"/>
          <w:color w:val="auto"/>
        </w:rPr>
      </w:pPr>
    </w:p>
    <w:p>
      <w:pPr>
        <w:jc w:val="both"/>
        <w:ind w:left="460" w:right="579"/>
        <w:spacing w:after="0" w:line="248" w:lineRule="auto"/>
        <w:rPr>
          <w:sz w:val="20"/>
          <w:szCs w:val="20"/>
          <w:color w:val="auto"/>
        </w:rPr>
      </w:pPr>
      <w:r>
        <w:rPr>
          <w:rFonts w:ascii="Arial" w:cs="Arial" w:eastAsia="Arial" w:hAnsi="Arial"/>
          <w:sz w:val="18"/>
          <w:szCs w:val="18"/>
          <w:color w:val="auto"/>
        </w:rPr>
        <w:t>The underwriters are offering the units subject to their acceptance of the units from us and subject to prior sale. The underwriters reserve the right to withdraw, cancel or modify offers to the public and to reject orders in whole or in part. In addition, the underwriters have advised us that they do not intend to confirm sales to any account over which they exercise discretionary authority.</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Commission and Expenses</w:t>
      </w:r>
    </w:p>
    <w:p>
      <w:pPr>
        <w:spacing w:after="0" w:line="146" w:lineRule="exact"/>
        <w:rPr>
          <w:sz w:val="20"/>
          <w:szCs w:val="20"/>
          <w:color w:val="auto"/>
        </w:rPr>
      </w:pPr>
    </w:p>
    <w:p>
      <w:pPr>
        <w:ind w:left="460" w:right="479"/>
        <w:spacing w:after="0" w:line="241" w:lineRule="auto"/>
        <w:rPr>
          <w:sz w:val="20"/>
          <w:szCs w:val="20"/>
          <w:color w:val="auto"/>
        </w:rPr>
      </w:pPr>
      <w:r>
        <w:rPr>
          <w:rFonts w:ascii="Arial" w:cs="Arial" w:eastAsia="Arial" w:hAnsi="Arial"/>
          <w:sz w:val="18"/>
          <w:szCs w:val="18"/>
          <w:color w:val="auto"/>
        </w:rPr>
        <w:t>The underwriters have advised us that they propose to offer the units to the public at the initial public offering price set forth on the cover page of this prospectus and to certain dealers, which may include the underwriters, at that price less a concession not in excess of $0.55 per unit. The underwriters may allow, and certain dealers may reallow, a discount from the concession not in excess of $0.12 per unit to certain brokers and dealers. After the offering, the initial public offering price, concession and reallowance to dealers may be reduced by the representative. No such reduction will change the amount of proceeds to be received by us as set forth on the cover page of this prospectus.</w:t>
      </w:r>
    </w:p>
    <w:p>
      <w:pPr>
        <w:spacing w:after="0" w:line="98" w:lineRule="exact"/>
        <w:rPr>
          <w:sz w:val="20"/>
          <w:szCs w:val="20"/>
          <w:color w:val="auto"/>
        </w:rPr>
      </w:pPr>
    </w:p>
    <w:p>
      <w:pPr>
        <w:ind w:left="460" w:right="619"/>
        <w:spacing w:after="0" w:line="248" w:lineRule="auto"/>
        <w:rPr>
          <w:sz w:val="20"/>
          <w:szCs w:val="20"/>
          <w:color w:val="auto"/>
        </w:rPr>
      </w:pPr>
      <w:r>
        <w:rPr>
          <w:rFonts w:ascii="Arial" w:cs="Arial" w:eastAsia="Arial" w:hAnsi="Arial"/>
          <w:sz w:val="18"/>
          <w:szCs w:val="18"/>
          <w:color w:val="auto"/>
        </w:rPr>
        <w:t>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units.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1"/>
        </w:trPr>
        <w:tc>
          <w:tcPr>
            <w:tcW w:w="32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4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PAID BY CM LIFE SCIENCES, INC.</w:t>
            </w:r>
          </w:p>
        </w:tc>
      </w:tr>
      <w:tr>
        <w:trPr>
          <w:trHeight w:val="277"/>
        </w:trPr>
        <w:tc>
          <w:tcPr>
            <w:tcW w:w="3240" w:type="dxa"/>
            <w:vAlign w:val="bottom"/>
            <w:tcBorders>
              <w:bottom w:val="single" w:sz="8" w:color="CCEEFF"/>
            </w:tcBorders>
          </w:tcPr>
          <w:p>
            <w:pPr>
              <w:spacing w:after="0"/>
              <w:rPr>
                <w:sz w:val="24"/>
                <w:szCs w:val="24"/>
                <w:color w:val="auto"/>
              </w:rPr>
            </w:pPr>
          </w:p>
        </w:tc>
        <w:tc>
          <w:tcPr>
            <w:tcW w:w="246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No Exercise</w:t>
            </w: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Full Exercise</w:t>
            </w:r>
          </w:p>
        </w:tc>
      </w:tr>
      <w:tr>
        <w:trPr>
          <w:trHeight w:val="27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Per Unit</w:t>
            </w:r>
            <w:r>
              <w:rPr>
                <w:rFonts w:ascii="Arial" w:cs="Arial" w:eastAsia="Arial" w:hAnsi="Arial"/>
                <w:sz w:val="20"/>
                <w:szCs w:val="20"/>
                <w:color w:val="auto"/>
                <w:vertAlign w:val="superscript"/>
              </w:rPr>
              <w:t>(1)</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r>
      <w:tr>
        <w:trPr>
          <w:trHeight w:val="309"/>
        </w:trPr>
        <w:tc>
          <w:tcPr>
            <w:tcW w:w="3240" w:type="dxa"/>
            <w:vAlign w:val="bottom"/>
          </w:tcPr>
          <w:p>
            <w:pPr>
              <w:spacing w:after="0"/>
              <w:rPr>
                <w:sz w:val="20"/>
                <w:szCs w:val="20"/>
                <w:color w:val="auto"/>
              </w:rPr>
            </w:pPr>
            <w:r>
              <w:rPr>
                <w:rFonts w:ascii="Arial" w:cs="Arial" w:eastAsia="Arial" w:hAnsi="Arial"/>
                <w:sz w:val="18"/>
                <w:szCs w:val="18"/>
                <w:color w:val="auto"/>
              </w:rPr>
              <w:t>Total</w:t>
            </w:r>
            <w:r>
              <w:rPr>
                <w:rFonts w:ascii="Arial" w:cs="Arial" w:eastAsia="Arial" w:hAnsi="Arial"/>
                <w:sz w:val="20"/>
                <w:szCs w:val="20"/>
                <w:color w:val="auto"/>
                <w:vertAlign w:val="superscript"/>
              </w:rPr>
              <w:t>(1)</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21,175,000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24,351,250</w:t>
            </w:r>
          </w:p>
        </w:tc>
      </w:tr>
    </w:tbl>
    <w:p>
      <w:pPr>
        <w:spacing w:after="0" w:line="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7" w:lineRule="exact"/>
        <w:rPr>
          <w:sz w:val="20"/>
          <w:szCs w:val="20"/>
          <w:color w:val="auto"/>
        </w:rPr>
      </w:pPr>
    </w:p>
    <w:p>
      <w:pPr>
        <w:ind w:left="880" w:right="519" w:hanging="426"/>
        <w:spacing w:after="0" w:line="222" w:lineRule="auto"/>
        <w:tabs>
          <w:tab w:leader="none" w:pos="882" w:val="left"/>
        </w:tabs>
        <w:numPr>
          <w:ilvl w:val="0"/>
          <w:numId w:val="80"/>
        </w:numPr>
        <w:rPr>
          <w:rFonts w:ascii="Arial" w:cs="Arial" w:eastAsia="Arial" w:hAnsi="Arial"/>
          <w:sz w:val="13"/>
          <w:szCs w:val="13"/>
          <w:color w:val="auto"/>
        </w:rPr>
      </w:pPr>
      <w:r>
        <w:rPr>
          <w:rFonts w:ascii="Arial" w:cs="Arial" w:eastAsia="Arial" w:hAnsi="Arial"/>
          <w:sz w:val="13"/>
          <w:szCs w:val="13"/>
          <w:color w:val="auto"/>
        </w:rPr>
        <w:t>$0.20 per unit, or $7,700,000 in the aggregate (or $8,855,000 if the underwriters’ over-allotment option is exercised in full), is payable upon the closing of this offering. Includes $0.35 per unit, or $13,475,000 in the aggregate (or $15,496,250 in the aggregate if the over-allotment option is exercised in full) payable to the underwriters for deferred underwriting commissions will be placed in a trust account located in the United States as described herein. The deferred commissions will be released to the underwriters only on and concurrently with completion of an initial business combination.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sectPr>
      </w:pPr>
    </w:p>
    <w:bookmarkStart w:id="145" w:name="page146"/>
    <w:bookmarkEnd w:id="145"/>
    <w:p>
      <w:pPr>
        <w:ind w:left="460" w:right="499"/>
        <w:spacing w:after="0" w:line="243" w:lineRule="auto"/>
        <w:rPr>
          <w:sz w:val="20"/>
          <w:szCs w:val="20"/>
          <w:color w:val="auto"/>
        </w:rPr>
      </w:pPr>
      <w:r>
        <w:rPr>
          <w:rFonts w:ascii="Arial" w:cs="Arial" w:eastAsia="Arial" w:hAnsi="Arial"/>
          <w:sz w:val="18"/>
          <w:szCs w:val="18"/>
          <w:color w:val="auto"/>
        </w:rPr>
        <w:t>If we do not complete our initial business combination within the time period required by our amended and restated certificate of incorporation, the underwriters have agreed that (i) they will forfeit any rights or claims to their deferred underwriting discounts and commissions, including any accrued interest thereon, then in the trust account and (ii) the deferred underwriters’ discounts and commissions will be distributed on a pro rata basis, together with any accrued interest thereon (which interest will be net of taxes payable) to the public shareholders.</w:t>
      </w:r>
    </w:p>
    <w:p>
      <w:pPr>
        <w:spacing w:after="0" w:line="93" w:lineRule="exact"/>
        <w:rPr>
          <w:sz w:val="20"/>
          <w:szCs w:val="20"/>
          <w:color w:val="auto"/>
        </w:rPr>
      </w:pPr>
    </w:p>
    <w:p>
      <w:pPr>
        <w:ind w:left="460" w:right="599"/>
        <w:spacing w:after="0" w:line="277" w:lineRule="auto"/>
        <w:rPr>
          <w:sz w:val="20"/>
          <w:szCs w:val="20"/>
          <w:color w:val="auto"/>
        </w:rPr>
      </w:pPr>
      <w:r>
        <w:rPr>
          <w:rFonts w:ascii="Arial" w:cs="Arial" w:eastAsia="Arial" w:hAnsi="Arial"/>
          <w:sz w:val="17"/>
          <w:szCs w:val="17"/>
          <w:color w:val="auto"/>
        </w:rPr>
        <w:t>We estimate expenses payable by us in connection with this offering, other than the underwriting discounts and commissions referred to above, will be approximately $1,000,000. We have agreed to pay for FINRA-related fees and expenses of the underwriters’ legal counsel, not to exceed $25,000.</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Determination of Offering Price</w:t>
      </w:r>
    </w:p>
    <w:p>
      <w:pPr>
        <w:spacing w:after="0" w:line="133" w:lineRule="exact"/>
        <w:rPr>
          <w:sz w:val="20"/>
          <w:szCs w:val="20"/>
          <w:color w:val="auto"/>
        </w:rPr>
      </w:pPr>
    </w:p>
    <w:p>
      <w:pPr>
        <w:ind w:left="460" w:right="559"/>
        <w:spacing w:after="0" w:line="241" w:lineRule="auto"/>
        <w:rPr>
          <w:sz w:val="20"/>
          <w:szCs w:val="20"/>
          <w:color w:val="auto"/>
        </w:rPr>
      </w:pPr>
      <w:r>
        <w:rPr>
          <w:rFonts w:ascii="Arial" w:cs="Arial" w:eastAsia="Arial" w:hAnsi="Arial"/>
          <w:sz w:val="18"/>
          <w:szCs w:val="18"/>
          <w:color w:val="auto"/>
        </w:rPr>
        <w:t>Prior to this offering, there has not been a public market for our securities. Consequently, the initial public offering price for our units was determined by negotiations between us and the representative. Among the factors considered in these negotiations were the history and prospects of companies whose principal business is the acquisition of other companies, prior offerings of those companies, our management team, our capital structure, and currently prevailing general conditions in equity securities markets, including current market valuations of publicly traded companies considered comparable to our company.</w:t>
      </w:r>
    </w:p>
    <w:p>
      <w:pPr>
        <w:spacing w:after="0" w:line="111" w:lineRule="exact"/>
        <w:rPr>
          <w:sz w:val="20"/>
          <w:szCs w:val="20"/>
          <w:color w:val="auto"/>
        </w:rPr>
      </w:pPr>
    </w:p>
    <w:p>
      <w:pPr>
        <w:ind w:left="460" w:right="599"/>
        <w:spacing w:after="0" w:line="255" w:lineRule="auto"/>
        <w:rPr>
          <w:sz w:val="20"/>
          <w:szCs w:val="20"/>
          <w:color w:val="auto"/>
        </w:rPr>
      </w:pPr>
      <w:r>
        <w:rPr>
          <w:rFonts w:ascii="Arial" w:cs="Arial" w:eastAsia="Arial" w:hAnsi="Arial"/>
          <w:sz w:val="18"/>
          <w:szCs w:val="18"/>
          <w:color w:val="auto"/>
        </w:rPr>
        <w:t>We offer no assurances that the initial public offering price will correspond to the price at which the units will trade in the public market subsequent to the offering or that an active trading market for the units will develop and continue after the offering.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Listing</w:t>
      </w:r>
    </w:p>
    <w:p>
      <w:pPr>
        <w:spacing w:after="0" w:line="146" w:lineRule="exact"/>
        <w:rPr>
          <w:sz w:val="20"/>
          <w:szCs w:val="20"/>
          <w:color w:val="auto"/>
        </w:rPr>
      </w:pPr>
    </w:p>
    <w:p>
      <w:pPr>
        <w:ind w:left="460" w:right="539"/>
        <w:spacing w:after="0" w:line="245" w:lineRule="auto"/>
        <w:rPr>
          <w:sz w:val="20"/>
          <w:szCs w:val="20"/>
          <w:color w:val="auto"/>
        </w:rPr>
      </w:pPr>
      <w:r>
        <w:rPr>
          <w:rFonts w:ascii="Arial" w:cs="Arial" w:eastAsia="Arial" w:hAnsi="Arial"/>
          <w:sz w:val="18"/>
          <w:szCs w:val="18"/>
          <w:color w:val="auto"/>
        </w:rPr>
        <w:t>We have been approved have our units listed on Nasdaq under the symbol “CMLFU.” Once the securities comprising the units begin separate trading, we expect that the Class A common stock and warrants will be listed on Nasdaq under the symbols “CMLF” and “CMLFW,” respectively. The units will automatically separate into their component parts and will not be traded following the completion of our initial business combination.</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Option to Purchase Additional Units</w:t>
      </w:r>
    </w:p>
    <w:p>
      <w:pPr>
        <w:spacing w:after="0" w:line="146" w:lineRule="exact"/>
        <w:rPr>
          <w:sz w:val="20"/>
          <w:szCs w:val="20"/>
          <w:color w:val="auto"/>
        </w:rPr>
      </w:pPr>
    </w:p>
    <w:p>
      <w:pPr>
        <w:ind w:left="460" w:right="579"/>
        <w:spacing w:after="0"/>
        <w:rPr>
          <w:sz w:val="20"/>
          <w:szCs w:val="20"/>
          <w:color w:val="auto"/>
        </w:rPr>
      </w:pPr>
      <w:r>
        <w:rPr>
          <w:rFonts w:ascii="Arial" w:cs="Arial" w:eastAsia="Arial" w:hAnsi="Arial"/>
          <w:sz w:val="18"/>
          <w:szCs w:val="18"/>
          <w:color w:val="auto"/>
        </w:rPr>
        <w:t>We have granted to the underwriters an option, exercisable for 45 days from the date of this prospectus, to purchase, from time to time, in whole or in part, up to an aggregate of 5,775,000 units from us at the public offering price set forth on the cover page of this prospectus, less underwriting discounts and commissions. If the underwriters exercise this option, each underwriter will be obligated, subject to specified conditions, to purchase a number of additional units proportionate to that underwriter’s initial purchase commitment as indicated in the table above. This option may be exercised only if the underwriters sell more units than the total number set forth on the cover page of this prospectus.</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Lock-up Agreements</w:t>
      </w:r>
    </w:p>
    <w:p>
      <w:pPr>
        <w:spacing w:after="0" w:line="146" w:lineRule="exact"/>
        <w:rPr>
          <w:sz w:val="20"/>
          <w:szCs w:val="20"/>
          <w:color w:val="auto"/>
        </w:rPr>
      </w:pPr>
    </w:p>
    <w:p>
      <w:pPr>
        <w:ind w:left="460" w:right="559"/>
        <w:spacing w:after="0" w:line="237" w:lineRule="auto"/>
        <w:rPr>
          <w:sz w:val="20"/>
          <w:szCs w:val="20"/>
          <w:color w:val="auto"/>
        </w:rPr>
      </w:pPr>
      <w:r>
        <w:rPr>
          <w:rFonts w:ascii="Arial" w:cs="Arial" w:eastAsia="Arial" w:hAnsi="Arial"/>
          <w:sz w:val="18"/>
          <w:szCs w:val="18"/>
          <w:color w:val="auto"/>
        </w:rPr>
        <w:t>We, our sponsor and our officers and directors have agreed that, for a period of 180 days from the date of this prospectus, we and they will not, without the prior written consent of Jefferies LLC, offer, sell, contract to sell, grant any option to sell (including any short sale), hypothecate, pledge, transfer, establish or increase a put equivalent position or decrease a call equivalent position within the meaning of Rule 16a-1 under the Exchange Act, as amended, or otherwise dispose of, directly or indirectly, any units, warrants, shares of Class A common stock or any other securities convertible into, or exercisable, or exchangeable for, Class A common stock, or publicly announce any intention to effect any such transaction; provided, however, that we may (1) issue and sell the private placement warrants, (2) issue and sell the additional units to cover our underwriters’ over-allotment option (if any), (3) register with the SEC pursuant to an agreement to be entered into concurrently with the issuance and sale of the securities in this offering, the resale of the founder shares and the private placement warrants and the securities underlying the foregoing or the warrants and shares of Class A common stock issuable upon exercise of the warrants, and (4) issue securities in connection with an initial business combination (including the sale of any forward purchase shares). Jefferies LLC, in its sole discretion, may release any of the securities subject to these lock-up agreements at any time without notice.</w:t>
      </w:r>
    </w:p>
    <w:p>
      <w:pPr>
        <w:spacing w:after="0" w:line="118" w:lineRule="exact"/>
        <w:rPr>
          <w:sz w:val="20"/>
          <w:szCs w:val="20"/>
          <w:color w:val="auto"/>
        </w:rPr>
      </w:pPr>
    </w:p>
    <w:p>
      <w:pPr>
        <w:ind w:left="460" w:right="499"/>
        <w:spacing w:after="0" w:line="247" w:lineRule="auto"/>
        <w:rPr>
          <w:sz w:val="20"/>
          <w:szCs w:val="20"/>
          <w:color w:val="auto"/>
        </w:rPr>
      </w:pPr>
      <w:r>
        <w:rPr>
          <w:rFonts w:ascii="Arial" w:cs="Arial" w:eastAsia="Arial" w:hAnsi="Arial"/>
          <w:sz w:val="18"/>
          <w:szCs w:val="18"/>
          <w:color w:val="auto"/>
        </w:rPr>
        <w:t>Our initial shareholders have agreed not to transfer, assign or sell any of their founder shares until the earlier to occur of: (A) one year after the completion of our initial business combination and</w:t>
      </w:r>
    </w:p>
    <w:p>
      <w:pPr>
        <w:spacing w:after="0" w:line="1" w:lineRule="exact"/>
        <w:rPr>
          <w:sz w:val="20"/>
          <w:szCs w:val="20"/>
          <w:color w:val="auto"/>
        </w:rPr>
      </w:pPr>
    </w:p>
    <w:p>
      <w:pPr>
        <w:ind w:left="460" w:right="879" w:hanging="6"/>
        <w:spacing w:after="0" w:line="250" w:lineRule="auto"/>
        <w:tabs>
          <w:tab w:leader="none" w:pos="75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subsequent to our initial business combination, (x) if the closing price of our Class A common stock equals or exceeds $12.00 per share (as adjusted</w:t>
      </w:r>
    </w:p>
    <w:p>
      <w:pPr>
        <w:sectPr>
          <w:pgSz w:w="11900" w:h="16838" w:orient="portrait"/>
          <w:cols w:equalWidth="0" w:num="1">
            <w:col w:w="9019"/>
          </w:cols>
          <w:pgMar w:left="1440" w:top="265" w:right="1440" w:bottom="1440" w:gutter="0" w:footer="0" w:header="0"/>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19050</wp:posOffset>
            </wp:positionV>
            <wp:extent cx="514350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46" w:name="page147"/>
    <w:bookmarkEnd w:id="146"/>
    <w:p>
      <w:pPr>
        <w:ind w:left="460" w:right="479"/>
        <w:spacing w:after="0" w:line="239" w:lineRule="auto"/>
        <w:rPr>
          <w:sz w:val="20"/>
          <w:szCs w:val="20"/>
          <w:color w:val="auto"/>
        </w:rPr>
      </w:pPr>
      <w:r>
        <w:rPr>
          <w:rFonts w:ascii="Arial" w:cs="Arial" w:eastAsia="Arial" w:hAnsi="Arial"/>
          <w:sz w:val="18"/>
          <w:szCs w:val="18"/>
          <w:color w:val="auto"/>
        </w:rPr>
        <w:t>for stock splits, stock capitalizations, reorganizations, recapitalizations and the like) for any 20 trading days within any 30-trading day period commencing at least 150 days after our initial business combination, or (y) the date on which we complete a liquidation, merger, capital stock exchange, or other similar transaction that results in all of our public shareholders having the right to exchange their common stock for cash, securities or other property (except as described herein under “Principal Shareholders — Transfers of Founder Shares, Private Placement Warrants and Forward Purchase Shares”). Any permitted transferees will be subject to the same restrictions and other agreements of our sponsor, directors and our management team with respect to any founder shares, private placement warrants and shares of Class A common stock issued upon conversion or exercise thereof. We refer to such transfer restrictions throughout this prospectus as the lock-up.</w:t>
      </w:r>
    </w:p>
    <w:p>
      <w:pPr>
        <w:spacing w:after="0" w:line="99" w:lineRule="exact"/>
        <w:rPr>
          <w:sz w:val="20"/>
          <w:szCs w:val="20"/>
          <w:color w:val="auto"/>
        </w:rPr>
      </w:pPr>
    </w:p>
    <w:p>
      <w:pPr>
        <w:ind w:left="460" w:right="1099"/>
        <w:spacing w:after="0" w:line="262" w:lineRule="auto"/>
        <w:rPr>
          <w:sz w:val="20"/>
          <w:szCs w:val="20"/>
          <w:color w:val="auto"/>
        </w:rPr>
      </w:pPr>
      <w:r>
        <w:rPr>
          <w:rFonts w:ascii="Arial" w:cs="Arial" w:eastAsia="Arial" w:hAnsi="Arial"/>
          <w:sz w:val="17"/>
          <w:szCs w:val="17"/>
          <w:color w:val="auto"/>
        </w:rPr>
        <w:t>The private placement warrants (including the shares of Class A common stock issuable upon exercise of the private placement warrants) will not be transferable, assignable or salable until</w:t>
      </w:r>
    </w:p>
    <w:p>
      <w:pPr>
        <w:ind w:left="460" w:right="719"/>
        <w:spacing w:after="0"/>
        <w:rPr>
          <w:sz w:val="20"/>
          <w:szCs w:val="20"/>
          <w:color w:val="auto"/>
        </w:rPr>
      </w:pPr>
      <w:r>
        <w:rPr>
          <w:rFonts w:ascii="Arial" w:cs="Arial" w:eastAsia="Arial" w:hAnsi="Arial"/>
          <w:sz w:val="18"/>
          <w:szCs w:val="18"/>
          <w:color w:val="auto"/>
        </w:rPr>
        <w:t>30 days after the completion of our initial business combination (except with respect to permitted transferees as described herein under the section of this prospectus entitled “Principal Shareholders — Transfers of Founder Shares, Private Placement Warrants and Forward Purchase Shares”).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Stabilization</w:t>
      </w:r>
    </w:p>
    <w:p>
      <w:pPr>
        <w:spacing w:after="0" w:line="133" w:lineRule="exact"/>
        <w:rPr>
          <w:sz w:val="20"/>
          <w:szCs w:val="20"/>
          <w:color w:val="auto"/>
        </w:rPr>
      </w:pPr>
    </w:p>
    <w:p>
      <w:pPr>
        <w:ind w:left="460" w:right="519"/>
        <w:spacing w:after="0" w:line="243" w:lineRule="auto"/>
        <w:rPr>
          <w:sz w:val="20"/>
          <w:szCs w:val="20"/>
          <w:color w:val="auto"/>
        </w:rPr>
      </w:pPr>
      <w:r>
        <w:rPr>
          <w:rFonts w:ascii="Arial" w:cs="Arial" w:eastAsia="Arial" w:hAnsi="Arial"/>
          <w:sz w:val="18"/>
          <w:szCs w:val="18"/>
          <w:color w:val="auto"/>
        </w:rPr>
        <w:t>The underwriters have advised us that they, pursuant to Regulation M under the Exchange Act, and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units at a level above that which might otherwise prevail in the open market. Establishing short sales positions may involve either “covered” short sales or “naked” short sales.</w:t>
      </w:r>
    </w:p>
    <w:p>
      <w:pPr>
        <w:spacing w:after="0" w:line="79" w:lineRule="exact"/>
        <w:rPr>
          <w:sz w:val="20"/>
          <w:szCs w:val="20"/>
          <w:color w:val="auto"/>
        </w:rPr>
      </w:pPr>
    </w:p>
    <w:p>
      <w:pPr>
        <w:ind w:left="460" w:right="479"/>
        <w:spacing w:after="0" w:line="260" w:lineRule="auto"/>
        <w:rPr>
          <w:sz w:val="20"/>
          <w:szCs w:val="20"/>
          <w:color w:val="auto"/>
        </w:rPr>
      </w:pPr>
      <w:r>
        <w:rPr>
          <w:rFonts w:ascii="Arial" w:cs="Arial" w:eastAsia="Arial" w:hAnsi="Arial"/>
          <w:sz w:val="17"/>
          <w:szCs w:val="17"/>
          <w:color w:val="auto"/>
        </w:rPr>
        <w:t>“Covered” short sales are sales made in an amount not greater than the underwriters’ option to purchase additional units in this offering. The underwriters may close out any covered short position by either exercising their option to purchase additional units or purchasing units in the open market. In determining the source of units to close out the covered short position, the underwriters will consider, among other things, the price of units available for purchase in the open market as compared to the price at which they may purchase units through the option to purchase additional units.</w:t>
      </w:r>
    </w:p>
    <w:p>
      <w:pPr>
        <w:spacing w:after="0" w:line="66" w:lineRule="exact"/>
        <w:rPr>
          <w:sz w:val="20"/>
          <w:szCs w:val="20"/>
          <w:color w:val="auto"/>
        </w:rPr>
      </w:pPr>
    </w:p>
    <w:p>
      <w:pPr>
        <w:ind w:left="460" w:right="499"/>
        <w:spacing w:after="0" w:line="245" w:lineRule="auto"/>
        <w:rPr>
          <w:sz w:val="20"/>
          <w:szCs w:val="20"/>
          <w:color w:val="auto"/>
        </w:rPr>
      </w:pPr>
      <w:r>
        <w:rPr>
          <w:rFonts w:ascii="Arial" w:cs="Arial" w:eastAsia="Arial" w:hAnsi="Arial"/>
          <w:sz w:val="18"/>
          <w:szCs w:val="18"/>
          <w:color w:val="auto"/>
        </w:rPr>
        <w:t>“Naked” short sales are sales in excess of the option to purchase additional units. The underwriters must close out any naked short position by purchasing units in the open market. A naked short position is more likely to be created if the underwriters are concerned that there may be downward pressure on the price of our units in the open market after pricing that could adversely affect investors who purchase in this offering.</w:t>
      </w:r>
    </w:p>
    <w:p>
      <w:pPr>
        <w:spacing w:after="0" w:line="91" w:lineRule="exact"/>
        <w:rPr>
          <w:sz w:val="20"/>
          <w:szCs w:val="20"/>
          <w:color w:val="auto"/>
        </w:rPr>
      </w:pPr>
    </w:p>
    <w:p>
      <w:pPr>
        <w:ind w:left="460" w:right="459"/>
        <w:spacing w:after="0" w:line="239" w:lineRule="auto"/>
        <w:rPr>
          <w:sz w:val="20"/>
          <w:szCs w:val="20"/>
          <w:color w:val="auto"/>
        </w:rPr>
      </w:pPr>
      <w:r>
        <w:rPr>
          <w:rFonts w:ascii="Arial" w:cs="Arial" w:eastAsia="Arial" w:hAnsi="Arial"/>
          <w:sz w:val="18"/>
          <w:szCs w:val="18"/>
          <w:color w:val="auto"/>
        </w:rPr>
        <w:t>A stabilizing bid is a bid for the purchase of units on behalf of the underwriters for the purpose of fixing or maintaining the price of the units. A syndicate covering transaction is the bid for or the purchase of units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units or preventing or retarding a decline in the market price of our units. As a result, the price of our units may be higher than the price that might otherwise exist in the open market. A penalty bid is an arrangement permitting the underwriters to reclaim the selling concession otherwise accruing to a syndicate member in connection with the offering if the units originally sold by such syndicate member are purchased in a syndicate covering transaction and therefore have not been effectively placed by such syndicate member.</w:t>
      </w:r>
    </w:p>
    <w:p>
      <w:pPr>
        <w:spacing w:after="0" w:line="82" w:lineRule="exact"/>
        <w:rPr>
          <w:sz w:val="20"/>
          <w:szCs w:val="20"/>
          <w:color w:val="auto"/>
        </w:rPr>
      </w:pPr>
    </w:p>
    <w:p>
      <w:pPr>
        <w:ind w:left="460" w:right="479"/>
        <w:spacing w:after="0" w:line="248" w:lineRule="auto"/>
        <w:rPr>
          <w:sz w:val="20"/>
          <w:szCs w:val="20"/>
          <w:color w:val="auto"/>
        </w:rPr>
      </w:pPr>
      <w:r>
        <w:rPr>
          <w:rFonts w:ascii="Arial" w:cs="Arial" w:eastAsia="Arial" w:hAnsi="Arial"/>
          <w:sz w:val="18"/>
          <w:szCs w:val="18"/>
          <w:color w:val="auto"/>
        </w:rPr>
        <w:t>Neither we nor any of the underwriters make any representation or prediction as to the direction or magnitude of any effect that the transactions described above may have on the price of our units. The underwriters are not obligated to engage in these activities and, if commenced, any of the activities may be discontinued at any time.</w:t>
      </w:r>
    </w:p>
    <w:p>
      <w:pPr>
        <w:spacing w:after="0" w:line="76" w:lineRule="exact"/>
        <w:rPr>
          <w:sz w:val="20"/>
          <w:szCs w:val="20"/>
          <w:color w:val="auto"/>
        </w:rPr>
      </w:pPr>
    </w:p>
    <w:p>
      <w:pPr>
        <w:ind w:left="460" w:right="579"/>
        <w:spacing w:after="0" w:line="243" w:lineRule="auto"/>
        <w:rPr>
          <w:sz w:val="20"/>
          <w:szCs w:val="20"/>
          <w:color w:val="auto"/>
        </w:rPr>
      </w:pPr>
      <w:r>
        <w:rPr>
          <w:rFonts w:ascii="Arial" w:cs="Arial" w:eastAsia="Arial" w:hAnsi="Arial"/>
          <w:sz w:val="18"/>
          <w:szCs w:val="18"/>
          <w:color w:val="auto"/>
        </w:rPr>
        <w:t>The underwriters may also engage in passive market making transactions in our units on Nasdaq in accordance with Rule 103 of Regulation M during a period before the commencement of offers or sales of our units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7" w:name="page148"/>
    <w:bookmarkEnd w:id="147"/>
    <w:p>
      <w:pPr>
        <w:ind w:left="460"/>
        <w:spacing w:after="0"/>
        <w:rPr>
          <w:sz w:val="20"/>
          <w:szCs w:val="20"/>
          <w:color w:val="auto"/>
        </w:rPr>
      </w:pPr>
      <w:r>
        <w:rPr>
          <w:rFonts w:ascii="Arial" w:cs="Arial" w:eastAsia="Arial" w:hAnsi="Arial"/>
          <w:sz w:val="18"/>
          <w:szCs w:val="18"/>
          <w:b w:val="1"/>
          <w:bCs w:val="1"/>
          <w:color w:val="auto"/>
        </w:rPr>
        <w:t>Electronic Distribution</w:t>
      </w:r>
    </w:p>
    <w:p>
      <w:pPr>
        <w:spacing w:after="0" w:line="146" w:lineRule="exact"/>
        <w:rPr>
          <w:sz w:val="20"/>
          <w:szCs w:val="20"/>
          <w:color w:val="auto"/>
        </w:rPr>
      </w:pPr>
    </w:p>
    <w:p>
      <w:pPr>
        <w:ind w:left="460" w:right="559"/>
        <w:spacing w:after="0"/>
        <w:rPr>
          <w:sz w:val="20"/>
          <w:szCs w:val="20"/>
          <w:color w:val="auto"/>
        </w:rPr>
      </w:pPr>
      <w:r>
        <w:rPr>
          <w:rFonts w:ascii="Arial" w:cs="Arial" w:eastAsia="Arial" w:hAnsi="Arial"/>
          <w:sz w:val="18"/>
          <w:szCs w:val="18"/>
          <w:color w:val="auto"/>
        </w:rPr>
        <w:t>A prospectus in electronic format may be made available by e-mail or on the websites or through online services maintained by one or more of the underwriters or their affiliates. In those cases, prospective investors may view offering terms online and may be allowed to place orders online. The underwriters may agree with us to allocate a specific number of units for sale to online brokerage account holders. Any such allocation for online distributions will be made by the underwriters on the same basis as other allocations. Other than the prospectus in electronic format, the information on the underwriters’ websites and any information contained in any other website maintained by any of the underwriters is not part of this prospectus, has not been approved and/or endorsed by us or the underwriters and should not be relied upon by investors.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Activities and Relationships</w:t>
      </w:r>
    </w:p>
    <w:p>
      <w:pPr>
        <w:spacing w:after="0" w:line="119" w:lineRule="exact"/>
        <w:rPr>
          <w:sz w:val="20"/>
          <w:szCs w:val="20"/>
          <w:color w:val="auto"/>
        </w:rPr>
      </w:pPr>
    </w:p>
    <w:p>
      <w:pPr>
        <w:ind w:left="460" w:right="459"/>
        <w:spacing w:after="0" w:line="239" w:lineRule="auto"/>
        <w:rPr>
          <w:sz w:val="20"/>
          <w:szCs w:val="20"/>
          <w:color w:val="auto"/>
        </w:rPr>
      </w:pPr>
      <w:r>
        <w:rPr>
          <w:rFonts w:ascii="Arial" w:cs="Arial" w:eastAsia="Arial" w:hAnsi="Arial"/>
          <w:sz w:val="18"/>
          <w:szCs w:val="18"/>
          <w:color w:val="auto"/>
        </w:rPr>
        <w:t>We are not under any contractual obligation to engage any of the underwriters to provide any services for us after this offering, and have no present intent to do so. However, any of the underwriters may introduce us to potential target businesses or assist us in raising additional capital in the future. If any of the underwriters provide services to us after this offering, we may pay such underwriter fair and reasonable fees that would be determined at that time in an arm’s length negotiation; provided that no agreement will be entered into with any of the underwriters and no fees for such services will be paid to any of the underwriters prior to the date that is 90 days from the date of this prospectus, unless FINRA determines that such payment would not be deemed underwriters’ compensation in connection with this offering and we may pay the underwriters of this offering or any entity with which they are affiliated a finder’s fee or other compensation for services rendered to us in connection with the completion of a business combination.</w:t>
      </w:r>
    </w:p>
    <w:p>
      <w:pPr>
        <w:spacing w:after="0" w:line="82" w:lineRule="exact"/>
        <w:rPr>
          <w:sz w:val="20"/>
          <w:szCs w:val="20"/>
          <w:color w:val="auto"/>
        </w:rPr>
      </w:pPr>
    </w:p>
    <w:p>
      <w:pPr>
        <w:ind w:left="460" w:right="459"/>
        <w:spacing w:after="0" w:line="260" w:lineRule="auto"/>
        <w:rPr>
          <w:sz w:val="20"/>
          <w:szCs w:val="20"/>
          <w:color w:val="auto"/>
        </w:rPr>
      </w:pPr>
      <w:r>
        <w:rPr>
          <w:rFonts w:ascii="Arial" w:cs="Arial" w:eastAsia="Arial" w:hAnsi="Arial"/>
          <w:sz w:val="17"/>
          <w:szCs w:val="17"/>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79" w:lineRule="exact"/>
        <w:rPr>
          <w:sz w:val="20"/>
          <w:szCs w:val="20"/>
          <w:color w:val="auto"/>
        </w:rPr>
      </w:pPr>
    </w:p>
    <w:p>
      <w:pPr>
        <w:ind w:left="460" w:right="479"/>
        <w:spacing w:after="0"/>
        <w:rPr>
          <w:sz w:val="20"/>
          <w:szCs w:val="20"/>
          <w:color w:val="auto"/>
        </w:rPr>
      </w:pPr>
      <w:r>
        <w:rPr>
          <w:rFonts w:ascii="Arial" w:cs="Arial" w:eastAsia="Arial" w:hAnsi="Arial"/>
          <w:sz w:val="18"/>
          <w:szCs w:val="18"/>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Selling Restrictions</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Canada</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Resale Restrictions</w:t>
      </w:r>
    </w:p>
    <w:p>
      <w:pPr>
        <w:spacing w:after="0" w:line="144" w:lineRule="exact"/>
        <w:rPr>
          <w:sz w:val="20"/>
          <w:szCs w:val="20"/>
          <w:color w:val="auto"/>
        </w:rPr>
      </w:pPr>
    </w:p>
    <w:p>
      <w:pPr>
        <w:ind w:left="460" w:right="519"/>
        <w:spacing w:after="0"/>
        <w:rPr>
          <w:sz w:val="20"/>
          <w:szCs w:val="20"/>
          <w:color w:val="auto"/>
        </w:rPr>
      </w:pPr>
      <w:r>
        <w:rPr>
          <w:rFonts w:ascii="Arial" w:cs="Arial" w:eastAsia="Arial" w:hAnsi="Arial"/>
          <w:sz w:val="18"/>
          <w:szCs w:val="18"/>
          <w:color w:val="auto"/>
        </w:rPr>
        <w:t>The distribution of the securities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securities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sectPr>
      </w:pPr>
    </w:p>
    <w:bookmarkStart w:id="148" w:name="page149"/>
    <w:bookmarkEnd w:id="148"/>
    <w:p>
      <w:pPr>
        <w:ind w:left="460"/>
        <w:spacing w:after="0"/>
        <w:rPr>
          <w:sz w:val="20"/>
          <w:szCs w:val="20"/>
          <w:color w:val="auto"/>
        </w:rPr>
      </w:pPr>
      <w:r>
        <w:rPr>
          <w:rFonts w:ascii="Arial" w:cs="Arial" w:eastAsia="Arial" w:hAnsi="Arial"/>
          <w:sz w:val="18"/>
          <w:szCs w:val="18"/>
          <w:color w:val="auto"/>
        </w:rPr>
        <w:t>Representations of Canadian Purchasers</w:t>
      </w:r>
    </w:p>
    <w:p>
      <w:pPr>
        <w:spacing w:after="0" w:line="131" w:lineRule="exact"/>
        <w:rPr>
          <w:sz w:val="20"/>
          <w:szCs w:val="20"/>
          <w:color w:val="auto"/>
        </w:rPr>
      </w:pPr>
    </w:p>
    <w:p>
      <w:pPr>
        <w:ind w:left="460" w:right="519"/>
        <w:spacing w:after="0" w:line="273" w:lineRule="auto"/>
        <w:rPr>
          <w:sz w:val="20"/>
          <w:szCs w:val="20"/>
          <w:color w:val="auto"/>
        </w:rPr>
      </w:pPr>
      <w:r>
        <w:rPr>
          <w:rFonts w:ascii="Arial" w:cs="Arial" w:eastAsia="Arial" w:hAnsi="Arial"/>
          <w:sz w:val="17"/>
          <w:szCs w:val="17"/>
          <w:color w:val="auto"/>
        </w:rPr>
        <w:t>By purchasing the securities in Canada and accepting delivery of a purchase confirmation, a purchaser is representing to us and the dealer from whom the purchase confirmation is received that:</w:t>
      </w:r>
    </w:p>
    <w:p>
      <w:pPr>
        <w:spacing w:after="0" w:line="1" w:lineRule="exact"/>
        <w:rPr>
          <w:sz w:val="20"/>
          <w:szCs w:val="20"/>
          <w:color w:val="auto"/>
        </w:rPr>
      </w:pPr>
    </w:p>
    <w:p>
      <w:pPr>
        <w:jc w:val="both"/>
        <w:ind w:left="1100" w:right="479" w:hanging="322"/>
        <w:spacing w:after="0" w:line="250" w:lineRule="auto"/>
        <w:tabs>
          <w:tab w:leader="none" w:pos="1096"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the purchaser is entitled under applicable provincial securities laws to purchase the securities without the benefit of a prospectus qualified under those securities laws as it is an “accredited investor” as defined under National Instrument 45-106 — </w:t>
      </w:r>
      <w:r>
        <w:rPr>
          <w:rFonts w:ascii="Arial" w:cs="Arial" w:eastAsia="Arial" w:hAnsi="Arial"/>
          <w:sz w:val="18"/>
          <w:szCs w:val="18"/>
          <w:i w:val="1"/>
          <w:iCs w:val="1"/>
          <w:color w:val="auto"/>
        </w:rPr>
        <w:t>Prospectus Exemptions</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1100" w:right="579" w:hanging="322"/>
        <w:spacing w:after="0" w:line="258" w:lineRule="auto"/>
        <w:tabs>
          <w:tab w:leader="none" w:pos="1096"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the purchaser is a “permitted client” as defined in National Instrument 31-103 — </w:t>
      </w:r>
      <w:r>
        <w:rPr>
          <w:rFonts w:ascii="Arial" w:cs="Arial" w:eastAsia="Arial" w:hAnsi="Arial"/>
          <w:sz w:val="18"/>
          <w:szCs w:val="18"/>
          <w:i w:val="1"/>
          <w:iCs w:val="1"/>
          <w:color w:val="auto"/>
        </w:rPr>
        <w:t>Registration</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Exemptions and Ongoing Registrant Obligations</w:t>
      </w:r>
      <w:r>
        <w:rPr>
          <w:rFonts w:ascii="Arial" w:cs="Arial" w:eastAsia="Arial" w:hAnsi="Arial"/>
          <w:sz w:val="18"/>
          <w:szCs w:val="18"/>
          <w:color w:val="auto"/>
        </w:rPr>
        <w:t>;</w:t>
      </w:r>
    </w:p>
    <w:p>
      <w:pPr>
        <w:ind w:left="1080" w:hanging="30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where required by law, the purchaser is purchasing as principal and not as agent; and</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Conflicts of Interest</w:t>
      </w:r>
    </w:p>
    <w:p>
      <w:pPr>
        <w:spacing w:after="0" w:line="144" w:lineRule="exact"/>
        <w:rPr>
          <w:sz w:val="20"/>
          <w:szCs w:val="20"/>
          <w:color w:val="auto"/>
        </w:rPr>
      </w:pPr>
    </w:p>
    <w:p>
      <w:pPr>
        <w:ind w:left="460" w:right="519"/>
        <w:spacing w:after="0" w:line="255" w:lineRule="auto"/>
        <w:rPr>
          <w:sz w:val="20"/>
          <w:szCs w:val="20"/>
          <w:color w:val="auto"/>
        </w:rPr>
      </w:pPr>
      <w:r>
        <w:rPr>
          <w:rFonts w:ascii="Arial" w:cs="Arial" w:eastAsia="Arial" w:hAnsi="Arial"/>
          <w:sz w:val="18"/>
          <w:szCs w:val="18"/>
          <w:color w:val="auto"/>
        </w:rPr>
        <w:t xml:space="preserve">Canadian purchasers are hereby notified that the underwriters are relying on the exemption set out in section 3A.3 or 3A.4, if applicable, of National Instrument 33-105 —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from having to provide certain conflict of interest disclosure in this document.</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Statutory Rights of Action</w:t>
      </w:r>
    </w:p>
    <w:p>
      <w:pPr>
        <w:spacing w:after="0" w:line="131" w:lineRule="exact"/>
        <w:rPr>
          <w:sz w:val="20"/>
          <w:szCs w:val="20"/>
          <w:color w:val="auto"/>
        </w:rPr>
      </w:pPr>
    </w:p>
    <w:p>
      <w:pPr>
        <w:ind w:left="460" w:right="519"/>
        <w:spacing w:after="0" w:line="241"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the prospectus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Enforcement of Legal Rights</w:t>
      </w:r>
    </w:p>
    <w:p>
      <w:pPr>
        <w:spacing w:after="0" w:line="144" w:lineRule="exact"/>
        <w:rPr>
          <w:sz w:val="20"/>
          <w:szCs w:val="20"/>
          <w:color w:val="auto"/>
        </w:rPr>
      </w:pPr>
    </w:p>
    <w:p>
      <w:pPr>
        <w:ind w:left="460" w:right="599"/>
        <w:spacing w:after="0" w:line="243" w:lineRule="auto"/>
        <w:rPr>
          <w:sz w:val="20"/>
          <w:szCs w:val="20"/>
          <w:color w:val="auto"/>
        </w:rPr>
      </w:pPr>
      <w:r>
        <w:rPr>
          <w:rFonts w:ascii="Arial" w:cs="Arial" w:eastAsia="Arial" w:hAnsi="Arial"/>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Taxation and Eligibility for Investment</w:t>
      </w:r>
    </w:p>
    <w:p>
      <w:pPr>
        <w:spacing w:after="0" w:line="144" w:lineRule="exact"/>
        <w:rPr>
          <w:sz w:val="20"/>
          <w:szCs w:val="20"/>
          <w:color w:val="auto"/>
        </w:rPr>
      </w:pPr>
    </w:p>
    <w:p>
      <w:pPr>
        <w:ind w:left="460" w:right="559"/>
        <w:spacing w:after="0" w:line="277" w:lineRule="auto"/>
        <w:rPr>
          <w:sz w:val="20"/>
          <w:szCs w:val="20"/>
          <w:color w:val="auto"/>
        </w:rPr>
      </w:pPr>
      <w:r>
        <w:rPr>
          <w:rFonts w:ascii="Arial" w:cs="Arial" w:eastAsia="Arial" w:hAnsi="Arial"/>
          <w:sz w:val="17"/>
          <w:szCs w:val="17"/>
          <w:color w:val="auto"/>
        </w:rPr>
        <w:t>Canadian purchasers of the securities should consult their own legal and tax advisors with respect to the tax consequences of an investment in the securities in their particular circumstances and about the eligibility of the securities for investment by the purchaser under relevant Canadian legislation.</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Australia</w:t>
      </w:r>
    </w:p>
    <w:p>
      <w:pPr>
        <w:spacing w:after="0" w:line="131" w:lineRule="exact"/>
        <w:rPr>
          <w:sz w:val="20"/>
          <w:szCs w:val="20"/>
          <w:color w:val="auto"/>
        </w:rPr>
      </w:pPr>
    </w:p>
    <w:p>
      <w:pPr>
        <w:ind w:left="460" w:right="699"/>
        <w:spacing w:after="0" w:line="248" w:lineRule="auto"/>
        <w:rPr>
          <w:sz w:val="20"/>
          <w:szCs w:val="20"/>
          <w:color w:val="auto"/>
        </w:rPr>
      </w:pPr>
      <w:r>
        <w:rPr>
          <w:rFonts w:ascii="Arial" w:cs="Arial" w:eastAsia="Arial" w:hAnsi="Arial"/>
          <w:sz w:val="18"/>
          <w:szCs w:val="18"/>
          <w:color w:val="auto"/>
        </w:rPr>
        <w:t>This prospectus is not a disclosure document for the purposes of Australia’s Corporations Act 2001 (Cth) of Australia, or Corporations Act, has not been lodged with the Australian Securities &amp; Investments Commission and is only directed to the categories of exempt persons set out below. Accordingly, if you receive this prospectus in Australia:</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confirm and warrant that you are either:</w:t>
      </w:r>
    </w:p>
    <w:p>
      <w:pPr>
        <w:spacing w:after="0" w:line="36" w:lineRule="exact"/>
        <w:rPr>
          <w:sz w:val="20"/>
          <w:szCs w:val="20"/>
          <w:color w:val="auto"/>
        </w:rPr>
      </w:pPr>
    </w:p>
    <w:p>
      <w:pPr>
        <w:ind w:left="1100" w:hanging="322"/>
        <w:spacing w:after="0"/>
        <w:tabs>
          <w:tab w:leader="none" w:pos="11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“sophisticated investor” under section 708(8)(a) or (b) of the Corporations Act;</w:t>
      </w:r>
    </w:p>
    <w:p>
      <w:pPr>
        <w:spacing w:after="0" w:line="35" w:lineRule="exact"/>
        <w:rPr>
          <w:rFonts w:ascii="Arial" w:cs="Arial" w:eastAsia="Arial" w:hAnsi="Arial"/>
          <w:sz w:val="18"/>
          <w:szCs w:val="18"/>
          <w:color w:val="auto"/>
        </w:rPr>
      </w:pPr>
    </w:p>
    <w:p>
      <w:pPr>
        <w:ind w:left="1100" w:right="599" w:hanging="322"/>
        <w:spacing w:after="0" w:line="242" w:lineRule="auto"/>
        <w:tabs>
          <w:tab w:leader="none" w:pos="1096"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2" w:lineRule="exact"/>
        <w:rPr>
          <w:rFonts w:ascii="Arial" w:cs="Arial" w:eastAsia="Arial" w:hAnsi="Arial"/>
          <w:sz w:val="18"/>
          <w:szCs w:val="18"/>
          <w:color w:val="auto"/>
        </w:rPr>
      </w:pPr>
    </w:p>
    <w:p>
      <w:pPr>
        <w:ind w:left="1080" w:hanging="30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person associated with the Company under Section 708(12) of the Corporations Act; or</w:t>
      </w:r>
    </w:p>
    <w:p>
      <w:pPr>
        <w:spacing w:after="0" w:line="36" w:lineRule="exact"/>
        <w:rPr>
          <w:rFonts w:ascii="Arial" w:cs="Arial" w:eastAsia="Arial" w:hAnsi="Arial"/>
          <w:sz w:val="18"/>
          <w:szCs w:val="18"/>
          <w:color w:val="auto"/>
        </w:rPr>
      </w:pPr>
    </w:p>
    <w:p>
      <w:pPr>
        <w:ind w:left="1100" w:right="699" w:hanging="322"/>
        <w:spacing w:after="0" w:line="276" w:lineRule="auto"/>
        <w:tabs>
          <w:tab w:leader="none" w:pos="1096"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“professional investor” within the meaning of section 708(11)(a) or (b) of the Corporations Act.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9" w:name="page150"/>
    <w:bookmarkEnd w:id="149"/>
    <w:p>
      <w:pPr>
        <w:ind w:left="460" w:right="539"/>
        <w:spacing w:after="0" w:line="255" w:lineRule="auto"/>
        <w:rPr>
          <w:sz w:val="20"/>
          <w:szCs w:val="20"/>
          <w:color w:val="auto"/>
        </w:rPr>
      </w:pPr>
      <w:r>
        <w:rPr>
          <w:rFonts w:ascii="Arial" w:cs="Arial" w:eastAsia="Arial" w:hAnsi="Arial"/>
          <w:sz w:val="18"/>
          <w:szCs w:val="18"/>
          <w:color w:val="auto"/>
        </w:rPr>
        <w:t>To the extent that you are unable to confirm or warrant that you are an exempt sophisticated investor, associated person or professional investor under the Corporations Act any offer made to you under this prospectus is void and incapable of acceptance.</w:t>
      </w:r>
    </w:p>
    <w:p>
      <w:pPr>
        <w:spacing w:after="0" w:line="83" w:lineRule="exact"/>
        <w:rPr>
          <w:sz w:val="20"/>
          <w:szCs w:val="20"/>
          <w:color w:val="auto"/>
        </w:rPr>
      </w:pPr>
    </w:p>
    <w:p>
      <w:pPr>
        <w:ind w:left="460" w:right="619"/>
        <w:spacing w:after="0" w:line="248" w:lineRule="auto"/>
        <w:rPr>
          <w:sz w:val="20"/>
          <w:szCs w:val="20"/>
          <w:color w:val="auto"/>
        </w:rPr>
      </w:pPr>
      <w:r>
        <w:rPr>
          <w:rFonts w:ascii="Arial" w:cs="Arial" w:eastAsia="Arial" w:hAnsi="Arial"/>
          <w:sz w:val="18"/>
          <w:szCs w:val="18"/>
          <w:color w:val="auto"/>
        </w:rPr>
        <w:t>You warrant and agree that you will not offer any of the securities issued to you pursuant to this prospectus for resale in Australia within 12 months of those securities being issued unless any such resale offer is exempt from the requirement to issue a disclosure document under section 708 of the Corporations Act.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44"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The units are not intended to be offered or sold to and should not be offered or sold to any retail investor in the European Economic Area (the “EEA”). For these purposes, a retail investor means a person who is one (or more) of: (i) a retail client as defined in point (11) of Article 4(1) of Directive 2014/65/EU, as amended (“MiFID II”); or (ii) a customer within the meaning of Directive 2002/92/EC, as amended (the “Insurance Mediation Directive”), where that customer would not qualify as a professional client as defined in point (10) of Article 4(1) of MiFID II; or (iii) not a qualified investor as defined in the Directive 2003/71/EC (as amended, the “Prospectus Directive”). No key information document required by Regulation (EU) No 1286/2014, as amended (the “PRIIPs Regulation”) for offering or selling the units or otherwise making them available to retail investors in the EEA has been prepared. Offering or selling the units or otherwise making them available to any retail investor in the EEA may be unlawful under the PRIIPS Regulation. This prospectus has been prepared on the basis that any offer of the units in any member state of the EEA will be made pursuant to an exemption under the Prospectus Directive from a requirement to publish a prospectus for offers of units. This prospectus is not a prospectus for the purpose of the Prospectus Directive.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Hong Kong</w:t>
      </w:r>
    </w:p>
    <w:p>
      <w:pPr>
        <w:spacing w:after="0" w:line="144" w:lineRule="exact"/>
        <w:rPr>
          <w:sz w:val="20"/>
          <w:szCs w:val="20"/>
          <w:color w:val="auto"/>
        </w:rPr>
      </w:pPr>
    </w:p>
    <w:p>
      <w:pPr>
        <w:ind w:left="460" w:right="539"/>
        <w:spacing w:after="0" w:line="238" w:lineRule="auto"/>
        <w:rPr>
          <w:sz w:val="20"/>
          <w:szCs w:val="20"/>
          <w:color w:val="auto"/>
        </w:rPr>
      </w:pPr>
      <w:r>
        <w:rPr>
          <w:rFonts w:ascii="Arial" w:cs="Arial" w:eastAsia="Arial" w:hAnsi="Arial"/>
          <w:sz w:val="18"/>
          <w:szCs w:val="18"/>
          <w:color w:val="auto"/>
        </w:rPr>
        <w:t>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(“SFO”) and any rules made under that Ordinance; or in other circumstances which do not result in the document being a “prospectus” as defined in the Companies Ordinance (Cap. 32) of Hong Kong (“CO”) or which do not constitute an offer or invitation to the public for the purpose of the CO or the SFO.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SFO and any rules made under that Ordinance.</w:t>
      </w:r>
    </w:p>
    <w:p>
      <w:pPr>
        <w:spacing w:after="0" w:line="99" w:lineRule="exact"/>
        <w:rPr>
          <w:sz w:val="20"/>
          <w:szCs w:val="20"/>
          <w:color w:val="auto"/>
        </w:rPr>
      </w:pPr>
    </w:p>
    <w:p>
      <w:pPr>
        <w:ind w:left="460" w:right="539"/>
        <w:spacing w:after="0" w:line="241" w:lineRule="auto"/>
        <w:rPr>
          <w:sz w:val="20"/>
          <w:szCs w:val="20"/>
          <w:color w:val="auto"/>
        </w:rPr>
      </w:pPr>
      <w:r>
        <w:rPr>
          <w:rFonts w:ascii="Arial" w:cs="Arial" w:eastAsia="Arial" w:hAnsi="Arial"/>
          <w:sz w:val="18"/>
          <w:szCs w:val="18"/>
          <w:color w:val="auto"/>
        </w:rPr>
        <w:t>This prospectus has not been registered with the Registrar of Companies in Hong Kong. Accordingly, this prospectus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and the relevant offering documents and that he is not acquiring, and has not been offered any securities in circumstances that contravene any such restrictions.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Israel</w:t>
      </w:r>
    </w:p>
    <w:p>
      <w:pPr>
        <w:spacing w:after="0" w:line="144" w:lineRule="exact"/>
        <w:rPr>
          <w:sz w:val="20"/>
          <w:szCs w:val="20"/>
          <w:color w:val="auto"/>
        </w:rPr>
      </w:pPr>
    </w:p>
    <w:p>
      <w:pPr>
        <w:ind w:left="460" w:right="679"/>
        <w:spacing w:after="0" w:line="241" w:lineRule="auto"/>
        <w:rPr>
          <w:sz w:val="20"/>
          <w:szCs w:val="20"/>
          <w:color w:val="auto"/>
        </w:rPr>
      </w:pPr>
      <w:r>
        <w:rPr>
          <w:rFonts w:ascii="Arial" w:cs="Arial" w:eastAsia="Arial" w:hAnsi="Arial"/>
          <w:sz w:val="18"/>
          <w:szCs w:val="18"/>
          <w:color w:val="auto"/>
        </w:rPr>
        <w:t>This document does not constitute a prospectus under the Israeli Securities Law, 5728-1968, or the Securities Law, and has not been filed with or approved by the Israel Securities Authority. In Israel, this prospectus is being distributed only to, and is directed only at, and any offer of the units is directed only at, (i) a limited number of persons in accordance with the Israeli Securities Law and</w:t>
      </w:r>
    </w:p>
    <w:p>
      <w:pPr>
        <w:spacing w:after="0" w:line="1" w:lineRule="exact"/>
        <w:rPr>
          <w:sz w:val="20"/>
          <w:szCs w:val="20"/>
          <w:color w:val="auto"/>
        </w:rPr>
      </w:pPr>
    </w:p>
    <w:p>
      <w:pPr>
        <w:ind w:left="460" w:right="599" w:hanging="6"/>
        <w:spacing w:after="0" w:line="237" w:lineRule="auto"/>
        <w:tabs>
          <w:tab w:leader="none" w:pos="71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ectPr>
          <w:pgSz w:w="11900" w:h="16838" w:orient="portrait"/>
          <w:cols w:equalWidth="0" w:num="1">
            <w:col w:w="9019"/>
          </w:cols>
          <w:pgMar w:left="1440" w:top="265" w:right="1440" w:bottom="1440" w:gutter="0" w:footer="0" w:header="0"/>
        </w:sectPr>
      </w:pP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19050</wp:posOffset>
            </wp:positionV>
            <wp:extent cx="514350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50" w:name="page151"/>
    <w:bookmarkEnd w:id="150"/>
    <w:p>
      <w:pPr>
        <w:ind w:left="460"/>
        <w:spacing w:after="0"/>
        <w:rPr>
          <w:sz w:val="20"/>
          <w:szCs w:val="20"/>
          <w:color w:val="auto"/>
        </w:rPr>
      </w:pPr>
      <w:r>
        <w:rPr>
          <w:rFonts w:ascii="Arial" w:cs="Arial" w:eastAsia="Arial" w:hAnsi="Arial"/>
          <w:sz w:val="18"/>
          <w:szCs w:val="18"/>
          <w:b w:val="1"/>
          <w:bCs w:val="1"/>
          <w:i w:val="1"/>
          <w:iCs w:val="1"/>
          <w:color w:val="auto"/>
        </w:rPr>
        <w:t>Japan</w:t>
      </w:r>
    </w:p>
    <w:p>
      <w:pPr>
        <w:spacing w:after="0" w:line="144" w:lineRule="exact"/>
        <w:rPr>
          <w:sz w:val="20"/>
          <w:szCs w:val="20"/>
          <w:color w:val="auto"/>
        </w:rPr>
      </w:pPr>
    </w:p>
    <w:p>
      <w:pPr>
        <w:ind w:left="460" w:right="539"/>
        <w:spacing w:after="0"/>
        <w:rPr>
          <w:sz w:val="20"/>
          <w:szCs w:val="20"/>
          <w:color w:val="auto"/>
        </w:rPr>
      </w:pPr>
      <w:r>
        <w:rPr>
          <w:rFonts w:ascii="Arial" w:cs="Arial" w:eastAsia="Arial" w:hAnsi="Arial"/>
          <w:sz w:val="18"/>
          <w:szCs w:val="18"/>
          <w:color w:val="auto"/>
        </w:rPr>
        <w:t>The offering has not been and will not be registered under the Financial Instruments and Exchange Law of Japan (Law No. 25 of 1948 of Japan, as amended), or FIEL, and the Initial Purchaser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Singapore</w:t>
      </w:r>
    </w:p>
    <w:p>
      <w:pPr>
        <w:spacing w:after="0" w:line="131" w:lineRule="exact"/>
        <w:rPr>
          <w:sz w:val="20"/>
          <w:szCs w:val="20"/>
          <w:color w:val="auto"/>
        </w:rPr>
      </w:pPr>
    </w:p>
    <w:p>
      <w:pPr>
        <w:ind w:left="460" w:right="559"/>
        <w:spacing w:after="0" w:line="252" w:lineRule="auto"/>
        <w:rPr>
          <w:sz w:val="20"/>
          <w:szCs w:val="20"/>
          <w:color w:val="auto"/>
        </w:rPr>
      </w:pPr>
      <w:r>
        <w:rPr>
          <w:rFonts w:ascii="Arial" w:cs="Arial" w:eastAsia="Arial" w:hAnsi="Arial"/>
          <w:sz w:val="17"/>
          <w:szCs w:val="17"/>
          <w:color w:val="auto"/>
        </w:rPr>
        <w:t>This prospectus has not been and will not be lodged or registered as a prospectus with the Monetary Authority of Singapore. Accordingly, this prospectus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w:t>
      </w:r>
    </w:p>
    <w:p>
      <w:pPr>
        <w:ind w:left="460" w:right="579" w:hanging="6"/>
        <w:spacing w:after="0" w:line="250" w:lineRule="auto"/>
        <w:tabs>
          <w:tab w:leader="none" w:pos="75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00" w:lineRule="exact"/>
        <w:rPr>
          <w:sz w:val="20"/>
          <w:szCs w:val="20"/>
          <w:color w:val="auto"/>
        </w:rPr>
      </w:pPr>
    </w:p>
    <w:p>
      <w:pPr>
        <w:ind w:left="460" w:right="519"/>
        <w:spacing w:after="0" w:line="258" w:lineRule="auto"/>
        <w:rPr>
          <w:sz w:val="20"/>
          <w:szCs w:val="20"/>
          <w:color w:val="auto"/>
        </w:rPr>
      </w:pPr>
      <w:r>
        <w:rPr>
          <w:rFonts w:ascii="Arial" w:cs="Arial" w:eastAsia="Arial" w:hAnsi="Arial"/>
          <w:sz w:val="18"/>
          <w:szCs w:val="18"/>
          <w:color w:val="auto"/>
        </w:rPr>
        <w:t>Where the securities are subscribed or purchased under Section 275 of the SFA by a relevant person which is:</w:t>
      </w:r>
    </w:p>
    <w:p>
      <w:pPr>
        <w:jc w:val="both"/>
        <w:ind w:left="1100" w:right="639" w:hanging="322"/>
        <w:spacing w:after="0" w:line="250" w:lineRule="auto"/>
        <w:tabs>
          <w:tab w:leader="none" w:pos="1096"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 w:lineRule="exact"/>
        <w:rPr>
          <w:rFonts w:ascii="Arial" w:cs="Arial" w:eastAsia="Arial" w:hAnsi="Arial"/>
          <w:sz w:val="18"/>
          <w:szCs w:val="18"/>
          <w:color w:val="auto"/>
        </w:rPr>
      </w:pPr>
    </w:p>
    <w:p>
      <w:pPr>
        <w:ind w:left="1100" w:right="699" w:hanging="322"/>
        <w:spacing w:after="0"/>
        <w:tabs>
          <w:tab w:leader="none" w:pos="1096"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ind w:left="1420" w:right="519" w:hanging="318"/>
        <w:spacing w:after="0" w:line="250" w:lineRule="auto"/>
        <w:tabs>
          <w:tab w:leader="none" w:pos="1409" w:val="left"/>
        </w:tabs>
        <w:numPr>
          <w:ilvl w:val="1"/>
          <w:numId w:val="86"/>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1" w:lineRule="exact"/>
        <w:rPr>
          <w:rFonts w:ascii="Arial" w:cs="Arial" w:eastAsia="Arial" w:hAnsi="Arial"/>
          <w:sz w:val="18"/>
          <w:szCs w:val="18"/>
          <w:color w:val="auto"/>
        </w:rPr>
      </w:pPr>
    </w:p>
    <w:p>
      <w:pPr>
        <w:ind w:left="1420" w:hanging="318"/>
        <w:spacing w:after="0"/>
        <w:tabs>
          <w:tab w:leader="none" w:pos="14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35" w:lineRule="exact"/>
        <w:rPr>
          <w:rFonts w:ascii="Arial" w:cs="Arial" w:eastAsia="Arial" w:hAnsi="Arial"/>
          <w:sz w:val="18"/>
          <w:szCs w:val="18"/>
          <w:color w:val="auto"/>
        </w:rPr>
      </w:pPr>
    </w:p>
    <w:p>
      <w:pPr>
        <w:ind w:left="1420" w:hanging="318"/>
        <w:spacing w:after="0"/>
        <w:tabs>
          <w:tab w:leader="none" w:pos="14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2" w:lineRule="exact"/>
        <w:rPr>
          <w:rFonts w:ascii="Arial" w:cs="Arial" w:eastAsia="Arial" w:hAnsi="Arial"/>
          <w:sz w:val="18"/>
          <w:szCs w:val="18"/>
          <w:color w:val="auto"/>
        </w:rPr>
      </w:pPr>
    </w:p>
    <w:p>
      <w:pPr>
        <w:ind w:left="1420" w:hanging="318"/>
        <w:spacing w:after="0"/>
        <w:tabs>
          <w:tab w:leader="none" w:pos="14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36" w:lineRule="exact"/>
        <w:rPr>
          <w:rFonts w:ascii="Arial" w:cs="Arial" w:eastAsia="Arial" w:hAnsi="Arial"/>
          <w:sz w:val="18"/>
          <w:szCs w:val="18"/>
          <w:color w:val="auto"/>
        </w:rPr>
      </w:pPr>
    </w:p>
    <w:p>
      <w:pPr>
        <w:ind w:left="1420" w:right="1079" w:hanging="318"/>
        <w:spacing w:after="0" w:line="276" w:lineRule="auto"/>
        <w:tabs>
          <w:tab w:leader="none" w:pos="1409" w:val="left"/>
        </w:tabs>
        <w:numPr>
          <w:ilvl w:val="1"/>
          <w:numId w:val="86"/>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Switzerland</w:t>
      </w:r>
    </w:p>
    <w:p>
      <w:pPr>
        <w:spacing w:after="0" w:line="131" w:lineRule="exact"/>
        <w:rPr>
          <w:sz w:val="20"/>
          <w:szCs w:val="20"/>
          <w:color w:val="auto"/>
        </w:rPr>
      </w:pPr>
    </w:p>
    <w:p>
      <w:pPr>
        <w:ind w:left="460" w:right="459"/>
        <w:spacing w:after="0"/>
        <w:rPr>
          <w:sz w:val="20"/>
          <w:szCs w:val="20"/>
          <w:color w:val="auto"/>
        </w:rPr>
      </w:pPr>
      <w:r>
        <w:rPr>
          <w:rFonts w:ascii="Arial" w:cs="Arial" w:eastAsia="Arial" w:hAnsi="Arial"/>
          <w:sz w:val="18"/>
          <w:szCs w:val="18"/>
          <w:color w:val="auto"/>
        </w:rPr>
        <w:t>The securities may not be publicly offered in Switzerland and will not be listed on the SIX Swiss Exchange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securities or the offering may be publicly distributed or otherwise made publicly available in Switzerland.</w:t>
      </w:r>
    </w:p>
    <w:p>
      <w:pPr>
        <w:spacing w:after="0" w:line="113" w:lineRule="exact"/>
        <w:rPr>
          <w:sz w:val="20"/>
          <w:szCs w:val="20"/>
          <w:color w:val="auto"/>
        </w:rPr>
      </w:pPr>
    </w:p>
    <w:p>
      <w:pPr>
        <w:ind w:left="460" w:right="639"/>
        <w:spacing w:after="0" w:line="241" w:lineRule="auto"/>
        <w:rPr>
          <w:sz w:val="20"/>
          <w:szCs w:val="20"/>
          <w:color w:val="auto"/>
        </w:rPr>
      </w:pPr>
      <w:r>
        <w:rPr>
          <w:rFonts w:ascii="Arial" w:cs="Arial" w:eastAsia="Arial" w:hAnsi="Arial"/>
          <w:sz w:val="18"/>
          <w:szCs w:val="18"/>
          <w:color w:val="auto"/>
        </w:rPr>
        <w:t>Neither this prospectus nor any other offering or marketing material relating to the offering, the Company or the securities have been or will be filed with or approved by any Swiss regulatory authority. In particular, this prospectus will not be filed with, and the offer of securities will not be supervised by, the Swiss Financial Market Supervisory Authority FINMA, and the offer of securities has not been and will not be authorized under the Swiss Federal Act on Collective Investment Schemes (“CISA”). The investor protection afforded to acquirers of interests in collective investment schemes under the CISA does not extend to acquirers of securities.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51" w:name="page152"/>
    <w:bookmarkEnd w:id="151"/>
    <w:p>
      <w:pPr>
        <w:ind w:left="4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44" w:lineRule="exact"/>
        <w:rPr>
          <w:sz w:val="20"/>
          <w:szCs w:val="20"/>
          <w:color w:val="auto"/>
        </w:rPr>
      </w:pPr>
    </w:p>
    <w:p>
      <w:pPr>
        <w:ind w:left="460" w:right="579"/>
        <w:spacing w:after="0" w:line="243" w:lineRule="auto"/>
        <w:rPr>
          <w:sz w:val="20"/>
          <w:szCs w:val="20"/>
          <w:color w:val="auto"/>
        </w:rPr>
      </w:pPr>
      <w:r>
        <w:rPr>
          <w:rFonts w:ascii="Arial" w:cs="Arial" w:eastAsia="Arial" w:hAnsi="Arial"/>
          <w:sz w:val="18"/>
          <w:szCs w:val="18"/>
          <w:color w:val="auto"/>
        </w:rPr>
        <w:t>This prospectus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as amended (the “Order”) and/or (ii) high net worth entities falling within Article 49(2)(a) to (d) of the Order and other persons to whom it may lawfully be communicated (each such person being referred to as a “relevant person”).</w:t>
      </w:r>
    </w:p>
    <w:p>
      <w:pPr>
        <w:spacing w:after="0" w:line="93" w:lineRule="exact"/>
        <w:rPr>
          <w:sz w:val="20"/>
          <w:szCs w:val="20"/>
          <w:color w:val="auto"/>
        </w:rPr>
      </w:pPr>
    </w:p>
    <w:p>
      <w:pPr>
        <w:ind w:left="460" w:right="1279"/>
        <w:spacing w:after="0" w:line="247" w:lineRule="auto"/>
        <w:rPr>
          <w:sz w:val="20"/>
          <w:szCs w:val="20"/>
          <w:color w:val="auto"/>
        </w:rPr>
      </w:pPr>
      <w:r>
        <w:rPr>
          <w:rFonts w:ascii="Arial" w:cs="Arial" w:eastAsia="Arial" w:hAnsi="Arial"/>
          <w:sz w:val="18"/>
          <w:szCs w:val="18"/>
          <w:color w:val="auto"/>
        </w:rPr>
        <w:t>This prospectus and its contents are confidential and should not be distributed, published or reproduced (in whole or in part) or disclosed by recipients to any other persons in the</w:t>
      </w:r>
    </w:p>
    <w:p>
      <w:pPr>
        <w:spacing w:after="0" w:line="1" w:lineRule="exact"/>
        <w:rPr>
          <w:sz w:val="20"/>
          <w:szCs w:val="20"/>
          <w:color w:val="auto"/>
        </w:rPr>
      </w:pPr>
    </w:p>
    <w:p>
      <w:pPr>
        <w:ind w:left="460" w:right="799"/>
        <w:spacing w:after="0" w:line="250" w:lineRule="auto"/>
        <w:rPr>
          <w:sz w:val="20"/>
          <w:szCs w:val="20"/>
          <w:color w:val="auto"/>
        </w:rPr>
      </w:pPr>
      <w:r>
        <w:rPr>
          <w:rFonts w:ascii="Arial" w:cs="Arial" w:eastAsia="Arial" w:hAnsi="Arial"/>
          <w:sz w:val="18"/>
          <w:szCs w:val="18"/>
          <w:color w:val="auto"/>
        </w:rPr>
        <w:t>United Kingdom. Any person in the United Kingdom that is not a relevant person should not act or rely on this document or any of its contents.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52" w:name="page153"/>
    <w:bookmarkEnd w:id="152"/>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46" w:lineRule="exact"/>
        <w:rPr>
          <w:sz w:val="20"/>
          <w:szCs w:val="20"/>
          <w:color w:val="auto"/>
        </w:rPr>
      </w:pPr>
    </w:p>
    <w:p>
      <w:pPr>
        <w:ind w:left="460" w:right="619"/>
        <w:spacing w:after="0" w:line="248" w:lineRule="auto"/>
        <w:rPr>
          <w:sz w:val="20"/>
          <w:szCs w:val="20"/>
          <w:color w:val="auto"/>
        </w:rPr>
      </w:pPr>
      <w:r>
        <w:rPr>
          <w:rFonts w:ascii="Arial" w:cs="Arial" w:eastAsia="Arial" w:hAnsi="Arial"/>
          <w:sz w:val="18"/>
          <w:szCs w:val="18"/>
          <w:color w:val="auto"/>
        </w:rPr>
        <w:t>White &amp; Case LLP is acting as counsel in connection with the registration of our securities under the Securities Act, and as such, will pass upon the validity of the securities offered in this prospectus. Skadden, Arps, Slate, Meagher &amp; Flom LLP advised the underwriters in connection with the offering of the securities.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33" w:lineRule="exact"/>
        <w:rPr>
          <w:sz w:val="20"/>
          <w:szCs w:val="20"/>
          <w:color w:val="auto"/>
        </w:rPr>
      </w:pPr>
    </w:p>
    <w:p>
      <w:pPr>
        <w:ind w:left="460" w:right="499"/>
        <w:spacing w:after="0" w:line="245" w:lineRule="auto"/>
        <w:rPr>
          <w:sz w:val="20"/>
          <w:szCs w:val="20"/>
          <w:color w:val="auto"/>
        </w:rPr>
      </w:pPr>
      <w:r>
        <w:rPr>
          <w:rFonts w:ascii="Arial" w:cs="Arial" w:eastAsia="Arial" w:hAnsi="Arial"/>
          <w:sz w:val="18"/>
          <w:szCs w:val="18"/>
          <w:color w:val="auto"/>
        </w:rPr>
        <w:t>The financial statements of CM Life Sciences, Inc. as of July 16, 2020, and for the period from July 10, 2020 (inception) through July 16, 2020 appearing in this prospectus have been audited by WithumSmith+Brown, PC, independent registered public accounting firm, as set forth in their report thereon, appearing elsewhere in this prospectus, and are included in reliance on such report given on the authority of such firm as an experts in auditing and accounting.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46" w:lineRule="exact"/>
        <w:rPr>
          <w:sz w:val="20"/>
          <w:szCs w:val="20"/>
          <w:color w:val="auto"/>
        </w:rPr>
      </w:pPr>
    </w:p>
    <w:p>
      <w:pPr>
        <w:ind w:left="460" w:right="479"/>
        <w:spacing w:after="0"/>
        <w:rPr>
          <w:sz w:val="20"/>
          <w:szCs w:val="20"/>
          <w:color w:val="auto"/>
        </w:rPr>
      </w:pPr>
      <w:r>
        <w:rPr>
          <w:rFonts w:ascii="Arial" w:cs="Arial" w:eastAsia="Arial" w:hAnsi="Arial"/>
          <w:sz w:val="18"/>
          <w:szCs w:val="18"/>
          <w:color w:val="auto"/>
        </w:rPr>
        <w:t>We have filed with the SEC registration statements on Form S-1 under the Securities Act with respect to the securities we are offering by this prospectus. This prospectus does not contain all of the information included in the registration statements. For further information about us and our securities, you should refer to the registration statements and the exhibits and schedules filed with the registration statements. Whenever we make reference in this prospectus to any of our contracts, agreements or other documents, the references are materially complete but may not include a description of all aspects of such contracts, agreements or other documents, and you should refer to the exhibits attached to the registration statements for copies of the actual contract, agreement or other document.</w:t>
      </w:r>
    </w:p>
    <w:p>
      <w:pPr>
        <w:spacing w:after="0" w:line="108" w:lineRule="exact"/>
        <w:rPr>
          <w:sz w:val="20"/>
          <w:szCs w:val="20"/>
          <w:color w:val="auto"/>
        </w:rPr>
      </w:pPr>
    </w:p>
    <w:p>
      <w:pPr>
        <w:ind w:left="460" w:right="539"/>
        <w:spacing w:after="0" w:line="248" w:lineRule="auto"/>
        <w:rPr>
          <w:sz w:val="20"/>
          <w:szCs w:val="20"/>
          <w:color w:val="auto"/>
        </w:rPr>
      </w:pPr>
      <w:r>
        <w:rPr>
          <w:rFonts w:ascii="Arial" w:cs="Arial" w:eastAsia="Arial" w:hAnsi="Arial"/>
          <w:sz w:val="18"/>
          <w:szCs w:val="18"/>
          <w:color w:val="auto"/>
        </w:rPr>
        <w:t xml:space="preserve">Upon completion of this offering, we will be subject to the information requirements of the Exchange Act and will file annual, quarterly and current event reports, proxy statements and other information with the SEC. You can read our SEC filings, including the registration statements, over the Internet at the SEC’s website at </w:t>
      </w:r>
      <w:r>
        <w:rPr>
          <w:rFonts w:ascii="Arial" w:cs="Arial" w:eastAsia="Arial" w:hAnsi="Arial"/>
          <w:sz w:val="18"/>
          <w:szCs w:val="18"/>
          <w:i w:val="1"/>
          <w:iCs w:val="1"/>
          <w:color w:val="auto"/>
        </w:rPr>
        <w:t>www.sec.gov.</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sectPr>
      </w:pPr>
    </w:p>
    <w:bookmarkStart w:id="153" w:name="page154"/>
    <w:bookmarkEnd w:id="153"/>
    <w:p>
      <w:pPr>
        <w:jc w:val="center"/>
        <w:ind w:right="19"/>
        <w:spacing w:after="0"/>
        <w:rPr>
          <w:sz w:val="20"/>
          <w:szCs w:val="20"/>
          <w:color w:val="auto"/>
        </w:rPr>
      </w:pPr>
      <w:r>
        <w:rPr>
          <w:rFonts w:ascii="Arial" w:cs="Arial" w:eastAsia="Arial" w:hAnsi="Arial"/>
          <w:sz w:val="18"/>
          <w:szCs w:val="18"/>
          <w:b w:val="1"/>
          <w:bCs w:val="1"/>
          <w:color w:val="auto"/>
        </w:rPr>
        <w:t>INDEX TO FINANCIAL STATEMENTS</w:t>
      </w:r>
    </w:p>
    <w:p>
      <w:pPr>
        <w:spacing w:after="0" w:line="262" w:lineRule="exact"/>
        <w:rPr>
          <w:sz w:val="20"/>
          <w:szCs w:val="20"/>
          <w:color w:val="auto"/>
        </w:rPr>
      </w:pPr>
    </w:p>
    <w:tbl>
      <w:tblPr>
        <w:tblLayout w:type="fixed"/>
        <w:tblInd w:w="460" w:type="dxa"/>
        <w:tblCellMar>
          <w:top w:w="0" w:type="dxa"/>
          <w:left w:w="0" w:type="dxa"/>
          <w:bottom w:w="0" w:type="dxa"/>
          <w:right w:w="0" w:type="dxa"/>
        </w:tblCellMar>
      </w:tblPr>
      <w:tr>
        <w:trPr>
          <w:trHeight w:val="211"/>
        </w:trPr>
        <w:tc>
          <w:tcPr>
            <w:tcW w:w="180" w:type="dxa"/>
            <w:vAlign w:val="bottom"/>
            <w:tcBorders>
              <w:bottom w:val="single" w:sz="8" w:color="CCEEFF"/>
            </w:tcBorders>
          </w:tcPr>
          <w:p>
            <w:pPr>
              <w:spacing w:after="0"/>
              <w:rPr>
                <w:sz w:val="18"/>
                <w:szCs w:val="18"/>
                <w:color w:val="auto"/>
              </w:rPr>
            </w:pPr>
          </w:p>
        </w:tc>
        <w:tc>
          <w:tcPr>
            <w:tcW w:w="1720" w:type="dxa"/>
            <w:vAlign w:val="bottom"/>
            <w:tcBorders>
              <w:bottom w:val="single" w:sz="8" w:color="CCEEFF"/>
            </w:tcBorders>
          </w:tcPr>
          <w:p>
            <w:pPr>
              <w:spacing w:after="0"/>
              <w:rPr>
                <w:sz w:val="18"/>
                <w:szCs w:val="18"/>
                <w:color w:val="auto"/>
              </w:rPr>
            </w:pPr>
          </w:p>
        </w:tc>
        <w:tc>
          <w:tcPr>
            <w:tcW w:w="53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83"/>
        </w:trPr>
        <w:tc>
          <w:tcPr>
            <w:tcW w:w="75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Audited Financial Statements of CM Life Sciences, Inc.:</w:t>
            </w: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7500" w:type="dxa"/>
            <w:vAlign w:val="bottom"/>
            <w:gridSpan w:val="4"/>
          </w:tcPr>
          <w:p>
            <w:pPr>
              <w:spacing w:after="0"/>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Report of Independent Registered Public Accounting Firm</w:t>
              </w:r>
            </w:hyperlink>
          </w:p>
        </w:tc>
        <w:tc>
          <w:tcPr>
            <w:tcW w:w="600" w:type="dxa"/>
            <w:vAlign w:val="bottom"/>
          </w:tcPr>
          <w:p>
            <w:pPr>
              <w:jc w:val="center"/>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3"/>
        </w:trPr>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500" w:type="dxa"/>
            <w:vAlign w:val="bottom"/>
            <w:tcBorders>
              <w:bottom w:val="single" w:sz="8" w:color="CCEEFF"/>
            </w:tcBorders>
            <w:gridSpan w:val="4"/>
            <w:shd w:val="clear" w:color="auto" w:fill="CCEEFF"/>
          </w:tcPr>
          <w:p>
            <w:pPr>
              <w:spacing w:after="0"/>
              <w:rPr>
                <w:rFonts w:ascii="Arial" w:cs="Arial" w:eastAsia="Arial" w:hAnsi="Arial"/>
                <w:sz w:val="18"/>
                <w:szCs w:val="18"/>
                <w:u w:val="single" w:color="auto"/>
                <w:color w:val="0000EE"/>
              </w:rPr>
            </w:pPr>
            <w:hyperlink w:anchor="page156">
              <w:r>
                <w:rPr>
                  <w:rFonts w:ascii="Arial" w:cs="Arial" w:eastAsia="Arial" w:hAnsi="Arial"/>
                  <w:sz w:val="18"/>
                  <w:szCs w:val="18"/>
                  <w:u w:val="single" w:color="auto"/>
                  <w:color w:val="0000EE"/>
                </w:rPr>
                <w:t>Balance Sheet as of July 16, 2020</w:t>
              </w:r>
            </w:hyperlink>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61"/>
        </w:trPr>
        <w:tc>
          <w:tcPr>
            <w:tcW w:w="7500" w:type="dxa"/>
            <w:vAlign w:val="bottom"/>
            <w:gridSpan w:val="4"/>
          </w:tcPr>
          <w:p>
            <w:pPr>
              <w:spacing w:after="0"/>
              <w:rPr>
                <w:rFonts w:ascii="Arial" w:cs="Arial" w:eastAsia="Arial" w:hAnsi="Arial"/>
                <w:sz w:val="18"/>
                <w:szCs w:val="18"/>
                <w:u w:val="single" w:color="auto"/>
                <w:color w:val="0000EE"/>
              </w:rPr>
            </w:pPr>
            <w:hyperlink w:anchor="page157">
              <w:r>
                <w:rPr>
                  <w:rFonts w:ascii="Arial" w:cs="Arial" w:eastAsia="Arial" w:hAnsi="Arial"/>
                  <w:sz w:val="18"/>
                  <w:szCs w:val="18"/>
                  <w:u w:val="single" w:color="auto"/>
                  <w:color w:val="0000EE"/>
                </w:rPr>
                <w:t>Statement of Operations for the period from July 10, 2020 (inception) through July 16, 2020</w:t>
              </w:r>
            </w:hyperlink>
          </w:p>
        </w:tc>
        <w:tc>
          <w:tcPr>
            <w:tcW w:w="600" w:type="dxa"/>
            <w:vAlign w:val="bottom"/>
          </w:tcPr>
          <w:p>
            <w:pPr>
              <w:jc w:val="center"/>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3"/>
        </w:trPr>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7500" w:type="dxa"/>
            <w:vAlign w:val="bottom"/>
            <w:gridSpan w:val="4"/>
            <w:shd w:val="clear" w:color="auto" w:fill="CCEEFF"/>
          </w:tcPr>
          <w:p>
            <w:pPr>
              <w:spacing w:after="0" w:line="176" w:lineRule="exact"/>
              <w:rPr>
                <w:rFonts w:ascii="Arial" w:cs="Arial" w:eastAsia="Arial" w:hAnsi="Arial"/>
                <w:sz w:val="18"/>
                <w:szCs w:val="18"/>
                <w:color w:val="0000EE"/>
              </w:rPr>
            </w:pPr>
            <w:hyperlink w:anchor="page158">
              <w:r>
                <w:rPr>
                  <w:rFonts w:ascii="Arial" w:cs="Arial" w:eastAsia="Arial" w:hAnsi="Arial"/>
                  <w:sz w:val="18"/>
                  <w:szCs w:val="18"/>
                  <w:color w:val="0000EE"/>
                </w:rPr>
                <w:t>Statement of Changes in Stockholder’s Equity for the period from July 10, 2020 (inception)</w:t>
              </w:r>
            </w:hyperlink>
          </w:p>
        </w:tc>
        <w:tc>
          <w:tcPr>
            <w:tcW w:w="6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83"/>
        </w:trPr>
        <w:tc>
          <w:tcPr>
            <w:tcW w:w="180" w:type="dxa"/>
            <w:vAlign w:val="bottom"/>
            <w:tcBorders>
              <w:top w:val="single" w:sz="8" w:color="0000EE"/>
            </w:tcBorders>
            <w:shd w:val="clear" w:color="auto" w:fill="CCEEFF"/>
          </w:tcPr>
          <w:p>
            <w:pPr>
              <w:spacing w:after="0"/>
              <w:rPr>
                <w:sz w:val="15"/>
                <w:szCs w:val="15"/>
                <w:color w:val="auto"/>
              </w:rPr>
            </w:pPr>
          </w:p>
        </w:tc>
        <w:tc>
          <w:tcPr>
            <w:tcW w:w="7060" w:type="dxa"/>
            <w:vAlign w:val="bottom"/>
            <w:tcBorders>
              <w:top w:val="single" w:sz="8" w:color="0000EE"/>
            </w:tcBorders>
            <w:gridSpan w:val="2"/>
            <w:shd w:val="clear" w:color="auto" w:fill="CCEEFF"/>
          </w:tcPr>
          <w:p>
            <w:pPr>
              <w:spacing w:after="0" w:line="182" w:lineRule="exact"/>
              <w:rPr>
                <w:rFonts w:ascii="Arial" w:cs="Arial" w:eastAsia="Arial" w:hAnsi="Arial"/>
                <w:sz w:val="18"/>
                <w:szCs w:val="18"/>
                <w:color w:val="0000EE"/>
              </w:rPr>
            </w:pPr>
            <w:hyperlink w:anchor="page158">
              <w:r>
                <w:rPr>
                  <w:rFonts w:ascii="Arial" w:cs="Arial" w:eastAsia="Arial" w:hAnsi="Arial"/>
                  <w:sz w:val="18"/>
                  <w:szCs w:val="18"/>
                  <w:color w:val="0000EE"/>
                </w:rPr>
                <w:t>through July 16, 2020</w:t>
              </w:r>
            </w:hyperlink>
          </w:p>
        </w:tc>
        <w:tc>
          <w:tcPr>
            <w:tcW w:w="2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0000EE"/>
            </w:tcBorders>
            <w:shd w:val="clear" w:color="auto" w:fill="CCEEFF"/>
          </w:tcPr>
          <w:p>
            <w:pPr>
              <w:spacing w:after="0"/>
              <w:rPr>
                <w:sz w:val="4"/>
                <w:szCs w:val="4"/>
                <w:color w:val="auto"/>
              </w:rPr>
            </w:pPr>
          </w:p>
        </w:tc>
        <w:tc>
          <w:tcPr>
            <w:tcW w:w="53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7500" w:type="dxa"/>
            <w:vAlign w:val="bottom"/>
            <w:gridSpan w:val="4"/>
          </w:tcPr>
          <w:p>
            <w:pPr>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Statement of Cash Flows for the period from July 10, 2020 (inception) through July 16, 2020</w:t>
              </w:r>
            </w:hyperlink>
          </w:p>
        </w:tc>
        <w:tc>
          <w:tcPr>
            <w:tcW w:w="600" w:type="dxa"/>
            <w:vAlign w:val="bottom"/>
          </w:tcPr>
          <w:p>
            <w:pPr>
              <w:jc w:val="center"/>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3"/>
        </w:trPr>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7500" w:type="dxa"/>
            <w:vAlign w:val="bottom"/>
            <w:tcBorders>
              <w:bottom w:val="single" w:sz="8" w:color="CCEEFF"/>
            </w:tcBorders>
            <w:gridSpan w:val="4"/>
            <w:shd w:val="clear" w:color="auto" w:fill="CCEEFF"/>
          </w:tcPr>
          <w:p>
            <w:pPr>
              <w:spacing w:after="0"/>
              <w:rPr>
                <w:rFonts w:ascii="Arial" w:cs="Arial" w:eastAsia="Arial" w:hAnsi="Arial"/>
                <w:sz w:val="18"/>
                <w:szCs w:val="18"/>
                <w:u w:val="single" w:color="auto"/>
                <w:color w:val="0000EE"/>
              </w:rPr>
            </w:pPr>
            <w:hyperlink w:anchor="page160">
              <w:r>
                <w:rPr>
                  <w:rFonts w:ascii="Arial" w:cs="Arial" w:eastAsia="Arial" w:hAnsi="Arial"/>
                  <w:sz w:val="18"/>
                  <w:szCs w:val="18"/>
                  <w:u w:val="single" w:color="auto"/>
                  <w:color w:val="0000EE"/>
                </w:rPr>
                <w:t>Notes to Financial Statements</w:t>
              </w:r>
            </w:hyperlink>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391"/>
        </w:trPr>
        <w:tc>
          <w:tcPr>
            <w:tcW w:w="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gridSpan w:val="2"/>
          </w:tcPr>
          <w:p>
            <w:pPr>
              <w:ind w:left="2000"/>
              <w:spacing w:after="0"/>
              <w:rPr>
                <w:sz w:val="20"/>
                <w:szCs w:val="20"/>
                <w:color w:val="auto"/>
              </w:rPr>
            </w:pPr>
            <w:r>
              <w:rPr>
                <w:rFonts w:ascii="Arial" w:cs="Arial" w:eastAsia="Arial" w:hAnsi="Arial"/>
                <w:sz w:val="18"/>
                <w:szCs w:val="18"/>
                <w:color w:val="auto"/>
              </w:rPr>
              <w:t>F-1</w:t>
            </w: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31" w:right="1440" w:bottom="1440" w:gutter="0" w:footer="0" w:header="0"/>
        </w:sectPr>
      </w:pPr>
    </w:p>
    <w:bookmarkStart w:id="154" w:name="page155"/>
    <w:bookmarkEnd w:id="154"/>
    <w:p>
      <w:pPr>
        <w:ind w:left="1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Stockholder and the Board of Directors of</w:t>
      </w:r>
    </w:p>
    <w:p>
      <w:pPr>
        <w:spacing w:after="0" w:line="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CM Life Sciences, Inc.</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33" w:lineRule="exact"/>
        <w:rPr>
          <w:sz w:val="20"/>
          <w:szCs w:val="20"/>
          <w:color w:val="auto"/>
        </w:rPr>
      </w:pPr>
    </w:p>
    <w:p>
      <w:pPr>
        <w:ind w:left="460" w:right="539"/>
        <w:spacing w:after="0" w:line="258" w:lineRule="auto"/>
        <w:rPr>
          <w:sz w:val="20"/>
          <w:szCs w:val="20"/>
          <w:color w:val="auto"/>
        </w:rPr>
      </w:pPr>
      <w:r>
        <w:rPr>
          <w:rFonts w:ascii="Arial" w:cs="Arial" w:eastAsia="Arial" w:hAnsi="Arial"/>
          <w:sz w:val="17"/>
          <w:szCs w:val="17"/>
          <w:color w:val="auto"/>
        </w:rPr>
        <w:t>We have audited the accompanying balance sheet of CM Life Sciences, Inc. (the “Company”) as of July 16, 2020, the related statements of operations, changes in stockholder’s equity and cash flows for the period from July 10, 2020 (inception) through July 16, 2020, and the related notes (collectively referred to as the “financial statements”). In our opinion, the financial statements present fairly, in all material respects, the financial position of the Company as of July 16, 2020, and the results of its operations and its cash flows for the period from July 10, 2020 (inception) through July 16, 2020, in conformity with accounting principles generally accepted in the United States of America.</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for Opinion</w:t>
      </w:r>
    </w:p>
    <w:p>
      <w:pPr>
        <w:spacing w:after="0" w:line="146" w:lineRule="exact"/>
        <w:rPr>
          <w:sz w:val="20"/>
          <w:szCs w:val="20"/>
          <w:color w:val="auto"/>
        </w:rPr>
      </w:pPr>
    </w:p>
    <w:p>
      <w:pPr>
        <w:ind w:left="460" w:right="499"/>
        <w:spacing w:after="0" w:line="24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6" w:lineRule="exact"/>
        <w:rPr>
          <w:sz w:val="20"/>
          <w:szCs w:val="20"/>
          <w:color w:val="auto"/>
        </w:rPr>
      </w:pPr>
    </w:p>
    <w:p>
      <w:pPr>
        <w:ind w:left="460" w:right="759"/>
        <w:spacing w:after="0" w:line="258"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82" w:lineRule="exact"/>
        <w:rPr>
          <w:sz w:val="20"/>
          <w:szCs w:val="20"/>
          <w:color w:val="auto"/>
        </w:rPr>
      </w:pPr>
    </w:p>
    <w:p>
      <w:pPr>
        <w:ind w:left="460" w:right="499"/>
        <w:spacing w:after="0" w:line="243"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 WithumSmith+Brown, PC</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served as the Company’s auditor since 2020.</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September 3, 2020</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sectPr>
      </w:pPr>
    </w:p>
    <w:bookmarkStart w:id="155" w:name="page156"/>
    <w:bookmarkEnd w:id="155"/>
    <w:tbl>
      <w:tblPr>
        <w:tblLayout w:type="fixed"/>
        <w:tblInd w:w="460" w:type="dxa"/>
        <w:tblCellMar>
          <w:top w:w="0" w:type="dxa"/>
          <w:left w:w="0" w:type="dxa"/>
          <w:bottom w:w="0" w:type="dxa"/>
          <w:right w:w="0" w:type="dxa"/>
        </w:tblCellMar>
      </w:tblPr>
      <w:tr>
        <w:trPr>
          <w:trHeight w:val="207"/>
        </w:trPr>
        <w:tc>
          <w:tcPr>
            <w:tcW w:w="6900" w:type="dxa"/>
            <w:vAlign w:val="bottom"/>
          </w:tcPr>
          <w:p>
            <w:pPr>
              <w:jc w:val="center"/>
              <w:ind w:left="1090"/>
              <w:spacing w:after="0"/>
              <w:rPr>
                <w:sz w:val="20"/>
                <w:szCs w:val="20"/>
                <w:color w:val="auto"/>
              </w:rPr>
            </w:pPr>
            <w:r>
              <w:rPr>
                <w:rFonts w:ascii="Arial" w:cs="Arial" w:eastAsia="Arial" w:hAnsi="Arial"/>
                <w:sz w:val="18"/>
                <w:szCs w:val="18"/>
                <w:b w:val="1"/>
                <w:bCs w:val="1"/>
                <w:color w:val="auto"/>
              </w:rPr>
              <w:t>CM LIFE SCIENCES, INC.</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900" w:type="dxa"/>
            <w:vAlign w:val="bottom"/>
          </w:tcPr>
          <w:p>
            <w:pPr>
              <w:jc w:val="center"/>
              <w:ind w:left="1090"/>
              <w:spacing w:after="0" w:line="202" w:lineRule="exact"/>
              <w:rPr>
                <w:sz w:val="20"/>
                <w:szCs w:val="20"/>
                <w:color w:val="auto"/>
              </w:rPr>
            </w:pPr>
            <w:r>
              <w:rPr>
                <w:rFonts w:ascii="Arial" w:cs="Arial" w:eastAsia="Arial" w:hAnsi="Arial"/>
                <w:sz w:val="18"/>
                <w:szCs w:val="18"/>
                <w:b w:val="1"/>
                <w:bCs w:val="1"/>
                <w:color w:val="auto"/>
                <w:w w:val="99"/>
              </w:rPr>
              <w:t>BALANCE SHEET</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53"/>
        </w:trPr>
        <w:tc>
          <w:tcPr>
            <w:tcW w:w="6900" w:type="dxa"/>
            <w:vAlign w:val="bottom"/>
          </w:tcPr>
          <w:p>
            <w:pPr>
              <w:jc w:val="center"/>
              <w:ind w:left="1090"/>
              <w:spacing w:after="0"/>
              <w:rPr>
                <w:sz w:val="20"/>
                <w:szCs w:val="20"/>
                <w:color w:val="auto"/>
              </w:rPr>
            </w:pPr>
            <w:r>
              <w:rPr>
                <w:rFonts w:ascii="Arial" w:cs="Arial" w:eastAsia="Arial" w:hAnsi="Arial"/>
                <w:sz w:val="18"/>
                <w:szCs w:val="18"/>
                <w:b w:val="1"/>
                <w:bCs w:val="1"/>
                <w:color w:val="auto"/>
                <w:w w:val="99"/>
              </w:rPr>
              <w:t>JULY 16, 2020</w:t>
            </w: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150"/>
        </w:trPr>
        <w:tc>
          <w:tcPr>
            <w:tcW w:w="6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3"/>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r>
      <w:tr>
        <w:trPr>
          <w:trHeight w:val="279"/>
        </w:trPr>
        <w:tc>
          <w:tcPr>
            <w:tcW w:w="69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Deferred offering costs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90,000</w:t>
            </w:r>
          </w:p>
        </w:tc>
        <w:tc>
          <w:tcPr>
            <w:tcW w:w="120" w:type="dxa"/>
            <w:vAlign w:val="bottom"/>
            <w:tcBorders>
              <w:bottom w:val="single" w:sz="8" w:color="CCEEFF"/>
            </w:tcBorders>
          </w:tcPr>
          <w:p>
            <w:pPr>
              <w:spacing w:after="0"/>
              <w:rPr>
                <w:sz w:val="24"/>
                <w:szCs w:val="24"/>
                <w:color w:val="auto"/>
              </w:rPr>
            </w:pPr>
          </w:p>
        </w:tc>
      </w:tr>
      <w:tr>
        <w:trPr>
          <w:trHeight w:val="255"/>
        </w:trPr>
        <w:tc>
          <w:tcPr>
            <w:tcW w:w="6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90,000</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0"/>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64"/>
        </w:trPr>
        <w:tc>
          <w:tcPr>
            <w:tcW w:w="6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83"/>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r>
      <w:tr>
        <w:trPr>
          <w:trHeight w:val="261"/>
        </w:trPr>
        <w:tc>
          <w:tcPr>
            <w:tcW w:w="6900" w:type="dxa"/>
            <w:vAlign w:val="bottom"/>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3"/>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63"/>
        </w:trPr>
        <w:tc>
          <w:tcPr>
            <w:tcW w:w="6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79"/>
        </w:trPr>
        <w:tc>
          <w:tcPr>
            <w:tcW w:w="69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Accrued offering costs</w:t>
            </w: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65,000</w:t>
            </w:r>
          </w:p>
        </w:tc>
        <w:tc>
          <w:tcPr>
            <w:tcW w:w="120" w:type="dxa"/>
            <w:vAlign w:val="bottom"/>
            <w:tcBorders>
              <w:bottom w:val="single" w:sz="8" w:color="CCEEFF"/>
            </w:tcBorders>
          </w:tcPr>
          <w:p>
            <w:pPr>
              <w:spacing w:after="0"/>
              <w:rPr>
                <w:sz w:val="24"/>
                <w:szCs w:val="24"/>
                <w:color w:val="auto"/>
              </w:rPr>
            </w:pPr>
          </w:p>
        </w:tc>
      </w:tr>
      <w:tr>
        <w:trPr>
          <w:trHeight w:val="267"/>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Current Liabilities</w:t>
            </w:r>
          </w:p>
        </w:tc>
        <w:tc>
          <w:tcPr>
            <w:tcW w:w="3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67,681</w:t>
            </w:r>
          </w:p>
        </w:tc>
        <w:tc>
          <w:tcPr>
            <w:tcW w:w="120" w:type="dxa"/>
            <w:vAlign w:val="bottom"/>
            <w:shd w:val="clear" w:color="auto" w:fill="CCEEFF"/>
          </w:tcPr>
          <w:p>
            <w:pPr>
              <w:spacing w:after="0"/>
              <w:rPr>
                <w:sz w:val="23"/>
                <w:szCs w:val="23"/>
                <w:color w:val="auto"/>
              </w:rPr>
            </w:pPr>
          </w:p>
        </w:tc>
      </w:tr>
      <w:tr>
        <w:trPr>
          <w:trHeight w:val="278"/>
        </w:trPr>
        <w:tc>
          <w:tcPr>
            <w:tcW w:w="6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3"/>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3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r>
      <w:tr>
        <w:trPr>
          <w:trHeight w:val="283"/>
        </w:trPr>
        <w:tc>
          <w:tcPr>
            <w:tcW w:w="6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4"/>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180"/>
        </w:trPr>
        <w:tc>
          <w:tcPr>
            <w:tcW w:w="6900" w:type="dxa"/>
            <w:vAlign w:val="bottom"/>
          </w:tcPr>
          <w:p>
            <w:pPr>
              <w:ind w:left="180"/>
              <w:spacing w:after="0" w:line="180" w:lineRule="exact"/>
              <w:rPr>
                <w:sz w:val="20"/>
                <w:szCs w:val="20"/>
                <w:color w:val="auto"/>
              </w:rPr>
            </w:pPr>
            <w:r>
              <w:rPr>
                <w:rFonts w:ascii="Arial" w:cs="Arial" w:eastAsia="Arial" w:hAnsi="Arial"/>
                <w:sz w:val="18"/>
                <w:szCs w:val="18"/>
                <w:color w:val="auto"/>
              </w:rPr>
              <w:t>Preferred stock, $0.0001 par value; 1,000,000 shares authorized; none issued and</w:t>
            </w: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43"/>
        </w:trPr>
        <w:tc>
          <w:tcPr>
            <w:tcW w:w="6900" w:type="dxa"/>
            <w:vAlign w:val="bottom"/>
          </w:tcPr>
          <w:p>
            <w:pPr>
              <w:ind w:left="360"/>
              <w:spacing w:after="0"/>
              <w:rPr>
                <w:sz w:val="20"/>
                <w:szCs w:val="20"/>
                <w:color w:val="auto"/>
              </w:rPr>
            </w:pPr>
            <w:r>
              <w:rPr>
                <w:rFonts w:ascii="Arial" w:cs="Arial" w:eastAsia="Arial" w:hAnsi="Arial"/>
                <w:sz w:val="18"/>
                <w:szCs w:val="18"/>
                <w:color w:val="auto"/>
              </w:rPr>
              <w:t>outstanding</w:t>
            </w:r>
          </w:p>
        </w:tc>
        <w:tc>
          <w:tcPr>
            <w:tcW w:w="32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80"/>
        </w:trPr>
        <w:tc>
          <w:tcPr>
            <w:tcW w:w="6900" w:type="dxa"/>
            <w:vAlign w:val="bottom"/>
            <w:shd w:val="clear" w:color="auto" w:fill="CCEEFF"/>
          </w:tcPr>
          <w:p>
            <w:pPr>
              <w:ind w:left="180"/>
              <w:spacing w:after="0" w:line="180" w:lineRule="exact"/>
              <w:rPr>
                <w:sz w:val="20"/>
                <w:szCs w:val="20"/>
                <w:color w:val="auto"/>
              </w:rPr>
            </w:pPr>
            <w:r>
              <w:rPr>
                <w:rFonts w:ascii="Arial" w:cs="Arial" w:eastAsia="Arial" w:hAnsi="Arial"/>
                <w:sz w:val="18"/>
                <w:szCs w:val="18"/>
                <w:color w:val="auto"/>
              </w:rPr>
              <w:t>Class A common stock, $0.0001 par value; 380,000,000 shares authorized;</w:t>
            </w: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46"/>
        </w:trPr>
        <w:tc>
          <w:tcPr>
            <w:tcW w:w="6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none issued and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180"/>
        </w:trPr>
        <w:tc>
          <w:tcPr>
            <w:tcW w:w="6900" w:type="dxa"/>
            <w:vAlign w:val="bottom"/>
          </w:tcPr>
          <w:p>
            <w:pPr>
              <w:ind w:left="180"/>
              <w:spacing w:after="0" w:line="180" w:lineRule="exact"/>
              <w:rPr>
                <w:sz w:val="20"/>
                <w:szCs w:val="20"/>
                <w:color w:val="auto"/>
              </w:rPr>
            </w:pPr>
            <w:r>
              <w:rPr>
                <w:rFonts w:ascii="Arial" w:cs="Arial" w:eastAsia="Arial" w:hAnsi="Arial"/>
                <w:sz w:val="18"/>
                <w:szCs w:val="18"/>
                <w:color w:val="auto"/>
              </w:rPr>
              <w:t>Class B common stock, $0.0001 par value; 20,000,000 shares authorized;</w:t>
            </w: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66"/>
        </w:trPr>
        <w:tc>
          <w:tcPr>
            <w:tcW w:w="6900" w:type="dxa"/>
            <w:vAlign w:val="bottom"/>
          </w:tcPr>
          <w:p>
            <w:pPr>
              <w:ind w:left="360"/>
              <w:spacing w:after="0"/>
              <w:rPr>
                <w:sz w:val="20"/>
                <w:szCs w:val="20"/>
                <w:color w:val="auto"/>
              </w:rPr>
            </w:pPr>
            <w:r>
              <w:rPr>
                <w:rFonts w:ascii="Arial" w:cs="Arial" w:eastAsia="Arial" w:hAnsi="Arial"/>
                <w:sz w:val="18"/>
                <w:szCs w:val="18"/>
                <w:color w:val="auto"/>
              </w:rPr>
              <w:t>11,068,750 shares issued and outstanding</w:t>
            </w:r>
            <w:r>
              <w:rPr>
                <w:rFonts w:ascii="Arial" w:cs="Arial" w:eastAsia="Arial" w:hAnsi="Arial"/>
                <w:sz w:val="20"/>
                <w:szCs w:val="20"/>
                <w:color w:val="auto"/>
                <w:vertAlign w:val="superscript"/>
              </w:rPr>
              <w:t>(1)(2)</w:t>
            </w:r>
          </w:p>
        </w:tc>
        <w:tc>
          <w:tcPr>
            <w:tcW w:w="3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1,107</w:t>
            </w:r>
          </w:p>
        </w:tc>
        <w:tc>
          <w:tcPr>
            <w:tcW w:w="120" w:type="dxa"/>
            <w:vAlign w:val="bottom"/>
          </w:tcPr>
          <w:p>
            <w:pPr>
              <w:spacing w:after="0"/>
              <w:rPr>
                <w:sz w:val="23"/>
                <w:szCs w:val="23"/>
                <w:color w:val="auto"/>
              </w:rPr>
            </w:pPr>
          </w:p>
        </w:tc>
      </w:tr>
      <w:tr>
        <w:trPr>
          <w:trHeight w:val="263"/>
        </w:trPr>
        <w:tc>
          <w:tcPr>
            <w:tcW w:w="6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3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23,893</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79"/>
        </w:trPr>
        <w:tc>
          <w:tcPr>
            <w:tcW w:w="690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32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(2,681)</w:t>
            </w:r>
          </w:p>
        </w:tc>
      </w:tr>
      <w:tr>
        <w:trPr>
          <w:trHeight w:val="268"/>
        </w:trPr>
        <w:tc>
          <w:tcPr>
            <w:tcW w:w="69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Stockholder’s Equity</w:t>
            </w:r>
          </w:p>
        </w:tc>
        <w:tc>
          <w:tcPr>
            <w:tcW w:w="320" w:type="dxa"/>
            <w:vAlign w:val="bottom"/>
            <w:tcBorders>
              <w:top w:val="single" w:sz="8" w:color="auto"/>
              <w:bottom w:val="single" w:sz="8" w:color="auto"/>
            </w:tcBorders>
            <w:shd w:val="clear" w:color="auto" w:fill="CCEEFF"/>
          </w:tcPr>
          <w:p>
            <w:pPr>
              <w:spacing w:after="0"/>
              <w:rPr>
                <w:sz w:val="23"/>
                <w:szCs w:val="23"/>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22,319</w:t>
            </w:r>
          </w:p>
        </w:tc>
        <w:tc>
          <w:tcPr>
            <w:tcW w:w="120" w:type="dxa"/>
            <w:vAlign w:val="bottom"/>
            <w:tcBorders>
              <w:top w:val="single" w:sz="8" w:color="CCEEFF"/>
            </w:tcBorders>
            <w:shd w:val="clear" w:color="auto" w:fill="CCEEFF"/>
          </w:tcPr>
          <w:p>
            <w:pPr>
              <w:spacing w:after="0"/>
              <w:rPr>
                <w:sz w:val="23"/>
                <w:szCs w:val="23"/>
                <w:color w:val="auto"/>
              </w:rPr>
            </w:pPr>
          </w:p>
        </w:tc>
      </w:tr>
      <w:tr>
        <w:trPr>
          <w:trHeight w:val="250"/>
        </w:trPr>
        <w:tc>
          <w:tcPr>
            <w:tcW w:w="6900" w:type="dxa"/>
            <w:vAlign w:val="bottom"/>
          </w:tcPr>
          <w:p>
            <w:pPr>
              <w:ind w:left="540"/>
              <w:spacing w:after="0"/>
              <w:rPr>
                <w:sz w:val="20"/>
                <w:szCs w:val="20"/>
                <w:color w:val="auto"/>
              </w:rPr>
            </w:pPr>
            <w:r>
              <w:rPr>
                <w:rFonts w:ascii="Arial" w:cs="Arial" w:eastAsia="Arial" w:hAnsi="Arial"/>
                <w:sz w:val="18"/>
                <w:szCs w:val="18"/>
                <w:b w:val="1"/>
                <w:bCs w:val="1"/>
                <w:color w:val="auto"/>
              </w:rPr>
              <w:t>Total Liabilities and Stockholder’s Equity</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90,000</w:t>
            </w:r>
          </w:p>
        </w:tc>
        <w:tc>
          <w:tcPr>
            <w:tcW w:w="120" w:type="dxa"/>
            <w:vAlign w:val="bottom"/>
          </w:tcPr>
          <w:p>
            <w:pPr>
              <w:spacing w:after="0"/>
              <w:rPr>
                <w:sz w:val="21"/>
                <w:szCs w:val="21"/>
                <w:color w:val="auto"/>
              </w:rPr>
            </w:pPr>
          </w:p>
        </w:tc>
      </w:tr>
      <w:tr>
        <w:trPr>
          <w:trHeight w:val="20"/>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7" w:lineRule="exact"/>
        <w:rPr>
          <w:sz w:val="20"/>
          <w:szCs w:val="20"/>
          <w:color w:val="auto"/>
        </w:rPr>
      </w:pPr>
    </w:p>
    <w:p>
      <w:pPr>
        <w:ind w:left="880" w:right="839" w:hanging="426"/>
        <w:spacing w:after="0" w:line="216" w:lineRule="auto"/>
        <w:tabs>
          <w:tab w:leader="none" w:pos="882" w:val="left"/>
        </w:tabs>
        <w:numPr>
          <w:ilvl w:val="0"/>
          <w:numId w:val="87"/>
        </w:numPr>
        <w:rPr>
          <w:rFonts w:ascii="Arial" w:cs="Arial" w:eastAsia="Arial" w:hAnsi="Arial"/>
          <w:sz w:val="13"/>
          <w:szCs w:val="13"/>
          <w:color w:val="auto"/>
        </w:rPr>
      </w:pPr>
      <w:r>
        <w:rPr>
          <w:rFonts w:ascii="Arial" w:cs="Arial" w:eastAsia="Arial" w:hAnsi="Arial"/>
          <w:sz w:val="13"/>
          <w:szCs w:val="13"/>
          <w:color w:val="auto"/>
        </w:rPr>
        <w:t>Includes an aggregate of up to 1,443,750 shares of Class B common stock subject to forfeiture by the Sponsor if the over-allotment option is not exercised in full or in part by the underwriters (see Note 5).</w:t>
      </w:r>
    </w:p>
    <w:p>
      <w:pPr>
        <w:ind w:left="880" w:right="559" w:hanging="426"/>
        <w:spacing w:after="0" w:line="231" w:lineRule="auto"/>
        <w:tabs>
          <w:tab w:leader="none" w:pos="880" w:val="left"/>
        </w:tabs>
        <w:numPr>
          <w:ilvl w:val="0"/>
          <w:numId w:val="87"/>
        </w:numPr>
        <w:rPr>
          <w:rFonts w:ascii="Arial" w:cs="Arial" w:eastAsia="Arial" w:hAnsi="Arial"/>
          <w:sz w:val="13"/>
          <w:szCs w:val="13"/>
          <w:color w:val="auto"/>
        </w:rPr>
      </w:pPr>
      <w:r>
        <w:rPr>
          <w:rFonts w:ascii="Arial" w:cs="Arial" w:eastAsia="Arial" w:hAnsi="Arial"/>
          <w:sz w:val="13"/>
          <w:szCs w:val="13"/>
          <w:color w:val="auto"/>
        </w:rPr>
        <w:t>The shares and the associated amounts have been retroactively restated to reflect a 1:1.1 stock split of each outstanding share of Class B common stock in September 2020 (see Note 5).</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26" w:right="1440" w:bottom="1440" w:gutter="0" w:footer="0" w:header="0"/>
        </w:sectPr>
      </w:pPr>
    </w:p>
    <w:bookmarkStart w:id="156" w:name="page157"/>
    <w:bookmarkEnd w:id="156"/>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jc w:val="center"/>
        <w:spacing w:after="0"/>
        <w:rPr>
          <w:sz w:val="20"/>
          <w:szCs w:val="20"/>
          <w:color w:val="auto"/>
        </w:rPr>
      </w:pPr>
      <w:r>
        <w:rPr>
          <w:rFonts w:ascii="Arial" w:cs="Arial" w:eastAsia="Arial" w:hAnsi="Arial"/>
          <w:sz w:val="18"/>
          <w:szCs w:val="18"/>
          <w:b w:val="1"/>
          <w:bCs w:val="1"/>
          <w:color w:val="auto"/>
        </w:rPr>
        <w:t>FOR THE PERIOD FROM JULY 10, 2020 (INCEPTION) THROUGH JULY 16, 2020</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79"/>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Formation costs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690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(2,681)</w:t>
            </w:r>
          </w:p>
        </w:tc>
        <w:tc>
          <w:tcPr>
            <w:tcW w:w="0" w:type="dxa"/>
            <w:vAlign w:val="bottom"/>
          </w:tcPr>
          <w:p>
            <w:pPr>
              <w:spacing w:after="0"/>
              <w:rPr>
                <w:sz w:val="1"/>
                <w:szCs w:val="1"/>
                <w:color w:val="auto"/>
              </w:rPr>
            </w:pPr>
          </w:p>
        </w:tc>
      </w:tr>
      <w:tr>
        <w:trPr>
          <w:trHeight w:val="264"/>
        </w:trPr>
        <w:tc>
          <w:tcPr>
            <w:tcW w:w="69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10"/>
        </w:trPr>
        <w:tc>
          <w:tcPr>
            <w:tcW w:w="6900" w:type="dxa"/>
            <w:vAlign w:val="bottom"/>
          </w:tcPr>
          <w:p>
            <w:pPr>
              <w:spacing w:after="0"/>
              <w:rPr>
                <w:sz w:val="20"/>
                <w:szCs w:val="20"/>
                <w:color w:val="auto"/>
              </w:rPr>
            </w:pPr>
            <w:r>
              <w:rPr>
                <w:rFonts w:ascii="Arial" w:cs="Arial" w:eastAsia="Arial" w:hAnsi="Arial"/>
                <w:sz w:val="18"/>
                <w:szCs w:val="18"/>
                <w:color w:val="auto"/>
              </w:rPr>
              <w:t>Weighted average shares outstanding, basic and diluted</w:t>
            </w:r>
            <w:r>
              <w:rPr>
                <w:rFonts w:ascii="Arial" w:cs="Arial" w:eastAsia="Arial" w:hAnsi="Arial"/>
                <w:sz w:val="20"/>
                <w:szCs w:val="20"/>
                <w:color w:val="auto"/>
                <w:vertAlign w:val="superscript"/>
              </w:rPr>
              <w:t>(1)(2)</w:t>
            </w:r>
          </w:p>
        </w:tc>
        <w:tc>
          <w:tcPr>
            <w:tcW w:w="18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9,625,000</w:t>
            </w:r>
          </w:p>
        </w:tc>
        <w:tc>
          <w:tcPr>
            <w:tcW w:w="0" w:type="dxa"/>
            <w:vAlign w:val="bottom"/>
          </w:tcPr>
          <w:p>
            <w:pPr>
              <w:spacing w:after="0"/>
              <w:rPr>
                <w:sz w:val="1"/>
                <w:szCs w:val="1"/>
                <w:color w:val="auto"/>
              </w:rPr>
            </w:pPr>
          </w:p>
        </w:tc>
      </w:tr>
      <w:tr>
        <w:trPr>
          <w:trHeight w:val="264"/>
        </w:trPr>
        <w:tc>
          <w:tcPr>
            <w:tcW w:w="69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900" w:type="dxa"/>
            <w:vAlign w:val="bottom"/>
          </w:tcPr>
          <w:p>
            <w:pPr>
              <w:spacing w:after="0"/>
              <w:rPr>
                <w:sz w:val="20"/>
                <w:szCs w:val="20"/>
                <w:color w:val="auto"/>
              </w:rPr>
            </w:pPr>
            <w:r>
              <w:rPr>
                <w:rFonts w:ascii="Arial" w:cs="Arial" w:eastAsia="Arial" w:hAnsi="Arial"/>
                <w:sz w:val="18"/>
                <w:szCs w:val="18"/>
                <w:b w:val="1"/>
                <w:bCs w:val="1"/>
                <w:color w:val="auto"/>
              </w:rPr>
              <w:t>Basic and diluted net loss per common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(0.00</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6"/>
                <w:szCs w:val="16"/>
                <w:color w:val="auto"/>
              </w:rPr>
              <w:t>____________</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9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880" w:right="799" w:hanging="426"/>
        <w:spacing w:after="0" w:line="216" w:lineRule="auto"/>
        <w:tabs>
          <w:tab w:leader="none" w:pos="882" w:val="left"/>
        </w:tabs>
        <w:numPr>
          <w:ilvl w:val="0"/>
          <w:numId w:val="88"/>
        </w:numPr>
        <w:rPr>
          <w:rFonts w:ascii="Arial" w:cs="Arial" w:eastAsia="Arial" w:hAnsi="Arial"/>
          <w:sz w:val="13"/>
          <w:szCs w:val="13"/>
          <w:color w:val="auto"/>
        </w:rPr>
      </w:pPr>
      <w:r>
        <w:rPr>
          <w:rFonts w:ascii="Arial" w:cs="Arial" w:eastAsia="Arial" w:hAnsi="Arial"/>
          <w:sz w:val="13"/>
          <w:szCs w:val="13"/>
          <w:color w:val="auto"/>
        </w:rPr>
        <w:t>Excludes an aggregate of up to 1,443,750 shares of Class B common stock subject to forfeiture by the Sponsor if the over-allotment option is not exercised in full or in part by the underwriters (see Note 5).</w:t>
      </w:r>
    </w:p>
    <w:p>
      <w:pPr>
        <w:ind w:left="880" w:right="559" w:hanging="426"/>
        <w:spacing w:after="0" w:line="231" w:lineRule="auto"/>
        <w:tabs>
          <w:tab w:leader="none" w:pos="880" w:val="left"/>
        </w:tabs>
        <w:numPr>
          <w:ilvl w:val="0"/>
          <w:numId w:val="88"/>
        </w:numPr>
        <w:rPr>
          <w:rFonts w:ascii="Arial" w:cs="Arial" w:eastAsia="Arial" w:hAnsi="Arial"/>
          <w:sz w:val="13"/>
          <w:szCs w:val="13"/>
          <w:color w:val="auto"/>
        </w:rPr>
      </w:pPr>
      <w:r>
        <w:rPr>
          <w:rFonts w:ascii="Arial" w:cs="Arial" w:eastAsia="Arial" w:hAnsi="Arial"/>
          <w:sz w:val="13"/>
          <w:szCs w:val="13"/>
          <w:color w:val="auto"/>
        </w:rPr>
        <w:t>The shares and the associated amounts have been retroactively restated to reflect a 1:1.1 stock split of each outstanding share of Class B common stock in September 2020 (see Note 5).</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sectPr>
      </w:pPr>
    </w:p>
    <w:bookmarkStart w:id="157" w:name="page158"/>
    <w:bookmarkEnd w:id="157"/>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STOCKHOLDER’S EQUITY</w:t>
      </w:r>
    </w:p>
    <w:p>
      <w:pPr>
        <w:jc w:val="center"/>
        <w:spacing w:after="0"/>
        <w:rPr>
          <w:sz w:val="20"/>
          <w:szCs w:val="20"/>
          <w:color w:val="auto"/>
        </w:rPr>
      </w:pPr>
      <w:r>
        <w:rPr>
          <w:rFonts w:ascii="Arial" w:cs="Arial" w:eastAsia="Arial" w:hAnsi="Arial"/>
          <w:sz w:val="18"/>
          <w:szCs w:val="18"/>
          <w:b w:val="1"/>
          <w:bCs w:val="1"/>
          <w:color w:val="auto"/>
        </w:rPr>
        <w:t>FOR THE PERIOD FROM JULY 10, 2020 (INCEPTION) THROUGH JULY 16, 2020</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3140" w:type="dxa"/>
            <w:vAlign w:val="bottom"/>
          </w:tcPr>
          <w:p>
            <w:pPr>
              <w:spacing w:after="0"/>
              <w:rPr>
                <w:sz w:val="14"/>
                <w:szCs w:val="14"/>
                <w:color w:val="auto"/>
              </w:rPr>
            </w:pPr>
          </w:p>
        </w:tc>
        <w:tc>
          <w:tcPr>
            <w:tcW w:w="1240" w:type="dxa"/>
            <w:vAlign w:val="bottom"/>
            <w:gridSpan w:val="3"/>
          </w:tcPr>
          <w:p>
            <w:pPr>
              <w:jc w:val="center"/>
              <w:ind w:left="598"/>
              <w:spacing w:after="0"/>
              <w:rPr>
                <w:sz w:val="20"/>
                <w:szCs w:val="20"/>
                <w:color w:val="auto"/>
              </w:rPr>
            </w:pPr>
            <w:r>
              <w:rPr>
                <w:rFonts w:ascii="Arial" w:cs="Arial" w:eastAsia="Arial" w:hAnsi="Arial"/>
                <w:sz w:val="14"/>
                <w:szCs w:val="14"/>
                <w:b w:val="1"/>
                <w:bCs w:val="1"/>
                <w:color w:val="auto"/>
              </w:rPr>
              <w:t>Class B</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2000" w:type="dxa"/>
            <w:vAlign w:val="bottom"/>
            <w:gridSpan w:val="5"/>
          </w:tcPr>
          <w:p>
            <w:pPr>
              <w:jc w:val="center"/>
              <w:ind w:right="40"/>
              <w:spacing w:after="0" w:line="150" w:lineRule="exact"/>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140" w:type="dxa"/>
            <w:vAlign w:val="bottom"/>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gridSpan w:val="2"/>
            <w:vMerge w:val="restart"/>
          </w:tcPr>
          <w:p>
            <w:pPr>
              <w:jc w:val="center"/>
              <w:ind w:right="260"/>
              <w:spacing w:after="0" w:line="147" w:lineRule="exact"/>
              <w:rPr>
                <w:sz w:val="20"/>
                <w:szCs w:val="20"/>
                <w:color w:val="auto"/>
              </w:rPr>
            </w:pPr>
            <w:r>
              <w:rPr>
                <w:rFonts w:ascii="Arial" w:cs="Arial" w:eastAsia="Arial" w:hAnsi="Arial"/>
                <w:sz w:val="14"/>
                <w:szCs w:val="14"/>
                <w:b w:val="1"/>
                <w:bCs w:val="1"/>
                <w:color w:val="auto"/>
              </w:rPr>
              <w:t>Paid-in</w:t>
            </w:r>
          </w:p>
        </w:tc>
        <w:tc>
          <w:tcPr>
            <w:tcW w:w="1000" w:type="dxa"/>
            <w:vAlign w:val="bottom"/>
            <w:gridSpan w:val="4"/>
            <w:vMerge w:val="restart"/>
          </w:tcPr>
          <w:p>
            <w:pPr>
              <w:ind w:left="20"/>
              <w:spacing w:after="0" w:line="147" w:lineRule="exact"/>
              <w:rPr>
                <w:sz w:val="20"/>
                <w:szCs w:val="20"/>
                <w:color w:val="auto"/>
              </w:rPr>
            </w:pPr>
            <w:r>
              <w:rPr>
                <w:rFonts w:ascii="Arial" w:cs="Arial" w:eastAsia="Arial" w:hAnsi="Arial"/>
                <w:sz w:val="14"/>
                <w:szCs w:val="14"/>
                <w:b w:val="1"/>
                <w:bCs w:val="1"/>
                <w:color w:val="auto"/>
              </w:rPr>
              <w:t>Accumulated</w:t>
            </w:r>
          </w:p>
        </w:tc>
        <w:tc>
          <w:tcPr>
            <w:tcW w:w="960" w:type="dxa"/>
            <w:vAlign w:val="bottom"/>
            <w:gridSpan w:val="3"/>
            <w:vMerge w:val="restart"/>
          </w:tcPr>
          <w:p>
            <w:pPr>
              <w:spacing w:after="0" w:line="147"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59"/>
        </w:trPr>
        <w:tc>
          <w:tcPr>
            <w:tcW w:w="3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000" w:type="dxa"/>
            <w:vAlign w:val="bottom"/>
            <w:gridSpan w:val="4"/>
            <w:vMerge w:val="continue"/>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31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Amount</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rPr>
              <w:t>Capital</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70"/>
        </w:trPr>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July 10, 2020 (inception)</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 $</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80"/>
        </w:trPr>
        <w:tc>
          <w:tcPr>
            <w:tcW w:w="3140" w:type="dxa"/>
            <w:vAlign w:val="bottom"/>
          </w:tcPr>
          <w:p>
            <w:pPr>
              <w:ind w:left="180"/>
              <w:spacing w:after="0" w:line="180" w:lineRule="exact"/>
              <w:rPr>
                <w:sz w:val="20"/>
                <w:szCs w:val="20"/>
                <w:color w:val="auto"/>
              </w:rPr>
            </w:pPr>
            <w:r>
              <w:rPr>
                <w:rFonts w:ascii="Arial" w:cs="Arial" w:eastAsia="Arial" w:hAnsi="Arial"/>
                <w:sz w:val="18"/>
                <w:szCs w:val="18"/>
                <w:color w:val="auto"/>
              </w:rPr>
              <w:t>Issuance of Class B common stock</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3140" w:type="dxa"/>
            <w:vAlign w:val="bottom"/>
          </w:tcPr>
          <w:p>
            <w:pPr>
              <w:ind w:left="360"/>
              <w:spacing w:after="0"/>
              <w:rPr>
                <w:sz w:val="20"/>
                <w:szCs w:val="20"/>
                <w:color w:val="auto"/>
              </w:rPr>
            </w:pPr>
            <w:r>
              <w:rPr>
                <w:rFonts w:ascii="Arial" w:cs="Arial" w:eastAsia="Arial" w:hAnsi="Arial"/>
                <w:sz w:val="18"/>
                <w:szCs w:val="18"/>
                <w:color w:val="auto"/>
              </w:rPr>
              <w:t>to Sponsor</w:t>
            </w:r>
            <w:r>
              <w:rPr>
                <w:rFonts w:ascii="Arial" w:cs="Arial" w:eastAsia="Arial" w:hAnsi="Arial"/>
                <w:sz w:val="20"/>
                <w:szCs w:val="20"/>
                <w:color w:val="auto"/>
                <w:vertAlign w:val="superscript"/>
              </w:rPr>
              <w:t>(1)(2)</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11,068,750</w:t>
            </w:r>
          </w:p>
        </w:tc>
        <w:tc>
          <w:tcPr>
            <w:tcW w:w="140" w:type="dxa"/>
            <w:vAlign w:val="bottom"/>
          </w:tcPr>
          <w:p>
            <w:pPr>
              <w:spacing w:after="0"/>
              <w:rPr>
                <w:sz w:val="23"/>
                <w:szCs w:val="23"/>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1,107</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23,893</w:t>
            </w:r>
          </w:p>
        </w:tc>
        <w:tc>
          <w:tcPr>
            <w:tcW w:w="180" w:type="dxa"/>
            <w:vAlign w:val="bottom"/>
          </w:tcPr>
          <w:p>
            <w:pPr>
              <w:spacing w:after="0"/>
              <w:rPr>
                <w:sz w:val="23"/>
                <w:szCs w:val="23"/>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3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(2,681)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(2,681)</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3140" w:type="dxa"/>
            <w:vAlign w:val="bottom"/>
          </w:tcPr>
          <w:p>
            <w:pPr>
              <w:spacing w:after="0"/>
              <w:rPr>
                <w:sz w:val="20"/>
                <w:szCs w:val="20"/>
                <w:color w:val="auto"/>
              </w:rPr>
            </w:pPr>
            <w:r>
              <w:rPr>
                <w:rFonts w:ascii="Arial" w:cs="Arial" w:eastAsia="Arial" w:hAnsi="Arial"/>
                <w:sz w:val="18"/>
                <w:szCs w:val="18"/>
                <w:b w:val="1"/>
                <w:bCs w:val="1"/>
                <w:color w:val="auto"/>
              </w:rPr>
              <w:t>Balance, July 16, 2020</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11,068,750 $</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1,107</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23,893</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(2,681)</w:t>
            </w:r>
          </w:p>
        </w:tc>
        <w:tc>
          <w:tcPr>
            <w:tcW w:w="10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22,319</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7" w:lineRule="exact"/>
        <w:rPr>
          <w:sz w:val="20"/>
          <w:szCs w:val="20"/>
          <w:color w:val="auto"/>
        </w:rPr>
      </w:pPr>
    </w:p>
    <w:p>
      <w:pPr>
        <w:ind w:left="880" w:right="839" w:hanging="426"/>
        <w:spacing w:after="0" w:line="216" w:lineRule="auto"/>
        <w:tabs>
          <w:tab w:leader="none" w:pos="882" w:val="left"/>
        </w:tabs>
        <w:numPr>
          <w:ilvl w:val="0"/>
          <w:numId w:val="89"/>
        </w:numPr>
        <w:rPr>
          <w:rFonts w:ascii="Arial" w:cs="Arial" w:eastAsia="Arial" w:hAnsi="Arial"/>
          <w:sz w:val="13"/>
          <w:szCs w:val="13"/>
          <w:color w:val="auto"/>
        </w:rPr>
      </w:pPr>
      <w:r>
        <w:rPr>
          <w:rFonts w:ascii="Arial" w:cs="Arial" w:eastAsia="Arial" w:hAnsi="Arial"/>
          <w:sz w:val="13"/>
          <w:szCs w:val="13"/>
          <w:color w:val="auto"/>
        </w:rPr>
        <w:t>Includes an aggregate of up to 1,443,750 shares of Class B common stock subject to forfeiture by the Sponsor if the over-allotment option is not exercised in full or in part by the underwriters (see Note 5).</w:t>
      </w:r>
    </w:p>
    <w:p>
      <w:pPr>
        <w:ind w:left="880" w:right="559" w:hanging="426"/>
        <w:spacing w:after="0" w:line="231" w:lineRule="auto"/>
        <w:tabs>
          <w:tab w:leader="none" w:pos="880"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The shares and the associated amounts have been retroactively restated to reflect a 1:1.1 stock split of each outstanding share of Class B common stock in September 2020 (see Note 5).</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sectPr>
      </w:pPr>
    </w:p>
    <w:bookmarkStart w:id="158" w:name="page159"/>
    <w:bookmarkEnd w:id="158"/>
    <w:p>
      <w:pPr>
        <w:jc w:val="center"/>
        <w:ind w:right="19"/>
        <w:spacing w:after="0"/>
        <w:rPr>
          <w:sz w:val="20"/>
          <w:szCs w:val="20"/>
          <w:color w:val="auto"/>
        </w:rPr>
      </w:pPr>
      <w:r>
        <w:rPr>
          <w:rFonts w:ascii="Arial" w:cs="Arial" w:eastAsia="Arial" w:hAnsi="Arial"/>
          <w:sz w:val="18"/>
          <w:szCs w:val="18"/>
          <w:b w:val="1"/>
          <w:bCs w:val="1"/>
          <w:color w:val="auto"/>
        </w:rPr>
        <w:t>CM LIFE SCIENCES,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OF CASH FLOWS</w:t>
      </w:r>
    </w:p>
    <w:p>
      <w:pPr>
        <w:jc w:val="center"/>
        <w:ind w:right="19"/>
        <w:spacing w:after="0"/>
        <w:rPr>
          <w:sz w:val="20"/>
          <w:szCs w:val="20"/>
          <w:color w:val="auto"/>
        </w:rPr>
      </w:pPr>
      <w:r>
        <w:rPr>
          <w:rFonts w:ascii="Arial" w:cs="Arial" w:eastAsia="Arial" w:hAnsi="Arial"/>
          <w:sz w:val="18"/>
          <w:szCs w:val="18"/>
          <w:b w:val="1"/>
          <w:bCs w:val="1"/>
          <w:color w:val="auto"/>
        </w:rPr>
        <w:t>FOR THE PERIOD FROM JULY 10, 2020 (INCEPTION) THROUGH JULY 16, 2020</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83"/>
        </w:trPr>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69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(2,681)</w:t>
            </w:r>
          </w:p>
        </w:tc>
        <w:tc>
          <w:tcPr>
            <w:tcW w:w="0" w:type="dxa"/>
            <w:vAlign w:val="bottom"/>
          </w:tcPr>
          <w:p>
            <w:pPr>
              <w:spacing w:after="0"/>
              <w:rPr>
                <w:sz w:val="1"/>
                <w:szCs w:val="1"/>
                <w:color w:val="auto"/>
              </w:rPr>
            </w:pPr>
          </w:p>
        </w:tc>
      </w:tr>
      <w:tr>
        <w:trPr>
          <w:trHeight w:val="23"/>
        </w:trPr>
        <w:tc>
          <w:tcPr>
            <w:tcW w:w="6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6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 to reconcile net loss to net cash used in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692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6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6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30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920" w:type="dxa"/>
            <w:vAlign w:val="bottom"/>
          </w:tcPr>
          <w:p>
            <w:pPr>
              <w:ind w:left="540"/>
              <w:spacing w:after="0"/>
              <w:rPr>
                <w:sz w:val="20"/>
                <w:szCs w:val="20"/>
                <w:color w:val="auto"/>
              </w:rPr>
            </w:pPr>
            <w:r>
              <w:rPr>
                <w:rFonts w:ascii="Arial" w:cs="Arial" w:eastAsia="Arial" w:hAnsi="Arial"/>
                <w:sz w:val="18"/>
                <w:szCs w:val="18"/>
                <w:b w:val="1"/>
                <w:bCs w:val="1"/>
                <w:color w:val="auto"/>
              </w:rPr>
              <w:t>Net cash used in operating activities</w:t>
            </w:r>
          </w:p>
        </w:tc>
        <w:tc>
          <w:tcPr>
            <w:tcW w:w="300" w:type="dxa"/>
            <w:vAlign w:val="bottom"/>
          </w:tcPr>
          <w:p>
            <w:pPr>
              <w:spacing w:after="0"/>
              <w:rPr>
                <w:sz w:val="22"/>
                <w:szCs w:val="22"/>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8"/>
        </w:trPr>
        <w:tc>
          <w:tcPr>
            <w:tcW w:w="692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760" w:type="dxa"/>
            <w:vAlign w:val="bottom"/>
            <w:tcBorders>
              <w:top w:val="single" w:sz="8" w:color="auto"/>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920" w:type="dxa"/>
            <w:vAlign w:val="bottom"/>
          </w:tcPr>
          <w:p>
            <w:pPr>
              <w:spacing w:after="0"/>
              <w:rPr>
                <w:sz w:val="20"/>
                <w:szCs w:val="20"/>
                <w:color w:val="auto"/>
              </w:rPr>
            </w:pPr>
            <w:r>
              <w:rPr>
                <w:rFonts w:ascii="Arial" w:cs="Arial" w:eastAsia="Arial" w:hAnsi="Arial"/>
                <w:sz w:val="18"/>
                <w:szCs w:val="18"/>
                <w:b w:val="1"/>
                <w:bCs w:val="1"/>
                <w:color w:val="auto"/>
              </w:rPr>
              <w:t>Net change in cash</w:t>
            </w:r>
          </w:p>
        </w:tc>
        <w:tc>
          <w:tcPr>
            <w:tcW w:w="300" w:type="dxa"/>
            <w:vAlign w:val="bottom"/>
          </w:tcPr>
          <w:p>
            <w:pPr>
              <w:spacing w:after="0"/>
              <w:rPr>
                <w:sz w:val="24"/>
                <w:szCs w:val="24"/>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91"/>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Cash at beginning of period</w:t>
            </w:r>
          </w:p>
        </w:tc>
        <w:tc>
          <w:tcPr>
            <w:tcW w:w="30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920" w:type="dxa"/>
            <w:vAlign w:val="bottom"/>
          </w:tcPr>
          <w:p>
            <w:pPr>
              <w:spacing w:after="0"/>
              <w:rPr>
                <w:sz w:val="20"/>
                <w:szCs w:val="20"/>
                <w:color w:val="auto"/>
              </w:rPr>
            </w:pPr>
            <w:r>
              <w:rPr>
                <w:rFonts w:ascii="Arial" w:cs="Arial" w:eastAsia="Arial" w:hAnsi="Arial"/>
                <w:sz w:val="18"/>
                <w:szCs w:val="18"/>
                <w:b w:val="1"/>
                <w:bCs w:val="1"/>
                <w:color w:val="auto"/>
              </w:rPr>
              <w:t>Cash at end of period</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4"/>
        </w:trPr>
        <w:tc>
          <w:tcPr>
            <w:tcW w:w="69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920" w:type="dxa"/>
            <w:vAlign w:val="bottom"/>
          </w:tcPr>
          <w:p>
            <w:pPr>
              <w:spacing w:after="0"/>
              <w:rPr>
                <w:sz w:val="20"/>
                <w:szCs w:val="20"/>
                <w:color w:val="auto"/>
              </w:rPr>
            </w:pPr>
            <w:r>
              <w:rPr>
                <w:rFonts w:ascii="Arial" w:cs="Arial" w:eastAsia="Arial" w:hAnsi="Arial"/>
                <w:sz w:val="18"/>
                <w:szCs w:val="18"/>
                <w:b w:val="1"/>
                <w:bCs w:val="1"/>
                <w:color w:val="auto"/>
              </w:rPr>
              <w:t>Non-cash financing activities:</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920" w:type="dxa"/>
            <w:vAlign w:val="bottom"/>
            <w:shd w:val="clear" w:color="auto" w:fill="CCEEFF"/>
          </w:tcPr>
          <w:p>
            <w:pPr>
              <w:spacing w:after="0" w:line="187" w:lineRule="exact"/>
              <w:rPr>
                <w:sz w:val="20"/>
                <w:szCs w:val="20"/>
                <w:color w:val="auto"/>
              </w:rPr>
            </w:pPr>
            <w:r>
              <w:rPr>
                <w:rFonts w:ascii="Arial" w:cs="Arial" w:eastAsia="Arial" w:hAnsi="Arial"/>
                <w:sz w:val="18"/>
                <w:szCs w:val="18"/>
                <w:color w:val="auto"/>
              </w:rPr>
              <w:t>Deferred offering costs paid directly by Sponsor in exchange for the issuance of</w:t>
            </w: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6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Class B common stock</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Arial" w:cs="Arial" w:eastAsia="Arial" w:hAnsi="Arial"/>
                <w:sz w:val="18"/>
                <w:szCs w:val="18"/>
                <w:color w:val="auto"/>
              </w:rPr>
              <w:t>Deferred offering costs included in accrued offering costs</w:t>
            </w: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20" w:type="dxa"/>
            <w:vAlign w:val="bottom"/>
            <w:vMerge w:val="continue"/>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sectPr>
      </w:pPr>
    </w:p>
    <w:bookmarkStart w:id="159" w:name="page160"/>
    <w:bookmarkEnd w:id="159"/>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 — DESCRIPTION OF ORGANIZATION AND BUSINESS OPERATIONS</w:t>
      </w:r>
    </w:p>
    <w:p>
      <w:pPr>
        <w:spacing w:after="0" w:line="146" w:lineRule="exact"/>
        <w:rPr>
          <w:sz w:val="20"/>
          <w:szCs w:val="20"/>
          <w:color w:val="auto"/>
        </w:rPr>
      </w:pPr>
    </w:p>
    <w:p>
      <w:pPr>
        <w:ind w:left="460" w:right="459"/>
        <w:spacing w:after="0" w:line="241" w:lineRule="auto"/>
        <w:rPr>
          <w:sz w:val="20"/>
          <w:szCs w:val="20"/>
          <w:color w:val="auto"/>
        </w:rPr>
      </w:pPr>
      <w:r>
        <w:rPr>
          <w:rFonts w:ascii="Arial" w:cs="Arial" w:eastAsia="Arial" w:hAnsi="Arial"/>
          <w:sz w:val="18"/>
          <w:szCs w:val="18"/>
          <w:color w:val="auto"/>
        </w:rPr>
        <w:t>CM Life Sciences, Inc. (the “Company”) was incorporated in Delaware on July 10, 2020. The Company was formed for the purpose of effecting a merger, capital stock exchange, asset acquisition, stock purchase, reorganization or similar business combination with one or more businesses (the “Business Combination”). The Company is not limited to a particular industry or sector for purposes of consummating a Business Combination. The Company is an early stage and emerging growth company and, as such, the Company is subject to all of the risks associated with early stage and emerging growth companies.</w:t>
      </w:r>
    </w:p>
    <w:p>
      <w:pPr>
        <w:spacing w:after="0" w:line="98" w:lineRule="exact"/>
        <w:rPr>
          <w:sz w:val="20"/>
          <w:szCs w:val="20"/>
          <w:color w:val="auto"/>
        </w:rPr>
      </w:pPr>
    </w:p>
    <w:p>
      <w:pPr>
        <w:ind w:left="460" w:right="539"/>
        <w:spacing w:after="0" w:line="241" w:lineRule="auto"/>
        <w:rPr>
          <w:sz w:val="20"/>
          <w:szCs w:val="20"/>
          <w:color w:val="auto"/>
        </w:rPr>
      </w:pPr>
      <w:r>
        <w:rPr>
          <w:rFonts w:ascii="Arial" w:cs="Arial" w:eastAsia="Arial" w:hAnsi="Arial"/>
          <w:sz w:val="18"/>
          <w:szCs w:val="18"/>
          <w:color w:val="auto"/>
        </w:rPr>
        <w:t>As of July 16, 2020, the Company had not commenced any operations. All activity for the period from July 10, 2020 (inception) through July 16, 2020 relates to the Company’s formation and the proposed initial public offering (“Proposed Public Offering”), which is described below. The Company will not generate any operating revenues until after the completion of its initial Business Combination, at the earliest. The Company will generate non-operating income in the form of interest income from the proceeds derived from the Proposed Public Offering. The Company has selected December 31 as its fiscal year end.</w:t>
      </w:r>
    </w:p>
    <w:p>
      <w:pPr>
        <w:spacing w:after="0" w:line="111" w:lineRule="exact"/>
        <w:rPr>
          <w:sz w:val="20"/>
          <w:szCs w:val="20"/>
          <w:color w:val="auto"/>
        </w:rPr>
      </w:pPr>
    </w:p>
    <w:p>
      <w:pPr>
        <w:ind w:left="460" w:right="479"/>
        <w:spacing w:after="0"/>
        <w:rPr>
          <w:sz w:val="20"/>
          <w:szCs w:val="20"/>
          <w:color w:val="auto"/>
        </w:rPr>
      </w:pPr>
      <w:r>
        <w:rPr>
          <w:rFonts w:ascii="Arial" w:cs="Arial" w:eastAsia="Arial" w:hAnsi="Arial"/>
          <w:sz w:val="18"/>
          <w:szCs w:val="18"/>
          <w:color w:val="auto"/>
        </w:rPr>
        <w:t>The Company’s ability to commence operations is contingent upon obtaining adequate financial resources through a Proposed Public Offering of 38,500,000 units (the “Units” and, with respect to the Class A common stock included in the Units being offered, the “Public Shares”) at $10.00 per Unit (or 44,275,000 Units if the underwriters’ over-allotment option is exercised in full), which is discussed in Note 3, and the sale of 6,466,667 warrants (or 7,236,667 warrants if the underwriters’ over-allotment option is exercised on full) (the “Private Placement Warrants”) at a price of $1.50 per Private Placement Warrant in a private placement to CMLS Holdings LLC (the “Sponsor”) and certain of the Company’s independent director nominees, that will close simultaneously with the Proposed Public Offering.</w:t>
      </w:r>
    </w:p>
    <w:p>
      <w:pPr>
        <w:spacing w:after="0" w:line="108"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The Company’s management has broad discretion with respect to the specific application of the net proceeds of the Proposed Public Offering and the sale of Private Placement Warrants,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with one or more operating businesses or assets with a fair market value equal to at least 80% of the net assets held in the Trust Account (as defined below) (excluding the deferred underwriting commissions and taxes payable on the interest earned on the Trust Account). The Company will only complete a Business Combination if the post-transaction company owns or acquires 50% or more of the outstanding voting securities of the target or otherwise acquires a controlling interest in the target business sufficient for it not to be required to register as an investment company under the Investment Company Act of 1940, as amended (the “Investment Company Act”). Upon the closing of the Proposed Public Offering, management has agreed that an amount equal to at least $10.00 per Unit sold in the Proposed Public Offering, including proceeds of the Private Placement Warrants, will be held in a trust account (“Trust Account”), located in the United States and invested only in U.S. government securities, within the meaning set forth in Section 2(a)(16) of the Investment Company Act, with a maturity of 185 days or less or in any open-ended investment company that holds itself out as a money market fund selected by the Company meeting certain conditions of Rule 2a-7 of the Investment Company Act, as determined by the Company, until the earlier of: (i) the completion of a Business Combination and (ii) the distribution of the funds held in the Trust Account, as described below.</w:t>
      </w:r>
    </w:p>
    <w:p>
      <w:pPr>
        <w:spacing w:after="0" w:line="95"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The Company will provide the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The Public Stockholders will be entitled to redeem their Public Shares for a pro rata portion of the amount then in the Trust Account (initially anticipated to be $10.00 per Public Share, plus any pro rata interest then in the Trust Account, net of taxes payable). There will be no redemption rights upon the completion of a Business Combination with respect to the Company’s warrants. The Public Shares subject to redemption will be recorded at a redemption value and classified as temporary equity upon the completion of the Proposed Public Offering in accordance with the Accounting Standards Codification (“ASC”) Topic 480 “Distinguishing Liabilities from Equity.”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sectPr>
      </w:pPr>
    </w:p>
    <w:bookmarkStart w:id="160" w:name="page161"/>
    <w:bookmarkEnd w:id="160"/>
    <w:p>
      <w:pPr>
        <w:jc w:val="center"/>
        <w:ind w:right="19"/>
        <w:spacing w:after="0"/>
        <w:rPr>
          <w:sz w:val="20"/>
          <w:szCs w:val="20"/>
          <w:color w:val="auto"/>
        </w:rPr>
      </w:pPr>
      <w:r>
        <w:rPr>
          <w:rFonts w:ascii="Arial" w:cs="Arial" w:eastAsia="Arial" w:hAnsi="Arial"/>
          <w:sz w:val="18"/>
          <w:szCs w:val="18"/>
          <w:b w:val="1"/>
          <w:bCs w:val="1"/>
          <w:color w:val="auto"/>
        </w:rPr>
        <w:t>CM LIFE SCIENCES, INC.</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DESCRIPTION OF ORGANIZATION AND BUSINESS OPERATIONS </w:t>
      </w:r>
      <w:r>
        <w:rPr>
          <w:rFonts w:ascii="Arial" w:cs="Arial" w:eastAsia="Arial" w:hAnsi="Arial"/>
          <w:sz w:val="18"/>
          <w:szCs w:val="18"/>
          <w:color w:val="auto"/>
        </w:rPr>
        <w:t>(cont.)</w:t>
      </w:r>
    </w:p>
    <w:p>
      <w:pPr>
        <w:spacing w:after="0" w:line="173"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The Company will only proceed with a Business Combination if the Company has net tangible assets of at least $ 5,000,001 following any related redemptions and, if the Company seeks stockholder approval, a majority of the shares voted are voted in favor of the Business Combination. If a stockholder vote is not required by applicable law or stock exchange listing requirements and the Company does not decide to hold a stockholder vote for business or other reasons, the Company will, pursuant to its Second Amended and Restated Certificate of Incorporation (the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applicable law or stock exchange listing requirements, or the Company decides to obtain stockholder approval for business or other reasons, the Company will offer to redeem shares in conjunction with a proxy solicitation pursuant to the proxy rules and not pursuant to the tender offer rules. If the Company seeks stockholder approval in connection with a Business Combination, the Company’s Sponsor and any other holders of the Company’s common stock prior to the Proposed Public Offering (the “initial stockholders”) have agreed to vote their Founder Shares (as defined in Note 5) and any Public Shares purchased during or after the Proposed Public Offering in favor of approving a Business Combination. Additionally, each Public Stockholder may elect to redeem their Public Shares without voting, and if they do vote, irrespective of whether they vote for or against the proposed transaction.</w:t>
      </w:r>
    </w:p>
    <w:p>
      <w:pPr>
        <w:spacing w:after="0" w:line="114" w:lineRule="exact"/>
        <w:rPr>
          <w:sz w:val="20"/>
          <w:szCs w:val="20"/>
          <w:color w:val="auto"/>
        </w:rPr>
      </w:pPr>
    </w:p>
    <w:p>
      <w:pPr>
        <w:ind w:left="460" w:right="519"/>
        <w:spacing w:after="0" w:line="241" w:lineRule="auto"/>
        <w:rPr>
          <w:sz w:val="20"/>
          <w:szCs w:val="20"/>
          <w:color w:val="auto"/>
        </w:rPr>
      </w:pPr>
      <w:r>
        <w:rPr>
          <w:rFonts w:ascii="Arial" w:cs="Arial" w:eastAsia="Arial" w:hAnsi="Arial"/>
          <w:sz w:val="18"/>
          <w:szCs w:val="18"/>
          <w:color w:val="auto"/>
        </w:rPr>
        <w:t>Notwithstanding the foregoing, if the Company seeks stockholder approval of a Business Combination and it does not conduct redemptions pursuant to the tender offer rules, the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20% of the Public Shares, without the prior consent of the Company.</w:t>
      </w:r>
    </w:p>
    <w:p>
      <w:pPr>
        <w:spacing w:after="0" w:line="111" w:lineRule="exact"/>
        <w:rPr>
          <w:sz w:val="20"/>
          <w:szCs w:val="20"/>
          <w:color w:val="auto"/>
        </w:rPr>
      </w:pPr>
    </w:p>
    <w:p>
      <w:pPr>
        <w:ind w:left="460" w:right="599"/>
        <w:spacing w:after="0"/>
        <w:rPr>
          <w:sz w:val="20"/>
          <w:szCs w:val="20"/>
          <w:color w:val="auto"/>
        </w:rPr>
      </w:pPr>
      <w:r>
        <w:rPr>
          <w:rFonts w:ascii="Arial" w:cs="Arial" w:eastAsia="Arial" w:hAnsi="Arial"/>
          <w:sz w:val="18"/>
          <w:szCs w:val="18"/>
          <w:color w:val="auto"/>
        </w:rPr>
        <w:t>The Sponsor has agreed (a) to waive its redemption rights with respect to the Founder Shares and Public Shares held by it in connection with the completion of a Business Combination and (b) not to propose an amendment to the Certificate of Incorporation (i) to modify the substance or timing of the Company’s obligation to allow redemptions in connection with a Business Combination or to redeem 100% of its Public Shares if the Company does not complete a Business Combination within the Combination Period (as defined below) or (ii) with respect to any other provision relating to stockholders’ rights or pre-business combination activity, unless the Company provides the Public Stockholders with the opportunity to redeem their Public Shares in conjunction with any such amendment.</w:t>
      </w:r>
    </w:p>
    <w:p>
      <w:pPr>
        <w:spacing w:after="0" w:line="95"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If the Company has not completed a Business Combination within 24 months from the closing of the Proposed Public Offering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pay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120" w:lineRule="exact"/>
        <w:rPr>
          <w:sz w:val="20"/>
          <w:szCs w:val="20"/>
          <w:color w:val="auto"/>
        </w:rPr>
      </w:pPr>
    </w:p>
    <w:p>
      <w:pPr>
        <w:ind w:left="460" w:right="519"/>
        <w:spacing w:after="0" w:line="258" w:lineRule="auto"/>
        <w:rPr>
          <w:sz w:val="20"/>
          <w:szCs w:val="20"/>
          <w:color w:val="auto"/>
        </w:rPr>
      </w:pPr>
      <w:r>
        <w:rPr>
          <w:rFonts w:ascii="Arial" w:cs="Arial" w:eastAsia="Arial" w:hAnsi="Arial"/>
          <w:sz w:val="17"/>
          <w:szCs w:val="17"/>
          <w:color w:val="auto"/>
        </w:rPr>
        <w:t>The Sponsor has agreed to waive its liquidation rights with respect to the Founder Shares if the Company fails to complete a Business Combination within the Combination Period. However, if the Sponsor acquires Public Shares in or after the Proposed Public Offering, such Public Shares will be entitled to liquidating distributions from the Trust Account if the Company fails to complete a Business Combination within the Combination Period. The underwriters have agreed to waive their rights to their deferred underwriting commission (see Note 6) held in the Trust Account in the event the Company does not complete a Business Combination within the Combination Period and, in such</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sectPr>
      </w:pPr>
    </w:p>
    <w:bookmarkStart w:id="161" w:name="page162"/>
    <w:bookmarkEnd w:id="161"/>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DESCRIPTION OF ORGANIZATION AND BUSINESS OPERATIONS </w:t>
      </w:r>
      <w:r>
        <w:rPr>
          <w:rFonts w:ascii="Arial" w:cs="Arial" w:eastAsia="Arial" w:hAnsi="Arial"/>
          <w:sz w:val="18"/>
          <w:szCs w:val="18"/>
          <w:color w:val="auto"/>
        </w:rPr>
        <w:t>(cont.)</w:t>
      </w:r>
    </w:p>
    <w:p>
      <w:pPr>
        <w:spacing w:after="0" w:line="173" w:lineRule="exact"/>
        <w:rPr>
          <w:sz w:val="20"/>
          <w:szCs w:val="20"/>
          <w:color w:val="auto"/>
        </w:rPr>
      </w:pPr>
    </w:p>
    <w:p>
      <w:pPr>
        <w:ind w:left="460" w:right="679"/>
        <w:spacing w:after="0" w:line="248" w:lineRule="auto"/>
        <w:rPr>
          <w:sz w:val="20"/>
          <w:szCs w:val="20"/>
          <w:color w:val="auto"/>
        </w:rPr>
      </w:pPr>
      <w:r>
        <w:rPr>
          <w:rFonts w:ascii="Arial" w:cs="Arial" w:eastAsia="Arial" w:hAnsi="Arial"/>
          <w:sz w:val="18"/>
          <w:szCs w:val="18"/>
          <w:color w:val="auto"/>
        </w:rPr>
        <w:t>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Proposed Public Offering price per Unit ($10.00).</w:t>
      </w:r>
    </w:p>
    <w:p>
      <w:pPr>
        <w:spacing w:after="0" w:line="103" w:lineRule="exact"/>
        <w:rPr>
          <w:sz w:val="20"/>
          <w:szCs w:val="20"/>
          <w:color w:val="auto"/>
        </w:rPr>
      </w:pPr>
    </w:p>
    <w:p>
      <w:pPr>
        <w:ind w:left="460" w:right="519"/>
        <w:spacing w:after="0" w:line="237" w:lineRule="auto"/>
        <w:rPr>
          <w:sz w:val="20"/>
          <w:szCs w:val="20"/>
          <w:color w:val="auto"/>
        </w:rPr>
      </w:pPr>
      <w:r>
        <w:rPr>
          <w:rFonts w:ascii="Arial" w:cs="Arial" w:eastAsia="Arial" w:hAnsi="Arial"/>
          <w:sz w:val="18"/>
          <w:szCs w:val="18"/>
          <w:color w:val="auto"/>
        </w:rPr>
        <w:t>In order to protect the amounts held in the Trust Account, the Sponsor has agreed to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to below the lesser of (i) $10.00 per Public Share and (ii) the actual amount per Public Share held in the Trust Account as of the date of the liquidation of the Trust Account, if less than $ 10.00 per public Share due to reductions in the value of the trust assets, less taxes payable, provided that such liability will not apply to any claims by a third party or prospective target business who executed a waiver of any and all rights to monies held in the Trust Account nor will it apply to any claims under the Company’s indemnity of the underwriters of the Proposed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(except for the Company’s independent registered accounting firm), prospective target businesses and other entities with which the Company does business, execute agreements with the Company waiving any right, title, interest or claim of any kind in or to monies held in the Trust Account.</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44" w:lineRule="exact"/>
        <w:rPr>
          <w:sz w:val="20"/>
          <w:szCs w:val="20"/>
          <w:color w:val="auto"/>
        </w:rPr>
      </w:pPr>
    </w:p>
    <w:p>
      <w:pPr>
        <w:ind w:left="460" w:right="539"/>
        <w:spacing w:after="0" w:line="255" w:lineRule="auto"/>
        <w:rPr>
          <w:sz w:val="20"/>
          <w:szCs w:val="20"/>
          <w:color w:val="auto"/>
        </w:rPr>
      </w:pPr>
      <w:r>
        <w:rPr>
          <w:rFonts w:ascii="Arial" w:cs="Arial" w:eastAsia="Arial" w:hAnsi="Arial"/>
          <w:sz w:val="18"/>
          <w:szCs w:val="18"/>
          <w:color w:val="auto"/>
        </w:rPr>
        <w:t>The accompanying audited financial statements are presented in conformity with accounting principles generally accepted in the United States of America (“GAAP”) and pursuant to the rules and regulations of the SEC.</w:t>
      </w:r>
    </w:p>
    <w:p>
      <w:pPr>
        <w:spacing w:after="0" w:line="83" w:lineRule="exact"/>
        <w:rPr>
          <w:sz w:val="20"/>
          <w:szCs w:val="20"/>
          <w:color w:val="auto"/>
        </w:rPr>
      </w:pPr>
    </w:p>
    <w:p>
      <w:pPr>
        <w:ind w:left="460" w:right="499"/>
        <w:spacing w:after="0" w:line="258" w:lineRule="auto"/>
        <w:rPr>
          <w:sz w:val="20"/>
          <w:szCs w:val="20"/>
          <w:color w:val="auto"/>
        </w:rPr>
      </w:pPr>
      <w:r>
        <w:rPr>
          <w:rFonts w:ascii="Arial" w:cs="Arial" w:eastAsia="Arial" w:hAnsi="Arial"/>
          <w:sz w:val="17"/>
          <w:szCs w:val="17"/>
          <w:color w:val="auto"/>
        </w:rPr>
        <w:t>The Company does not have sufficient liquidity to meet its anticipated obligations over the next year from the date of issuance of these financial statements. In connection with the Company’s assessment of going concern considerations in accordance with Accounting Standards Update (“ASU”) 2014-15, “Disclosures of Uncertainties about an Entity’s Ability to Continue as a Going Concern,” management has determined that the Company has access to funds from the Sponsor that are sufficient to fund the working capital needs of the Company until the earlier of the consummation of the Proposed Public Offering or one year from the date of issuance of these financial statements.</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44" w:lineRule="exact"/>
        <w:rPr>
          <w:sz w:val="20"/>
          <w:szCs w:val="20"/>
          <w:color w:val="auto"/>
        </w:rPr>
      </w:pPr>
    </w:p>
    <w:p>
      <w:pPr>
        <w:ind w:left="460" w:right="519"/>
        <w:spacing w:after="0" w:line="255" w:lineRule="auto"/>
        <w:rPr>
          <w:sz w:val="20"/>
          <w:szCs w:val="20"/>
          <w:color w:val="auto"/>
        </w:rPr>
      </w:pPr>
      <w:r>
        <w:rPr>
          <w:rFonts w:ascii="Arial" w:cs="Arial" w:eastAsia="Arial" w:hAnsi="Arial"/>
          <w:sz w:val="17"/>
          <w:szCs w:val="17"/>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02" w:lineRule="exact"/>
        <w:rPr>
          <w:sz w:val="20"/>
          <w:szCs w:val="20"/>
          <w:color w:val="auto"/>
        </w:rPr>
      </w:pPr>
    </w:p>
    <w:p>
      <w:pPr>
        <w:ind w:left="460" w:right="479"/>
        <w:spacing w:after="0" w:line="241" w:lineRule="auto"/>
        <w:rPr>
          <w:sz w:val="20"/>
          <w:szCs w:val="20"/>
          <w:color w:val="auto"/>
        </w:rPr>
      </w:pPr>
      <w:r>
        <w:rPr>
          <w:rFonts w:ascii="Arial" w:cs="Arial" w:eastAsia="Arial" w:hAnsi="Arial"/>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sectPr>
      </w:pPr>
    </w:p>
    <w:bookmarkStart w:id="162" w:name="page163"/>
    <w:bookmarkEnd w:id="162"/>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73" w:lineRule="exact"/>
        <w:rPr>
          <w:sz w:val="20"/>
          <w:szCs w:val="20"/>
          <w:color w:val="auto"/>
        </w:rPr>
      </w:pPr>
    </w:p>
    <w:p>
      <w:pPr>
        <w:ind w:left="460" w:right="599"/>
        <w:spacing w:after="0" w:line="241" w:lineRule="auto"/>
        <w:rPr>
          <w:sz w:val="20"/>
          <w:szCs w:val="20"/>
          <w:color w:val="auto"/>
        </w:rPr>
      </w:pPr>
      <w:r>
        <w:rPr>
          <w:rFonts w:ascii="Arial" w:cs="Arial" w:eastAsia="Arial" w:hAnsi="Arial"/>
          <w:sz w:val="18"/>
          <w:szCs w:val="18"/>
          <w:color w:val="auto"/>
        </w:rPr>
        <w:t>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44" w:lineRule="exact"/>
        <w:rPr>
          <w:sz w:val="20"/>
          <w:szCs w:val="20"/>
          <w:color w:val="auto"/>
        </w:rPr>
      </w:pPr>
    </w:p>
    <w:p>
      <w:pPr>
        <w:ind w:left="460" w:right="559"/>
        <w:spacing w:after="0" w:line="248" w:lineRule="auto"/>
        <w:rPr>
          <w:sz w:val="20"/>
          <w:szCs w:val="20"/>
          <w:color w:val="auto"/>
        </w:rPr>
      </w:pPr>
      <w:r>
        <w:rPr>
          <w:rFonts w:ascii="Arial" w:cs="Arial" w:eastAsia="Arial" w:hAnsi="Arial"/>
          <w:sz w:val="18"/>
          <w:szCs w:val="18"/>
          <w:color w:val="auto"/>
        </w:rPr>
        <w:t>The preparation of financial statements in conformity with GAAP requires the Company’s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03" w:lineRule="exact"/>
        <w:rPr>
          <w:sz w:val="20"/>
          <w:szCs w:val="20"/>
          <w:color w:val="auto"/>
        </w:rPr>
      </w:pPr>
    </w:p>
    <w:p>
      <w:pPr>
        <w:ind w:left="460" w:right="559"/>
        <w:spacing w:after="0" w:line="245" w:lineRule="auto"/>
        <w:rPr>
          <w:sz w:val="20"/>
          <w:szCs w:val="20"/>
          <w:color w:val="auto"/>
        </w:rPr>
      </w:pPr>
      <w:r>
        <w:rPr>
          <w:rFonts w:ascii="Arial" w:cs="Arial" w:eastAsia="Arial" w:hAnsi="Arial"/>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31" w:lineRule="exact"/>
        <w:rPr>
          <w:sz w:val="20"/>
          <w:szCs w:val="20"/>
          <w:color w:val="auto"/>
        </w:rPr>
      </w:pPr>
    </w:p>
    <w:p>
      <w:pPr>
        <w:ind w:left="460" w:right="639"/>
        <w:spacing w:after="0" w:line="245" w:lineRule="auto"/>
        <w:rPr>
          <w:sz w:val="20"/>
          <w:szCs w:val="20"/>
          <w:color w:val="auto"/>
        </w:rPr>
      </w:pPr>
      <w:r>
        <w:rPr>
          <w:rFonts w:ascii="Arial" w:cs="Arial" w:eastAsia="Arial" w:hAnsi="Arial"/>
          <w:sz w:val="18"/>
          <w:szCs w:val="18"/>
          <w:color w:val="auto"/>
        </w:rPr>
        <w:t>Deferred offering costs consist of legal, accounting and other costs incurred through the balance sheet date that are directly related to the Proposed Public Offering and that will be charged to stockholder’s equity upon the completion of the Proposed Public Offering. Should the Proposed Public Offering prove to be unsuccessful, these deferred costs, as well as additional expenses to be incurred, will be charged to operations.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144" w:lineRule="exact"/>
        <w:rPr>
          <w:sz w:val="20"/>
          <w:szCs w:val="20"/>
          <w:color w:val="auto"/>
        </w:rPr>
      </w:pPr>
    </w:p>
    <w:p>
      <w:pPr>
        <w:ind w:left="460" w:right="579"/>
        <w:spacing w:after="0"/>
        <w:rPr>
          <w:sz w:val="20"/>
          <w:szCs w:val="20"/>
          <w:color w:val="auto"/>
        </w:rPr>
      </w:pPr>
      <w:r>
        <w:rPr>
          <w:rFonts w:ascii="Arial" w:cs="Arial" w:eastAsia="Arial" w:hAnsi="Arial"/>
          <w:sz w:val="18"/>
          <w:szCs w:val="18"/>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08" w:lineRule="exact"/>
        <w:rPr>
          <w:sz w:val="20"/>
          <w:szCs w:val="20"/>
          <w:color w:val="auto"/>
        </w:rPr>
      </w:pPr>
    </w:p>
    <w:p>
      <w:pPr>
        <w:ind w:left="460" w:right="499"/>
        <w:spacing w:after="0"/>
        <w:rPr>
          <w:sz w:val="20"/>
          <w:szCs w:val="20"/>
          <w:color w:val="auto"/>
        </w:rPr>
      </w:pPr>
      <w:r>
        <w:rPr>
          <w:rFonts w:ascii="Arial" w:cs="Arial" w:eastAsia="Arial" w:hAnsi="Arial"/>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July 16,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95" w:lineRule="exact"/>
        <w:rPr>
          <w:sz w:val="20"/>
          <w:szCs w:val="20"/>
          <w:color w:val="auto"/>
        </w:rPr>
      </w:pPr>
    </w:p>
    <w:p>
      <w:pPr>
        <w:ind w:left="460" w:right="499"/>
        <w:spacing w:after="0" w:line="255" w:lineRule="auto"/>
        <w:rPr>
          <w:sz w:val="20"/>
          <w:szCs w:val="20"/>
          <w:color w:val="auto"/>
        </w:rPr>
      </w:pPr>
      <w:r>
        <w:rPr>
          <w:rFonts w:ascii="Arial" w:cs="Arial" w:eastAsia="Arial" w:hAnsi="Arial"/>
          <w:sz w:val="18"/>
          <w:szCs w:val="18"/>
          <w:color w:val="auto"/>
        </w:rPr>
        <w:t>The provision for income taxes was deemed to be de minimis for the period from July 10, 2020 (inception) through July 16, 2020. The Company’s deferred tax assets were deemed to be de minimis as of July 16, 2020.</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44" w:lineRule="exact"/>
        <w:rPr>
          <w:sz w:val="20"/>
          <w:szCs w:val="20"/>
          <w:color w:val="auto"/>
        </w:rPr>
      </w:pPr>
    </w:p>
    <w:p>
      <w:pPr>
        <w:ind w:left="460" w:right="579"/>
        <w:spacing w:after="0" w:line="255" w:lineRule="auto"/>
        <w:rPr>
          <w:sz w:val="20"/>
          <w:szCs w:val="20"/>
          <w:color w:val="auto"/>
        </w:rPr>
      </w:pPr>
      <w:r>
        <w:rPr>
          <w:rFonts w:ascii="Arial" w:cs="Arial" w:eastAsia="Arial" w:hAnsi="Arial"/>
          <w:sz w:val="18"/>
          <w:szCs w:val="18"/>
          <w:color w:val="auto"/>
        </w:rPr>
        <w:t>Net loss per share is computed by dividing net loss by the weighted average number of shares of common stock outstanding during the period, excluding shares of common stock subject to forfeiture by the Sponsor. Weighted</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sectPr>
      </w:pPr>
    </w:p>
    <w:bookmarkStart w:id="163" w:name="page164"/>
    <w:bookmarkEnd w:id="163"/>
    <w:p>
      <w:pPr>
        <w:jc w:val="center"/>
        <w:ind w:right="19"/>
        <w:spacing w:after="0"/>
        <w:rPr>
          <w:sz w:val="20"/>
          <w:szCs w:val="20"/>
          <w:color w:val="auto"/>
        </w:rPr>
      </w:pPr>
      <w:r>
        <w:rPr>
          <w:rFonts w:ascii="Arial" w:cs="Arial" w:eastAsia="Arial" w:hAnsi="Arial"/>
          <w:sz w:val="18"/>
          <w:szCs w:val="18"/>
          <w:b w:val="1"/>
          <w:bCs w:val="1"/>
          <w:color w:val="auto"/>
        </w:rPr>
        <w:t>CM LIFE SCIENCES, INC.</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73" w:lineRule="exact"/>
        <w:rPr>
          <w:sz w:val="20"/>
          <w:szCs w:val="20"/>
          <w:color w:val="auto"/>
        </w:rPr>
      </w:pPr>
    </w:p>
    <w:p>
      <w:pPr>
        <w:ind w:left="460" w:right="579"/>
        <w:spacing w:after="0" w:line="243" w:lineRule="auto"/>
        <w:rPr>
          <w:sz w:val="20"/>
          <w:szCs w:val="20"/>
          <w:color w:val="auto"/>
        </w:rPr>
      </w:pPr>
      <w:r>
        <w:rPr>
          <w:rFonts w:ascii="Arial" w:cs="Arial" w:eastAsia="Arial" w:hAnsi="Arial"/>
          <w:sz w:val="18"/>
          <w:szCs w:val="18"/>
          <w:color w:val="auto"/>
        </w:rPr>
        <w:t>average shares were reduced for the effect of an aggregate of 1,443,750 shares of Class B common stock that are subject to forfeiture if the over-allotment option is not exercised by the underwriters (see Note 5). At July 16, 2020, the Company did not have any dilutive securities and other contracts that could, potentially, be exercised or converted into shares of common stock and then share in the earnings of the Company. As a result, diluted loss per share is the same as basic loss per share for the period presented.</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44" w:lineRule="exact"/>
        <w:rPr>
          <w:sz w:val="20"/>
          <w:szCs w:val="20"/>
          <w:color w:val="auto"/>
        </w:rPr>
      </w:pPr>
    </w:p>
    <w:p>
      <w:pPr>
        <w:jc w:val="both"/>
        <w:ind w:left="460" w:right="519"/>
        <w:spacing w:after="0" w:line="248"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44" w:lineRule="exact"/>
        <w:rPr>
          <w:sz w:val="20"/>
          <w:szCs w:val="20"/>
          <w:color w:val="auto"/>
        </w:rPr>
      </w:pPr>
    </w:p>
    <w:p>
      <w:pPr>
        <w:ind w:left="460" w:right="579"/>
        <w:spacing w:after="0" w:line="255"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ASC 820, “Fair Value Measurement,” approximates the carrying amounts represented in the balance sheet, primarily due to their short-term nature.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31" w:lineRule="exact"/>
        <w:rPr>
          <w:sz w:val="20"/>
          <w:szCs w:val="20"/>
          <w:color w:val="auto"/>
        </w:rPr>
      </w:pPr>
    </w:p>
    <w:p>
      <w:pPr>
        <w:ind w:left="460" w:right="1059"/>
        <w:spacing w:after="0" w:line="255" w:lineRule="auto"/>
        <w:rPr>
          <w:sz w:val="20"/>
          <w:szCs w:val="20"/>
          <w:color w:val="auto"/>
        </w:rPr>
      </w:pPr>
      <w:r>
        <w:rPr>
          <w:rFonts w:ascii="Arial" w:cs="Arial" w:eastAsia="Arial" w:hAnsi="Arial"/>
          <w:sz w:val="18"/>
          <w:szCs w:val="18"/>
          <w:color w:val="auto"/>
        </w:rPr>
        <w:t>Management does not believe that any recently issued, but not yet effective, accounting pronouncements, if currently adopted, would have a material effect on the Company’s financial statements.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3 — PROPOSED PUBLIC OFFERING</w:t>
      </w:r>
    </w:p>
    <w:p>
      <w:pPr>
        <w:spacing w:after="0" w:line="146" w:lineRule="exact"/>
        <w:rPr>
          <w:sz w:val="20"/>
          <w:szCs w:val="20"/>
          <w:color w:val="auto"/>
        </w:rPr>
      </w:pPr>
    </w:p>
    <w:p>
      <w:pPr>
        <w:ind w:left="460" w:right="519"/>
        <w:spacing w:after="0" w:line="263" w:lineRule="auto"/>
        <w:rPr>
          <w:sz w:val="20"/>
          <w:szCs w:val="20"/>
          <w:color w:val="auto"/>
        </w:rPr>
      </w:pPr>
      <w:r>
        <w:rPr>
          <w:rFonts w:ascii="Arial" w:cs="Arial" w:eastAsia="Arial" w:hAnsi="Arial"/>
          <w:sz w:val="17"/>
          <w:szCs w:val="17"/>
          <w:color w:val="auto"/>
        </w:rPr>
        <w:t>Pursuant to the Proposed Public Offering, the Company intends to offer for sale 38,500,000 Units (or 44,275,000 Units if the underwriters’ over-allotment option is exercised in full) at a price of $10.00 per Unit. Each Unit will consist of one share of Class A common stock and one-third of one redeemable warrant (“Public Warrant”). Each whole Public Warrant will entitle the holder to purchase one share of Class A common stock at a price of $11.50 per share, subject to adjustment (see Note 7).</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4 — PRIVATE PLACEMENT</w:t>
      </w:r>
    </w:p>
    <w:p>
      <w:pPr>
        <w:spacing w:after="0" w:line="146"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The Sponsor and certain of the Company’s independent director nominees have severally agreed to purchase an aggregate of 6,466,667 Private Placement Warrants (or 7,236,667 Private Placement Warrants if the underwriters’ over-allotment is exercised in full) at a price of $1.50 per Private Placement Warrant ($ 9,700,000, or an aggregate of $10,855,000 if the underwriters’ over-allotment is exercised in full) from the Company in a private placement that will occur simultaneously with the closing of the Proposed Public Offering. The Sponsor has committed to purchase 6,133,335 private placement warrants (or 6,903,335 warrants if the underwriters’ over-allotment option is exercised in full), and each of Mr. Islam and Dr. Leproust (and/or one or more entities controlled by them) has committed to purchase 166,666 private placement warrants. Each Private Placement Warrant is exercisable to purchase one share of Class A common stock at a price of $11.50 per share, subject to adjustment (see Note 7). The proceeds from the sale of the Private Placement Warrants will be added to the net proceeds from the Proposed Public Offering held in the Trust Account. If the Company does not complete a Business Combination within the Combination Period, the proceeds from the sale of the Private Placement Warrants held in the Trust Account will be used to fund the redemption of the Public Shares (subject to the requirements of applicable law) and the Private Placement Warrants will expire worthless.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sectPr>
      </w:pPr>
    </w:p>
    <w:bookmarkStart w:id="164" w:name="page165"/>
    <w:bookmarkEnd w:id="164"/>
    <w:p>
      <w:pPr>
        <w:jc w:val="center"/>
        <w:ind w:right="19"/>
        <w:spacing w:after="0"/>
        <w:rPr>
          <w:sz w:val="20"/>
          <w:szCs w:val="20"/>
          <w:color w:val="auto"/>
        </w:rPr>
      </w:pPr>
      <w:r>
        <w:rPr>
          <w:rFonts w:ascii="Arial" w:cs="Arial" w:eastAsia="Arial" w:hAnsi="Arial"/>
          <w:sz w:val="18"/>
          <w:szCs w:val="18"/>
          <w:b w:val="1"/>
          <w:bCs w:val="1"/>
          <w:color w:val="auto"/>
        </w:rPr>
        <w:t>CM LIFE SCIENCES, INC.</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5 — RELATED PARTY TRANSACTIONS</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Founder Shares</w:t>
      </w:r>
    </w:p>
    <w:p>
      <w:pPr>
        <w:spacing w:after="0" w:line="131"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During the period ended July 16, 2020, the Sponsor paid $25,000 to cover certain offering costs of the Company in consideration for 10,062,500 shares of the Company’s Class B common stock (the “Founder Shares”). In August 2020, the Sponsor transferred 25,000 Founder Shares to each of Munib Islam, Emily Leproust and Nat Turner, certain of the Company’s independent directors, at their original per-share purchase price, for an aggregate of 75,000 Founder Shares transferred. On September 1, 2020, the Company effected a 1:1.1 stock split of its Class B common stock, resulting in the Sponsor holding an aggregate of 10,993,750 Founder Shares and there being an aggregate of 11,068,750 Founder Shares outstanding. All shares and the associated amounts have been retroactively restated to reflect the aforementioned stock split. The Founder Shares include an aggregate of up to 1,443,750 shares subject to forfeiture by the Sponsor to the extent that the underwriters’ over-allotment is not exercised in full or in part, so that the number of Founder Shares will equal, on an as-converted basis, approximately 20% of the Company’s issued and outstanding ordinary shares after the Proposed Public Offering.</w:t>
      </w:r>
    </w:p>
    <w:p>
      <w:pPr>
        <w:spacing w:after="0" w:line="113" w:lineRule="exact"/>
        <w:rPr>
          <w:sz w:val="20"/>
          <w:szCs w:val="20"/>
          <w:color w:val="auto"/>
        </w:rPr>
      </w:pPr>
    </w:p>
    <w:p>
      <w:pPr>
        <w:ind w:left="460" w:right="619"/>
        <w:spacing w:after="0"/>
        <w:rPr>
          <w:sz w:val="20"/>
          <w:szCs w:val="20"/>
          <w:color w:val="auto"/>
        </w:rPr>
      </w:pPr>
      <w:r>
        <w:rPr>
          <w:rFonts w:ascii="Arial" w:cs="Arial" w:eastAsia="Arial" w:hAnsi="Arial"/>
          <w:sz w:val="18"/>
          <w:szCs w:val="18"/>
          <w:color w:val="auto"/>
        </w:rPr>
        <w:t>The Sponsor has agreed, subject to limited exceptions, not to transfer, assign or sell any of the Founder Shares until the earlier to occur of: (A) one year after the completion of a Business Combination and (B) subsequent to a Business Combination, (x) if the last reported sale price of the Class A common stock equals or exceeds $12.00 per share (as adjusted for stock splits, stock capitalizations, reorganizations, recapitalizations and the like) for any 20 trading days within any 30-trading day period commencing at least 150 days after a Business Combination, or (y) the date on which the Company completes a liquidation, merger, capital stock exchange or other similar transaction that results in all of the Public Stockholders having the right to exchange their shares of common stock for cash, securities or other property.</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Promissory Note — Related Party</w:t>
      </w:r>
    </w:p>
    <w:p>
      <w:pPr>
        <w:spacing w:after="0" w:line="144" w:lineRule="exact"/>
        <w:rPr>
          <w:sz w:val="20"/>
          <w:szCs w:val="20"/>
          <w:color w:val="auto"/>
        </w:rPr>
      </w:pPr>
    </w:p>
    <w:p>
      <w:pPr>
        <w:ind w:left="460" w:right="499"/>
        <w:spacing w:after="0" w:line="245" w:lineRule="auto"/>
        <w:rPr>
          <w:sz w:val="20"/>
          <w:szCs w:val="20"/>
          <w:color w:val="auto"/>
        </w:rPr>
      </w:pPr>
      <w:r>
        <w:rPr>
          <w:rFonts w:ascii="Arial" w:cs="Arial" w:eastAsia="Arial" w:hAnsi="Arial"/>
          <w:sz w:val="18"/>
          <w:szCs w:val="18"/>
          <w:color w:val="auto"/>
        </w:rPr>
        <w:t>On July 16, 2020, the Sponsor issued an unsecured promissory note to the Company (the “Promissory Note”), pursuant to which the Company may borrow up to an aggregate principal amount of $ 300,000. The Promissory Note is non-interest bearing and payable on the earlier of (i) December 31, 2020 or (ii) the consummation of the Proposed Public Offering. As of July 16, 2020, there were no amounts outstanding under the Promissory Note.</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31" w:lineRule="exact"/>
        <w:rPr>
          <w:sz w:val="20"/>
          <w:szCs w:val="20"/>
          <w:color w:val="auto"/>
        </w:rPr>
      </w:pPr>
    </w:p>
    <w:p>
      <w:pPr>
        <w:ind w:left="460" w:right="519"/>
        <w:spacing w:after="0" w:line="239" w:lineRule="auto"/>
        <w:rPr>
          <w:sz w:val="20"/>
          <w:szCs w:val="20"/>
          <w:color w:val="auto"/>
        </w:rPr>
      </w:pPr>
      <w:r>
        <w:rPr>
          <w:rFonts w:ascii="Arial" w:cs="Arial" w:eastAsia="Arial" w:hAnsi="Arial"/>
          <w:sz w:val="18"/>
          <w:szCs w:val="18"/>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the notes may be converted upon completion of a Business Combination into warrants at a price of $1.50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 As of July 16, 2020, there were no amounts outstanding under the Working Capital Loans.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6 — COMMITMENTS AND CONTINGENCIES</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44" w:lineRule="exact"/>
        <w:rPr>
          <w:sz w:val="20"/>
          <w:szCs w:val="20"/>
          <w:color w:val="auto"/>
        </w:rPr>
      </w:pPr>
    </w:p>
    <w:p>
      <w:pPr>
        <w:ind w:left="460" w:right="659"/>
        <w:spacing w:after="0" w:line="243" w:lineRule="auto"/>
        <w:rPr>
          <w:sz w:val="20"/>
          <w:szCs w:val="20"/>
          <w:color w:val="auto"/>
        </w:rPr>
      </w:pPr>
      <w:r>
        <w:rPr>
          <w:rFonts w:ascii="Arial" w:cs="Arial" w:eastAsia="Arial" w:hAnsi="Arial"/>
          <w:sz w:val="18"/>
          <w:szCs w:val="18"/>
          <w:color w:val="auto"/>
        </w:rPr>
        <w:t>Management is currently evaluating the impact of the COVID-19 pandemic on the industry and has concluded that while it is reasonably possible that the virus could have a negative effect on the Company’s financial position, results of its operations, close of the Proposed Public Offering and/or search for a target company, the specific impact is not readily determinable as of the date of these financial statements. The financial statements do not include any adjustments that might result from the outcome of this uncertainty.</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sectPr>
      </w:pPr>
    </w:p>
    <w:bookmarkStart w:id="165" w:name="page166"/>
    <w:bookmarkEnd w:id="165"/>
    <w:p>
      <w:pPr>
        <w:jc w:val="center"/>
        <w:ind w:right="19"/>
        <w:spacing w:after="0"/>
        <w:rPr>
          <w:sz w:val="20"/>
          <w:szCs w:val="20"/>
          <w:color w:val="auto"/>
        </w:rPr>
      </w:pPr>
      <w:r>
        <w:rPr>
          <w:rFonts w:ascii="Arial" w:cs="Arial" w:eastAsia="Arial" w:hAnsi="Arial"/>
          <w:sz w:val="18"/>
          <w:szCs w:val="18"/>
          <w:b w:val="1"/>
          <w:bCs w:val="1"/>
          <w:color w:val="auto"/>
        </w:rPr>
        <w:t>CM LIFE SCIENCES, INC.</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6 — COMMITMENTS AND CONTINGENCIES </w:t>
      </w:r>
      <w:r>
        <w:rPr>
          <w:rFonts w:ascii="Arial" w:cs="Arial" w:eastAsia="Arial" w:hAnsi="Arial"/>
          <w:sz w:val="18"/>
          <w:szCs w:val="18"/>
          <w:color w:val="auto"/>
        </w:rPr>
        <w:t>(cont.)</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44" w:lineRule="exact"/>
        <w:rPr>
          <w:sz w:val="20"/>
          <w:szCs w:val="20"/>
          <w:color w:val="auto"/>
        </w:rPr>
      </w:pPr>
    </w:p>
    <w:p>
      <w:pPr>
        <w:ind w:left="460" w:right="479"/>
        <w:spacing w:after="0" w:line="241" w:lineRule="auto"/>
        <w:rPr>
          <w:sz w:val="20"/>
          <w:szCs w:val="20"/>
          <w:color w:val="auto"/>
        </w:rPr>
      </w:pPr>
      <w:r>
        <w:rPr>
          <w:rFonts w:ascii="Arial" w:cs="Arial" w:eastAsia="Arial" w:hAnsi="Arial"/>
          <w:sz w:val="18"/>
          <w:szCs w:val="18"/>
          <w:color w:val="auto"/>
        </w:rPr>
        <w:t>The holders of the Founder Shares, Private Placement Warrants and securities that may be issued upon conversion of Working Capital Loans and forward purchase shares will be entitled to registration rights pursuant to a registration rights agreement. The holders of these securities will be entitled to make up to three demands, excluding short form demands, that the Company register such securities. In addition, the holders have certain “piggy-back” registration rights with respect to registration statements filed subsequent to the completion of a Business Combination. The Company will bear the expenses incurred in connection with the filing of any such registration statements.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31" w:lineRule="exact"/>
        <w:rPr>
          <w:sz w:val="20"/>
          <w:szCs w:val="20"/>
          <w:color w:val="auto"/>
        </w:rPr>
      </w:pPr>
    </w:p>
    <w:p>
      <w:pPr>
        <w:ind w:left="460" w:right="499"/>
        <w:spacing w:after="0" w:line="255" w:lineRule="auto"/>
        <w:rPr>
          <w:sz w:val="20"/>
          <w:szCs w:val="20"/>
          <w:color w:val="auto"/>
        </w:rPr>
      </w:pPr>
      <w:r>
        <w:rPr>
          <w:rFonts w:ascii="Arial" w:cs="Arial" w:eastAsia="Arial" w:hAnsi="Arial"/>
          <w:sz w:val="18"/>
          <w:szCs w:val="18"/>
          <w:color w:val="auto"/>
        </w:rPr>
        <w:t>The Company has granted the underwriters a 45-day option from the date of Proposed Public Offering to purchase up to 5,775,000 additional Units to cover over-allotments, if any, at the Proposed Public Offering price less the underwriting discounts and commissions.</w:t>
      </w:r>
    </w:p>
    <w:p>
      <w:pPr>
        <w:spacing w:after="0" w:line="96" w:lineRule="exact"/>
        <w:rPr>
          <w:sz w:val="20"/>
          <w:szCs w:val="20"/>
          <w:color w:val="auto"/>
        </w:rPr>
      </w:pPr>
    </w:p>
    <w:p>
      <w:pPr>
        <w:ind w:left="460" w:right="559"/>
        <w:spacing w:after="0" w:line="258" w:lineRule="auto"/>
        <w:rPr>
          <w:sz w:val="20"/>
          <w:szCs w:val="20"/>
          <w:color w:val="auto"/>
        </w:rPr>
      </w:pPr>
      <w:r>
        <w:rPr>
          <w:rFonts w:ascii="Arial" w:cs="Arial" w:eastAsia="Arial" w:hAnsi="Arial"/>
          <w:sz w:val="17"/>
          <w:szCs w:val="17"/>
          <w:color w:val="auto"/>
        </w:rPr>
        <w:t>The underwriters are entitled to a cash underwriting discount of $0.20 per Unit, or $7,700,000 in the aggregate (or $8,855,000 in the aggregate if the underwriters’ over-allotment option is exercised in full), payable upon the closing of the Proposed Public Offering. In addition, the underwriters will be entitled to a deferred fee of $0.35 per Unit, or $13,475,000 in the aggregate (or $15,496,250 in the aggregate if the underwriters’ over-allotment option is exercised in full). The deferred fee will become payable to the underwriters from the amounts held in the Trust Account solely in the event that the Company completes a Business Combination, subject to the terms of the underwriting agreement.</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Forward Purchase Agreement</w:t>
      </w:r>
    </w:p>
    <w:p>
      <w:pPr>
        <w:spacing w:after="0" w:line="144"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The Company has entered into separate forward purchase agreements with affiliates of the Sponsor, Casdin Capital, LLC (“Casdin”) and Corvex Management LP (“Corvex”), in their capacities as investment advisors on behalf of one or more investment funds, clients or accounts managed by each of Casdin and Corvex, respectively (collectively, their “Clients”), pursuant to which, subject to the conditions described below, they will cause the Clients to purchase from the Company up to an aggregate amount of 15,000,000 shares of Class A common stock, or the forward purchase shares, for $10.00 per forward purchase share, or an aggregate amount of up to $150,000,000, in a private placement that will close concurrently with the closing of a Business Combination. The amount of forward purchase shares sold pursuant to the forward purchase agreements will be determined in the Company’s discretion based on the Company’s need for additional capital to consummate a Business Combination. Under each forward purchase agreement, the Company is required to approach Casdin and Corvex if it proposes to raise additional capital by issuing any equity, or securities convertible into, exchangeable or exercisable for equity securities in connection with a Business Combination. The respective obligations of Casdin and Corvex to purchase forward purchase shares will, among other things, be conditioned on the Company completing a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or Corvex, as relevant, as investment advisors on behalf of such Clients. Each of Casdin and Corvex will have the right to transfer a portion of its purchase obligation under the forward purchase agreement to third parties, subject to compliance with applicable securities laws. To the extent that we obtain alternative financing to fund the initial business combination and the Clients participate in such financing, the aggregate commitment under the forward purchase agreement will be reduced by the amount of such alternative financing.</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sectPr>
      </w:pPr>
    </w:p>
    <w:bookmarkStart w:id="166" w:name="page167"/>
    <w:bookmarkEnd w:id="166"/>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7 — STOCKHOLDERS’ EQUITY</w:t>
      </w:r>
    </w:p>
    <w:p>
      <w:pPr>
        <w:spacing w:after="0" w:line="146" w:lineRule="exact"/>
        <w:rPr>
          <w:sz w:val="20"/>
          <w:szCs w:val="20"/>
          <w:color w:val="auto"/>
        </w:rPr>
      </w:pPr>
    </w:p>
    <w:p>
      <w:pPr>
        <w:ind w:left="460" w:right="659"/>
        <w:spacing w:after="0" w:line="248"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preferred stock with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 value of $0.0001 per share with such designations, voting and other rights and preferences as may be determined from time to time by the Company’s board of directors. At July 16, 2020, there were no shares of preferred stock issued or outstanding.</w:t>
      </w:r>
    </w:p>
    <w:p>
      <w:pPr>
        <w:spacing w:after="0" w:line="89" w:lineRule="exact"/>
        <w:rPr>
          <w:sz w:val="20"/>
          <w:szCs w:val="20"/>
          <w:color w:val="auto"/>
        </w:rPr>
      </w:pPr>
    </w:p>
    <w:p>
      <w:pPr>
        <w:ind w:left="460" w:right="659"/>
        <w:spacing w:after="0" w:line="248" w:lineRule="auto"/>
        <w:rPr>
          <w:sz w:val="20"/>
          <w:szCs w:val="20"/>
          <w:color w:val="auto"/>
        </w:rPr>
      </w:pPr>
      <w:r>
        <w:rPr>
          <w:rFonts w:ascii="Arial" w:cs="Arial" w:eastAsia="Arial" w:hAnsi="Arial"/>
          <w:sz w:val="18"/>
          <w:szCs w:val="18"/>
          <w:b w:val="1"/>
          <w:bCs w:val="1"/>
          <w:i w:val="1"/>
          <w:iCs w:val="1"/>
          <w:color w:val="auto"/>
        </w:rPr>
        <w:t xml:space="preserve">Class A Common Stock </w:t>
      </w:r>
      <w:r>
        <w:rPr>
          <w:rFonts w:ascii="Arial" w:cs="Arial" w:eastAsia="Arial" w:hAnsi="Arial"/>
          <w:sz w:val="18"/>
          <w:szCs w:val="18"/>
          <w:color w:val="auto"/>
        </w:rPr>
        <w:t>— The Company is authorized to issue 380,000,000 shares of Class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with a par value of $0.0001 per share. Holders of Class A common stock are entitled to one vote for each share. At July 16, 2020, there were no shares of Class A common stock issued or outstanding.</w:t>
      </w:r>
    </w:p>
    <w:p>
      <w:pPr>
        <w:spacing w:after="0" w:line="103" w:lineRule="exact"/>
        <w:rPr>
          <w:sz w:val="20"/>
          <w:szCs w:val="20"/>
          <w:color w:val="auto"/>
        </w:rPr>
      </w:pPr>
    </w:p>
    <w:p>
      <w:pPr>
        <w:ind w:left="460" w:right="479"/>
        <w:spacing w:after="0"/>
        <w:rPr>
          <w:sz w:val="20"/>
          <w:szCs w:val="20"/>
          <w:color w:val="auto"/>
        </w:rPr>
      </w:pPr>
      <w:r>
        <w:rPr>
          <w:rFonts w:ascii="Arial" w:cs="Arial" w:eastAsia="Arial" w:hAnsi="Arial"/>
          <w:sz w:val="18"/>
          <w:szCs w:val="18"/>
          <w:b w:val="1"/>
          <w:bCs w:val="1"/>
          <w:i w:val="1"/>
          <w:iCs w:val="1"/>
          <w:color w:val="auto"/>
        </w:rPr>
        <w:t xml:space="preserve">Class B Common Stock </w:t>
      </w:r>
      <w:r>
        <w:rPr>
          <w:rFonts w:ascii="Arial" w:cs="Arial" w:eastAsia="Arial" w:hAnsi="Arial"/>
          <w:sz w:val="18"/>
          <w:szCs w:val="18"/>
          <w:color w:val="auto"/>
        </w:rPr>
        <w:t>— The Company is authorized to issue 20,000,000 shares of Class 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with a par value of $0.0001 per share. Holders of Class B common stock are entitled to one vote for each share. At July 16, 2020, there were 11,068,750 shares of Class B common stock issued and outstanding, of which an aggregate of up to 1,443,750 shares of Class B common stock are subject to forfeiture by the Sponsor to the extent that the underwriters’ over-allotment option is not exercised in full or in part so that the number of Founder Shares will equal 20% of the Company’s issued and outstanding common stock after the Proposed Public Offering. All shares and the associated amounts have been retroactively restated to reflect the 1:1.1 stock split of the Class B common stock effected on September 1, 2020.</w:t>
      </w:r>
    </w:p>
    <w:p>
      <w:pPr>
        <w:spacing w:after="0" w:line="108"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The shares of Class B common stock will automatically convert into Class A common stock concurrently with or immediately following the consummation of the Business Combination, on a one-for-one basis, subject to adjustment. In the case that additional shares of Class A common stock, or equity-linked securities, are issued or deemed issued in connection with a Business Combination, the number of shares of Class A common stock issuable upon conversion of all Founder Shares will equal, in the aggregate, on an as-converted basis, 20% of the total number of shares of Class A common stock outstanding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a Business Combination (including the forward purchase shares), excluding any shares of Class A common stock or equity-linked securities or rights exercisable for or convertible into shares of Class A common stock issued, or to be issued, to any seller in a Business Combination and any Private Placement Warrants issued to the Sponsor, officers or directors upon conversion of Working Capital Loans, provided that such conversion of Founder Shares will never occur on a less than one-for-one basis.</w:t>
      </w:r>
    </w:p>
    <w:p>
      <w:pPr>
        <w:spacing w:after="0" w:line="105" w:lineRule="exact"/>
        <w:rPr>
          <w:sz w:val="20"/>
          <w:szCs w:val="20"/>
          <w:color w:val="auto"/>
        </w:rPr>
      </w:pPr>
    </w:p>
    <w:p>
      <w:pPr>
        <w:ind w:left="460" w:right="759"/>
        <w:spacing w:after="0" w:line="243" w:lineRule="auto"/>
        <w:rPr>
          <w:sz w:val="20"/>
          <w:szCs w:val="20"/>
          <w:color w:val="auto"/>
        </w:rPr>
      </w:pPr>
      <w:r>
        <w:rPr>
          <w:rFonts w:ascii="Arial" w:cs="Arial" w:eastAsia="Arial" w:hAnsi="Arial"/>
          <w:sz w:val="18"/>
          <w:szCs w:val="18"/>
          <w:b w:val="1"/>
          <w:bCs w:val="1"/>
          <w:i w:val="1"/>
          <w:iCs w:val="1"/>
          <w:color w:val="auto"/>
        </w:rPr>
        <w:t xml:space="preserve">Warrants </w:t>
      </w:r>
      <w:r>
        <w:rPr>
          <w:rFonts w:ascii="Arial" w:cs="Arial" w:eastAsia="Arial" w:hAnsi="Arial"/>
          <w:sz w:val="18"/>
          <w:szCs w:val="18"/>
          <w:color w:val="auto"/>
        </w:rPr>
        <w:t>— Public Warrants may only be exercised for a whole number of shares. No fractional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warrants will be issued upon separation of the Units and only whole warrants will trade. The Public Warrants will become exercisable on the later of (a) 30 days after the completion of a Business Combination and (b) 12 months from the closing of the Proposed Public Offering. The Public Warrants will expire five years after the completion of a Business Combination or earlier upon redemption or liquidation.</w:t>
      </w:r>
    </w:p>
    <w:p>
      <w:pPr>
        <w:spacing w:after="0" w:line="106" w:lineRule="exact"/>
        <w:rPr>
          <w:sz w:val="20"/>
          <w:szCs w:val="20"/>
          <w:color w:val="auto"/>
        </w:rPr>
      </w:pPr>
    </w:p>
    <w:p>
      <w:pPr>
        <w:ind w:left="460" w:right="519"/>
        <w:spacing w:after="0"/>
        <w:rPr>
          <w:sz w:val="20"/>
          <w:szCs w:val="20"/>
          <w:color w:val="auto"/>
        </w:rPr>
      </w:pPr>
      <w:r>
        <w:rPr>
          <w:rFonts w:ascii="Arial" w:cs="Arial" w:eastAsia="Arial" w:hAnsi="Arial"/>
          <w:sz w:val="18"/>
          <w:szCs w:val="18"/>
          <w:color w:val="auto"/>
        </w:rPr>
        <w:t>The Company will not be obligated to deliver any shares of Class A common stock pursuant to the exercise of a warrant and will have no obligation to settle such warrant exercise unless a registration statement under the Securities Act with respect to the Class A common stock underlying the warrants is then effective and a prospectus relating thereto is current, subject to the Company satisfying its obligations with respect to registration. No warrant will be exercisable and the Company will not be obligated to issue shares of Class A common stock upon exercise of a warrant unless the share of Class A common stock issuable upon such warrant exercise has been registered, qualified or deemed to be exempt under the securities laws of the state of residence of the registered holder of the warrants.</w:t>
      </w:r>
    </w:p>
    <w:p>
      <w:pPr>
        <w:spacing w:after="0" w:line="108" w:lineRule="exact"/>
        <w:rPr>
          <w:sz w:val="20"/>
          <w:szCs w:val="20"/>
          <w:color w:val="auto"/>
        </w:rPr>
      </w:pPr>
    </w:p>
    <w:p>
      <w:pPr>
        <w:ind w:left="460" w:right="619"/>
        <w:spacing w:after="0"/>
        <w:rPr>
          <w:sz w:val="20"/>
          <w:szCs w:val="20"/>
          <w:color w:val="auto"/>
        </w:rPr>
      </w:pPr>
      <w:r>
        <w:rPr>
          <w:rFonts w:ascii="Arial" w:cs="Arial" w:eastAsia="Arial" w:hAnsi="Arial"/>
          <w:sz w:val="18"/>
          <w:szCs w:val="18"/>
          <w:color w:val="auto"/>
        </w:rPr>
        <w:t>The Company has agreed that as soon as practicable, but in no event later than 15 business days, after the closing of a Business Combination, it will use its best efforts to file with the SEC a registration statement for the registration, under the Securities Act, of the Class A common stock issuable upon exercise of the Public Warrants. The Company will use its best efforts to cause the same to become effective and to maintain the effectiveness of such registration statement, and a current prospectus relating thereto, until the expiration of the Public Warrants in accordance with the provisions of the warrant agreement. If a registration statement covering the shares of Class A common stock</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sectPr>
      </w:pPr>
    </w:p>
    <w:bookmarkStart w:id="167" w:name="page168"/>
    <w:bookmarkEnd w:id="167"/>
    <w:p>
      <w:pPr>
        <w:jc w:val="center"/>
        <w:ind w:right="19"/>
        <w:spacing w:after="0"/>
        <w:rPr>
          <w:sz w:val="20"/>
          <w:szCs w:val="20"/>
          <w:color w:val="auto"/>
        </w:rPr>
      </w:pPr>
      <w:r>
        <w:rPr>
          <w:rFonts w:ascii="Arial" w:cs="Arial" w:eastAsia="Arial" w:hAnsi="Arial"/>
          <w:sz w:val="18"/>
          <w:szCs w:val="18"/>
          <w:b w:val="1"/>
          <w:bCs w:val="1"/>
          <w:color w:val="auto"/>
        </w:rPr>
        <w:t>CM LIFE SCIENCES, INC.</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7 — STOCKHOLDERS’ EQUITY </w:t>
      </w:r>
      <w:r>
        <w:rPr>
          <w:rFonts w:ascii="Arial" w:cs="Arial" w:eastAsia="Arial" w:hAnsi="Arial"/>
          <w:sz w:val="18"/>
          <w:szCs w:val="18"/>
          <w:color w:val="auto"/>
        </w:rPr>
        <w:t>(cont.)</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issuable upon exercise of the warrants is not effective by the sixtieth (60th) business day after the</w:t>
      </w:r>
    </w:p>
    <w:p>
      <w:pPr>
        <w:spacing w:after="0" w:line="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closing of a Business Combination, warrant holders may, until such time as there is an effective</w:t>
      </w:r>
    </w:p>
    <w:p>
      <w:pPr>
        <w:ind w:left="460"/>
        <w:spacing w:after="0" w:line="234" w:lineRule="auto"/>
        <w:rPr>
          <w:sz w:val="20"/>
          <w:szCs w:val="20"/>
          <w:color w:val="auto"/>
        </w:rPr>
      </w:pPr>
      <w:r>
        <w:rPr>
          <w:rFonts w:ascii="Arial" w:cs="Arial" w:eastAsia="Arial" w:hAnsi="Arial"/>
          <w:sz w:val="18"/>
          <w:szCs w:val="18"/>
          <w:color w:val="auto"/>
        </w:rPr>
        <w:t>registration statement and during any period when the Company will have failed to maintain an</w:t>
      </w:r>
    </w:p>
    <w:p>
      <w:pPr>
        <w:ind w:left="460"/>
        <w:spacing w:after="0" w:line="235" w:lineRule="auto"/>
        <w:rPr>
          <w:sz w:val="20"/>
          <w:szCs w:val="20"/>
          <w:color w:val="auto"/>
        </w:rPr>
      </w:pPr>
      <w:r>
        <w:rPr>
          <w:rFonts w:ascii="Arial" w:cs="Arial" w:eastAsia="Arial" w:hAnsi="Arial"/>
          <w:sz w:val="18"/>
          <w:szCs w:val="18"/>
          <w:color w:val="auto"/>
        </w:rPr>
        <w:t>effective registration statement, exercise warrants on a “cashless basis” in accordance with</w:t>
      </w:r>
    </w:p>
    <w:p>
      <w:pPr>
        <w:ind w:left="460"/>
        <w:spacing w:after="0" w:line="235" w:lineRule="auto"/>
        <w:rPr>
          <w:sz w:val="20"/>
          <w:szCs w:val="20"/>
          <w:color w:val="auto"/>
        </w:rPr>
      </w:pPr>
      <w:r>
        <w:rPr>
          <w:rFonts w:ascii="Arial" w:cs="Arial" w:eastAsia="Arial" w:hAnsi="Arial"/>
          <w:sz w:val="18"/>
          <w:szCs w:val="18"/>
          <w:color w:val="auto"/>
        </w:rPr>
        <w:t>Section 3(a)(9) of the Securities Act or another exemption. Notwithstanding the above, if the Class A</w:t>
      </w:r>
    </w:p>
    <w:p>
      <w:pPr>
        <w:ind w:left="460"/>
        <w:spacing w:after="0" w:line="235" w:lineRule="auto"/>
        <w:rPr>
          <w:sz w:val="20"/>
          <w:szCs w:val="20"/>
          <w:color w:val="auto"/>
        </w:rPr>
      </w:pPr>
      <w:r>
        <w:rPr>
          <w:rFonts w:ascii="Arial" w:cs="Arial" w:eastAsia="Arial" w:hAnsi="Arial"/>
          <w:sz w:val="18"/>
          <w:szCs w:val="18"/>
          <w:color w:val="auto"/>
        </w:rPr>
        <w:t>common stock are, at the time of any exercise of a Public Warrant, not listed on a national securities</w:t>
      </w:r>
    </w:p>
    <w:p>
      <w:pPr>
        <w:ind w:left="460"/>
        <w:spacing w:after="0" w:line="235" w:lineRule="auto"/>
        <w:rPr>
          <w:sz w:val="20"/>
          <w:szCs w:val="20"/>
          <w:color w:val="auto"/>
        </w:rPr>
      </w:pPr>
      <w:r>
        <w:rPr>
          <w:rFonts w:ascii="Arial" w:cs="Arial" w:eastAsia="Arial" w:hAnsi="Arial"/>
          <w:sz w:val="18"/>
          <w:szCs w:val="18"/>
          <w:color w:val="auto"/>
        </w:rPr>
        <w:t>exchange such that they satisfy the definition of a “covered security” under Section 18(b)(1) of the</w:t>
      </w:r>
    </w:p>
    <w:p>
      <w:pPr>
        <w:ind w:left="460"/>
        <w:spacing w:after="0" w:line="234" w:lineRule="auto"/>
        <w:rPr>
          <w:sz w:val="20"/>
          <w:szCs w:val="20"/>
          <w:color w:val="auto"/>
        </w:rPr>
      </w:pPr>
      <w:r>
        <w:rPr>
          <w:rFonts w:ascii="Arial" w:cs="Arial" w:eastAsia="Arial" w:hAnsi="Arial"/>
          <w:sz w:val="18"/>
          <w:szCs w:val="18"/>
          <w:color w:val="auto"/>
        </w:rPr>
        <w:t>Securities Act, the Company may, at its option, require holders of Public Warrants who exercise their</w:t>
      </w:r>
    </w:p>
    <w:p>
      <w:pPr>
        <w:ind w:left="460"/>
        <w:spacing w:after="0" w:line="235" w:lineRule="auto"/>
        <w:rPr>
          <w:sz w:val="20"/>
          <w:szCs w:val="20"/>
          <w:color w:val="auto"/>
        </w:rPr>
      </w:pPr>
      <w:r>
        <w:rPr>
          <w:rFonts w:ascii="Arial" w:cs="Arial" w:eastAsia="Arial" w:hAnsi="Arial"/>
          <w:sz w:val="18"/>
          <w:szCs w:val="18"/>
          <w:color w:val="auto"/>
        </w:rPr>
        <w:t>Public Warrants to do so on a “cashless basis” in accordance with Section 3(a)(9) of the Securities</w:t>
      </w:r>
    </w:p>
    <w:p>
      <w:pPr>
        <w:ind w:left="460"/>
        <w:spacing w:after="0" w:line="235" w:lineRule="auto"/>
        <w:rPr>
          <w:sz w:val="20"/>
          <w:szCs w:val="20"/>
          <w:color w:val="auto"/>
        </w:rPr>
      </w:pPr>
      <w:r>
        <w:rPr>
          <w:rFonts w:ascii="Arial" w:cs="Arial" w:eastAsia="Arial" w:hAnsi="Arial"/>
          <w:sz w:val="18"/>
          <w:szCs w:val="18"/>
          <w:color w:val="auto"/>
        </w:rPr>
        <w:t>Act and, in the event the Company so elects, the Company will not be required to file or maintain in</w:t>
      </w:r>
    </w:p>
    <w:p>
      <w:pPr>
        <w:ind w:left="460"/>
        <w:spacing w:after="0" w:line="235" w:lineRule="auto"/>
        <w:rPr>
          <w:sz w:val="20"/>
          <w:szCs w:val="20"/>
          <w:color w:val="auto"/>
        </w:rPr>
      </w:pPr>
      <w:r>
        <w:rPr>
          <w:rFonts w:ascii="Arial" w:cs="Arial" w:eastAsia="Arial" w:hAnsi="Arial"/>
          <w:sz w:val="18"/>
          <w:szCs w:val="18"/>
          <w:color w:val="auto"/>
        </w:rPr>
        <w:t>effect a registration statement, and in the event the Company does not so elect, it will use its best</w:t>
      </w:r>
    </w:p>
    <w:p>
      <w:pPr>
        <w:ind w:left="460"/>
        <w:spacing w:after="0" w:line="235" w:lineRule="auto"/>
        <w:rPr>
          <w:sz w:val="20"/>
          <w:szCs w:val="20"/>
          <w:color w:val="auto"/>
        </w:rPr>
      </w:pPr>
      <w:r>
        <w:rPr>
          <w:rFonts w:ascii="Arial" w:cs="Arial" w:eastAsia="Arial" w:hAnsi="Arial"/>
          <w:sz w:val="18"/>
          <w:szCs w:val="18"/>
          <w:color w:val="auto"/>
        </w:rPr>
        <w:t>efforts to register or qualify the shares under applicable blue sky laws to the extent an exemption is</w:t>
      </w:r>
    </w:p>
    <w:p>
      <w:pPr>
        <w:ind w:left="460"/>
        <w:spacing w:after="0"/>
        <w:rPr>
          <w:sz w:val="20"/>
          <w:szCs w:val="20"/>
          <w:color w:val="auto"/>
        </w:rPr>
      </w:pPr>
      <w:r>
        <w:rPr>
          <w:rFonts w:ascii="Arial" w:cs="Arial" w:eastAsia="Arial" w:hAnsi="Arial"/>
          <w:sz w:val="18"/>
          <w:szCs w:val="18"/>
          <w:color w:val="auto"/>
        </w:rPr>
        <w:t>not available.</w:t>
      </w:r>
    </w:p>
    <w:p>
      <w:pPr>
        <w:spacing w:after="0" w:line="124" w:lineRule="exact"/>
        <w:rPr>
          <w:sz w:val="20"/>
          <w:szCs w:val="20"/>
          <w:color w:val="auto"/>
        </w:rPr>
      </w:pPr>
    </w:p>
    <w:p>
      <w:pPr>
        <w:ind w:left="460" w:right="579"/>
        <w:spacing w:after="0" w:line="249" w:lineRule="auto"/>
        <w:rPr>
          <w:sz w:val="20"/>
          <w:szCs w:val="20"/>
          <w:color w:val="auto"/>
        </w:rPr>
      </w:pPr>
      <w:r>
        <w:rPr>
          <w:rFonts w:ascii="Arial" w:cs="Arial" w:eastAsia="Arial" w:hAnsi="Arial"/>
          <w:sz w:val="18"/>
          <w:szCs w:val="18"/>
          <w:i w:val="1"/>
          <w:iCs w:val="1"/>
          <w:color w:val="auto"/>
        </w:rPr>
        <w:t xml:space="preserve">Redemption of Warrants When the Price per Share of Class A Common Stock Equals or Exceeds $18.00 — </w:t>
      </w:r>
      <w:r>
        <w:rPr>
          <w:rFonts w:ascii="Arial" w:cs="Arial" w:eastAsia="Arial" w:hAnsi="Arial"/>
          <w:sz w:val="18"/>
          <w:szCs w:val="18"/>
          <w:color w:val="auto"/>
        </w:rPr>
        <w:t>Once the warrants become exercisable, the Company may redeem the outstanding Public</w:t>
      </w:r>
      <w:r>
        <w:rPr>
          <w:rFonts w:ascii="Arial" w:cs="Arial" w:eastAsia="Arial" w:hAnsi="Arial"/>
          <w:sz w:val="18"/>
          <w:szCs w:val="18"/>
          <w:i w:val="1"/>
          <w:iCs w:val="1"/>
          <w:color w:val="auto"/>
        </w:rPr>
        <w:t xml:space="preserve"> </w:t>
      </w:r>
      <w:r>
        <w:rPr>
          <w:rFonts w:ascii="Arial" w:cs="Arial" w:eastAsia="Arial" w:hAnsi="Arial"/>
          <w:sz w:val="18"/>
          <w:szCs w:val="18"/>
          <w:color w:val="auto"/>
        </w:rPr>
        <w:t>Warrants:</w:t>
      </w:r>
    </w:p>
    <w:p>
      <w:pPr>
        <w:spacing w:after="0" w:line="2" w:lineRule="exact"/>
        <w:rPr>
          <w:sz w:val="20"/>
          <w:szCs w:val="20"/>
          <w:color w:val="auto"/>
        </w:rPr>
      </w:pPr>
    </w:p>
    <w:p>
      <w:pPr>
        <w:ind w:left="1100" w:hanging="322"/>
        <w:spacing w:after="0"/>
        <w:tabs>
          <w:tab w:leader="none" w:pos="11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35" w:lineRule="exact"/>
        <w:rPr>
          <w:rFonts w:ascii="Arial" w:cs="Arial" w:eastAsia="Arial" w:hAnsi="Arial"/>
          <w:sz w:val="18"/>
          <w:szCs w:val="18"/>
          <w:color w:val="auto"/>
        </w:rPr>
      </w:pPr>
    </w:p>
    <w:p>
      <w:pPr>
        <w:ind w:left="1100" w:hanging="322"/>
        <w:spacing w:after="0"/>
        <w:tabs>
          <w:tab w:leader="none" w:pos="11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36" w:lineRule="exact"/>
        <w:rPr>
          <w:rFonts w:ascii="Arial" w:cs="Arial" w:eastAsia="Arial" w:hAnsi="Arial"/>
          <w:sz w:val="18"/>
          <w:szCs w:val="18"/>
          <w:color w:val="auto"/>
        </w:rPr>
      </w:pPr>
    </w:p>
    <w:p>
      <w:pPr>
        <w:ind w:left="1100" w:right="719" w:hanging="322"/>
        <w:spacing w:after="0" w:line="248" w:lineRule="auto"/>
        <w:tabs>
          <w:tab w:leader="none" w:pos="1089"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and only if, the closing price of the Class A common stock equals or exceeds $18.00 per share (as adjusted) for any 20 trading days within a 30-trading day period ending three trading days before sending the notice of redemption to warrant holders (the “Reference Value”)</w:t>
      </w:r>
    </w:p>
    <w:p>
      <w:pPr>
        <w:spacing w:after="0" w:line="89" w:lineRule="exact"/>
        <w:rPr>
          <w:sz w:val="20"/>
          <w:szCs w:val="20"/>
          <w:color w:val="auto"/>
        </w:rPr>
      </w:pPr>
    </w:p>
    <w:p>
      <w:pPr>
        <w:ind w:left="460" w:right="779"/>
        <w:spacing w:after="0" w:line="255" w:lineRule="auto"/>
        <w:rPr>
          <w:sz w:val="20"/>
          <w:szCs w:val="20"/>
          <w:color w:val="auto"/>
        </w:rPr>
      </w:pPr>
      <w:r>
        <w:rPr>
          <w:rFonts w:ascii="Arial" w:cs="Arial" w:eastAsia="Arial" w:hAnsi="Arial"/>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98" w:lineRule="exact"/>
        <w:rPr>
          <w:sz w:val="20"/>
          <w:szCs w:val="20"/>
          <w:color w:val="auto"/>
        </w:rPr>
      </w:pPr>
    </w:p>
    <w:p>
      <w:pPr>
        <w:ind w:left="460" w:right="799"/>
        <w:spacing w:after="0" w:line="249" w:lineRule="auto"/>
        <w:rPr>
          <w:sz w:val="20"/>
          <w:szCs w:val="20"/>
          <w:color w:val="auto"/>
        </w:rPr>
      </w:pPr>
      <w:r>
        <w:rPr>
          <w:rFonts w:ascii="Arial" w:cs="Arial" w:eastAsia="Arial" w:hAnsi="Arial"/>
          <w:sz w:val="18"/>
          <w:szCs w:val="18"/>
          <w:i w:val="1"/>
          <w:iCs w:val="1"/>
          <w:color w:val="auto"/>
        </w:rPr>
        <w:t xml:space="preserve">Redemption of Warrants When the Price per Share of Class A Common Stock Equals or Exceeds $10.00 — </w:t>
      </w:r>
      <w:r>
        <w:rPr>
          <w:rFonts w:ascii="Arial" w:cs="Arial" w:eastAsia="Arial" w:hAnsi="Arial"/>
          <w:sz w:val="18"/>
          <w:szCs w:val="18"/>
          <w:color w:val="auto"/>
        </w:rPr>
        <w:t>Once the warrants become exercisable, the Company may redeem the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warrants:</w:t>
      </w:r>
    </w:p>
    <w:p>
      <w:pPr>
        <w:spacing w:after="0" w:line="2" w:lineRule="exact"/>
        <w:rPr>
          <w:sz w:val="20"/>
          <w:szCs w:val="20"/>
          <w:color w:val="auto"/>
        </w:rPr>
      </w:pPr>
    </w:p>
    <w:p>
      <w:pPr>
        <w:ind w:left="1100" w:hanging="322"/>
        <w:spacing w:after="0"/>
        <w:tabs>
          <w:tab w:leader="none" w:pos="11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35" w:lineRule="exact"/>
        <w:rPr>
          <w:rFonts w:ascii="Arial" w:cs="Arial" w:eastAsia="Arial" w:hAnsi="Arial"/>
          <w:sz w:val="18"/>
          <w:szCs w:val="18"/>
          <w:color w:val="auto"/>
        </w:rPr>
      </w:pPr>
    </w:p>
    <w:p>
      <w:pPr>
        <w:ind w:left="1100" w:right="519" w:hanging="322"/>
        <w:spacing w:after="0" w:line="242" w:lineRule="auto"/>
        <w:tabs>
          <w:tab w:leader="none" w:pos="1089" w:val="left"/>
        </w:tabs>
        <w:numPr>
          <w:ilvl w:val="0"/>
          <w:numId w:val="91"/>
        </w:numPr>
        <w:rPr>
          <w:rFonts w:ascii="Arial" w:cs="Arial" w:eastAsia="Arial" w:hAnsi="Arial"/>
          <w:sz w:val="18"/>
          <w:szCs w:val="18"/>
          <w:color w:val="auto"/>
        </w:rPr>
      </w:pPr>
      <w:r>
        <w:rPr>
          <w:rFonts w:ascii="Arial" w:cs="Arial" w:eastAsia="Arial" w:hAnsi="Arial"/>
          <w:sz w:val="18"/>
          <w:szCs w:val="18"/>
          <w:color w:val="auto"/>
        </w:rPr>
        <w:t>at $0.10 per warrant upon a minimum of 30 days’ prior written notice of redemption provided that holders will be able to exercise their warrants on a cashless basis prior to redemption and receive that number of shares based on the redemption date and the fair market value of the Class A common stock;</w:t>
      </w:r>
    </w:p>
    <w:p>
      <w:pPr>
        <w:spacing w:after="0" w:line="2" w:lineRule="exact"/>
        <w:rPr>
          <w:rFonts w:ascii="Arial" w:cs="Arial" w:eastAsia="Arial" w:hAnsi="Arial"/>
          <w:sz w:val="18"/>
          <w:szCs w:val="18"/>
          <w:color w:val="auto"/>
        </w:rPr>
      </w:pPr>
    </w:p>
    <w:p>
      <w:pPr>
        <w:ind w:left="1100" w:right="599" w:hanging="322"/>
        <w:spacing w:after="0" w:line="250" w:lineRule="auto"/>
        <w:tabs>
          <w:tab w:leader="none" w:pos="1089" w:val="left"/>
        </w:tabs>
        <w:numPr>
          <w:ilvl w:val="0"/>
          <w:numId w:val="91"/>
        </w:numPr>
        <w:rPr>
          <w:rFonts w:ascii="Arial" w:cs="Arial" w:eastAsia="Arial" w:hAnsi="Arial"/>
          <w:sz w:val="18"/>
          <w:szCs w:val="18"/>
          <w:color w:val="auto"/>
        </w:rPr>
      </w:pPr>
      <w:r>
        <w:rPr>
          <w:rFonts w:ascii="Arial" w:cs="Arial" w:eastAsia="Arial" w:hAnsi="Arial"/>
          <w:sz w:val="18"/>
          <w:szCs w:val="18"/>
          <w:color w:val="auto"/>
        </w:rPr>
        <w:t>if, and only if, the closing price of the Class A common stock equals or exceeds $10.00 per share (as adjusted) for any 20 trading days within the 30-trading day period ending three trading days before the Company sends the notice of redemption to the warrant holders and</w:t>
      </w:r>
    </w:p>
    <w:p>
      <w:pPr>
        <w:spacing w:after="0" w:line="1" w:lineRule="exact"/>
        <w:rPr>
          <w:rFonts w:ascii="Arial" w:cs="Arial" w:eastAsia="Arial" w:hAnsi="Arial"/>
          <w:sz w:val="18"/>
          <w:szCs w:val="18"/>
          <w:color w:val="auto"/>
        </w:rPr>
      </w:pPr>
    </w:p>
    <w:p>
      <w:pPr>
        <w:ind w:left="1100" w:right="539" w:hanging="322"/>
        <w:spacing w:after="0" w:line="245" w:lineRule="auto"/>
        <w:tabs>
          <w:tab w:leader="none" w:pos="1089" w:val="left"/>
        </w:tabs>
        <w:numPr>
          <w:ilvl w:val="0"/>
          <w:numId w:val="91"/>
        </w:numPr>
        <w:rPr>
          <w:rFonts w:ascii="Arial" w:cs="Arial" w:eastAsia="Arial" w:hAnsi="Arial"/>
          <w:sz w:val="18"/>
          <w:szCs w:val="18"/>
          <w:color w:val="auto"/>
        </w:rPr>
      </w:pPr>
      <w:r>
        <w:rPr>
          <w:rFonts w:ascii="Arial" w:cs="Arial" w:eastAsia="Arial" w:hAnsi="Arial"/>
          <w:sz w:val="18"/>
          <w:szCs w:val="18"/>
          <w:color w:val="auto"/>
        </w:rPr>
        <w:t>if the closing price of the Class A common stock for any 20 trading days within a 30-trading day period ending three trading days before the Company sends notice of redemption to the warrant holders is less than $18.00 per share (as adjusted), the Private Placement Warrants must also be concurrently called for redemption on the same terms as the outstanding Public Warrants, as described above.</w:t>
      </w:r>
    </w:p>
    <w:p>
      <w:pPr>
        <w:spacing w:after="0" w:line="91"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In addition, if (x) the Company issues additional shares of Class A common stock or equity-linked securities for capital raising purposes in connection with the closing of a Business Combination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its affiliates, as applicable, prior to such issuance) (the “Newly Issued Price”), (y) the aggregate gross proceeds from such issuances represent more than 60% of the total equity proceeds, and interest thereon, available for the funding of a Business Combination on the date of the completion of a Business Combination (net of redemptions), and (z) the volume weighted average trading price of the Company’s Class A common stock during the 20 trading day period starting on the trading day after the day on which the Company completes a Business Combination (such price, the “Market Value”) is below $9.20 per share, the exercise price of the warrants will be adjusted (to the nearest cent) to be equal to 115% of the higher of the Market Value and the Newly Issued Price, the $18.00 per share redemption trigger</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sectPr>
      </w:pPr>
    </w:p>
    <w:bookmarkStart w:id="168" w:name="page169"/>
    <w:bookmarkEnd w:id="168"/>
    <w:p>
      <w:pPr>
        <w:jc w:val="center"/>
        <w:ind w:right="19"/>
        <w:spacing w:after="0"/>
        <w:rPr>
          <w:sz w:val="20"/>
          <w:szCs w:val="20"/>
          <w:color w:val="auto"/>
        </w:rPr>
      </w:pPr>
      <w:r>
        <w:rPr>
          <w:rFonts w:ascii="Arial" w:cs="Arial" w:eastAsia="Arial" w:hAnsi="Arial"/>
          <w:sz w:val="18"/>
          <w:szCs w:val="18"/>
          <w:b w:val="1"/>
          <w:bCs w:val="1"/>
          <w:color w:val="auto"/>
        </w:rPr>
        <w:t>CM LIFE SCIENCES, INC.</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7 — STOCKHOLDERS’ EQUITY </w:t>
      </w:r>
      <w:r>
        <w:rPr>
          <w:rFonts w:ascii="Arial" w:cs="Arial" w:eastAsia="Arial" w:hAnsi="Arial"/>
          <w:sz w:val="18"/>
          <w:szCs w:val="18"/>
          <w:color w:val="auto"/>
        </w:rPr>
        <w:t>(cont.)</w:t>
      </w:r>
    </w:p>
    <w:p>
      <w:pPr>
        <w:spacing w:after="0" w:line="173" w:lineRule="exact"/>
        <w:rPr>
          <w:sz w:val="20"/>
          <w:szCs w:val="20"/>
          <w:color w:val="auto"/>
        </w:rPr>
      </w:pPr>
    </w:p>
    <w:p>
      <w:pPr>
        <w:ind w:left="460" w:right="579"/>
        <w:spacing w:after="0" w:line="255" w:lineRule="auto"/>
        <w:rPr>
          <w:sz w:val="20"/>
          <w:szCs w:val="20"/>
          <w:color w:val="auto"/>
        </w:rPr>
      </w:pPr>
      <w:r>
        <w:rPr>
          <w:rFonts w:ascii="Arial" w:cs="Arial" w:eastAsia="Arial" w:hAnsi="Arial"/>
          <w:sz w:val="18"/>
          <w:szCs w:val="18"/>
          <w:color w:val="auto"/>
        </w:rPr>
        <w:t>price will be adjusted (to the nearest cent) to be equal to 180% of the higher of the Market Value and the Newly Issued Price, and the $10.00 per share redemption trigger price will be adjusted (to the nearest cent) to be equal to the higher of the Market Value and the Newly Issued Price.</w:t>
      </w:r>
    </w:p>
    <w:p>
      <w:pPr>
        <w:spacing w:after="0" w:line="96"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The Private Placement Warrants will be identical to the Public Warrants underlying the Units being sold in the Proposed Public Offering, except that (1) the Private Placement Warrants and the Class A common stock issuable upon the exercise of the Private Placement Warrants will not be transferable, assignable or saleable until 30 days after the completion of a Business Combination, subject to certain limited exceptions, (2) the Private Placement Warrants will be exercisable on a cashless basis, (3) the Private Placement Warrants will be non-redeemable (except as described above in “Redemption of Warrants When the Price per Share of Class A Common Stock Equals or Exceeds $10.00”) so long as they are held by the initial purchasers or their permitted transferees, and (4) the holders of the Private Placement Warrants and the Class A common stock issuable upon the exercise of the Private Placement Warrants will have certain registration rights.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8 — SUBSEQUENT EVENTS</w:t>
      </w:r>
    </w:p>
    <w:p>
      <w:pPr>
        <w:spacing w:after="0" w:line="146" w:lineRule="exact"/>
        <w:rPr>
          <w:sz w:val="20"/>
          <w:szCs w:val="20"/>
          <w:color w:val="auto"/>
        </w:rPr>
      </w:pPr>
    </w:p>
    <w:p>
      <w:pPr>
        <w:jc w:val="both"/>
        <w:ind w:left="460" w:right="539"/>
        <w:spacing w:after="0" w:line="248"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through September 3, 2020, the date that the financial statements were available to be issued. Other than as described below, the Company did not identify any subsequent events that would have required adjustment or disclosure in the financial statements.</w:t>
      </w:r>
    </w:p>
    <w:p>
      <w:pPr>
        <w:spacing w:after="0" w:line="89" w:lineRule="exact"/>
        <w:rPr>
          <w:sz w:val="20"/>
          <w:szCs w:val="20"/>
          <w:color w:val="auto"/>
        </w:rPr>
      </w:pPr>
    </w:p>
    <w:p>
      <w:pPr>
        <w:jc w:val="both"/>
        <w:ind w:left="460" w:right="1019"/>
        <w:spacing w:after="0" w:line="255" w:lineRule="auto"/>
        <w:rPr>
          <w:sz w:val="20"/>
          <w:szCs w:val="20"/>
          <w:color w:val="auto"/>
        </w:rPr>
      </w:pPr>
      <w:r>
        <w:rPr>
          <w:rFonts w:ascii="Arial" w:cs="Arial" w:eastAsia="Arial" w:hAnsi="Arial"/>
          <w:sz w:val="18"/>
          <w:szCs w:val="18"/>
          <w:color w:val="auto"/>
        </w:rPr>
        <w:t>In August 2020, the Sponsor transferred 25,000 Founder Shares to each of Munib Islam, Emily Leproust and Nat Turner at their original per-share purchase price, for an aggregate of 75,000 Founder Shares transferred.</w:t>
      </w:r>
    </w:p>
    <w:p>
      <w:pPr>
        <w:spacing w:after="0" w:line="96" w:lineRule="exact"/>
        <w:rPr>
          <w:sz w:val="20"/>
          <w:szCs w:val="20"/>
          <w:color w:val="auto"/>
        </w:rPr>
      </w:pPr>
    </w:p>
    <w:p>
      <w:pPr>
        <w:ind w:left="460" w:right="599"/>
        <w:spacing w:after="0" w:line="248" w:lineRule="auto"/>
        <w:rPr>
          <w:sz w:val="20"/>
          <w:szCs w:val="20"/>
          <w:color w:val="auto"/>
        </w:rPr>
      </w:pPr>
      <w:r>
        <w:rPr>
          <w:rFonts w:ascii="Arial" w:cs="Arial" w:eastAsia="Arial" w:hAnsi="Arial"/>
          <w:sz w:val="18"/>
          <w:szCs w:val="18"/>
          <w:color w:val="auto"/>
        </w:rPr>
        <w:t>On September 1, the Company effected a 1:1.1 stock split of the Class B common stock, resulting in the Sponsor holding an aggregate of 10,993,750 Founder Shares and there being an aggregate of 11,068,750 Founder Shares outstanding. All shares and the associated amounts have been retroactively restated to reflect the aforementioned stock split.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wp:posOffset>
            </wp:positionV>
            <wp:extent cx="51435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sectPr>
      </w:pPr>
    </w:p>
    <w:bookmarkStart w:id="169" w:name="page170"/>
    <w:bookmarkEnd w:id="169"/>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1202690</wp:posOffset>
            </wp:positionH>
            <wp:positionV relativeFrom="page">
              <wp:posOffset>132080</wp:posOffset>
            </wp:positionV>
            <wp:extent cx="5143500"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page">
              <wp:posOffset>1202690</wp:posOffset>
            </wp:positionH>
            <wp:positionV relativeFrom="page">
              <wp:posOffset>174625</wp:posOffset>
            </wp:positionV>
            <wp:extent cx="5143500"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00" cy="25400"/>
                    </a:xfrm>
                    <a:prstGeom prst="rect">
                      <a:avLst/>
                    </a:prstGeom>
                    <a:noFill/>
                  </pic:spPr>
                </pic:pic>
              </a:graphicData>
            </a:graphic>
          </wp:anchor>
        </w:drawing>
        <w:t>38,500,000 Units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36"/>
          <w:szCs w:val="36"/>
          <w:b w:val="1"/>
          <w:bCs w:val="1"/>
          <w:color w:val="auto"/>
        </w:rPr>
        <w:t>CM Life Sciences,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___________________________</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PROSPECTUS</w:t>
      </w:r>
    </w:p>
    <w:p>
      <w:pPr>
        <w:spacing w:after="0" w:line="44"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Jefferies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60" w:right="519"/>
        <w:spacing w:after="0" w:line="248" w:lineRule="auto"/>
        <w:rPr>
          <w:sz w:val="20"/>
          <w:szCs w:val="20"/>
          <w:color w:val="auto"/>
        </w:rPr>
      </w:pPr>
      <w:r>
        <w:rPr>
          <w:rFonts w:ascii="Arial" w:cs="Arial" w:eastAsia="Arial" w:hAnsi="Arial"/>
          <w:sz w:val="18"/>
          <w:szCs w:val="18"/>
          <w:color w:val="auto"/>
        </w:rPr>
        <w:t>Until September 26, 2020 (25 days after the date of this prospectus), all dealers that buy, sell or trade our common stock,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101" w:lineRule="exact"/>
        <w:rPr>
          <w:sz w:val="20"/>
          <w:szCs w:val="20"/>
          <w:color w:val="auto"/>
        </w:rPr>
      </w:pPr>
    </w:p>
    <w:p>
      <w:pPr>
        <w:ind w:left="460" w:right="599"/>
        <w:spacing w:after="0" w:line="262" w:lineRule="auto"/>
        <w:rPr>
          <w:sz w:val="20"/>
          <w:szCs w:val="20"/>
          <w:color w:val="auto"/>
        </w:rPr>
      </w:pPr>
      <w:r>
        <w:rPr>
          <w:rFonts w:ascii="Arial" w:cs="Arial" w:eastAsia="Arial" w:hAnsi="Arial"/>
          <w:sz w:val="17"/>
          <w:szCs w:val="17"/>
          <w:b w:val="1"/>
          <w:bCs w:val="1"/>
          <w:color w:val="auto"/>
        </w:rPr>
        <w:t>You should rely only on the information contained in this prospectus. We have not, and the underwriters have not, authorized anyone to provide you with different information. If anyone provides you with different or inconsistent information, you should not rely on it. We are not, and the underwriters are not, making an offer to sell securities in any jurisdiction where the offer or sale is not permitted. You should not assume that the information contained in this prospectus is accurate as of any date other than the date on the front of this prospectus.</w:t>
      </w:r>
    </w:p>
    <w:p>
      <w:pPr>
        <w:spacing w:after="0" w:line="70" w:lineRule="exact"/>
        <w:rPr>
          <w:sz w:val="20"/>
          <w:szCs w:val="20"/>
          <w:color w:val="auto"/>
        </w:rPr>
      </w:pPr>
    </w:p>
    <w:p>
      <w:pPr>
        <w:ind w:left="460" w:right="499"/>
        <w:spacing w:after="0" w:line="243" w:lineRule="auto"/>
        <w:rPr>
          <w:sz w:val="20"/>
          <w:szCs w:val="20"/>
          <w:color w:val="auto"/>
        </w:rPr>
      </w:pPr>
      <w:r>
        <w:rPr>
          <w:rFonts w:ascii="Arial" w:cs="Arial" w:eastAsia="Arial" w:hAnsi="Arial"/>
          <w:sz w:val="18"/>
          <w:szCs w:val="18"/>
          <w:b w:val="1"/>
          <w:bCs w:val="1"/>
          <w:color w:val="auto"/>
        </w:rPr>
        <w:t>No dealer, salesperson or any other person is authorized to give any information or make any representations in connection with this offering other than those contained in this prospectus and, if given or made, the information or representations must not be relied upon as having been authorized by us. This prospectus does not constitute an offer to sell or a solicitation of an offer to buy any security other than the securities offered by this prospectus, or an offer to sell or a solicitation of an offer to buy any securities by anyone in any jurisdiction in which the offer or solicitation is not authorized or is unlawful.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415925</wp:posOffset>
            </wp:positionV>
            <wp:extent cx="5143500"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458470</wp:posOffset>
            </wp:positionV>
            <wp:extent cx="5143500"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724535</wp:posOffset>
            </wp:positionV>
            <wp:extent cx="51435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sectPr>
      <w:pgSz w:w="11900" w:h="16838" w:orient="portrait"/>
      <w:cols w:equalWidth="0" w:num="1">
        <w:col w:w="9019"/>
      </w:cols>
      <w:pgMar w:left="1440" w:top="70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B588F54"/>
    <w:multiLevelType w:val="hybridMultilevel"/>
    <w:lvl w:ilvl="0">
      <w:lvlJc w:val="left"/>
      <w:lvlText w:val="(%1)"/>
      <w:numFmt w:val="decimal"/>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
      <w:numFmt w:val="bullet"/>
      <w:start w:val="1"/>
    </w:lvl>
  </w:abstractNum>
  <w:abstractNum w:abstractNumId="4">
    <w:nsid w:val="7644A45C"/>
    <w:multiLevelType w:val="hybridMultilevel"/>
    <w:lvl w:ilvl="0">
      <w:lvlJc w:val="left"/>
      <w:lvlText w:val="(%1)"/>
      <w:numFmt w:val="lowerLetter"/>
      <w:start w:val="1"/>
    </w:lvl>
  </w:abstractNum>
  <w:abstractNum w:abstractNumId="5">
    <w:nsid w:val="32FFF902"/>
    <w:multiLevelType w:val="hybridMultilevel"/>
    <w:lvl w:ilvl="0">
      <w:lvlJc w:val="left"/>
      <w:lvlText w:val="(%1)"/>
      <w:numFmt w:val="decimal"/>
      <w:start w:val="2"/>
    </w:lvl>
  </w:abstractNum>
  <w:abstractNum w:abstractNumId="6">
    <w:nsid w:val="684A481A"/>
    <w:multiLevelType w:val="hybridMultilevel"/>
    <w:lvl w:ilvl="0">
      <w:lvlJc w:val="left"/>
      <w:lvlText w:val="•"/>
      <w:numFmt w:val="bullet"/>
      <w:start w:val="1"/>
    </w:lvl>
  </w:abstractNum>
  <w:abstractNum w:abstractNumId="7">
    <w:nsid w:val="579478FE"/>
    <w:multiLevelType w:val="hybridMultilevel"/>
    <w:lvl w:ilvl="0">
      <w:lvlJc w:val="left"/>
      <w:lvlText w:val="(%1)"/>
      <w:numFmt w:val="decimal"/>
      <w:start w:val="1"/>
    </w:lvl>
  </w:abstractNum>
  <w:abstractNum w:abstractNumId="8">
    <w:nsid w:val="749ABB43"/>
    <w:multiLevelType w:val="hybridMultilevel"/>
    <w:lvl w:ilvl="0">
      <w:lvlJc w:val="left"/>
      <w:lvlText w:val="•"/>
      <w:numFmt w:val="bullet"/>
      <w:start w:val="1"/>
    </w:lvl>
  </w:abstractNum>
  <w:abstractNum w:abstractNumId="9">
    <w:nsid w:val="3DC240FB"/>
    <w:multiLevelType w:val="hybridMultilevel"/>
    <w:lvl w:ilvl="0">
      <w:lvlJc w:val="left"/>
      <w:lvlText w:val="•"/>
      <w:numFmt w:val="bullet"/>
      <w:start w:val="1"/>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
      <w:numFmt w:val="bullet"/>
      <w:start w:val="1"/>
    </w:lvl>
  </w:abstractNum>
  <w:abstractNum w:abstractNumId="12">
    <w:nsid w:val="75C6C33A"/>
    <w:multiLevelType w:val="hybridMultilevel"/>
    <w:lvl w:ilvl="0">
      <w:lvlJc w:val="left"/>
      <w:lvlText w:val="•"/>
      <w:numFmt w:val="bullet"/>
      <w:start w:val="1"/>
    </w:lvl>
  </w:abstractNum>
  <w:abstractNum w:abstractNumId="13">
    <w:nsid w:val="12E685FB"/>
    <w:multiLevelType w:val="hybridMultilevel"/>
    <w:lvl w:ilvl="0">
      <w:lvlJc w:val="left"/>
      <w:lvlText w:val="(%1)"/>
      <w:numFmt w:val="lowerRoman"/>
      <w:start w:val="3"/>
    </w:lvl>
  </w:abstractNum>
  <w:abstractNum w:abstractNumId="14">
    <w:nsid w:val="70C6A529"/>
    <w:multiLevelType w:val="hybridMultilevel"/>
    <w:lvl w:ilvl="0">
      <w:lvlJc w:val="left"/>
      <w:lvlText w:val="•"/>
      <w:numFmt w:val="bullet"/>
      <w:start w:val="1"/>
    </w:lvl>
  </w:abstractNum>
  <w:abstractNum w:abstractNumId="15">
    <w:nsid w:val="520EEDD1"/>
    <w:multiLevelType w:val="hybridMultilevel"/>
    <w:lvl w:ilvl="0">
      <w:lvlJc w:val="left"/>
      <w:lvlText w:val="•"/>
      <w:numFmt w:val="bullet"/>
      <w:start w:val="1"/>
    </w:lvl>
  </w:abstractNum>
  <w:abstractNum w:abstractNumId="16">
    <w:nsid w:val="374A3FE6"/>
    <w:multiLevelType w:val="hybridMultilevel"/>
    <w:lvl w:ilvl="0">
      <w:lvlJc w:val="left"/>
      <w:lvlText w:val="(%1)"/>
      <w:numFmt w:val="lowerRoman"/>
      <w:start w:val="1"/>
    </w:lvl>
  </w:abstractNum>
  <w:abstractNum w:abstractNumId="17">
    <w:nsid w:val="4F4EF005"/>
    <w:multiLevelType w:val="hybridMultilevel"/>
    <w:lvl w:ilvl="0">
      <w:lvlJc w:val="left"/>
      <w:lvlText w:val="•"/>
      <w:numFmt w:val="bullet"/>
      <w:start w:val="1"/>
    </w:lvl>
  </w:abstractNum>
  <w:abstractNum w:abstractNumId="18">
    <w:nsid w:val="23F9C13C"/>
    <w:multiLevelType w:val="hybridMultilevel"/>
    <w:lvl w:ilvl="0">
      <w:lvlJc w:val="left"/>
      <w:lvlText w:val="•"/>
      <w:numFmt w:val="bullet"/>
      <w:start w:val="1"/>
    </w:lvl>
  </w:abstractNum>
  <w:abstractNum w:abstractNumId="19">
    <w:nsid w:val="649BB77C"/>
    <w:multiLevelType w:val="hybridMultilevel"/>
    <w:lvl w:ilvl="0">
      <w:lvlJc w:val="left"/>
      <w:lvlText w:val="(%1)"/>
      <w:numFmt w:val="lowerRoman"/>
      <w:start w:val="2"/>
    </w:lvl>
  </w:abstractNum>
  <w:abstractNum w:abstractNumId="20">
    <w:nsid w:val="275AC794"/>
    <w:multiLevelType w:val="hybridMultilevel"/>
    <w:lvl w:ilvl="0">
      <w:lvlJc w:val="left"/>
      <w:lvlText w:val="•"/>
      <w:numFmt w:val="bullet"/>
      <w:start w:val="1"/>
    </w:lvl>
  </w:abstractNum>
  <w:abstractNum w:abstractNumId="21">
    <w:nsid w:val="39386575"/>
    <w:multiLevelType w:val="hybridMultilevel"/>
    <w:lvl w:ilvl="0">
      <w:lvlJc w:val="left"/>
      <w:lvlText w:val="•"/>
      <w:numFmt w:val="bullet"/>
      <w:start w:val="1"/>
    </w:lvl>
  </w:abstractNum>
  <w:abstractNum w:abstractNumId="22">
    <w:nsid w:val="1CF10FD8"/>
    <w:multiLevelType w:val="hybridMultilevel"/>
    <w:lvl w:ilvl="0">
      <w:lvlJc w:val="left"/>
      <w:lvlText w:val="•"/>
      <w:numFmt w:val="bullet"/>
      <w:start w:val="1"/>
    </w:lvl>
  </w:abstractNum>
  <w:abstractNum w:abstractNumId="23">
    <w:nsid w:val="180115BE"/>
    <w:multiLevelType w:val="hybridMultilevel"/>
    <w:lvl w:ilvl="0">
      <w:lvlJc w:val="left"/>
      <w:lvlText w:val="(%1)"/>
      <w:numFmt w:val="lowerRoman"/>
      <w:start w:val="1"/>
    </w:lvl>
  </w:abstractNum>
  <w:abstractNum w:abstractNumId="24">
    <w:nsid w:val="235BA861"/>
    <w:multiLevelType w:val="hybridMultilevel"/>
    <w:lvl w:ilvl="0">
      <w:lvlJc w:val="left"/>
      <w:lvlText w:val="(%1)"/>
      <w:numFmt w:val="lowerRoman"/>
      <w:start w:val="2"/>
    </w:lvl>
  </w:abstractNum>
  <w:abstractNum w:abstractNumId="25">
    <w:nsid w:val="47398C89"/>
    <w:multiLevelType w:val="hybridMultilevel"/>
    <w:lvl w:ilvl="0">
      <w:lvlJc w:val="left"/>
      <w:lvlText w:val="•"/>
      <w:numFmt w:val="bullet"/>
      <w:start w:val="1"/>
    </w:lvl>
  </w:abstractNum>
  <w:abstractNum w:abstractNumId="26">
    <w:nsid w:val="354FE9F9"/>
    <w:multiLevelType w:val="hybridMultilevel"/>
    <w:lvl w:ilvl="0">
      <w:lvlJc w:val="left"/>
      <w:lvlText w:val="(%1)"/>
      <w:numFmt w:val="lowerRoman"/>
      <w:start w:val="2"/>
    </w:lvl>
  </w:abstractNum>
  <w:abstractNum w:abstractNumId="27">
    <w:nsid w:val="15B5AF5C"/>
    <w:multiLevelType w:val="hybridMultilevel"/>
    <w:lvl w:ilvl="0">
      <w:lvlJc w:val="left"/>
      <w:lvlText w:val="•"/>
      <w:numFmt w:val="bullet"/>
      <w:start w:val="1"/>
    </w:lvl>
  </w:abstractNum>
  <w:abstractNum w:abstractNumId="28">
    <w:nsid w:val="741226BB"/>
    <w:multiLevelType w:val="hybridMultilevel"/>
    <w:lvl w:ilvl="0">
      <w:lvlJc w:val="left"/>
      <w:lvlText w:val="•"/>
      <w:numFmt w:val="bullet"/>
      <w:start w:val="1"/>
    </w:lvl>
  </w:abstractNum>
  <w:abstractNum w:abstractNumId="29">
    <w:nsid w:val="D34B6A8"/>
    <w:multiLevelType w:val="hybridMultilevel"/>
    <w:lvl w:ilvl="0">
      <w:lvlJc w:val="left"/>
      <w:lvlText w:val="•"/>
      <w:numFmt w:val="bullet"/>
      <w:start w:val="1"/>
    </w:lvl>
  </w:abstractNum>
  <w:abstractNum w:abstractNumId="30">
    <w:nsid w:val="10233C99"/>
    <w:multiLevelType w:val="hybridMultilevel"/>
    <w:lvl w:ilvl="0">
      <w:lvlJc w:val="left"/>
      <w:lvlText w:val="(%1)"/>
      <w:numFmt w:val="decimal"/>
      <w:start w:val="1"/>
    </w:lvl>
  </w:abstractNum>
  <w:abstractNum w:abstractNumId="31">
    <w:nsid w:val="3F6AB60F"/>
    <w:multiLevelType w:val="hybridMultilevel"/>
    <w:lvl w:ilvl="0">
      <w:lvlJc w:val="left"/>
      <w:lvlText w:val="(%1)"/>
      <w:numFmt w:val="decimal"/>
      <w:start w:val="3"/>
    </w:lvl>
  </w:abstractNum>
  <w:abstractNum w:abstractNumId="32">
    <w:nsid w:val="61574095"/>
    <w:multiLevelType w:val="hybridMultilevel"/>
    <w:lvl w:ilvl="0">
      <w:lvlJc w:val="left"/>
      <w:lvlText w:val="(%1)"/>
      <w:numFmt w:val="lowerLetter"/>
      <w:start w:val="1"/>
    </w:lvl>
  </w:abstractNum>
  <w:abstractNum w:abstractNumId="33">
    <w:nsid w:val="7E0C57B1"/>
    <w:multiLevelType w:val="hybridMultilevel"/>
    <w:lvl w:ilvl="0">
      <w:lvlJc w:val="left"/>
      <w:lvlText w:val="(%1)"/>
      <w:numFmt w:val="decimal"/>
      <w:start w:val="1"/>
    </w:lvl>
  </w:abstractNum>
  <w:abstractNum w:abstractNumId="34">
    <w:nsid w:val="77AE35EB"/>
    <w:multiLevelType w:val="hybridMultilevel"/>
    <w:lvl w:ilvl="0">
      <w:lvlJc w:val="left"/>
      <w:lvlText w:val="(%1)"/>
      <w:numFmt w:val="decimal"/>
      <w:start w:val="1"/>
    </w:lvl>
  </w:abstractNum>
  <w:abstractNum w:abstractNumId="35">
    <w:nsid w:val="579BE4F1"/>
    <w:multiLevelType w:val="hybridMultilevel"/>
    <w:lvl w:ilvl="0">
      <w:lvlJc w:val="left"/>
      <w:lvlText w:val="(%1)"/>
      <w:numFmt w:val="decimal"/>
      <w:start w:val="1"/>
    </w:lvl>
  </w:abstractNum>
  <w:abstractNum w:abstractNumId="36">
    <w:nsid w:val="310C50B3"/>
    <w:multiLevelType w:val="hybridMultilevel"/>
    <w:lvl w:ilvl="0">
      <w:lvlJc w:val="left"/>
      <w:lvlText w:val="•"/>
      <w:numFmt w:val="bullet"/>
      <w:start w:val="1"/>
    </w:lvl>
  </w:abstractNum>
  <w:abstractNum w:abstractNumId="37">
    <w:nsid w:val="5FF87E05"/>
    <w:multiLevelType w:val="hybridMultilevel"/>
    <w:lvl w:ilvl="0">
      <w:lvlJc w:val="left"/>
      <w:lvlText w:val="•"/>
      <w:numFmt w:val="bullet"/>
      <w:start w:val="1"/>
    </w:lvl>
  </w:abstractNum>
  <w:abstractNum w:abstractNumId="38">
    <w:nsid w:val="2F305DEF"/>
    <w:multiLevelType w:val="hybridMultilevel"/>
    <w:lvl w:ilvl="0">
      <w:lvlJc w:val="left"/>
      <w:lvlText w:val="•"/>
      <w:numFmt w:val="bullet"/>
      <w:start w:val="1"/>
    </w:lvl>
  </w:abstractNum>
  <w:abstractNum w:abstractNumId="39">
    <w:nsid w:val="25A70BF7"/>
    <w:multiLevelType w:val="hybridMultilevel"/>
    <w:lvl w:ilvl="0">
      <w:lvlJc w:val="left"/>
      <w:lvlText w:val="(%1)"/>
      <w:numFmt w:val="lowerRoman"/>
      <w:start w:val="2"/>
    </w:lvl>
  </w:abstractNum>
  <w:abstractNum w:abstractNumId="40">
    <w:nsid w:val="1DBABF00"/>
    <w:multiLevelType w:val="hybridMultilevel"/>
    <w:lvl w:ilvl="0">
      <w:lvlJc w:val="left"/>
      <w:lvlText w:val="•"/>
      <w:numFmt w:val="bullet"/>
      <w:start w:val="1"/>
    </w:lvl>
  </w:abstractNum>
  <w:abstractNum w:abstractNumId="41">
    <w:nsid w:val="4AD084E9"/>
    <w:multiLevelType w:val="hybridMultilevel"/>
    <w:lvl w:ilvl="0">
      <w:lvlJc w:val="left"/>
      <w:lvlText w:val="•"/>
      <w:numFmt w:val="bullet"/>
      <w:start w:val="1"/>
    </w:lvl>
  </w:abstractNum>
  <w:abstractNum w:abstractNumId="42">
    <w:nsid w:val="1F48EAA1"/>
    <w:multiLevelType w:val="hybridMultilevel"/>
    <w:lvl w:ilvl="0">
      <w:lvlJc w:val="left"/>
      <w:lvlText w:val="•"/>
      <w:numFmt w:val="bullet"/>
      <w:start w:val="1"/>
    </w:lvl>
  </w:abstractNum>
  <w:abstractNum w:abstractNumId="43">
    <w:nsid w:val="1381823A"/>
    <w:multiLevelType w:val="hybridMultilevel"/>
    <w:lvl w:ilvl="0">
      <w:lvlJc w:val="left"/>
      <w:lvlText w:val="•"/>
      <w:numFmt w:val="bullet"/>
      <w:start w:val="1"/>
    </w:lvl>
  </w:abstractNum>
  <w:abstractNum w:abstractNumId="44">
    <w:nsid w:val="5DB70AE5"/>
    <w:multiLevelType w:val="hybridMultilevel"/>
    <w:lvl w:ilvl="0">
      <w:lvlJc w:val="left"/>
      <w:lvlText w:val="•"/>
      <w:numFmt w:val="bullet"/>
      <w:start w:val="1"/>
    </w:lvl>
  </w:abstractNum>
  <w:abstractNum w:abstractNumId="45">
    <w:nsid w:val="100F8FCA"/>
    <w:multiLevelType w:val="hybridMultilevel"/>
    <w:lvl w:ilvl="0">
      <w:lvlJc w:val="left"/>
      <w:lvlText w:val="•"/>
      <w:numFmt w:val="bullet"/>
      <w:start w:val="1"/>
    </w:lvl>
  </w:abstractNum>
  <w:abstractNum w:abstractNumId="46">
    <w:nsid w:val="6590700B"/>
    <w:multiLevelType w:val="hybridMultilevel"/>
    <w:lvl w:ilvl="0">
      <w:lvlJc w:val="left"/>
      <w:lvlText w:val="•"/>
      <w:numFmt w:val="bullet"/>
      <w:start w:val="1"/>
    </w:lvl>
  </w:abstractNum>
  <w:abstractNum w:abstractNumId="47">
    <w:nsid w:val="15014ACB"/>
    <w:multiLevelType w:val="hybridMultilevel"/>
    <w:lvl w:ilvl="0">
      <w:lvlJc w:val="left"/>
      <w:lvlText w:val="•"/>
      <w:numFmt w:val="bullet"/>
      <w:start w:val="1"/>
    </w:lvl>
  </w:abstractNum>
  <w:abstractNum w:abstractNumId="48">
    <w:nsid w:val="5F5E7FD0"/>
    <w:multiLevelType w:val="hybridMultilevel"/>
    <w:lvl w:ilvl="0">
      <w:lvlJc w:val="left"/>
      <w:lvlText w:val="•"/>
      <w:numFmt w:val="bullet"/>
      <w:start w:val="1"/>
    </w:lvl>
  </w:abstractNum>
  <w:abstractNum w:abstractNumId="49">
    <w:nsid w:val="98A3148"/>
    <w:multiLevelType w:val="hybridMultilevel"/>
    <w:lvl w:ilvl="0">
      <w:lvlJc w:val="left"/>
      <w:lvlText w:val="•"/>
      <w:numFmt w:val="bullet"/>
      <w:start w:val="1"/>
    </w:lvl>
  </w:abstractNum>
  <w:abstractNum w:abstractNumId="50">
    <w:nsid w:val="799D0247"/>
    <w:multiLevelType w:val="hybridMultilevel"/>
    <w:lvl w:ilvl="0">
      <w:lvlJc w:val="left"/>
      <w:lvlText w:val="•"/>
      <w:numFmt w:val="bullet"/>
      <w:start w:val="1"/>
    </w:lvl>
  </w:abstractNum>
  <w:abstractNum w:abstractNumId="51">
    <w:nsid w:val="6B94764"/>
    <w:multiLevelType w:val="hybridMultilevel"/>
    <w:lvl w:ilvl="0">
      <w:lvlJc w:val="left"/>
      <w:lvlText w:val="(%1)"/>
      <w:numFmt w:val="decimal"/>
      <w:start w:val="1"/>
    </w:lvl>
  </w:abstractNum>
  <w:abstractNum w:abstractNumId="52">
    <w:nsid w:val="42C296BD"/>
    <w:multiLevelType w:val="hybridMultilevel"/>
    <w:lvl w:ilvl="0">
      <w:lvlJc w:val="left"/>
      <w:lvlText w:val="•"/>
      <w:numFmt w:val="bullet"/>
      <w:start w:val="1"/>
    </w:lvl>
  </w:abstractNum>
  <w:abstractNum w:abstractNumId="53">
    <w:nsid w:val="168E121F"/>
    <w:multiLevelType w:val="hybridMultilevel"/>
    <w:lvl w:ilvl="0">
      <w:lvlJc w:val="left"/>
      <w:lvlText w:val="•"/>
      <w:numFmt w:val="bullet"/>
      <w:start w:val="1"/>
    </w:lvl>
  </w:abstractNum>
  <w:abstractNum w:abstractNumId="54">
    <w:nsid w:val="1EBA5D23"/>
    <w:multiLevelType w:val="hybridMultilevel"/>
    <w:lvl w:ilvl="0">
      <w:lvlJc w:val="left"/>
      <w:lvlText w:val="•"/>
      <w:numFmt w:val="bullet"/>
      <w:start w:val="1"/>
    </w:lvl>
  </w:abstractNum>
  <w:abstractNum w:abstractNumId="55">
    <w:nsid w:val="661E3F1E"/>
    <w:multiLevelType w:val="hybridMultilevel"/>
    <w:lvl w:ilvl="0">
      <w:lvlJc w:val="left"/>
      <w:lvlText w:val="(%1)"/>
      <w:numFmt w:val="decimal"/>
      <w:start w:val="1"/>
    </w:lvl>
  </w:abstractNum>
  <w:abstractNum w:abstractNumId="56">
    <w:nsid w:val="5DC79EA8"/>
    <w:multiLevelType w:val="hybridMultilevel"/>
    <w:lvl w:ilvl="0">
      <w:lvlJc w:val="left"/>
      <w:lvlText w:val="*"/>
      <w:numFmt w:val="bullet"/>
      <w:start w:val="1"/>
    </w:lvl>
  </w:abstractNum>
  <w:abstractNum w:abstractNumId="57">
    <w:nsid w:val="540A471C"/>
    <w:multiLevelType w:val="hybridMultilevel"/>
    <w:lvl w:ilvl="0">
      <w:lvlJc w:val="left"/>
      <w:lvlText w:val="(%1)"/>
      <w:numFmt w:val="upperLetter"/>
      <w:start w:val="1"/>
    </w:lvl>
  </w:abstractNum>
  <w:abstractNum w:abstractNumId="58">
    <w:nsid w:val="7BD3EE7B"/>
    <w:multiLevelType w:val="hybridMultilevel"/>
    <w:lvl w:ilvl="0">
      <w:lvlJc w:val="left"/>
      <w:lvlText w:val="(%1)"/>
      <w:numFmt w:val="lowerRoman"/>
      <w:start w:val="2"/>
    </w:lvl>
  </w:abstractNum>
  <w:abstractNum w:abstractNumId="59">
    <w:nsid w:val="51D9C564"/>
    <w:multiLevelType w:val="hybridMultilevel"/>
    <w:lvl w:ilvl="0">
      <w:lvlJc w:val="left"/>
      <w:lvlText w:val="(%1)"/>
      <w:numFmt w:val="lowerRoman"/>
      <w:start w:val="1"/>
    </w:lvl>
  </w:abstractNum>
  <w:abstractNum w:abstractNumId="60">
    <w:nsid w:val="613EFDC5"/>
    <w:multiLevelType w:val="hybridMultilevel"/>
    <w:lvl w:ilvl="0">
      <w:lvlJc w:val="left"/>
      <w:lvlText w:val="•"/>
      <w:numFmt w:val="bullet"/>
      <w:start w:val="1"/>
    </w:lvl>
  </w:abstractNum>
  <w:abstractNum w:abstractNumId="61">
    <w:nsid w:val="BF72B14"/>
    <w:multiLevelType w:val="hybridMultilevel"/>
    <w:lvl w:ilvl="0">
      <w:lvlJc w:val="left"/>
      <w:lvlText w:val="(%1)"/>
      <w:numFmt w:val="upperLetter"/>
      <w:start w:val="1"/>
    </w:lvl>
  </w:abstractNum>
  <w:abstractNum w:abstractNumId="62">
    <w:nsid w:val="11447B73"/>
    <w:multiLevelType w:val="hybridMultilevel"/>
    <w:lvl w:ilvl="0">
      <w:lvlJc w:val="left"/>
      <w:lvlText w:val="•"/>
      <w:numFmt w:val="bullet"/>
      <w:start w:val="1"/>
    </w:lvl>
  </w:abstractNum>
  <w:abstractNum w:abstractNumId="63">
    <w:nsid w:val="42963E5A"/>
    <w:multiLevelType w:val="hybridMultilevel"/>
    <w:lvl w:ilvl="0">
      <w:lvlJc w:val="left"/>
      <w:lvlText w:val="•"/>
      <w:numFmt w:val="bullet"/>
      <w:start w:val="1"/>
    </w:lvl>
  </w:abstractNum>
  <w:abstractNum w:abstractNumId="64">
    <w:nsid w:val="A0382C5"/>
    <w:multiLevelType w:val="hybridMultilevel"/>
    <w:lvl w:ilvl="0">
      <w:lvlJc w:val="left"/>
      <w:lvlText w:val="•"/>
      <w:numFmt w:val="bullet"/>
      <w:start w:val="1"/>
    </w:lvl>
    <w:lvl w:ilvl="1">
      <w:lvlJc w:val="left"/>
      <w:lvlText w:val="(%2)"/>
      <w:numFmt w:val="lowerLetter"/>
      <w:start w:val="35"/>
    </w:lvl>
  </w:abstractNum>
  <w:abstractNum w:abstractNumId="65">
    <w:nsid w:val="8F2B15E"/>
    <w:multiLevelType w:val="hybridMultilevel"/>
    <w:lvl w:ilvl="0">
      <w:lvlJc w:val="left"/>
      <w:lvlText w:val="•"/>
      <w:numFmt w:val="bullet"/>
      <w:start w:val="1"/>
    </w:lvl>
    <w:lvl w:ilvl="1">
      <w:lvlJc w:val="left"/>
      <w:lvlText w:val="(%2)"/>
      <w:numFmt w:val="lowerLetter"/>
      <w:start w:val="25"/>
    </w:lvl>
  </w:abstractNum>
  <w:abstractNum w:abstractNumId="66">
    <w:nsid w:val="1A32234B"/>
    <w:multiLevelType w:val="hybridMultilevel"/>
    <w:lvl w:ilvl="0">
      <w:lvlJc w:val="left"/>
      <w:lvlText w:val="•"/>
      <w:numFmt w:val="bullet"/>
      <w:start w:val="1"/>
    </w:lvl>
  </w:abstractNum>
  <w:abstractNum w:abstractNumId="67">
    <w:nsid w:val="3B0FD379"/>
    <w:multiLevelType w:val="hybridMultilevel"/>
    <w:lvl w:ilvl="0">
      <w:lvlJc w:val="left"/>
      <w:lvlText w:val="•"/>
      <w:numFmt w:val="bullet"/>
      <w:start w:val="1"/>
    </w:lvl>
  </w:abstractNum>
  <w:abstractNum w:abstractNumId="68">
    <w:nsid w:val="68EB2F63"/>
    <w:multiLevelType w:val="hybridMultilevel"/>
    <w:lvl w:ilvl="0">
      <w:lvlJc w:val="left"/>
      <w:lvlText w:val="•"/>
      <w:numFmt w:val="bullet"/>
      <w:start w:val="1"/>
    </w:lvl>
  </w:abstractNum>
  <w:abstractNum w:abstractNumId="69">
    <w:nsid w:val="4962813B"/>
    <w:multiLevelType w:val="hybridMultilevel"/>
    <w:lvl w:ilvl="0">
      <w:lvlJc w:val="left"/>
      <w:lvlText w:val="(%1)"/>
      <w:numFmt w:val="lowerRoman"/>
      <w:start w:val="2"/>
    </w:lvl>
  </w:abstractNum>
  <w:abstractNum w:abstractNumId="70">
    <w:nsid w:val="60B6DF70"/>
    <w:multiLevelType w:val="hybridMultilevel"/>
    <w:lvl w:ilvl="0">
      <w:lvlJc w:val="left"/>
      <w:lvlText w:val="•"/>
      <w:numFmt w:val="bullet"/>
      <w:start w:val="1"/>
    </w:lvl>
  </w:abstractNum>
  <w:abstractNum w:abstractNumId="71">
    <w:nsid w:val="6A5EE64"/>
    <w:multiLevelType w:val="hybridMultilevel"/>
    <w:lvl w:ilvl="0">
      <w:lvlJc w:val="left"/>
      <w:lvlText w:val="•"/>
      <w:numFmt w:val="bullet"/>
      <w:start w:val="1"/>
    </w:lvl>
  </w:abstractNum>
  <w:abstractNum w:abstractNumId="72">
    <w:nsid w:val="14330624"/>
    <w:multiLevelType w:val="hybridMultilevel"/>
    <w:lvl w:ilvl="0">
      <w:lvlJc w:val="left"/>
      <w:lvlText w:val="•"/>
      <w:numFmt w:val="bullet"/>
      <w:start w:val="1"/>
    </w:lvl>
  </w:abstractNum>
  <w:abstractNum w:abstractNumId="73">
    <w:nsid w:val="7FFFCA11"/>
    <w:multiLevelType w:val="hybridMultilevel"/>
    <w:lvl w:ilvl="0">
      <w:lvlJc w:val="left"/>
      <w:lvlText w:val="•"/>
      <w:numFmt w:val="bullet"/>
      <w:start w:val="1"/>
    </w:lvl>
  </w:abstractNum>
  <w:abstractNum w:abstractNumId="74">
    <w:nsid w:val="1A27709E"/>
    <w:multiLevelType w:val="hybridMultilevel"/>
    <w:lvl w:ilvl="0">
      <w:lvlJc w:val="left"/>
      <w:lvlText w:val="(%1)"/>
      <w:numFmt w:val="lowerRoman"/>
      <w:start w:val="2"/>
    </w:lvl>
  </w:abstractNum>
  <w:abstractNum w:abstractNumId="75">
    <w:nsid w:val="71EA1109"/>
    <w:multiLevelType w:val="hybridMultilevel"/>
    <w:lvl w:ilvl="0">
      <w:lvlJc w:val="left"/>
      <w:lvlText w:val="\emdash "/>
      <w:numFmt w:val="bullet"/>
      <w:start w:val="1"/>
    </w:lvl>
  </w:abstractNum>
  <w:abstractNum w:abstractNumId="76">
    <w:nsid w:val="100F59DC"/>
    <w:multiLevelType w:val="hybridMultilevel"/>
    <w:lvl w:ilvl="0">
      <w:lvlJc w:val="left"/>
      <w:lvlText w:val="•"/>
      <w:numFmt w:val="bullet"/>
      <w:start w:val="1"/>
    </w:lvl>
  </w:abstractNum>
  <w:abstractNum w:abstractNumId="77">
    <w:nsid w:val="7FB7E0AA"/>
    <w:multiLevelType w:val="hybridMultilevel"/>
    <w:lvl w:ilvl="0">
      <w:lvlJc w:val="left"/>
      <w:lvlText w:val="•"/>
      <w:numFmt w:val="bullet"/>
      <w:start w:val="1"/>
    </w:lvl>
  </w:abstractNum>
  <w:abstractNum w:abstractNumId="78">
    <w:nsid w:val="6EB5BD4"/>
    <w:multiLevelType w:val="hybridMultilevel"/>
    <w:lvl w:ilvl="0">
      <w:lvlJc w:val="left"/>
      <w:lvlText w:val="\emdash "/>
      <w:numFmt w:val="bullet"/>
      <w:start w:val="1"/>
    </w:lvl>
  </w:abstractNum>
  <w:abstractNum w:abstractNumId="79">
    <w:nsid w:val="6F6DD9AC"/>
    <w:multiLevelType w:val="hybridMultilevel"/>
    <w:lvl w:ilvl="0">
      <w:lvlJc w:val="left"/>
      <w:lvlText w:val="(%1)"/>
      <w:numFmt w:val="decimal"/>
      <w:start w:val="1"/>
    </w:lvl>
  </w:abstractNum>
  <w:abstractNum w:abstractNumId="80">
    <w:nsid w:val="94211F2"/>
    <w:multiLevelType w:val="hybridMultilevel"/>
    <w:lvl w:ilvl="0">
      <w:lvlJc w:val="left"/>
      <w:lvlText w:val="(%1)"/>
      <w:numFmt w:val="upperLetter"/>
      <w:start w:val="2"/>
    </w:lvl>
  </w:abstractNum>
  <w:abstractNum w:abstractNumId="81">
    <w:nsid w:val="885E1B"/>
    <w:multiLevelType w:val="hybridMultilevel"/>
    <w:lvl w:ilvl="0">
      <w:lvlJc w:val="left"/>
      <w:lvlText w:val="(%1)"/>
      <w:numFmt w:val="lowerLetter"/>
      <w:start w:val="1"/>
    </w:lvl>
  </w:abstractNum>
  <w:abstractNum w:abstractNumId="82">
    <w:nsid w:val="76272110"/>
    <w:multiLevelType w:val="hybridMultilevel"/>
    <w:lvl w:ilvl="0">
      <w:lvlJc w:val="left"/>
      <w:lvlText w:val="(%1)"/>
      <w:numFmt w:val="lowerLetter"/>
      <w:start w:val="1"/>
    </w:lvl>
  </w:abstractNum>
  <w:abstractNum w:abstractNumId="83">
    <w:nsid w:val="4C04A8AF"/>
    <w:multiLevelType w:val="hybridMultilevel"/>
    <w:lvl w:ilvl="0">
      <w:lvlJc w:val="left"/>
      <w:lvlText w:val="(%1)"/>
      <w:numFmt w:val="lowerRoman"/>
      <w:start w:val="2"/>
    </w:lvl>
  </w:abstractNum>
  <w:abstractNum w:abstractNumId="84">
    <w:nsid w:val="1716703B"/>
    <w:multiLevelType w:val="hybridMultilevel"/>
    <w:lvl w:ilvl="0">
      <w:lvlJc w:val="left"/>
      <w:lvlText w:val="(%1)"/>
      <w:numFmt w:val="lowerRoman"/>
      <w:start w:val="3"/>
    </w:lvl>
  </w:abstractNum>
  <w:abstractNum w:abstractNumId="85">
    <w:nsid w:val="14E17E33"/>
    <w:multiLevelType w:val="hybridMultilevel"/>
    <w:lvl w:ilvl="0">
      <w:lvlJc w:val="left"/>
      <w:lvlText w:val="(%1)"/>
      <w:numFmt w:val="lowerLetter"/>
      <w:start w:val="1"/>
    </w:lvl>
    <w:lvl w:ilvl="1">
      <w:lvlJc w:val="left"/>
      <w:lvlText w:val="•"/>
      <w:numFmt w:val="bullet"/>
      <w:start w:val="1"/>
    </w:lvl>
  </w:abstractNum>
  <w:abstractNum w:abstractNumId="86">
    <w:nsid w:val="3222E7CD"/>
    <w:multiLevelType w:val="hybridMultilevel"/>
    <w:lvl w:ilvl="0">
      <w:lvlJc w:val="left"/>
      <w:lvlText w:val="(%1)"/>
      <w:numFmt w:val="decimal"/>
      <w:start w:val="1"/>
    </w:lvl>
  </w:abstractNum>
  <w:abstractNum w:abstractNumId="87">
    <w:nsid w:val="74DE0EE3"/>
    <w:multiLevelType w:val="hybridMultilevel"/>
    <w:lvl w:ilvl="0">
      <w:lvlJc w:val="left"/>
      <w:lvlText w:val="(%1)"/>
      <w:numFmt w:val="decimal"/>
      <w:start w:val="1"/>
    </w:lvl>
  </w:abstractNum>
  <w:abstractNum w:abstractNumId="88">
    <w:nsid w:val="68EBC550"/>
    <w:multiLevelType w:val="hybridMultilevel"/>
    <w:lvl w:ilvl="0">
      <w:lvlJc w:val="left"/>
      <w:lvlText w:val="(%1)"/>
      <w:numFmt w:val="decimal"/>
      <w:start w:val="1"/>
    </w:lvl>
  </w:abstractNum>
  <w:abstractNum w:abstractNumId="89">
    <w:nsid w:val="2DF6D648"/>
    <w:multiLevelType w:val="hybridMultilevel"/>
    <w:lvl w:ilvl="0">
      <w:lvlJc w:val="left"/>
      <w:lvlText w:val="•"/>
      <w:numFmt w:val="bullet"/>
      <w:start w:val="1"/>
    </w:lvl>
  </w:abstractNum>
  <w:abstractNum w:abstractNumId="90">
    <w:nsid w:val="46B7D44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2020-09-03T15:30:42Z</dcterms:created>
  <dcterms:modified xsi:type="dcterms:W3CDTF">2020-09-03T15:30:42Z</dcterms:modified>
</cp:coreProperties>
</file>