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CM Holdings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Casdin and Keith Meister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 and Communications)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18978W109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00" w:hanging="56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-310515</wp:posOffset>
            </wp:positionV>
            <wp:extent cx="6626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341" w:lineRule="auto"/>
        <w:tabs>
          <w:tab w:leader="none" w:pos="2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800" w:right="453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r>
        <w:rPr>
          <w:rFonts w:ascii="Arial" w:cs="Arial" w:eastAsia="Arial" w:hAnsi="Arial"/>
          <w:sz w:val="16"/>
          <w:szCs w:val="16"/>
          <w:color w:val="auto"/>
        </w:rPr>
        <w:t>(3)</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7.4%</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00" w:hanging="563"/>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C-LSH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-310515</wp:posOffset>
            </wp:positionV>
            <wp:extent cx="6626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341" w:lineRule="auto"/>
        <w:tabs>
          <w:tab w:leader="none" w:pos="2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800" w:right="453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r>
        <w:rPr>
          <w:rFonts w:ascii="Arial" w:cs="Arial" w:eastAsia="Arial" w:hAnsi="Arial"/>
          <w:sz w:val="16"/>
          <w:szCs w:val="16"/>
          <w:color w:val="auto"/>
        </w:rPr>
        <w:t xml:space="preserve"> (3)</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7.4%</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00" w:hanging="56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M-LSH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-310515</wp:posOffset>
            </wp:positionV>
            <wp:extent cx="6626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341" w:lineRule="auto"/>
        <w:tabs>
          <w:tab w:leader="none" w:pos="2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800" w:right="453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r>
        <w:rPr>
          <w:rFonts w:ascii="Arial" w:cs="Arial" w:eastAsia="Arial" w:hAnsi="Arial"/>
          <w:sz w:val="16"/>
          <w:szCs w:val="16"/>
          <w:color w:val="auto"/>
        </w:rPr>
        <w:t xml:space="preserve"> (3)</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7.4%</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00" w:hanging="56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342"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-48895</wp:posOffset>
            </wp:positionV>
            <wp:extent cx="6626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-340360</wp:posOffset>
            </wp:positionV>
            <wp:extent cx="6626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341" w:lineRule="auto"/>
        <w:tabs>
          <w:tab w:leader="none" w:pos="2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Shared Dispositive Power 22,730,419 (1)(2)(3)(4)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800" w:right="453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22,730,419 (1)(2)(3)(4)</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r>
        <w:rPr>
          <w:rFonts w:ascii="Arial" w:cs="Arial" w:eastAsia="Arial" w:hAnsi="Arial"/>
          <w:sz w:val="16"/>
          <w:szCs w:val="16"/>
          <w:color w:val="auto"/>
        </w:rPr>
        <w:t xml:space="preserve"> (3)</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9.5%</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00" w:hanging="56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342"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-48895</wp:posOffset>
            </wp:positionV>
            <wp:extent cx="6626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-340360</wp:posOffset>
            </wp:positionV>
            <wp:extent cx="6626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4,500,000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4,500,000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341" w:lineRule="auto"/>
        <w:tabs>
          <w:tab w:leader="none" w:pos="2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800" w:right="4539" w:hanging="563"/>
        <w:spacing w:after="0" w:line="27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22,230,419 (1)(2)(3)(5)</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r>
        <w:rPr>
          <w:rFonts w:ascii="Arial" w:cs="Arial" w:eastAsia="Arial" w:hAnsi="Arial"/>
          <w:sz w:val="16"/>
          <w:szCs w:val="16"/>
          <w:color w:val="auto"/>
        </w:rPr>
        <w:t xml:space="preserve"> (3)</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9.2%</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6" w:name="page7"/>
    <w:bookmarkEnd w:id="6"/>
    <w:p>
      <w:pPr>
        <w:ind w:left="328" w:hanging="328"/>
        <w:spacing w:after="0"/>
        <w:tabs>
          <w:tab w:leader="none" w:pos="3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10,993,750 shares of Class A common stock of Sema4 Holdings Corp. (the “Issuer”), par value $0.0001 per share (“Common Stock”).</w:t>
      </w:r>
    </w:p>
    <w:p>
      <w:pPr>
        <w:spacing w:after="0" w:line="248" w:lineRule="exact"/>
        <w:rPr>
          <w:rFonts w:ascii="Arial" w:cs="Arial" w:eastAsia="Arial" w:hAnsi="Arial"/>
          <w:sz w:val="16"/>
          <w:szCs w:val="16"/>
          <w:color w:val="auto"/>
        </w:rPr>
      </w:pPr>
    </w:p>
    <w:p>
      <w:pPr>
        <w:jc w:val="both"/>
        <w:ind w:left="328" w:hanging="328"/>
        <w:spacing w:after="0" w:line="259"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6,736,669 shares of Common Stock issuable upon the exercise of 6,736,669 private placement warrants of the Issuer. Each private placement warrant is exercisable to purchase one share of Common Stock at a price of $11.50 per share, subject to adjustment, becomes exercisable September 3, 2021, as described in the July 2, 2021 Definitive Proxy Statement filed with the U.S. Securities Exchange Commission (File No. 001-39482) (the “Definitive Proxy Statement”).</w:t>
      </w:r>
    </w:p>
    <w:p>
      <w:pPr>
        <w:spacing w:after="0" w:line="186" w:lineRule="exact"/>
        <w:rPr>
          <w:rFonts w:ascii="Arial" w:cs="Arial" w:eastAsia="Arial" w:hAnsi="Arial"/>
          <w:sz w:val="18"/>
          <w:szCs w:val="18"/>
          <w:color w:val="auto"/>
        </w:rPr>
      </w:pPr>
    </w:p>
    <w:p>
      <w:pPr>
        <w:jc w:val="both"/>
        <w:ind w:left="328" w:hanging="328"/>
        <w:spacing w:after="0" w:line="257"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w:t>
      </w:r>
    </w:p>
    <w:p>
      <w:pPr>
        <w:spacing w:after="0" w:line="187"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Casdin Partners Master Fund, LP is the record holder of the shares reported herein.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w:t>
      </w:r>
    </w:p>
    <w:p>
      <w:pPr>
        <w:spacing w:after="0" w:line="186"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reflected as beneficially owned by Mr. Meister consist of 4,500,000 shares of Common Stock. Such securities are owned by investment funds advised by Corvex Management, L.P., and may be deemed to be indirectly beneficially owned by Keith Meister by virtue of Mr. Meister’s control of the general partner of Corvex Management, L.P.</w:t>
      </w:r>
    </w:p>
    <w:p>
      <w:pPr>
        <w:spacing w:after="0" w:line="40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SCHEDULE 13D</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Security and Issuer.</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Class A common stock of Sema4 Holdings Corp.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33 Ludlow Street,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North Tower, 8th floor,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Stamford, CT 06902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statement is filed on behalf of each of the following person (collectively, the “Reporting Persons”):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CMLS Holdings LLC (“CMLS Holdings”), the holder of record of the Common Stock (as defined below) reported herein;</w:t>
      </w:r>
    </w:p>
    <w:p>
      <w:pPr>
        <w:spacing w:after="0" w:line="9" w:lineRule="exact"/>
        <w:rPr>
          <w:sz w:val="20"/>
          <w:szCs w:val="20"/>
          <w:color w:val="auto"/>
        </w:rPr>
      </w:pPr>
    </w:p>
    <w:p>
      <w:pPr>
        <w:ind w:left="1540" w:hanging="196"/>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C-LSH LLC (“C-LSH”), member of CMLS Holdings;</w:t>
      </w:r>
    </w:p>
    <w:p>
      <w:pPr>
        <w:spacing w:after="0" w:line="9" w:lineRule="exact"/>
        <w:rPr>
          <w:rFonts w:ascii="Arial" w:cs="Arial" w:eastAsia="Arial" w:hAnsi="Arial"/>
          <w:sz w:val="18"/>
          <w:szCs w:val="18"/>
          <w:color w:val="auto"/>
        </w:rPr>
      </w:pPr>
    </w:p>
    <w:p>
      <w:pPr>
        <w:ind w:left="1580" w:hanging="236"/>
        <w:spacing w:after="0"/>
        <w:tabs>
          <w:tab w:leader="none" w:pos="1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M-LSH LLC (“M-LSH”), member of CMLS Holdings;</w:t>
      </w:r>
    </w:p>
    <w:p>
      <w:pPr>
        <w:spacing w:after="0" w:line="9" w:lineRule="exact"/>
        <w:rPr>
          <w:rFonts w:ascii="Arial" w:cs="Arial" w:eastAsia="Arial" w:hAnsi="Arial"/>
          <w:sz w:val="18"/>
          <w:szCs w:val="18"/>
          <w:color w:val="auto"/>
        </w:rPr>
      </w:pPr>
    </w:p>
    <w:p>
      <w:pPr>
        <w:ind w:left="1660" w:hanging="316"/>
        <w:spacing w:after="0" w:line="250" w:lineRule="auto"/>
        <w:tabs>
          <w:tab w:leader="none" w:pos="1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Eli Casdin (“Mr. Casdin”), a director of the Issuer, member of the Board of Managers of CMLS Holdings and the managing member of C-LSH LLC; and</w:t>
      </w:r>
    </w:p>
    <w:p>
      <w:pPr>
        <w:ind w:left="1520" w:hanging="176"/>
        <w:spacing w:after="0"/>
        <w:tabs>
          <w:tab w:leader="none" w:pos="1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Keith A. Meister (“Mr. Meister”), member of the Board of Managers of CMLS Holdings and the managing member of M-LSH LLC.</w:t>
      </w:r>
    </w:p>
    <w:p>
      <w:pPr>
        <w:spacing w:after="0" w:line="222"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foregoing persons are hereinafter sometimes collectively referred to as the “Reporting Persons.” Any disclosures herein with respect to a Reporting Persons is made by such Reporting Persons.</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filing of this statement should not be construed in and of itself as an admission by any Reporting Person as to beneficial ownership of the securities reported herein.</w:t>
      </w:r>
    </w:p>
    <w:p>
      <w:pPr>
        <w:spacing w:after="0" w:line="170"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The Reporting Persons have entered into a joint filing agreement, filed as Exhibit A to this Schedule 13D, pursuant to which the Reporting Persons agreed to file the Schedule 13D and any amendments thereto in accordance with the provisions of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-10795</wp:posOffset>
            </wp:positionV>
            <wp:extent cx="64890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1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w:t>
      </w:r>
    </w:p>
    <w:p>
      <w:pPr>
        <w:spacing w:after="0" w:line="229"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address of the principal business office of each of CMLS Holdings, M-LSH, Mr. Meister is c/o Corvex Management LP, 667 Madison Avenue, New York, NY 10065.</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address of the principal business office of each of C-LSH and Mr. Casdin is c/o Casdin Capital, LLC, 1260 Avenue of the Americas, Suite 2600, 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64890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17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color w:val="auto"/>
        </w:rPr>
        <w:t>The principal occupation of Mr. Casdin is serving as Chief Investment Officer of Casdin Capital, LLC.</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principal occupation of Mr. Meister is serving as Managing Partner of Corvex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4890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28" w:lineRule="exact"/>
        <w:rPr>
          <w:sz w:val="20"/>
          <w:szCs w:val="20"/>
          <w:color w:val="auto"/>
        </w:rPr>
      </w:pPr>
    </w:p>
    <w:p>
      <w:pPr>
        <w:jc w:val="both"/>
        <w:ind w:left="1020" w:hanging="1011"/>
        <w:spacing w:after="0" w:line="277" w:lineRule="auto"/>
        <w:tabs>
          <w:tab w:leader="none" w:pos="100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color w:val="auto"/>
        </w:rPr>
        <w:t>None of the Reporting Persons have been convicted in any criminal proceeding (excluding traffic violations or similar misdemeanors)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-16510</wp:posOffset>
            </wp:positionV>
            <wp:extent cx="64890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177" w:lineRule="exact"/>
        <w:rPr>
          <w:sz w:val="20"/>
          <w:szCs w:val="20"/>
          <w:color w:val="auto"/>
        </w:rPr>
      </w:pPr>
    </w:p>
    <w:p>
      <w:pPr>
        <w:jc w:val="both"/>
        <w:ind w:left="1020" w:hanging="1011"/>
        <w:spacing w:after="0" w:line="286" w:lineRule="auto"/>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color w:val="auto"/>
        </w:rPr>
        <w:t>None of the Reporting Persons has been a party to any civil proceeding of a judicial or administrative body of competent jurisdiction resulting in any judgment, decree or final order enjoining them from engaging in future violations of, or prohibiting or mandating activities subject to, federal or state securities laws or finding any violation with respect to such laws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1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2(f)</w:t>
      </w:r>
      <w:r>
        <w:rPr>
          <w:sz w:val="20"/>
          <w:szCs w:val="20"/>
          <w:color w:val="auto"/>
        </w:rPr>
        <w:tab/>
      </w:r>
      <w:r>
        <w:rPr>
          <w:rFonts w:ascii="Arial" w:cs="Arial" w:eastAsia="Arial" w:hAnsi="Arial"/>
          <w:sz w:val="16"/>
          <w:szCs w:val="16"/>
          <w:color w:val="auto"/>
        </w:rPr>
        <w:t>Citizenship.</w:t>
      </w: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CMLS Holdings is a Delaware limited liability company;</w:t>
      </w:r>
    </w:p>
    <w:p>
      <w:pPr>
        <w:spacing w:after="0" w:line="23" w:lineRule="exact"/>
        <w:rPr>
          <w:sz w:val="20"/>
          <w:szCs w:val="20"/>
          <w:color w:val="auto"/>
        </w:rPr>
      </w:pPr>
    </w:p>
    <w:p>
      <w:pPr>
        <w:ind w:left="1540" w:hanging="196"/>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C-LSH is a Delaware limited liability company;</w:t>
      </w:r>
    </w:p>
    <w:p>
      <w:pPr>
        <w:spacing w:after="0" w:line="9" w:lineRule="exact"/>
        <w:rPr>
          <w:rFonts w:ascii="Arial" w:cs="Arial" w:eastAsia="Arial" w:hAnsi="Arial"/>
          <w:sz w:val="18"/>
          <w:szCs w:val="18"/>
          <w:color w:val="auto"/>
        </w:rPr>
      </w:pPr>
    </w:p>
    <w:p>
      <w:pPr>
        <w:ind w:left="1580" w:hanging="236"/>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M-LSH is a Delaware limited liability company;</w:t>
      </w:r>
    </w:p>
    <w:p>
      <w:pPr>
        <w:spacing w:after="0" w:line="9" w:lineRule="exact"/>
        <w:rPr>
          <w:rFonts w:ascii="Arial" w:cs="Arial" w:eastAsia="Arial" w:hAnsi="Arial"/>
          <w:sz w:val="18"/>
          <w:szCs w:val="18"/>
          <w:color w:val="auto"/>
        </w:rPr>
      </w:pPr>
    </w:p>
    <w:p>
      <w:pPr>
        <w:ind w:left="1560" w:hanging="216"/>
        <w:spacing w:after="0"/>
        <w:tabs>
          <w:tab w:leader="none" w:pos="1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Casdin is a citizen of the United States of America; and</w:t>
      </w:r>
    </w:p>
    <w:p>
      <w:pPr>
        <w:spacing w:after="0" w:line="9" w:lineRule="exact"/>
        <w:rPr>
          <w:rFonts w:ascii="Arial" w:cs="Arial" w:eastAsia="Arial" w:hAnsi="Arial"/>
          <w:sz w:val="18"/>
          <w:szCs w:val="18"/>
          <w:color w:val="auto"/>
        </w:rPr>
      </w:pPr>
    </w:p>
    <w:p>
      <w:pPr>
        <w:ind w:left="1520" w:hanging="176"/>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Meister is a citizen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of Common Stock reported on this Statement were acquired in connection with the consummation of the transactions contemplated by the Agreement and Plan of Merger, dated February 9, 2021, by and among CM Life Sciences, Inc. (“CMLS” or the “Company”), S-IV Sub, Inc. (“Merger Sub”) and Mount Sinai Genomics, Inc. d/b/a Sema4 (“Sema4”) (as amended from time to time, the “Merger Agreement”). Pursuant to the terms of the Merger Agreement, Merger Sub merged with and into Sema4 with Sema4 surviving the merger as a wholly owned subsidiary of CMLS, which was renamed “Sema4 Holdings Corp” (the “Merger” and together with the other transactions contemplated by the Merger Agreement, the “Business Combination”).</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shares of Common Stock reported on this Statement were acquired for investment purposes. The Reporting Persons expect to evaluate on an ongoing basis the Company’s financial condition and prospects and their respective interests in, and intentions with respect to, the Company and their respective investments in the securities of the Company, which review may be based on various factors, including the Company’s business and financial condition, results of operations and prospects, general economic and industry conditions, the securities markets in general and those for the Company’s securities in particular, as well as other developments and other investment opportunities. Accordingly, each Reporting Person reserves the right to change its intentions, as it deems appropriate. In particular, each Reporting Person may, subject to any restrictions on the Reporting Persons pursuant to the agreements entered into in connection with the Business Combination, at any time and from time to time, in the open market, in privately negotiated transactions or otherwise, increase its holdings in the Company or dispose of all or a portion of the securities of the Company that such Reporting Person now owns or may hereafter acquire, including sales pursuant to the exercise of the registration rights provided for in the Registration Rights Agreement (as defined below). In addition, the Reporting Persons may engage in discussions with management and members of the Company’s board of directors regarding the Company, including, but not limited to, the Company’s business and financial condition, results of operations and prospects.</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acquisition of the Common Stock included in this Statement, CMLS and the Reporting Persons entered into an Amended and Restated Registration Rights Agreement, dated as of February 9, 2021, by and among CMLS, certain Reporting Persons and the other parties thereto (the “Registration Rights Agreement”) setting forth, among other things, certain rights and restrictions pertaining to the ownership and disposition of Common Stock by such Reporting Persons and their controlled affiliates. A copy of the Registration Rights Agreement is included as Exhibit 1 to this Statement.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set forth above in this Item 4, the Reporting Persons have no present plans or proposals that relate to, or that would result in, any of the actions specified in clauses (a) through (j) of Item 4 of Schedule 13D under the Act. Mr. Casdin currently serves as a director of the issuer and, in connection with that role, may consider such activities referred to in clauses (a) through (j). The Reporting Persons do, however, reserve the right in the future to adopt such plans or proposals subject to compliance with applicable regulatory requirements.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the Securities of the Issuer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set forth in the facing pages of this Schedule 13D with respect to the shared beneficial ownership of Common Stock by the Reporting Persons is incorporated by reference into this Item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2, 3 and 4 is hereby incorporated by reference into this Item 5.</w:t>
      </w:r>
    </w:p>
    <w:p>
      <w:pPr>
        <w:spacing w:after="0" w:line="225" w:lineRule="exact"/>
        <w:rPr>
          <w:sz w:val="20"/>
          <w:szCs w:val="20"/>
          <w:color w:val="auto"/>
        </w:rPr>
      </w:pPr>
    </w:p>
    <w:p>
      <w:pPr>
        <w:jc w:val="both"/>
        <w:ind w:firstLine="8"/>
        <w:spacing w:after="0" w:line="257" w:lineRule="auto"/>
        <w:tabs>
          <w:tab w:leader="none" w:pos="2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number of shares of Common Stock and the percentage of total outstanding shares of Common Stock beneficially owned by the Reporting Persons is set forth below. References to percentage ownerships of shares of Common Stock in this Statement are based upon the 240,190,402 shares of Common Stock stated to be outstanding as of July 22, 2021 in the Company’s Form 8-K filed with the Securities and Exchange Commission on July 28, 2021. The filing of this Statement shall not be construed as an admission that a Reporting Person beneficially owns those shares held by any other Reporting Person.</w:t>
      </w:r>
    </w:p>
    <w:p>
      <w:pPr>
        <w:spacing w:after="0" w:line="187" w:lineRule="exact"/>
        <w:rPr>
          <w:rFonts w:ascii="Arial" w:cs="Arial" w:eastAsia="Arial" w:hAnsi="Arial"/>
          <w:sz w:val="18"/>
          <w:szCs w:val="18"/>
          <w:color w:val="auto"/>
        </w:rPr>
      </w:pPr>
    </w:p>
    <w:p>
      <w:pPr>
        <w:jc w:val="both"/>
        <w:ind w:firstLine="8"/>
        <w:spacing w:after="0" w:line="263" w:lineRule="auto"/>
        <w:tabs>
          <w:tab w:leader="none" w:pos="2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 Casdin has the sole power to vote or to direct the vote, sole power to dispose or to direct the disposition of 5,000,000 of the Common Stock reported in (a) above. Keith Meister has the sole power to vote or to direct the vote, sole power to dispose or to direct the disposition of 4,500,000 of the Common Stock reported in (a) above.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with respect to the shares of Common Stock acquired in connection with the Business Combination, the Reporting Persons have not effected any transactions in the Company’s Common Stock during the past 60 days.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Common Stock beneficially owned by the Reporting Persons.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Items 2, 3, 4 and 5 is hereby incorporated by reference into this Item 6. The Reporting Persons are party to the following contracts, agreements and understanding with respect to securities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execution of the Business Combination Agreement, the Company, CMLS Holdings and certain other parties thereto (collectively, the “rights holders”) entered into the Amended and Restated Registration Rights Agreement which amends and restates in its entirety the existing registration rights agreement, dated September 1, 2020, by and between CMLS and the parties thereto. Pursuant to the terms of the Amended and Restated Registration Rights Agreement, CMLS is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CMLS is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CMLS that it will not review such registration statement, subject to extension in the event that the registration is subject comments from the SEC.</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CMLS file a registration statement on Form S-1 or Form S-3 to register certain shares of CMLS Class A common stock held by such rights holders. The Amended and Restated Registration Rights Agreement will also provide the rights holders with “piggy-back” registration rights, subject to certain requirements and customary conditions. The Company will bear the expenses incurred in connection with the filing of any such registration statement.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description does not purport to be complete, and is qualified in its entirety by reference to the Registration Rights Agreement, a copy of which is filed as Exhibit 1 to this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Insider Letter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CMLS, CMLS Holdings and each insider and CMLS Holdings entered into the Insider Letter providing for a lock-up in relation to CMLS Holdings’s Class B common stock (as defined in the Insider Letter) of CMLS or any shares of Class A common stock (as defined in the Insider Letter) of CMLS until the earlier of (a) one year after the completion of CMLS’s initial business combination and (b) subsequent to the business combination, (x) if the closing price of the Class A common stock equals or exceeds $12.00 per share (as adjusted for stock splits, stock dividends, reorganizations, recapitalizations, and the like) for any 20 trading days within any 30-day trading day period commencing at least 150 days after CMLS’s initial business combination or (y) the date following the completion of CMLS’s initial business combination on which CMLS completes a liquidation, merger, capital stock exchange, reorganization or other similar transaction that results in all of CMLS’s stockholders having the right to exchange their shares of Class A common stock for cash securities or other property. CMLS Holdings and each insider also agreed not to transfer any private placement warrants (or any share of Class A common stock issued or issuable upon the exercise of the private placement warrants), until 30 days after the completion of a business combination.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description does not purport to be complete, and is qualified in its entirety by reference to the Insider Letter, a copy of which is filed as Exhibit 2 to this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229"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1140" w:hanging="691"/>
        <w:spacing w:after="0"/>
        <w:tabs>
          <w:tab w:leader="none" w:pos="1140" w:val="left"/>
        </w:tabs>
        <w:numPr>
          <w:ilvl w:val="0"/>
          <w:numId w:val="46"/>
        </w:numPr>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Joint Filing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140" w:hanging="671"/>
        <w:spacing w:after="0" w:line="308" w:lineRule="auto"/>
        <w:tabs>
          <w:tab w:leader="none" w:pos="1140" w:val="left"/>
        </w:tabs>
        <w:numPr>
          <w:ilvl w:val="0"/>
          <w:numId w:val="47"/>
        </w:numPr>
        <w:rPr>
          <w:rFonts w:ascii="Arial" w:cs="Arial" w:eastAsia="Arial" w:hAnsi="Arial"/>
          <w:sz w:val="17"/>
          <w:szCs w:val="17"/>
          <w:u w:val="single" w:color="auto"/>
          <w:color w:val="0000EE"/>
        </w:rPr>
      </w:pPr>
      <w:hyperlink r:id="rId127">
        <w:r>
          <w:rPr>
            <w:rFonts w:ascii="Arial" w:cs="Arial" w:eastAsia="Arial" w:hAnsi="Arial"/>
            <w:sz w:val="17"/>
            <w:szCs w:val="17"/>
            <w:u w:val="single" w:color="auto"/>
            <w:color w:val="0000EE"/>
          </w:rPr>
          <w:t>Amended and Restated Registration Rights Agreement, dated as of July 22, 2021, by and among CMLS, CMLS Holdings LLC and certain</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other parties (incorporated by reference as Exhibit 10.2 of the Company’s Form 8-K, filed with the SEC on July 28, 2021).</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6" w:lineRule="exact"/>
        <w:rPr>
          <w:rFonts w:ascii="Arial" w:cs="Arial" w:eastAsia="Arial" w:hAnsi="Arial"/>
          <w:sz w:val="17"/>
          <w:szCs w:val="17"/>
          <w:color w:val="auto"/>
        </w:rPr>
      </w:pPr>
    </w:p>
    <w:p>
      <w:pPr>
        <w:ind w:left="1140" w:hanging="671"/>
        <w:spacing w:after="0" w:line="277" w:lineRule="auto"/>
        <w:tabs>
          <w:tab w:leader="none" w:pos="1140" w:val="left"/>
        </w:tabs>
        <w:numPr>
          <w:ilvl w:val="0"/>
          <w:numId w:val="48"/>
        </w:numPr>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Letter Agreement, dated as of September 1, 2020, by and among CMLS and CMLS Holdings LLC (incorporated by reference as Exhibit</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10.5 of the Company’s Form 8-K, filed with the SEC on September 4, 2020).</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6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August 2, 2021</w:t>
            </w:r>
          </w:p>
        </w:tc>
        <w:tc>
          <w:tcPr>
            <w:tcW w:w="3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CMLS HOLDINGS LLC</w:t>
            </w:r>
          </w:p>
        </w:tc>
        <w:tc>
          <w:tcPr>
            <w:tcW w:w="0" w:type="dxa"/>
            <w:vAlign w:val="bottom"/>
          </w:tcPr>
          <w:p>
            <w:pPr>
              <w:spacing w:after="0"/>
              <w:rPr>
                <w:sz w:val="1"/>
                <w:szCs w:val="1"/>
                <w:color w:val="auto"/>
              </w:rPr>
            </w:pPr>
          </w:p>
        </w:tc>
      </w:tr>
      <w:tr>
        <w:trPr>
          <w:trHeight w:val="439"/>
        </w:trPr>
        <w:tc>
          <w:tcPr>
            <w:tcW w:w="3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Keith A. Meister</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2, 2021</w:t>
            </w:r>
          </w:p>
        </w:tc>
        <w:tc>
          <w:tcPr>
            <w:tcW w:w="3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C-LSH LLC</w:t>
            </w:r>
          </w:p>
        </w:tc>
        <w:tc>
          <w:tcPr>
            <w:tcW w:w="0" w:type="dxa"/>
            <w:vAlign w:val="bottom"/>
          </w:tcPr>
          <w:p>
            <w:pPr>
              <w:spacing w:after="0"/>
              <w:rPr>
                <w:sz w:val="1"/>
                <w:szCs w:val="1"/>
                <w:color w:val="auto"/>
              </w:rPr>
            </w:pPr>
          </w:p>
        </w:tc>
      </w:tr>
      <w:tr>
        <w:trPr>
          <w:trHeight w:val="439"/>
        </w:trPr>
        <w:tc>
          <w:tcPr>
            <w:tcW w:w="3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Eli Casdin</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2, 2021</w:t>
            </w:r>
          </w:p>
        </w:tc>
        <w:tc>
          <w:tcPr>
            <w:tcW w:w="3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M-LSH LLC</w:t>
            </w:r>
          </w:p>
        </w:tc>
        <w:tc>
          <w:tcPr>
            <w:tcW w:w="0" w:type="dxa"/>
            <w:vAlign w:val="bottom"/>
          </w:tcPr>
          <w:p>
            <w:pPr>
              <w:spacing w:after="0"/>
              <w:rPr>
                <w:sz w:val="1"/>
                <w:szCs w:val="1"/>
                <w:color w:val="auto"/>
              </w:rPr>
            </w:pPr>
          </w:p>
        </w:tc>
      </w:tr>
      <w:tr>
        <w:trPr>
          <w:trHeight w:val="418"/>
        </w:trPr>
        <w:tc>
          <w:tcPr>
            <w:tcW w:w="3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Keith A. Meister</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Keith A. Meister</w:t>
            </w:r>
          </w:p>
        </w:tc>
        <w:tc>
          <w:tcPr>
            <w:tcW w:w="0" w:type="dxa"/>
            <w:vAlign w:val="bottom"/>
          </w:tcPr>
          <w:p>
            <w:pPr>
              <w:spacing w:after="0"/>
              <w:rPr>
                <w:sz w:val="1"/>
                <w:szCs w:val="1"/>
                <w:color w:val="auto"/>
              </w:rPr>
            </w:pPr>
          </w:p>
        </w:tc>
      </w:tr>
      <w:tr>
        <w:trPr>
          <w:trHeight w:val="404"/>
        </w:trPr>
        <w:tc>
          <w:tcPr>
            <w:tcW w:w="3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Date: August 2, 2021</w:t>
            </w:r>
          </w:p>
        </w:tc>
        <w:tc>
          <w:tcPr>
            <w:tcW w:w="322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Casdin</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Eli Casdin</w:t>
            </w:r>
          </w:p>
        </w:tc>
        <w:tc>
          <w:tcPr>
            <w:tcW w:w="0" w:type="dxa"/>
            <w:vAlign w:val="bottom"/>
          </w:tcPr>
          <w:p>
            <w:pPr>
              <w:spacing w:after="0"/>
              <w:rPr>
                <w:sz w:val="1"/>
                <w:szCs w:val="1"/>
                <w:color w:val="auto"/>
              </w:rPr>
            </w:pPr>
          </w:p>
        </w:tc>
      </w:tr>
      <w:tr>
        <w:trPr>
          <w:trHeight w:val="425"/>
        </w:trPr>
        <w:tc>
          <w:tcPr>
            <w:tcW w:w="3540" w:type="dxa"/>
            <w:vAlign w:val="bottom"/>
          </w:tcPr>
          <w:p>
            <w:pPr>
              <w:spacing w:after="0"/>
              <w:rPr>
                <w:sz w:val="20"/>
                <w:szCs w:val="20"/>
                <w:color w:val="auto"/>
              </w:rPr>
            </w:pPr>
            <w:r>
              <w:rPr>
                <w:rFonts w:ascii="Arial" w:cs="Arial" w:eastAsia="Arial" w:hAnsi="Arial"/>
                <w:sz w:val="18"/>
                <w:szCs w:val="18"/>
                <w:color w:val="auto"/>
              </w:rPr>
              <w:t>Date: August 2, 2021</w:t>
            </w:r>
          </w:p>
        </w:tc>
        <w:tc>
          <w:tcPr>
            <w:tcW w:w="322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Keith A. Meister</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Keith A. Meister</w:t>
            </w:r>
          </w:p>
        </w:tc>
        <w:tc>
          <w:tcPr>
            <w:tcW w:w="0" w:type="dxa"/>
            <w:vAlign w:val="bottom"/>
          </w:tcPr>
          <w:p>
            <w:pPr>
              <w:spacing w:after="0"/>
              <w:rPr>
                <w:sz w:val="1"/>
                <w:szCs w:val="1"/>
                <w:color w:val="auto"/>
              </w:rPr>
            </w:pPr>
          </w:p>
        </w:tc>
      </w:tr>
      <w:tr>
        <w:trPr>
          <w:trHeight w:val="641"/>
        </w:trPr>
        <w:tc>
          <w:tcPr>
            <w:tcW w:w="35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580" w:hanging="353"/>
        <w:spacing w:after="0"/>
        <w:tabs>
          <w:tab w:leader="none" w:pos="580" w:val="left"/>
        </w:tabs>
        <w:numPr>
          <w:ilvl w:val="0"/>
          <w:numId w:val="49"/>
        </w:numPr>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Joint Filing Agreement</w:t>
        </w:r>
      </w:hyperlink>
    </w:p>
    <w:p>
      <w:pPr>
        <w:spacing w:after="0" w:line="36" w:lineRule="exact"/>
        <w:rPr>
          <w:sz w:val="20"/>
          <w:szCs w:val="20"/>
          <w:color w:val="auto"/>
        </w:rPr>
      </w:pPr>
    </w:p>
    <w:p>
      <w:pPr>
        <w:ind w:left="580" w:hanging="333"/>
        <w:spacing w:after="0"/>
        <w:tabs>
          <w:tab w:leader="none" w:pos="580" w:val="left"/>
        </w:tabs>
        <w:numPr>
          <w:ilvl w:val="0"/>
          <w:numId w:val="50"/>
        </w:numPr>
        <w:rPr>
          <w:rFonts w:ascii="Arial" w:cs="Arial" w:eastAsia="Arial" w:hAnsi="Arial"/>
          <w:sz w:val="16"/>
          <w:szCs w:val="16"/>
          <w:u w:val="single" w:color="auto"/>
          <w:color w:val="0000EE"/>
        </w:rPr>
      </w:pPr>
      <w:hyperlink r:id="rId127">
        <w:r>
          <w:rPr>
            <w:rFonts w:ascii="Arial" w:cs="Arial" w:eastAsia="Arial" w:hAnsi="Arial"/>
            <w:sz w:val="16"/>
            <w:szCs w:val="16"/>
            <w:u w:val="single" w:color="auto"/>
            <w:color w:val="0000EE"/>
          </w:rPr>
          <w:t>Amended and Restated Registration Rights Agreement, dated as of July 22, 2021, by and among CMLS, CMLS Holdings LLC and certain other</w:t>
        </w:r>
      </w:hyperlink>
    </w:p>
    <w:p>
      <w:pPr>
        <w:spacing w:after="0" w:line="32" w:lineRule="exact"/>
        <w:rPr>
          <w:sz w:val="20"/>
          <w:szCs w:val="20"/>
          <w:color w:val="auto"/>
        </w:rPr>
      </w:pPr>
    </w:p>
    <w:p>
      <w:pPr>
        <w:ind w:left="580"/>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parties (incorporated by reference as Exhibit 10.2 of the Company’s Form 8-K, filed with the SEC on July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80" w:hanging="333"/>
        <w:spacing w:after="0" w:line="260" w:lineRule="auto"/>
        <w:tabs>
          <w:tab w:leader="none" w:pos="580" w:val="left"/>
        </w:tabs>
        <w:numPr>
          <w:ilvl w:val="0"/>
          <w:numId w:val="51"/>
        </w:numPr>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Letter Agreement, dated as of September 1, 2020, by and among CMLS and CMLS Holdings LLC (incorporated by reference as Exhibit 10.5 of the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Company’s Form 8-K, filed with the SEC on September 4, 2020).</w:t>
        </w:r>
      </w:hyperlink>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Date: August 2, 2021</w:t>
            </w:r>
          </w:p>
        </w:tc>
        <w:tc>
          <w:tcPr>
            <w:tcW w:w="4400" w:type="dxa"/>
            <w:vAlign w:val="bottom"/>
            <w:gridSpan w:val="2"/>
          </w:tcPr>
          <w:p>
            <w:pPr>
              <w:spacing w:after="0"/>
              <w:rPr>
                <w:sz w:val="20"/>
                <w:szCs w:val="20"/>
                <w:color w:val="auto"/>
              </w:rPr>
            </w:pPr>
            <w:r>
              <w:rPr>
                <w:rFonts w:ascii="Arial" w:cs="Arial" w:eastAsia="Arial" w:hAnsi="Arial"/>
                <w:sz w:val="18"/>
                <w:szCs w:val="18"/>
                <w:color w:val="auto"/>
              </w:rPr>
              <w:t>CMLS HOLDINGS LLC</w:t>
            </w:r>
          </w:p>
        </w:tc>
      </w:tr>
      <w:tr>
        <w:trPr>
          <w:trHeight w:val="439"/>
        </w:trPr>
        <w:tc>
          <w:tcPr>
            <w:tcW w:w="68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2"/>
        </w:trPr>
        <w:tc>
          <w:tcPr>
            <w:tcW w:w="6840" w:type="dxa"/>
            <w:vAlign w:val="bottom"/>
          </w:tcPr>
          <w:p>
            <w:pPr>
              <w:spacing w:after="0"/>
              <w:rPr>
                <w:sz w:val="17"/>
                <w:szCs w:val="17"/>
                <w:color w:val="auto"/>
              </w:rPr>
            </w:pPr>
          </w:p>
        </w:tc>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Keith A. Meister</w:t>
            </w:r>
          </w:p>
        </w:tc>
      </w:tr>
      <w:tr>
        <w:trPr>
          <w:trHeight w:val="230"/>
        </w:trPr>
        <w:tc>
          <w:tcPr>
            <w:tcW w:w="684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6840" w:type="dxa"/>
            <w:vAlign w:val="bottom"/>
          </w:tcPr>
          <w:p>
            <w:pPr>
              <w:spacing w:after="0"/>
              <w:rPr>
                <w:sz w:val="20"/>
                <w:szCs w:val="20"/>
                <w:color w:val="auto"/>
              </w:rPr>
            </w:pPr>
            <w:r>
              <w:rPr>
                <w:rFonts w:ascii="Arial" w:cs="Arial" w:eastAsia="Arial" w:hAnsi="Arial"/>
                <w:sz w:val="18"/>
                <w:szCs w:val="18"/>
                <w:color w:val="auto"/>
              </w:rPr>
              <w:t>Date: August 2, 2021</w:t>
            </w:r>
          </w:p>
        </w:tc>
        <w:tc>
          <w:tcPr>
            <w:tcW w:w="4400" w:type="dxa"/>
            <w:vAlign w:val="bottom"/>
            <w:gridSpan w:val="2"/>
          </w:tcPr>
          <w:p>
            <w:pPr>
              <w:spacing w:after="0"/>
              <w:rPr>
                <w:sz w:val="20"/>
                <w:szCs w:val="20"/>
                <w:color w:val="auto"/>
              </w:rPr>
            </w:pPr>
            <w:r>
              <w:rPr>
                <w:rFonts w:ascii="Arial" w:cs="Arial" w:eastAsia="Arial" w:hAnsi="Arial"/>
                <w:sz w:val="18"/>
                <w:szCs w:val="18"/>
                <w:color w:val="auto"/>
              </w:rPr>
              <w:t>C-LSH LLC</w:t>
            </w:r>
          </w:p>
        </w:tc>
      </w:tr>
      <w:tr>
        <w:trPr>
          <w:trHeight w:val="439"/>
        </w:trPr>
        <w:tc>
          <w:tcPr>
            <w:tcW w:w="68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2"/>
        </w:trPr>
        <w:tc>
          <w:tcPr>
            <w:tcW w:w="6840" w:type="dxa"/>
            <w:vAlign w:val="bottom"/>
          </w:tcPr>
          <w:p>
            <w:pPr>
              <w:spacing w:after="0"/>
              <w:rPr>
                <w:sz w:val="17"/>
                <w:szCs w:val="17"/>
                <w:color w:val="auto"/>
              </w:rPr>
            </w:pPr>
          </w:p>
        </w:tc>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Eli Casdin</w:t>
            </w:r>
          </w:p>
        </w:tc>
      </w:tr>
      <w:tr>
        <w:trPr>
          <w:trHeight w:val="230"/>
        </w:trPr>
        <w:tc>
          <w:tcPr>
            <w:tcW w:w="684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840" w:type="dxa"/>
            <w:vAlign w:val="bottom"/>
          </w:tcPr>
          <w:p>
            <w:pPr>
              <w:spacing w:after="0"/>
              <w:rPr>
                <w:sz w:val="20"/>
                <w:szCs w:val="20"/>
                <w:color w:val="auto"/>
              </w:rPr>
            </w:pPr>
            <w:r>
              <w:rPr>
                <w:rFonts w:ascii="Arial" w:cs="Arial" w:eastAsia="Arial" w:hAnsi="Arial"/>
                <w:sz w:val="18"/>
                <w:szCs w:val="18"/>
                <w:color w:val="auto"/>
              </w:rPr>
              <w:t>Date: August 2, 2021</w:t>
            </w:r>
          </w:p>
        </w:tc>
        <w:tc>
          <w:tcPr>
            <w:tcW w:w="4400" w:type="dxa"/>
            <w:vAlign w:val="bottom"/>
            <w:gridSpan w:val="2"/>
          </w:tcPr>
          <w:p>
            <w:pPr>
              <w:spacing w:after="0"/>
              <w:rPr>
                <w:sz w:val="20"/>
                <w:szCs w:val="20"/>
                <w:color w:val="auto"/>
              </w:rPr>
            </w:pPr>
            <w:r>
              <w:rPr>
                <w:rFonts w:ascii="Arial" w:cs="Arial" w:eastAsia="Arial" w:hAnsi="Arial"/>
                <w:sz w:val="18"/>
                <w:szCs w:val="18"/>
                <w:color w:val="auto"/>
              </w:rPr>
              <w:t>M-LSH LLC</w:t>
            </w:r>
          </w:p>
        </w:tc>
      </w:tr>
      <w:tr>
        <w:trPr>
          <w:trHeight w:val="439"/>
        </w:trPr>
        <w:tc>
          <w:tcPr>
            <w:tcW w:w="68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2"/>
        </w:trPr>
        <w:tc>
          <w:tcPr>
            <w:tcW w:w="6840" w:type="dxa"/>
            <w:vAlign w:val="bottom"/>
          </w:tcPr>
          <w:p>
            <w:pPr>
              <w:spacing w:after="0"/>
              <w:rPr>
                <w:sz w:val="17"/>
                <w:szCs w:val="17"/>
                <w:color w:val="auto"/>
              </w:rPr>
            </w:pPr>
          </w:p>
        </w:tc>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Keith A. Meister</w:t>
            </w:r>
          </w:p>
        </w:tc>
      </w:tr>
      <w:tr>
        <w:trPr>
          <w:trHeight w:val="230"/>
        </w:trPr>
        <w:tc>
          <w:tcPr>
            <w:tcW w:w="684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6840" w:type="dxa"/>
            <w:vAlign w:val="bottom"/>
          </w:tcPr>
          <w:p>
            <w:pPr>
              <w:spacing w:after="0"/>
              <w:rPr>
                <w:sz w:val="20"/>
                <w:szCs w:val="20"/>
                <w:color w:val="auto"/>
              </w:rPr>
            </w:pPr>
            <w:r>
              <w:rPr>
                <w:rFonts w:ascii="Arial" w:cs="Arial" w:eastAsia="Arial" w:hAnsi="Arial"/>
                <w:sz w:val="18"/>
                <w:szCs w:val="18"/>
                <w:color w:val="auto"/>
              </w:rPr>
              <w:t>Date: August 2, 2021</w:t>
            </w:r>
          </w:p>
        </w:tc>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Casdin</w:t>
            </w:r>
          </w:p>
        </w:tc>
      </w:tr>
      <w:tr>
        <w:trPr>
          <w:trHeight w:val="230"/>
        </w:trPr>
        <w:tc>
          <w:tcPr>
            <w:tcW w:w="684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Eli Casdin</w:t>
            </w:r>
          </w:p>
        </w:tc>
      </w:tr>
      <w:tr>
        <w:trPr>
          <w:trHeight w:val="425"/>
        </w:trPr>
        <w:tc>
          <w:tcPr>
            <w:tcW w:w="6840" w:type="dxa"/>
            <w:vAlign w:val="bottom"/>
          </w:tcPr>
          <w:p>
            <w:pPr>
              <w:spacing w:after="0"/>
              <w:rPr>
                <w:sz w:val="20"/>
                <w:szCs w:val="20"/>
                <w:color w:val="auto"/>
              </w:rPr>
            </w:pPr>
            <w:r>
              <w:rPr>
                <w:rFonts w:ascii="Arial" w:cs="Arial" w:eastAsia="Arial" w:hAnsi="Arial"/>
                <w:sz w:val="18"/>
                <w:szCs w:val="18"/>
                <w:color w:val="auto"/>
              </w:rPr>
              <w:t>Date: August 2, 2021</w:t>
            </w:r>
          </w:p>
        </w:tc>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Keith A. Meister</w:t>
            </w:r>
          </w:p>
        </w:tc>
      </w:tr>
      <w:tr>
        <w:trPr>
          <w:trHeight w:val="230"/>
        </w:trPr>
        <w:tc>
          <w:tcPr>
            <w:tcW w:w="684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Keith A. Meister</w:t>
            </w:r>
          </w:p>
        </w:tc>
      </w:tr>
    </w:tbl>
    <w:p>
      <w:pPr>
        <w:spacing w:after="0" w:line="1" w:lineRule="exact"/>
        <w:rPr>
          <w:sz w:val="20"/>
          <w:szCs w:val="20"/>
          <w:color w:val="auto"/>
        </w:rPr>
      </w:pP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bullet"/>
      <w:start w:val="1"/>
    </w:lvl>
  </w:abstractNum>
  <w:abstractNum w:abstractNumId="2">
    <w:nsid w:val="54E49EB4"/>
    <w:multiLevelType w:val="hybridMultilevel"/>
    <w:lvl w:ilvl="0">
      <w:lvlJc w:val="left"/>
      <w:lvlText w:val="2"/>
      <w:numFmt w:val="bullet"/>
      <w:start w:val="1"/>
    </w:lvl>
    <w:lvl w:ilvl="1">
      <w:lvlJc w:val="left"/>
      <w:lvlText w:val="(%2)"/>
      <w:numFmt w:val="lowerLetter"/>
      <w:start w:val="1"/>
    </w:lvl>
  </w:abstractNum>
  <w:abstractNum w:abstractNumId="3">
    <w:nsid w:val="71F32454"/>
    <w:multiLevelType w:val="hybridMultilevel"/>
    <w:lvl w:ilvl="0">
      <w:lvlJc w:val="left"/>
      <w:lvlText w:val="3"/>
      <w:numFmt w:val="bullet"/>
      <w:start w:val="1"/>
    </w:lvl>
  </w:abstractNum>
  <w:abstractNum w:abstractNumId="4">
    <w:nsid w:val="2CA88611"/>
    <w:multiLevelType w:val="hybridMultilevel"/>
    <w:lvl w:ilvl="0">
      <w:lvlJc w:val="left"/>
      <w:lvlText w:val="4"/>
      <w:numFmt w:val="bullet"/>
      <w:start w:val="1"/>
    </w:lvl>
  </w:abstractNum>
  <w:abstractNum w:abstractNumId="5">
    <w:nsid w:val="836C40E"/>
    <w:multiLevelType w:val="hybridMultilevel"/>
    <w:lvl w:ilvl="0">
      <w:lvlJc w:val="left"/>
      <w:lvlText w:val="5"/>
      <w:numFmt w:val="bullet"/>
      <w:start w:val="1"/>
    </w:lvl>
  </w:abstractNum>
  <w:abstractNum w:abstractNumId="6">
    <w:nsid w:val="2901D82"/>
    <w:multiLevelType w:val="hybridMultilevel"/>
    <w:lvl w:ilvl="0">
      <w:lvlJc w:val="left"/>
      <w:lvlText w:val="6"/>
      <w:numFmt w:val="bullet"/>
      <w:start w:val="1"/>
    </w:lvl>
  </w:abstractNum>
  <w:abstractNum w:abstractNumId="7">
    <w:nsid w:val="3A95F874"/>
    <w:multiLevelType w:val="hybridMultilevel"/>
    <w:lvl w:ilvl="0">
      <w:lvlJc w:val="left"/>
      <w:lvlText w:val="%1"/>
      <w:numFmt w:val="decimal"/>
      <w:start w:val="10"/>
    </w:lvl>
  </w:abstractNum>
  <w:abstractNum w:abstractNumId="8">
    <w:nsid w:val="8138641"/>
    <w:multiLevelType w:val="hybridMultilevel"/>
    <w:lvl w:ilvl="0">
      <w:lvlJc w:val="left"/>
      <w:lvlText w:val="%1"/>
      <w:numFmt w:val="decimal"/>
      <w:start w:val="11"/>
    </w:lvl>
  </w:abstractNum>
  <w:abstractNum w:abstractNumId="9">
    <w:nsid w:val="1E7FF521"/>
    <w:multiLevelType w:val="hybridMultilevel"/>
    <w:lvl w:ilvl="0">
      <w:lvlJc w:val="left"/>
      <w:lvlText w:val="1"/>
      <w:numFmt w:val="bullet"/>
      <w:start w:val="1"/>
    </w:lvl>
  </w:abstractNum>
  <w:abstractNum w:abstractNumId="10">
    <w:nsid w:val="7C3DBD3D"/>
    <w:multiLevelType w:val="hybridMultilevel"/>
    <w:lvl w:ilvl="0">
      <w:lvlJc w:val="left"/>
      <w:lvlText w:val="2"/>
      <w:numFmt w:val="bullet"/>
      <w:start w:val="1"/>
    </w:lvl>
    <w:lvl w:ilvl="1">
      <w:lvlJc w:val="left"/>
      <w:lvlText w:val="(%2)"/>
      <w:numFmt w:val="lowerLetter"/>
      <w:start w:val="1"/>
    </w:lvl>
  </w:abstractNum>
  <w:abstractNum w:abstractNumId="11">
    <w:nsid w:val="737B8DDC"/>
    <w:multiLevelType w:val="hybridMultilevel"/>
    <w:lvl w:ilvl="0">
      <w:lvlJc w:val="left"/>
      <w:lvlText w:val="3"/>
      <w:numFmt w:val="bullet"/>
      <w:start w:val="1"/>
    </w:lvl>
  </w:abstractNum>
  <w:abstractNum w:abstractNumId="12">
    <w:nsid w:val="6CEAF087"/>
    <w:multiLevelType w:val="hybridMultilevel"/>
    <w:lvl w:ilvl="0">
      <w:lvlJc w:val="left"/>
      <w:lvlText w:val="4"/>
      <w:numFmt w:val="bullet"/>
      <w:start w:val="1"/>
    </w:lvl>
  </w:abstractNum>
  <w:abstractNum w:abstractNumId="13">
    <w:nsid w:val="22221A70"/>
    <w:multiLevelType w:val="hybridMultilevel"/>
    <w:lvl w:ilvl="0">
      <w:lvlJc w:val="left"/>
      <w:lvlText w:val="5"/>
      <w:numFmt w:val="bullet"/>
      <w:start w:val="1"/>
    </w:lvl>
  </w:abstractNum>
  <w:abstractNum w:abstractNumId="14">
    <w:nsid w:val="4516DDE9"/>
    <w:multiLevelType w:val="hybridMultilevel"/>
    <w:lvl w:ilvl="0">
      <w:lvlJc w:val="left"/>
      <w:lvlText w:val="6"/>
      <w:numFmt w:val="bullet"/>
      <w:start w:val="1"/>
    </w:lvl>
  </w:abstractNum>
  <w:abstractNum w:abstractNumId="15">
    <w:nsid w:val="3006C83E"/>
    <w:multiLevelType w:val="hybridMultilevel"/>
    <w:lvl w:ilvl="0">
      <w:lvlJc w:val="left"/>
      <w:lvlText w:val="%1"/>
      <w:numFmt w:val="decimal"/>
      <w:start w:val="10"/>
    </w:lvl>
  </w:abstractNum>
  <w:abstractNum w:abstractNumId="16">
    <w:nsid w:val="614FD4A1"/>
    <w:multiLevelType w:val="hybridMultilevel"/>
    <w:lvl w:ilvl="0">
      <w:lvlJc w:val="left"/>
      <w:lvlText w:val="%1"/>
      <w:numFmt w:val="decimal"/>
      <w:start w:val="11"/>
    </w:lvl>
  </w:abstractNum>
  <w:abstractNum w:abstractNumId="17">
    <w:nsid w:val="419AC241"/>
    <w:multiLevelType w:val="hybridMultilevel"/>
    <w:lvl w:ilvl="0">
      <w:lvlJc w:val="left"/>
      <w:lvlText w:val="1"/>
      <w:numFmt w:val="bullet"/>
      <w:start w:val="1"/>
    </w:lvl>
  </w:abstractNum>
  <w:abstractNum w:abstractNumId="18">
    <w:nsid w:val="5577F8E1"/>
    <w:multiLevelType w:val="hybridMultilevel"/>
    <w:lvl w:ilvl="0">
      <w:lvlJc w:val="left"/>
      <w:lvlText w:val="2"/>
      <w:numFmt w:val="bullet"/>
      <w:start w:val="1"/>
    </w:lvl>
    <w:lvl w:ilvl="1">
      <w:lvlJc w:val="left"/>
      <w:lvlText w:val="(%2)"/>
      <w:numFmt w:val="lowerLetter"/>
      <w:start w:val="1"/>
    </w:lvl>
  </w:abstractNum>
  <w:abstractNum w:abstractNumId="19">
    <w:nsid w:val="440BADFC"/>
    <w:multiLevelType w:val="hybridMultilevel"/>
    <w:lvl w:ilvl="0">
      <w:lvlJc w:val="left"/>
      <w:lvlText w:val="3"/>
      <w:numFmt w:val="bullet"/>
      <w:start w:val="1"/>
    </w:lvl>
  </w:abstractNum>
  <w:abstractNum w:abstractNumId="20">
    <w:nsid w:val="5072367"/>
    <w:multiLevelType w:val="hybridMultilevel"/>
    <w:lvl w:ilvl="0">
      <w:lvlJc w:val="left"/>
      <w:lvlText w:val="4"/>
      <w:numFmt w:val="bullet"/>
      <w:start w:val="1"/>
    </w:lvl>
  </w:abstractNum>
  <w:abstractNum w:abstractNumId="21">
    <w:nsid w:val="3804823E"/>
    <w:multiLevelType w:val="hybridMultilevel"/>
    <w:lvl w:ilvl="0">
      <w:lvlJc w:val="left"/>
      <w:lvlText w:val="5"/>
      <w:numFmt w:val="bullet"/>
      <w:start w:val="1"/>
    </w:lvl>
  </w:abstractNum>
  <w:abstractNum w:abstractNumId="22">
    <w:nsid w:val="77465F01"/>
    <w:multiLevelType w:val="hybridMultilevel"/>
    <w:lvl w:ilvl="0">
      <w:lvlJc w:val="left"/>
      <w:lvlText w:val="6"/>
      <w:numFmt w:val="bullet"/>
      <w:start w:val="1"/>
    </w:lvl>
  </w:abstractNum>
  <w:abstractNum w:abstractNumId="23">
    <w:nsid w:val="7724C67E"/>
    <w:multiLevelType w:val="hybridMultilevel"/>
    <w:lvl w:ilvl="0">
      <w:lvlJc w:val="left"/>
      <w:lvlText w:val="%1"/>
      <w:numFmt w:val="decimal"/>
      <w:start w:val="10"/>
    </w:lvl>
  </w:abstractNum>
  <w:abstractNum w:abstractNumId="24">
    <w:nsid w:val="5C482A97"/>
    <w:multiLevelType w:val="hybridMultilevel"/>
    <w:lvl w:ilvl="0">
      <w:lvlJc w:val="left"/>
      <w:lvlText w:val="%1"/>
      <w:numFmt w:val="decimal"/>
      <w:start w:val="11"/>
    </w:lvl>
  </w:abstractNum>
  <w:abstractNum w:abstractNumId="25">
    <w:nsid w:val="2463B9EA"/>
    <w:multiLevelType w:val="hybridMultilevel"/>
    <w:lvl w:ilvl="0">
      <w:lvlJc w:val="left"/>
      <w:lvlText w:val="1"/>
      <w:numFmt w:val="bullet"/>
      <w:start w:val="1"/>
    </w:lvl>
  </w:abstractNum>
  <w:abstractNum w:abstractNumId="26">
    <w:nsid w:val="5E884ADC"/>
    <w:multiLevelType w:val="hybridMultilevel"/>
    <w:lvl w:ilvl="0">
      <w:lvlJc w:val="left"/>
      <w:lvlText w:val="2"/>
      <w:numFmt w:val="bullet"/>
      <w:start w:val="1"/>
    </w:lvl>
    <w:lvl w:ilvl="1">
      <w:lvlJc w:val="left"/>
      <w:lvlText w:val="(%2)"/>
      <w:numFmt w:val="lowerLetter"/>
      <w:start w:val="1"/>
    </w:lvl>
  </w:abstractNum>
  <w:abstractNum w:abstractNumId="27">
    <w:nsid w:val="51EAD36B"/>
    <w:multiLevelType w:val="hybridMultilevel"/>
    <w:lvl w:ilvl="0">
      <w:lvlJc w:val="left"/>
      <w:lvlText w:val="3"/>
      <w:numFmt w:val="bullet"/>
      <w:start w:val="1"/>
    </w:lvl>
  </w:abstractNum>
  <w:abstractNum w:abstractNumId="28">
    <w:nsid w:val="2D517796"/>
    <w:multiLevelType w:val="hybridMultilevel"/>
    <w:lvl w:ilvl="0">
      <w:lvlJc w:val="left"/>
      <w:lvlText w:val="4"/>
      <w:numFmt w:val="bullet"/>
      <w:start w:val="1"/>
    </w:lvl>
  </w:abstractNum>
  <w:abstractNum w:abstractNumId="29">
    <w:nsid w:val="580BD78F"/>
    <w:multiLevelType w:val="hybridMultilevel"/>
    <w:lvl w:ilvl="0">
      <w:lvlJc w:val="left"/>
      <w:lvlText w:val="5"/>
      <w:numFmt w:val="bullet"/>
      <w:start w:val="1"/>
    </w:lvl>
  </w:abstractNum>
  <w:abstractNum w:abstractNumId="30">
    <w:nsid w:val="153EA438"/>
    <w:multiLevelType w:val="hybridMultilevel"/>
    <w:lvl w:ilvl="0">
      <w:lvlJc w:val="left"/>
      <w:lvlText w:val="6"/>
      <w:numFmt w:val="bullet"/>
      <w:start w:val="1"/>
    </w:lvl>
  </w:abstractNum>
  <w:abstractNum w:abstractNumId="31">
    <w:nsid w:val="3855585C"/>
    <w:multiLevelType w:val="hybridMultilevel"/>
    <w:lvl w:ilvl="0">
      <w:lvlJc w:val="left"/>
      <w:lvlText w:val="%1"/>
      <w:numFmt w:val="decimal"/>
      <w:start w:val="10"/>
    </w:lvl>
  </w:abstractNum>
  <w:abstractNum w:abstractNumId="32">
    <w:nsid w:val="70A64E2A"/>
    <w:multiLevelType w:val="hybridMultilevel"/>
    <w:lvl w:ilvl="0">
      <w:lvlJc w:val="left"/>
      <w:lvlText w:val="%1"/>
      <w:numFmt w:val="decimal"/>
      <w:start w:val="11"/>
    </w:lvl>
  </w:abstractNum>
  <w:abstractNum w:abstractNumId="33">
    <w:nsid w:val="6A2342EC"/>
    <w:multiLevelType w:val="hybridMultilevel"/>
    <w:lvl w:ilvl="0">
      <w:lvlJc w:val="left"/>
      <w:lvlText w:val="1"/>
      <w:numFmt w:val="bullet"/>
      <w:start w:val="1"/>
    </w:lvl>
  </w:abstractNum>
  <w:abstractNum w:abstractNumId="34">
    <w:nsid w:val="2A487CB0"/>
    <w:multiLevelType w:val="hybridMultilevel"/>
    <w:lvl w:ilvl="0">
      <w:lvlJc w:val="left"/>
      <w:lvlText w:val="2"/>
      <w:numFmt w:val="bullet"/>
      <w:start w:val="1"/>
    </w:lvl>
    <w:lvl w:ilvl="1">
      <w:lvlJc w:val="left"/>
      <w:lvlText w:val="(%2)"/>
      <w:numFmt w:val="lowerLetter"/>
      <w:start w:val="1"/>
    </w:lvl>
  </w:abstractNum>
  <w:abstractNum w:abstractNumId="35">
    <w:nsid w:val="1D4ED43B"/>
    <w:multiLevelType w:val="hybridMultilevel"/>
    <w:lvl w:ilvl="0">
      <w:lvlJc w:val="left"/>
      <w:lvlText w:val="3"/>
      <w:numFmt w:val="bullet"/>
      <w:start w:val="1"/>
    </w:lvl>
  </w:abstractNum>
  <w:abstractNum w:abstractNumId="36">
    <w:nsid w:val="725A06FB"/>
    <w:multiLevelType w:val="hybridMultilevel"/>
    <w:lvl w:ilvl="0">
      <w:lvlJc w:val="left"/>
      <w:lvlText w:val="4"/>
      <w:numFmt w:val="bullet"/>
      <w:start w:val="1"/>
    </w:lvl>
  </w:abstractNum>
  <w:abstractNum w:abstractNumId="37">
    <w:nsid w:val="2CD89A32"/>
    <w:multiLevelType w:val="hybridMultilevel"/>
    <w:lvl w:ilvl="0">
      <w:lvlJc w:val="left"/>
      <w:lvlText w:val="5"/>
      <w:numFmt w:val="bullet"/>
      <w:start w:val="1"/>
    </w:lvl>
  </w:abstractNum>
  <w:abstractNum w:abstractNumId="38">
    <w:nsid w:val="57E4CCAF"/>
    <w:multiLevelType w:val="hybridMultilevel"/>
    <w:lvl w:ilvl="0">
      <w:lvlJc w:val="left"/>
      <w:lvlText w:val="6"/>
      <w:numFmt w:val="bullet"/>
      <w:start w:val="1"/>
    </w:lvl>
  </w:abstractNum>
  <w:abstractNum w:abstractNumId="39">
    <w:nsid w:val="7A6D8D3C"/>
    <w:multiLevelType w:val="hybridMultilevel"/>
    <w:lvl w:ilvl="0">
      <w:lvlJc w:val="left"/>
      <w:lvlText w:val="%1"/>
      <w:numFmt w:val="decimal"/>
      <w:start w:val="10"/>
    </w:lvl>
  </w:abstractNum>
  <w:abstractNum w:abstractNumId="40">
    <w:nsid w:val="4B588F54"/>
    <w:multiLevelType w:val="hybridMultilevel"/>
    <w:lvl w:ilvl="0">
      <w:lvlJc w:val="left"/>
      <w:lvlText w:val="%1"/>
      <w:numFmt w:val="decimal"/>
      <w:start w:val="1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Roman"/>
      <w:start w:val="2"/>
    </w:lvl>
  </w:abstractNum>
  <w:abstractNum w:abstractNumId="43">
    <w:nsid w:val="38437FDB"/>
    <w:multiLevelType w:val="hybridMultilevel"/>
    <w:lvl w:ilvl="0">
      <w:lvlJc w:val="left"/>
      <w:lvlText w:val="%1."/>
      <w:numFmt w:val="lowerRoman"/>
      <w:start w:val="2"/>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A"/>
      <w:numFmt w:val="bullet"/>
      <w:start w:val="1"/>
    </w:lvl>
  </w:abstractNum>
  <w:abstractNum w:abstractNumId="46">
    <w:nsid w:val="684A481A"/>
    <w:multiLevelType w:val="hybridMultilevel"/>
    <w:lvl w:ilvl="0">
      <w:lvlJc w:val="left"/>
      <w:lvlText w:val="1"/>
      <w:numFmt w:val="bullet"/>
      <w:start w:val="1"/>
    </w:lvl>
  </w:abstractNum>
  <w:abstractNum w:abstractNumId="47">
    <w:nsid w:val="579478FE"/>
    <w:multiLevelType w:val="hybridMultilevel"/>
    <w:lvl w:ilvl="0">
      <w:lvlJc w:val="left"/>
      <w:lvlText w:val="2"/>
      <w:numFmt w:val="bullet"/>
      <w:start w:val="1"/>
    </w:lvl>
  </w:abstractNum>
  <w:abstractNum w:abstractNumId="48">
    <w:nsid w:val="749ABB43"/>
    <w:multiLevelType w:val="hybridMultilevel"/>
    <w:lvl w:ilvl="0">
      <w:lvlJc w:val="left"/>
      <w:lvlText w:val="A"/>
      <w:numFmt w:val="bullet"/>
      <w:start w:val="1"/>
    </w:lvl>
  </w:abstractNum>
  <w:abstractNum w:abstractNumId="49">
    <w:nsid w:val="3DC240FB"/>
    <w:multiLevelType w:val="hybridMultilevel"/>
    <w:lvl w:ilvl="0">
      <w:lvlJc w:val="left"/>
      <w:lvlText w:val="1"/>
      <w:numFmt w:val="bullet"/>
      <w:start w:val="1"/>
    </w:lvl>
  </w:abstractNum>
  <w:abstractNum w:abstractNumId="50">
    <w:nsid w:val="1BA026F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8"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27" Type="http://schemas.openxmlformats.org/officeDocument/2006/relationships/hyperlink" Target="http://www.sec.gov/Archives/edgar/data/1818331/000162828021014760/exhibit102-super8xk.htm" TargetMode="External"/><Relationship Id="rId129" Type="http://schemas.openxmlformats.org/officeDocument/2006/relationships/hyperlink" Target="http://www.sec.gov/Archives/edgar/data/1818331/000121390020025454/ea126481ex10-5_cmli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2021-08-02T16:08:44Z</dcterms:created>
  <dcterms:modified xsi:type="dcterms:W3CDTF">2021-08-02T16:08:44Z</dcterms:modified>
</cp:coreProperties>
</file>