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333-264626</w:t>
      </w:r>
    </w:p>
    <w:p>
      <w:pPr>
        <w:spacing w:after="0" w:line="1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120015</wp:posOffset>
            </wp:positionV>
            <wp:extent cx="19284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160,864,198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53975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07"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This prospectus relates to the offer and sale from time to time by the selling stockholders named in this prospectus (the “Selling Stockholders”) of up to 160,864,198 shares of our Class A common stock, par value $0.0001 per share (“Class A common stock”), consisting of (i) up to 80,000,000 shares of our Class A common stock (the “Stock Consideration Shares”) issued to OPKO Health, Inc. (“OPKO”) as a portion of the consideration for the Acquisition (as defined below), (ii) up to 30,864,198 shares of our Class A common stock (the “Milestone Shares”) that may be issuable to OPKO in connection with the achievement of certain revenue-based milestones for each of the fiscal years ending December 31, 2022 and December 31, 2023 and (iii) up to 50,000,000 shares of our Class A common stock (the “PIPE Shares”) issued in a private placement pursuant to subscription agreements each entered into on January 14, 2022 (the “PIPE Investment”).</w:t>
      </w:r>
    </w:p>
    <w:p>
      <w:pPr>
        <w:spacing w:after="0" w:line="141" w:lineRule="exact"/>
        <w:rPr>
          <w:sz w:val="24"/>
          <w:szCs w:val="24"/>
          <w:color w:val="auto"/>
        </w:rPr>
      </w:pPr>
    </w:p>
    <w:p>
      <w:pPr>
        <w:jc w:val="both"/>
        <w:spacing w:after="0" w:line="268" w:lineRule="auto"/>
        <w:rPr>
          <w:sz w:val="20"/>
          <w:szCs w:val="20"/>
          <w:color w:val="auto"/>
        </w:rPr>
      </w:pPr>
      <w:r>
        <w:rPr>
          <w:rFonts w:ascii="Arial" w:cs="Arial" w:eastAsia="Arial" w:hAnsi="Arial"/>
          <w:sz w:val="17"/>
          <w:szCs w:val="17"/>
          <w:color w:val="auto"/>
        </w:rPr>
        <w:t>On April 29, 2022, we consummated the transactions contemplated by that certain Agreement and Plan of Merger, dated as of January 14, 2022 (as amended, the “Merger Agreement”), by and among us and our wholly-owned subsidiaries, Orion Merger Sub I, Inc. (“Merger Sub I”) and Orion Merger Sub II, LLC (“Merger Sub II” and, together with Merger Sub I, “Merger Subs”), and GeneDx, Inc., a New Jersey corporation and wholly-owned subsidiary of OPKO (“GeneDx”), GeneDx Holding 2, Inc., which held 100% of GeneDx at the Effective Time (as defined below) (“Holdco2”), and OPKO. Pursuant to the terms of the Merger Agreement, we acquired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merged with and into Merger Sub II (the “Second Merger” and, together with the First Merger, the “Mergers”), with Merger Sub II as the surviving company. After giving effect to the Mergers and the other transactions contemplated by the Merger Agreement, GeneDx was converted into a Delaware limited liability company and became our wholly-owned indirect subsidiary. At the closing of the Acquisition, we paid OPKO $150 million of Cash Consideration (as defined herein) and issued to OPKO the Stock Consideration Shares. Concurrently with the closing, we also consummated the PIPE Investment, issuing the PIPE Shares for aggregate gross proceeds of $200 million. We have filed the registration statement to which this prospectus relates to satisfy certain registration rights obligations we have to the Selling Stockholders in respect of the Stock Consideration Shares, the Milestone Shares and the PIPE Shares.</w:t>
      </w:r>
    </w:p>
    <w:p>
      <w:pPr>
        <w:spacing w:after="0" w:line="132" w:lineRule="exact"/>
        <w:rPr>
          <w:sz w:val="24"/>
          <w:szCs w:val="24"/>
          <w:color w:val="auto"/>
        </w:rPr>
      </w:pPr>
    </w:p>
    <w:p>
      <w:pPr>
        <w:jc w:val="both"/>
        <w:spacing w:after="0" w:line="257" w:lineRule="auto"/>
        <w:rPr>
          <w:rFonts w:ascii="Arial" w:cs="Arial" w:eastAsia="Arial" w:hAnsi="Arial"/>
          <w:sz w:val="18"/>
          <w:szCs w:val="18"/>
          <w:i w:val="1"/>
          <w:iCs w:val="1"/>
          <w:color w:val="0000FF"/>
        </w:rPr>
      </w:pPr>
      <w:r>
        <w:rPr>
          <w:rFonts w:ascii="Arial" w:cs="Arial" w:eastAsia="Arial" w:hAnsi="Arial"/>
          <w:sz w:val="18"/>
          <w:szCs w:val="18"/>
          <w:color w:val="auto"/>
        </w:rPr>
        <w:t xml:space="preserve">The Selling Stockholders may offer, sell or distribute all or a portion of the securities hereby registered publicly or through private transactions at prevailing market prices or at negotiated prices. We will not receive any of the proceeds from such sales of the shares of our Class A common stock. We will bear all costs, expenses and fees in connection with the registration of these securities, including with regard to compliance with state securities or “blue sky” laws. </w:t>
      </w:r>
      <w:hyperlink w:anchor="page168">
        <w:r>
          <w:rPr>
            <w:rFonts w:ascii="Arial" w:cs="Arial" w:eastAsia="Arial" w:hAnsi="Arial"/>
            <w:sz w:val="18"/>
            <w:szCs w:val="18"/>
            <w:color w:val="auto"/>
          </w:rPr>
          <w:t>The Selling Stockholders will bear all commissions and discounts, if any, attributable to their sale of shares of our Class A common stock. See “</w:t>
        </w:r>
        <w:r>
          <w:rPr>
            <w:rFonts w:ascii="Arial" w:cs="Arial" w:eastAsia="Arial" w:hAnsi="Arial"/>
            <w:sz w:val="18"/>
            <w:szCs w:val="18"/>
            <w:i w:val="1"/>
            <w:iCs w:val="1"/>
            <w:u w:val="single" w:color="auto"/>
            <w:color w:val="0000FF"/>
          </w:rPr>
          <w:t>Plan of</w:t>
        </w:r>
      </w:hyperlink>
      <w:r>
        <w:rPr>
          <w:rFonts w:ascii="Arial" w:cs="Arial" w:eastAsia="Arial" w:hAnsi="Arial"/>
          <w:sz w:val="18"/>
          <w:szCs w:val="18"/>
          <w:color w:val="auto"/>
        </w:rPr>
        <w:t xml:space="preserve"> </w:t>
      </w:r>
      <w:hyperlink w:anchor="page168">
        <w:r>
          <w:rPr>
            <w:rFonts w:ascii="Arial" w:cs="Arial" w:eastAsia="Arial" w:hAnsi="Arial"/>
            <w:sz w:val="18"/>
            <w:szCs w:val="18"/>
            <w:i w:val="1"/>
            <w:iCs w:val="1"/>
            <w:u w:val="single" w:color="auto"/>
            <w:color w:val="0000FF"/>
          </w:rPr>
          <w:t>Distribution</w:t>
        </w:r>
        <w:r>
          <w:rPr>
            <w:rFonts w:ascii="Arial" w:cs="Arial" w:eastAsia="Arial" w:hAnsi="Arial"/>
            <w:sz w:val="18"/>
            <w:szCs w:val="18"/>
            <w:color w:val="000000"/>
          </w:rPr>
          <w:t>” beginning on page</w:t>
        </w:r>
        <w:r>
          <w:rPr>
            <w:rFonts w:ascii="Arial" w:cs="Arial" w:eastAsia="Arial" w:hAnsi="Arial"/>
            <w:sz w:val="18"/>
            <w:szCs w:val="18"/>
            <w:i w:val="1"/>
            <w:iCs w:val="1"/>
            <w:color w:val="0000FF"/>
          </w:rPr>
          <w:t xml:space="preserve"> </w:t>
        </w:r>
        <w:r>
          <w:rPr>
            <w:rFonts w:ascii="Arial" w:cs="Arial" w:eastAsia="Arial" w:hAnsi="Arial"/>
            <w:sz w:val="18"/>
            <w:szCs w:val="18"/>
            <w:b w:val="1"/>
            <w:bCs w:val="1"/>
            <w:u w:val="single" w:color="auto"/>
            <w:color w:val="0000FF"/>
          </w:rPr>
          <w:t>159</w:t>
        </w:r>
        <w:r>
          <w:rPr>
            <w:rFonts w:ascii="Arial" w:cs="Arial" w:eastAsia="Arial" w:hAnsi="Arial"/>
            <w:sz w:val="18"/>
            <w:szCs w:val="18"/>
            <w:i w:val="1"/>
            <w:iCs w:val="1"/>
            <w:color w:val="0000FF"/>
          </w:rPr>
          <w:t xml:space="preserve"> </w:t>
        </w:r>
        <w:r>
          <w:rPr>
            <w:rFonts w:ascii="Arial" w:cs="Arial" w:eastAsia="Arial" w:hAnsi="Arial"/>
            <w:sz w:val="18"/>
            <w:szCs w:val="18"/>
            <w:color w:val="000000"/>
          </w:rPr>
          <w:t>of this prospectus.</w:t>
        </w:r>
      </w:hyperlink>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Class A common stock and public warrants are listed on the Nasdaq Global Select Market (the “Nasdaq”) under the symbol “SMFR” and “SMFRW,” respectively. On May 10, 2022, the last reported sales price of our Class A common stock was $1.78 per share and the last reported sales price of our public warrants was $0.29 per warrant.</w:t>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16" w:lineRule="exact"/>
        <w:rPr>
          <w:sz w:val="20"/>
          <w:szCs w:val="20"/>
          <w:color w:val="auto"/>
        </w:rPr>
      </w:pPr>
    </w:p>
    <w:p>
      <w:pPr>
        <w:jc w:val="both"/>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securities involves risks. See the section entitled “</w:t>
      </w:r>
      <w:hyperlink w:anchor="page17">
        <w:r>
          <w:rPr>
            <w:rFonts w:ascii="Arial" w:cs="Arial" w:eastAsia="Arial" w:hAnsi="Arial"/>
            <w:sz w:val="18"/>
            <w:szCs w:val="18"/>
            <w:b w:val="1"/>
            <w:bCs w:val="1"/>
            <w:i w:val="1"/>
            <w:iCs w:val="1"/>
            <w:u w:val="single" w:color="auto"/>
            <w:color w:val="0000FF"/>
          </w:rPr>
          <w:t>Risk Factors</w:t>
        </w:r>
      </w:hyperlink>
      <w:r>
        <w:rPr>
          <w:rFonts w:ascii="Arial" w:cs="Arial" w:eastAsia="Arial" w:hAnsi="Arial"/>
          <w:sz w:val="18"/>
          <w:szCs w:val="18"/>
          <w:b w:val="1"/>
          <w:bCs w:val="1"/>
          <w:i w:val="1"/>
          <w:iCs w:val="1"/>
          <w:color w:val="auto"/>
        </w:rPr>
        <w:t xml:space="preserve">” beginning on page </w:t>
      </w:r>
      <w:hyperlink w:anchor="page17">
        <w:r>
          <w:rPr>
            <w:rFonts w:ascii="Arial" w:cs="Arial" w:eastAsia="Arial" w:hAnsi="Arial"/>
            <w:sz w:val="18"/>
            <w:szCs w:val="18"/>
            <w:b w:val="1"/>
            <w:bCs w:val="1"/>
            <w:i w:val="1"/>
            <w:iCs w:val="1"/>
            <w:u w:val="single" w:color="auto"/>
            <w:color w:val="0000FF"/>
          </w:rPr>
          <w:t>8</w:t>
        </w:r>
        <w:r>
          <w:rPr>
            <w:rFonts w:ascii="Arial" w:cs="Arial" w:eastAsia="Arial" w:hAnsi="Arial"/>
            <w:sz w:val="18"/>
            <w:szCs w:val="18"/>
            <w:b w:val="1"/>
            <w:bCs w:val="1"/>
            <w:i w:val="1"/>
            <w:iCs w:val="1"/>
            <w:u w:val="single" w:color="auto"/>
            <w:color w:val="auto"/>
          </w:rPr>
          <w:t xml:space="preserve"> </w:t>
        </w:r>
      </w:hyperlink>
      <w:r>
        <w:rPr>
          <w:rFonts w:ascii="Arial" w:cs="Arial" w:eastAsia="Arial" w:hAnsi="Arial"/>
          <w:sz w:val="18"/>
          <w:szCs w:val="18"/>
          <w:b w:val="1"/>
          <w:bCs w:val="1"/>
          <w:i w:val="1"/>
          <w:iCs w:val="1"/>
          <w:color w:val="auto"/>
        </w:rPr>
        <w:t>of this prospectus to read about factors you should consider before buying our securities.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to which this prospectus relates registers the resale of a substantial number of shares of our Class A common stock by the Selling Stockholders. Sales in the public market of a large number of shares, or the perception in the market that the holders of a large number of shares intend to sell shares, could reduce the market price of our Class A common stock.</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May 11, 2022</w:t>
      </w:r>
    </w:p>
    <w:p>
      <w:pPr>
        <w:sectPr>
          <w:pgSz w:w="11900" w:h="16838" w:orient="portrait"/>
          <w:cols w:equalWidth="0" w:num="1">
            <w:col w:w="11240"/>
          </w:cols>
          <w:pgMar w:left="320" w:top="14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4"/>
        </w:trPr>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01"/>
        </w:trPr>
        <w:tc>
          <w:tcPr>
            <w:tcW w:w="10620" w:type="dxa"/>
            <w:vAlign w:val="bottom"/>
            <w:gridSpan w:val="19"/>
          </w:tcPr>
          <w:p>
            <w:pPr>
              <w:spacing w:after="0" w:line="201" w:lineRule="exact"/>
              <w:rPr>
                <w:rFonts w:ascii="Arial" w:cs="Arial" w:eastAsia="Arial" w:hAnsi="Arial"/>
                <w:sz w:val="18"/>
                <w:szCs w:val="18"/>
                <w:color w:val="0000FF"/>
              </w:rPr>
            </w:pPr>
            <w:hyperlink w:anchor="page3">
              <w:r>
                <w:rPr>
                  <w:rFonts w:ascii="Arial" w:cs="Arial" w:eastAsia="Arial" w:hAnsi="Arial"/>
                  <w:sz w:val="18"/>
                  <w:szCs w:val="18"/>
                  <w:color w:val="0000FF"/>
                </w:rPr>
                <w:t>About This Prospectus</w:t>
              </w:r>
            </w:hyperlink>
          </w:p>
        </w:tc>
        <w:tc>
          <w:tcPr>
            <w:tcW w:w="120" w:type="dxa"/>
            <w:vAlign w:val="bottom"/>
          </w:tcPr>
          <w:p>
            <w:pPr>
              <w:spacing w:after="0"/>
              <w:rPr>
                <w:sz w:val="17"/>
                <w:szCs w:val="17"/>
                <w:color w:val="auto"/>
              </w:rPr>
            </w:pPr>
          </w:p>
        </w:tc>
        <w:tc>
          <w:tcPr>
            <w:tcW w:w="220" w:type="dxa"/>
            <w:vAlign w:val="bottom"/>
            <w:gridSpan w:val="4"/>
          </w:tcPr>
          <w:p>
            <w:pPr>
              <w:jc w:val="center"/>
              <w:ind w:right="120"/>
              <w:spacing w:after="0" w:line="201"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w:t>
              </w:r>
            </w:hyperlink>
          </w:p>
        </w:tc>
      </w:tr>
      <w:tr>
        <w:trPr>
          <w:trHeight w:val="210"/>
        </w:trPr>
        <w:tc>
          <w:tcPr>
            <w:tcW w:w="15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Selected Definitions</w:t>
              </w:r>
            </w:hyperlink>
          </w:p>
        </w:tc>
        <w:tc>
          <w:tcPr>
            <w:tcW w:w="140" w:type="dxa"/>
            <w:vAlign w:val="bottom"/>
            <w:tcBorders>
              <w:top w:val="single" w:sz="8" w:color="0000FF"/>
            </w:tcBorders>
            <w:gridSpan w:val="2"/>
          </w:tcPr>
          <w:p>
            <w:pPr>
              <w:spacing w:after="0"/>
              <w:rPr>
                <w:sz w:val="18"/>
                <w:szCs w:val="18"/>
                <w:color w:val="auto"/>
              </w:rPr>
            </w:pPr>
          </w:p>
        </w:tc>
        <w:tc>
          <w:tcPr>
            <w:tcW w:w="898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0000FF"/>
            </w:tcBorders>
            <w:gridSpan w:val="2"/>
          </w:tcPr>
          <w:p>
            <w:pPr>
              <w:jc w:val="center"/>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ii</w:t>
              </w:r>
            </w:hyperlink>
          </w:p>
        </w:tc>
        <w:tc>
          <w:tcPr>
            <w:tcW w:w="80" w:type="dxa"/>
            <w:vAlign w:val="bottom"/>
            <w:gridSpan w:val="2"/>
          </w:tcPr>
          <w:p>
            <w:pPr>
              <w:spacing w:after="0"/>
              <w:rPr>
                <w:sz w:val="18"/>
                <w:szCs w:val="18"/>
                <w:color w:val="auto"/>
              </w:rPr>
            </w:pPr>
          </w:p>
        </w:tc>
      </w:tr>
      <w:tr>
        <w:trPr>
          <w:trHeight w:val="209"/>
        </w:trPr>
        <w:tc>
          <w:tcPr>
            <w:tcW w:w="186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Market and Industry Data</w:t>
              </w:r>
            </w:hyperlink>
          </w:p>
        </w:tc>
        <w:tc>
          <w:tcPr>
            <w:tcW w:w="876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rPr>
            </w:pPr>
            <w:hyperlink w:anchor="page7">
              <w:r>
                <w:rPr>
                  <w:rFonts w:ascii="Arial" w:cs="Arial" w:eastAsia="Arial" w:hAnsi="Arial"/>
                  <w:sz w:val="18"/>
                  <w:szCs w:val="18"/>
                  <w:color w:val="0000FF"/>
                </w:rPr>
                <w:t>v</w:t>
              </w:r>
            </w:hyperlink>
          </w:p>
        </w:tc>
        <w:tc>
          <w:tcPr>
            <w:tcW w:w="120" w:type="dxa"/>
            <w:vAlign w:val="bottom"/>
            <w:gridSpan w:val="3"/>
          </w:tcPr>
          <w:p>
            <w:pPr>
              <w:spacing w:after="0"/>
              <w:rPr>
                <w:sz w:val="18"/>
                <w:szCs w:val="18"/>
                <w:color w:val="auto"/>
              </w:rPr>
            </w:pPr>
          </w:p>
        </w:tc>
      </w:tr>
      <w:tr>
        <w:trPr>
          <w:trHeight w:val="210"/>
        </w:trPr>
        <w:tc>
          <w:tcPr>
            <w:tcW w:w="416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Cautionary Note Regarding Forward-Looking Statements</w:t>
              </w:r>
            </w:hyperlink>
          </w:p>
        </w:tc>
        <w:tc>
          <w:tcPr>
            <w:tcW w:w="64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0000FF"/>
            </w:tcBorders>
            <w:gridSpan w:val="2"/>
          </w:tcPr>
          <w:p>
            <w:pPr>
              <w:jc w:val="center"/>
              <w:ind w:right="20"/>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vi</w:t>
              </w:r>
            </w:hyperlink>
          </w:p>
        </w:tc>
        <w:tc>
          <w:tcPr>
            <w:tcW w:w="80" w:type="dxa"/>
            <w:vAlign w:val="bottom"/>
            <w:gridSpan w:val="2"/>
          </w:tcPr>
          <w:p>
            <w:pPr>
              <w:spacing w:after="0"/>
              <w:rPr>
                <w:sz w:val="18"/>
                <w:szCs w:val="18"/>
                <w:color w:val="auto"/>
              </w:rPr>
            </w:pPr>
          </w:p>
        </w:tc>
      </w:tr>
      <w:tr>
        <w:trPr>
          <w:trHeight w:val="209"/>
        </w:trPr>
        <w:tc>
          <w:tcPr>
            <w:tcW w:w="154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Prospectus Summary</w:t>
              </w:r>
            </w:hyperlink>
          </w:p>
        </w:tc>
        <w:tc>
          <w:tcPr>
            <w:tcW w:w="908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1</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Risk Factors</w:t>
              </w:r>
            </w:hyperlink>
          </w:p>
        </w:tc>
        <w:tc>
          <w:tcPr>
            <w:tcW w:w="9680" w:type="dxa"/>
            <w:vAlign w:val="bottom"/>
            <w:gridSpan w:val="16"/>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7">
              <w:r>
                <w:rPr>
                  <w:rFonts w:ascii="Arial" w:cs="Arial" w:eastAsia="Arial" w:hAnsi="Arial"/>
                  <w:sz w:val="18"/>
                  <w:szCs w:val="18"/>
                  <w:color w:val="0000FF"/>
                  <w:w w:val="99"/>
                </w:rPr>
                <w:t>8</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180" w:type="dxa"/>
            <w:vAlign w:val="bottom"/>
            <w:gridSpan w:val="4"/>
          </w:tcPr>
          <w:p>
            <w:pPr>
              <w:spacing w:after="0"/>
              <w:rPr>
                <w:rFonts w:ascii="Arial" w:cs="Arial" w:eastAsia="Arial" w:hAnsi="Arial"/>
                <w:sz w:val="18"/>
                <w:szCs w:val="18"/>
                <w:color w:val="0000FF"/>
                <w:w w:val="87"/>
              </w:rPr>
            </w:pPr>
            <w:hyperlink w:anchor="page67">
              <w:r>
                <w:rPr>
                  <w:rFonts w:ascii="Arial" w:cs="Arial" w:eastAsia="Arial" w:hAnsi="Arial"/>
                  <w:sz w:val="18"/>
                  <w:szCs w:val="18"/>
                  <w:color w:val="0000FF"/>
                  <w:w w:val="87"/>
                </w:rPr>
                <w:t>Use of Proceeds</w:t>
              </w:r>
            </w:hyperlink>
          </w:p>
        </w:tc>
        <w:tc>
          <w:tcPr>
            <w:tcW w:w="9440" w:type="dxa"/>
            <w:vAlign w:val="bottom"/>
            <w:gridSpan w:val="15"/>
          </w:tcPr>
          <w:p>
            <w:pPr>
              <w:spacing w:after="0"/>
              <w:rPr>
                <w:sz w:val="18"/>
                <w:szCs w:val="18"/>
                <w:color w:val="auto"/>
              </w:rPr>
            </w:pPr>
          </w:p>
        </w:tc>
        <w:tc>
          <w:tcPr>
            <w:tcW w:w="260" w:type="dxa"/>
            <w:vAlign w:val="bottom"/>
            <w:gridSpan w:val="3"/>
          </w:tcPr>
          <w:p>
            <w:pPr>
              <w:jc w:val="cente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58</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380" w:type="dxa"/>
            <w:vAlign w:val="bottom"/>
            <w:gridSpan w:val="17"/>
          </w:tcPr>
          <w:p>
            <w:pPr>
              <w:spacing w:after="0"/>
              <w:rPr>
                <w:rFonts w:ascii="Arial" w:cs="Arial" w:eastAsia="Arial" w:hAnsi="Arial"/>
                <w:sz w:val="18"/>
                <w:szCs w:val="18"/>
                <w:color w:val="0000FF"/>
                <w:w w:val="93"/>
              </w:rPr>
            </w:pPr>
            <w:hyperlink w:anchor="page68">
              <w:r>
                <w:rPr>
                  <w:rFonts w:ascii="Arial" w:cs="Arial" w:eastAsia="Arial" w:hAnsi="Arial"/>
                  <w:sz w:val="18"/>
                  <w:szCs w:val="18"/>
                  <w:color w:val="0000FF"/>
                  <w:w w:val="93"/>
                </w:rPr>
                <w:t>Market Information for Common Stock and Dividend Policy</w:t>
              </w:r>
            </w:hyperlink>
          </w:p>
        </w:tc>
        <w:tc>
          <w:tcPr>
            <w:tcW w:w="6240" w:type="dxa"/>
            <w:vAlign w:val="bottom"/>
            <w:gridSpan w:val="2"/>
          </w:tcPr>
          <w:p>
            <w:pPr>
              <w:spacing w:after="0"/>
              <w:rPr>
                <w:sz w:val="18"/>
                <w:szCs w:val="18"/>
                <w:color w:val="auto"/>
              </w:rPr>
            </w:pPr>
          </w:p>
        </w:tc>
        <w:tc>
          <w:tcPr>
            <w:tcW w:w="260" w:type="dxa"/>
            <w:vAlign w:val="bottom"/>
            <w:gridSpan w:val="3"/>
          </w:tcPr>
          <w:p>
            <w:pPr>
              <w:jc w:val="cente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59</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940" w:type="dxa"/>
            <w:vAlign w:val="bottom"/>
            <w:gridSpan w:val="15"/>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Unaudited Pro Forma Combined Financial Information</w:t>
              </w:r>
            </w:hyperlink>
          </w:p>
        </w:tc>
        <w:tc>
          <w:tcPr>
            <w:tcW w:w="440" w:type="dxa"/>
            <w:vAlign w:val="bottom"/>
            <w:gridSpan w:val="2"/>
          </w:tcPr>
          <w:p>
            <w:pPr>
              <w:spacing w:after="0"/>
              <w:rPr>
                <w:sz w:val="18"/>
                <w:szCs w:val="18"/>
                <w:color w:val="auto"/>
              </w:rPr>
            </w:pPr>
          </w:p>
        </w:tc>
        <w:tc>
          <w:tcPr>
            <w:tcW w:w="6240" w:type="dxa"/>
            <w:vAlign w:val="bottom"/>
            <w:gridSpan w:val="2"/>
          </w:tcPr>
          <w:p>
            <w:pPr>
              <w:spacing w:after="0"/>
              <w:rPr>
                <w:sz w:val="18"/>
                <w:szCs w:val="18"/>
                <w:color w:val="auto"/>
              </w:rPr>
            </w:pPr>
          </w:p>
        </w:tc>
        <w:tc>
          <w:tcPr>
            <w:tcW w:w="260" w:type="dxa"/>
            <w:vAlign w:val="bottom"/>
            <w:gridSpan w:val="3"/>
          </w:tcPr>
          <w:p>
            <w:pPr>
              <w:jc w:val="cente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60</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20" w:type="dxa"/>
            <w:vAlign w:val="bottom"/>
            <w:gridSpan w:val="19"/>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Management’s Discussion and Analysis of Financial Condition and Results of Operations</w:t>
              </w:r>
            </w:hyperlink>
          </w:p>
        </w:tc>
        <w:tc>
          <w:tcPr>
            <w:tcW w:w="260" w:type="dxa"/>
            <w:vAlign w:val="bottom"/>
            <w:gridSpan w:val="3"/>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69</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60" w:type="dxa"/>
            <w:vAlign w:val="bottom"/>
            <w:gridSpan w:val="18"/>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Business</w:t>
              </w:r>
            </w:hyperlink>
          </w:p>
        </w:tc>
        <w:tc>
          <w:tcPr>
            <w:tcW w:w="4160" w:type="dxa"/>
            <w:vAlign w:val="bottom"/>
          </w:tcPr>
          <w:p>
            <w:pPr>
              <w:spacing w:after="0"/>
              <w:rPr>
                <w:sz w:val="18"/>
                <w:szCs w:val="18"/>
                <w:color w:val="auto"/>
              </w:rPr>
            </w:pPr>
          </w:p>
        </w:tc>
        <w:tc>
          <w:tcPr>
            <w:tcW w:w="260" w:type="dxa"/>
            <w:vAlign w:val="bottom"/>
            <w:gridSpan w:val="3"/>
          </w:tcPr>
          <w:p>
            <w:pPr>
              <w:jc w:val="center"/>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93</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20" w:type="dxa"/>
            <w:vAlign w:val="bottom"/>
            <w:gridSpan w:val="19"/>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Management</w:t>
              </w:r>
            </w:hyperlink>
          </w:p>
        </w:tc>
        <w:tc>
          <w:tcPr>
            <w:tcW w:w="320" w:type="dxa"/>
            <w:vAlign w:val="bottom"/>
            <w:gridSpan w:val="4"/>
          </w:tcPr>
          <w:p>
            <w:pPr>
              <w:jc w:val="center"/>
              <w:spacing w:after="0"/>
              <w:rPr>
                <w:rFonts w:ascii="Arial" w:cs="Arial" w:eastAsia="Arial" w:hAnsi="Arial"/>
                <w:sz w:val="18"/>
                <w:szCs w:val="18"/>
                <w:color w:val="0000FF"/>
                <w:w w:val="86"/>
              </w:rPr>
            </w:pPr>
            <w:hyperlink w:anchor="page128">
              <w:r>
                <w:rPr>
                  <w:rFonts w:ascii="Arial" w:cs="Arial" w:eastAsia="Arial" w:hAnsi="Arial"/>
                  <w:sz w:val="18"/>
                  <w:szCs w:val="18"/>
                  <w:color w:val="0000FF"/>
                  <w:w w:val="86"/>
                </w:rPr>
                <w:t>119</w:t>
              </w:r>
            </w:hyperlink>
          </w:p>
        </w:tc>
        <w:tc>
          <w:tcPr>
            <w:tcW w:w="20" w:type="dxa"/>
            <w:vAlign w:val="bottom"/>
          </w:tcPr>
          <w:p>
            <w:pPr>
              <w:spacing w:after="0"/>
              <w:rPr>
                <w:sz w:val="18"/>
                <w:szCs w:val="18"/>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00" w:type="dxa"/>
            <w:vAlign w:val="bottom"/>
            <w:gridSpan w:val="9"/>
          </w:tcPr>
          <w:p>
            <w:pPr>
              <w:spacing w:after="0"/>
              <w:rPr>
                <w:rFonts w:ascii="Arial" w:cs="Arial" w:eastAsia="Arial" w:hAnsi="Arial"/>
                <w:sz w:val="18"/>
                <w:szCs w:val="18"/>
                <w:color w:val="0000FF"/>
                <w:w w:val="88"/>
              </w:rPr>
            </w:pPr>
            <w:hyperlink w:anchor="page137">
              <w:r>
                <w:rPr>
                  <w:rFonts w:ascii="Arial" w:cs="Arial" w:eastAsia="Arial" w:hAnsi="Arial"/>
                  <w:sz w:val="18"/>
                  <w:szCs w:val="18"/>
                  <w:color w:val="0000FF"/>
                  <w:w w:val="88"/>
                </w:rPr>
                <w:t>Executive Compensation</w:t>
              </w:r>
            </w:hyperlink>
          </w:p>
        </w:tc>
        <w:tc>
          <w:tcPr>
            <w:tcW w:w="8820" w:type="dxa"/>
            <w:vAlign w:val="bottom"/>
            <w:gridSpan w:val="10"/>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37">
              <w:r>
                <w:rPr>
                  <w:rFonts w:ascii="Arial" w:cs="Arial" w:eastAsia="Arial" w:hAnsi="Arial"/>
                  <w:sz w:val="18"/>
                  <w:szCs w:val="18"/>
                  <w:color w:val="0000FF"/>
                  <w:w w:val="86"/>
                </w:rPr>
                <w:t>128</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20" w:type="dxa"/>
            <w:vAlign w:val="bottom"/>
            <w:gridSpan w:val="19"/>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Certain Relationships and Related Party Transactions</w:t>
              </w:r>
            </w:hyperlink>
          </w:p>
        </w:tc>
        <w:tc>
          <w:tcPr>
            <w:tcW w:w="340" w:type="dxa"/>
            <w:vAlign w:val="bottom"/>
            <w:gridSpan w:val="5"/>
          </w:tcPr>
          <w:p>
            <w:pPr>
              <w:jc w:val="center"/>
              <w:spacing w:after="0"/>
              <w:rPr>
                <w:rFonts w:ascii="Arial" w:cs="Arial" w:eastAsia="Arial" w:hAnsi="Arial"/>
                <w:sz w:val="18"/>
                <w:szCs w:val="18"/>
                <w:color w:val="0000FF"/>
                <w:w w:val="86"/>
              </w:rPr>
            </w:pPr>
            <w:hyperlink w:anchor="page148">
              <w:r>
                <w:rPr>
                  <w:rFonts w:ascii="Arial" w:cs="Arial" w:eastAsia="Arial" w:hAnsi="Arial"/>
                  <w:sz w:val="18"/>
                  <w:szCs w:val="18"/>
                  <w:color w:val="0000FF"/>
                  <w:w w:val="86"/>
                </w:rPr>
                <w:t>139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840" w:type="dxa"/>
            <w:vAlign w:val="bottom"/>
            <w:gridSpan w:val="14"/>
          </w:tcPr>
          <w:p>
            <w:pPr>
              <w:spacing w:after="0"/>
              <w:rPr>
                <w:rFonts w:ascii="Arial" w:cs="Arial" w:eastAsia="Arial" w:hAnsi="Arial"/>
                <w:sz w:val="18"/>
                <w:szCs w:val="18"/>
                <w:color w:val="0000FF"/>
              </w:rPr>
            </w:pPr>
            <w:hyperlink w:anchor="page155">
              <w:r>
                <w:rPr>
                  <w:rFonts w:ascii="Arial" w:cs="Arial" w:eastAsia="Arial" w:hAnsi="Arial"/>
                  <w:sz w:val="18"/>
                  <w:szCs w:val="18"/>
                  <w:color w:val="0000FF"/>
                </w:rPr>
                <w:t>Principal Securityholders</w:t>
              </w:r>
            </w:hyperlink>
          </w:p>
        </w:tc>
        <w:tc>
          <w:tcPr>
            <w:tcW w:w="6780" w:type="dxa"/>
            <w:vAlign w:val="bottom"/>
            <w:gridSpan w:val="5"/>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55">
              <w:r>
                <w:rPr>
                  <w:rFonts w:ascii="Arial" w:cs="Arial" w:eastAsia="Arial" w:hAnsi="Arial"/>
                  <w:sz w:val="18"/>
                  <w:szCs w:val="18"/>
                  <w:color w:val="0000FF"/>
                  <w:w w:val="86"/>
                </w:rPr>
                <w:t>146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00" w:type="dxa"/>
            <w:vAlign w:val="bottom"/>
            <w:gridSpan w:val="9"/>
          </w:tcPr>
          <w:p>
            <w:pPr>
              <w:spacing w:after="0"/>
              <w:rPr>
                <w:rFonts w:ascii="Arial" w:cs="Arial" w:eastAsia="Arial" w:hAnsi="Arial"/>
                <w:sz w:val="18"/>
                <w:szCs w:val="18"/>
                <w:color w:val="0000FF"/>
                <w:w w:val="90"/>
              </w:rPr>
            </w:pPr>
            <w:hyperlink w:anchor="page158">
              <w:r>
                <w:rPr>
                  <w:rFonts w:ascii="Arial" w:cs="Arial" w:eastAsia="Arial" w:hAnsi="Arial"/>
                  <w:sz w:val="18"/>
                  <w:szCs w:val="18"/>
                  <w:color w:val="0000FF"/>
                  <w:w w:val="90"/>
                </w:rPr>
                <w:t>Description of Securities</w:t>
              </w:r>
            </w:hyperlink>
          </w:p>
        </w:tc>
        <w:tc>
          <w:tcPr>
            <w:tcW w:w="8820" w:type="dxa"/>
            <w:vAlign w:val="bottom"/>
            <w:gridSpan w:val="10"/>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58">
              <w:r>
                <w:rPr>
                  <w:rFonts w:ascii="Arial" w:cs="Arial" w:eastAsia="Arial" w:hAnsi="Arial"/>
                  <w:sz w:val="18"/>
                  <w:szCs w:val="18"/>
                  <w:color w:val="0000FF"/>
                  <w:w w:val="86"/>
                </w:rPr>
                <w:t>149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00" w:type="dxa"/>
            <w:vAlign w:val="bottom"/>
            <w:gridSpan w:val="9"/>
          </w:tcPr>
          <w:p>
            <w:pPr>
              <w:spacing w:after="0"/>
              <w:rPr>
                <w:rFonts w:ascii="Arial" w:cs="Arial" w:eastAsia="Arial" w:hAnsi="Arial"/>
                <w:sz w:val="18"/>
                <w:szCs w:val="18"/>
                <w:color w:val="0000FF"/>
              </w:rPr>
            </w:pPr>
            <w:hyperlink w:anchor="page165">
              <w:r>
                <w:rPr>
                  <w:rFonts w:ascii="Arial" w:cs="Arial" w:eastAsia="Arial" w:hAnsi="Arial"/>
                  <w:sz w:val="18"/>
                  <w:szCs w:val="18"/>
                  <w:color w:val="0000FF"/>
                </w:rPr>
                <w:t>Selling Stockholders</w:t>
              </w:r>
            </w:hyperlink>
          </w:p>
        </w:tc>
        <w:tc>
          <w:tcPr>
            <w:tcW w:w="8820" w:type="dxa"/>
            <w:vAlign w:val="bottom"/>
            <w:gridSpan w:val="10"/>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65">
              <w:r>
                <w:rPr>
                  <w:rFonts w:ascii="Arial" w:cs="Arial" w:eastAsia="Arial" w:hAnsi="Arial"/>
                  <w:sz w:val="18"/>
                  <w:szCs w:val="18"/>
                  <w:color w:val="0000FF"/>
                  <w:w w:val="86"/>
                </w:rPr>
                <w:t>156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20" w:type="dxa"/>
            <w:vAlign w:val="bottom"/>
            <w:gridSpan w:val="19"/>
          </w:tcPr>
          <w:p>
            <w:pPr>
              <w:spacing w:after="0"/>
              <w:rPr>
                <w:rFonts w:ascii="Arial" w:cs="Arial" w:eastAsia="Arial" w:hAnsi="Arial"/>
                <w:sz w:val="18"/>
                <w:szCs w:val="18"/>
                <w:color w:val="0000FF"/>
              </w:rPr>
            </w:pPr>
            <w:hyperlink w:anchor="page167">
              <w:r>
                <w:rPr>
                  <w:rFonts w:ascii="Arial" w:cs="Arial" w:eastAsia="Arial" w:hAnsi="Arial"/>
                  <w:sz w:val="18"/>
                  <w:szCs w:val="18"/>
                  <w:color w:val="0000FF"/>
                </w:rPr>
                <w:t>Securities Act Restrictions on Resale of Our Securities</w:t>
              </w:r>
            </w:hyperlink>
          </w:p>
        </w:tc>
        <w:tc>
          <w:tcPr>
            <w:tcW w:w="340" w:type="dxa"/>
            <w:vAlign w:val="bottom"/>
            <w:gridSpan w:val="5"/>
          </w:tcPr>
          <w:p>
            <w:pPr>
              <w:jc w:val="center"/>
              <w:spacing w:after="0"/>
              <w:rPr>
                <w:rFonts w:ascii="Arial" w:cs="Arial" w:eastAsia="Arial" w:hAnsi="Arial"/>
                <w:sz w:val="18"/>
                <w:szCs w:val="18"/>
                <w:color w:val="0000FF"/>
                <w:w w:val="86"/>
              </w:rPr>
            </w:pPr>
            <w:hyperlink w:anchor="page167">
              <w:r>
                <w:rPr>
                  <w:rFonts w:ascii="Arial" w:cs="Arial" w:eastAsia="Arial" w:hAnsi="Arial"/>
                  <w:sz w:val="18"/>
                  <w:szCs w:val="18"/>
                  <w:color w:val="0000FF"/>
                  <w:w w:val="86"/>
                </w:rPr>
                <w:t>158</w:t>
              </w:r>
            </w:hyperlink>
          </w:p>
        </w:tc>
      </w:tr>
      <w:tr>
        <w:trPr>
          <w:trHeight w:val="20"/>
        </w:trPr>
        <w:tc>
          <w:tcPr>
            <w:tcW w:w="5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gridSpan w:val="5"/>
          </w:tcPr>
          <w:p>
            <w:pPr>
              <w:spacing w:after="0"/>
              <w:rPr>
                <w:rFonts w:ascii="Arial" w:cs="Arial" w:eastAsia="Arial" w:hAnsi="Arial"/>
                <w:sz w:val="18"/>
                <w:szCs w:val="18"/>
                <w:color w:val="0000FF"/>
                <w:w w:val="93"/>
              </w:rPr>
            </w:pPr>
            <w:hyperlink w:anchor="page168">
              <w:r>
                <w:rPr>
                  <w:rFonts w:ascii="Arial" w:cs="Arial" w:eastAsia="Arial" w:hAnsi="Arial"/>
                  <w:sz w:val="18"/>
                  <w:szCs w:val="18"/>
                  <w:color w:val="0000FF"/>
                  <w:w w:val="93"/>
                </w:rPr>
                <w:t>Plan of Distribution</w:t>
              </w:r>
            </w:hyperlink>
          </w:p>
        </w:tc>
        <w:tc>
          <w:tcPr>
            <w:tcW w:w="2500" w:type="dxa"/>
            <w:vAlign w:val="bottom"/>
            <w:gridSpan w:val="10"/>
          </w:tcPr>
          <w:p>
            <w:pPr>
              <w:spacing w:after="0"/>
              <w:rPr>
                <w:sz w:val="18"/>
                <w:szCs w:val="18"/>
                <w:color w:val="auto"/>
              </w:rPr>
            </w:pPr>
          </w:p>
        </w:tc>
        <w:tc>
          <w:tcPr>
            <w:tcW w:w="6680" w:type="dxa"/>
            <w:vAlign w:val="bottom"/>
            <w:gridSpan w:val="4"/>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68">
              <w:r>
                <w:rPr>
                  <w:rFonts w:ascii="Arial" w:cs="Arial" w:eastAsia="Arial" w:hAnsi="Arial"/>
                  <w:sz w:val="18"/>
                  <w:szCs w:val="18"/>
                  <w:color w:val="0000FF"/>
                  <w:w w:val="86"/>
                </w:rPr>
                <w:t>159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gridSpan w:val="5"/>
          </w:tcPr>
          <w:p>
            <w:pPr>
              <w:spacing w:after="0"/>
              <w:rPr>
                <w:rFonts w:ascii="Arial" w:cs="Arial" w:eastAsia="Arial" w:hAnsi="Arial"/>
                <w:sz w:val="18"/>
                <w:szCs w:val="18"/>
                <w:color w:val="0000FF"/>
              </w:rPr>
            </w:pPr>
            <w:hyperlink w:anchor="page172">
              <w:r>
                <w:rPr>
                  <w:rFonts w:ascii="Arial" w:cs="Arial" w:eastAsia="Arial" w:hAnsi="Arial"/>
                  <w:sz w:val="18"/>
                  <w:szCs w:val="18"/>
                  <w:color w:val="0000FF"/>
                </w:rPr>
                <w:t>Legal Matters</w:t>
              </w:r>
            </w:hyperlink>
          </w:p>
        </w:tc>
        <w:tc>
          <w:tcPr>
            <w:tcW w:w="9180" w:type="dxa"/>
            <w:vAlign w:val="bottom"/>
            <w:gridSpan w:val="14"/>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72">
              <w:r>
                <w:rPr>
                  <w:rFonts w:ascii="Arial" w:cs="Arial" w:eastAsia="Arial" w:hAnsi="Arial"/>
                  <w:sz w:val="18"/>
                  <w:szCs w:val="18"/>
                  <w:color w:val="0000FF"/>
                  <w:w w:val="86"/>
                </w:rPr>
                <w:t>163</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60" w:type="dxa"/>
            <w:vAlign w:val="bottom"/>
          </w:tcPr>
          <w:p>
            <w:pPr>
              <w:spacing w:after="0"/>
              <w:rPr>
                <w:rFonts w:ascii="Arial" w:cs="Arial" w:eastAsia="Arial" w:hAnsi="Arial"/>
                <w:sz w:val="18"/>
                <w:szCs w:val="18"/>
                <w:color w:val="0000FF"/>
                <w:w w:val="88"/>
              </w:rPr>
            </w:pPr>
            <w:hyperlink w:anchor="page173">
              <w:r>
                <w:rPr>
                  <w:rFonts w:ascii="Arial" w:cs="Arial" w:eastAsia="Arial" w:hAnsi="Arial"/>
                  <w:sz w:val="18"/>
                  <w:szCs w:val="18"/>
                  <w:color w:val="0000FF"/>
                  <w:w w:val="88"/>
                </w:rPr>
                <w:t>Experts</w:t>
              </w:r>
            </w:hyperlink>
          </w:p>
        </w:tc>
        <w:tc>
          <w:tcPr>
            <w:tcW w:w="380" w:type="dxa"/>
            <w:vAlign w:val="bottom"/>
            <w:gridSpan w:val="2"/>
          </w:tcPr>
          <w:p>
            <w:pPr>
              <w:spacing w:after="0"/>
              <w:rPr>
                <w:sz w:val="18"/>
                <w:szCs w:val="18"/>
                <w:color w:val="auto"/>
              </w:rPr>
            </w:pPr>
          </w:p>
        </w:tc>
        <w:tc>
          <w:tcPr>
            <w:tcW w:w="9680" w:type="dxa"/>
            <w:vAlign w:val="bottom"/>
            <w:gridSpan w:val="16"/>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73">
              <w:r>
                <w:rPr>
                  <w:rFonts w:ascii="Arial" w:cs="Arial" w:eastAsia="Arial" w:hAnsi="Arial"/>
                  <w:sz w:val="18"/>
                  <w:szCs w:val="18"/>
                  <w:color w:val="0000FF"/>
                  <w:w w:val="86"/>
                </w:rPr>
                <w:t>163</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880" w:type="dxa"/>
            <w:vAlign w:val="bottom"/>
            <w:gridSpan w:val="12"/>
          </w:tcPr>
          <w:p>
            <w:pPr>
              <w:spacing w:after="0"/>
              <w:rPr>
                <w:rFonts w:ascii="Arial" w:cs="Arial" w:eastAsia="Arial" w:hAnsi="Arial"/>
                <w:sz w:val="18"/>
                <w:szCs w:val="18"/>
                <w:color w:val="0000FF"/>
                <w:w w:val="92"/>
              </w:rPr>
            </w:pPr>
            <w:hyperlink w:anchor="page173">
              <w:r>
                <w:rPr>
                  <w:rFonts w:ascii="Arial" w:cs="Arial" w:eastAsia="Arial" w:hAnsi="Arial"/>
                  <w:sz w:val="18"/>
                  <w:szCs w:val="18"/>
                  <w:color w:val="0000FF"/>
                  <w:w w:val="92"/>
                </w:rPr>
                <w:t>Where You Can Find More Information</w:t>
              </w:r>
            </w:hyperlink>
          </w:p>
        </w:tc>
        <w:tc>
          <w:tcPr>
            <w:tcW w:w="7740" w:type="dxa"/>
            <w:vAlign w:val="bottom"/>
            <w:gridSpan w:val="7"/>
          </w:tcPr>
          <w:p>
            <w:pPr>
              <w:spacing w:after="0"/>
              <w:rPr>
                <w:sz w:val="18"/>
                <w:szCs w:val="18"/>
                <w:color w:val="auto"/>
              </w:rPr>
            </w:pPr>
          </w:p>
        </w:tc>
        <w:tc>
          <w:tcPr>
            <w:tcW w:w="340" w:type="dxa"/>
            <w:vAlign w:val="bottom"/>
            <w:gridSpan w:val="5"/>
          </w:tcPr>
          <w:p>
            <w:pPr>
              <w:jc w:val="center"/>
              <w:spacing w:after="0"/>
              <w:rPr>
                <w:rFonts w:ascii="Arial" w:cs="Arial" w:eastAsia="Arial" w:hAnsi="Arial"/>
                <w:sz w:val="18"/>
                <w:szCs w:val="18"/>
                <w:color w:val="0000FF"/>
                <w:w w:val="86"/>
              </w:rPr>
            </w:pPr>
            <w:hyperlink w:anchor="page173">
              <w:r>
                <w:rPr>
                  <w:rFonts w:ascii="Arial" w:cs="Arial" w:eastAsia="Arial" w:hAnsi="Arial"/>
                  <w:sz w:val="18"/>
                  <w:szCs w:val="18"/>
                  <w:color w:val="0000FF"/>
                  <w:w w:val="86"/>
                </w:rPr>
                <w:t>163</w:t>
              </w:r>
            </w:hyperlink>
          </w:p>
        </w:tc>
      </w:tr>
      <w:tr>
        <w:trPr>
          <w:trHeight w:val="20"/>
        </w:trPr>
        <w:tc>
          <w:tcPr>
            <w:tcW w:w="2520" w:type="dxa"/>
            <w:vAlign w:val="bottom"/>
            <w:gridSpan w:val="11"/>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73">
              <w:r>
                <w:rPr>
                  <w:rFonts w:ascii="Arial" w:cs="Arial" w:eastAsia="Arial" w:hAnsi="Arial"/>
                  <w:sz w:val="18"/>
                  <w:szCs w:val="18"/>
                  <w:color w:val="0000FF"/>
                  <w:w w:val="89"/>
                </w:rPr>
                <w:t>Sema4 Holdings Corp. Financial Statements</w:t>
              </w:r>
            </w:hyperlink>
          </w:p>
        </w:tc>
        <w:tc>
          <w:tcPr>
            <w:tcW w:w="742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0000FF"/>
            </w:tcBorders>
            <w:gridSpan w:val="3"/>
          </w:tcPr>
          <w:p>
            <w:pPr>
              <w:jc w:val="center"/>
              <w:ind w:right="20"/>
              <w:spacing w:after="0"/>
              <w:rPr>
                <w:rFonts w:ascii="Arial" w:cs="Arial" w:eastAsia="Arial" w:hAnsi="Arial"/>
                <w:sz w:val="17"/>
                <w:szCs w:val="17"/>
                <w:color w:val="0000FF"/>
                <w:w w:val="70"/>
              </w:rPr>
            </w:pPr>
            <w:r>
              <w:rPr>
                <w:rFonts w:ascii="Arial" w:cs="Arial" w:eastAsia="Arial" w:hAnsi="Arial"/>
                <w:sz w:val="17"/>
                <w:szCs w:val="17"/>
                <w:color w:val="0000FF"/>
                <w:w w:val="70"/>
              </w:rPr>
              <w:t>F-</w:t>
            </w:r>
            <w:hyperlink w:anchor="page173">
              <w:r>
                <w:rPr>
                  <w:rFonts w:ascii="Arial" w:cs="Arial" w:eastAsia="Arial" w:hAnsi="Arial"/>
                  <w:sz w:val="17"/>
                  <w:szCs w:val="17"/>
                  <w:color w:val="0000FF"/>
                  <w:w w:val="70"/>
                </w:rPr>
                <w:t>1</w:t>
              </w:r>
            </w:hyperlink>
          </w:p>
        </w:tc>
        <w:tc>
          <w:tcPr>
            <w:tcW w:w="20" w:type="dxa"/>
            <w:vAlign w:val="bottom"/>
          </w:tcPr>
          <w:p>
            <w:pPr>
              <w:spacing w:after="0"/>
              <w:rPr>
                <w:sz w:val="18"/>
                <w:szCs w:val="18"/>
                <w:color w:val="auto"/>
              </w:rPr>
            </w:pPr>
          </w:p>
        </w:tc>
      </w:tr>
      <w:tr>
        <w:trPr>
          <w:trHeight w:val="210"/>
        </w:trPr>
        <w:tc>
          <w:tcPr>
            <w:tcW w:w="252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213">
              <w:r>
                <w:rPr>
                  <w:rFonts w:ascii="Arial" w:cs="Arial" w:eastAsia="Arial" w:hAnsi="Arial"/>
                  <w:sz w:val="18"/>
                  <w:szCs w:val="18"/>
                  <w:color w:val="0000FF"/>
                  <w:w w:val="89"/>
                </w:rPr>
                <w:t>GeneDx, Inc. Financial Statements</w:t>
              </w:r>
            </w:hyperlink>
          </w:p>
        </w:tc>
        <w:tc>
          <w:tcPr>
            <w:tcW w:w="8100" w:type="dxa"/>
            <w:vAlign w:val="bottom"/>
            <w:gridSpan w:val="8"/>
          </w:tcPr>
          <w:p>
            <w:pPr>
              <w:spacing w:after="0"/>
              <w:rPr>
                <w:sz w:val="18"/>
                <w:szCs w:val="18"/>
                <w:color w:val="auto"/>
              </w:rPr>
            </w:pPr>
          </w:p>
        </w:tc>
        <w:tc>
          <w:tcPr>
            <w:tcW w:w="340" w:type="dxa"/>
            <w:vAlign w:val="bottom"/>
            <w:tcBorders>
              <w:bottom w:val="single" w:sz="8" w:color="0000FF"/>
            </w:tcBorders>
            <w:gridSpan w:val="5"/>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3">
              <w:r>
                <w:rPr>
                  <w:rFonts w:ascii="Arial" w:cs="Arial" w:eastAsia="Arial" w:hAnsi="Arial"/>
                  <w:sz w:val="18"/>
                  <w:szCs w:val="18"/>
                  <w:color w:val="0000FF"/>
                  <w:w w:val="91"/>
                </w:rPr>
                <w:t>41</w:t>
              </w:r>
            </w:hyperlink>
          </w:p>
        </w:tc>
      </w:tr>
    </w:tbl>
    <w:p>
      <w:pPr>
        <w:sectPr>
          <w:pgSz w:w="11900" w:h="16838" w:orient="portrait"/>
          <w:cols w:equalWidth="0" w:num="1">
            <w:col w:w="10960"/>
          </w:cols>
          <w:pgMar w:left="340" w:top="1417" w:right="599" w:bottom="1440" w:gutter="0" w:footer="0" w:header="0"/>
        </w:sectPr>
      </w:pPr>
    </w:p>
    <w:bookmarkStart w:id="3" w:name="page4"/>
    <w:bookmarkEnd w:id="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Stockholders may, from time to time, sell or otherwise distribute the securities offered by them as described in the section titled “</w:t>
      </w:r>
      <w:hyperlink w:anchor="page168">
        <w:r>
          <w:rPr>
            <w:rFonts w:ascii="Arial" w:cs="Arial" w:eastAsia="Arial" w:hAnsi="Arial"/>
            <w:sz w:val="18"/>
            <w:szCs w:val="18"/>
            <w:i w:val="1"/>
            <w:iCs w:val="1"/>
            <w:u w:val="single" w:color="auto"/>
            <w:color w:val="0000FF"/>
          </w:rPr>
          <w:t>Plan of Distribution</w:t>
        </w:r>
      </w:hyperlink>
      <w:r>
        <w:rPr>
          <w:rFonts w:ascii="Arial" w:cs="Arial" w:eastAsia="Arial" w:hAnsi="Arial"/>
          <w:sz w:val="18"/>
          <w:szCs w:val="18"/>
          <w:color w:val="auto"/>
        </w:rPr>
        <w:t>” in this prospectus. We will not receive any proceeds from the sale by such Selling Stockholders of the securities offered by them described in this prospectus.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w:t>
      </w:r>
    </w:p>
    <w:p>
      <w:pPr>
        <w:spacing w:after="0" w:line="134" w:lineRule="exact"/>
        <w:rPr>
          <w:sz w:val="20"/>
          <w:szCs w:val="20"/>
          <w:color w:val="auto"/>
        </w:rPr>
      </w:pPr>
    </w:p>
    <w:p>
      <w:pPr>
        <w:jc w:val="both"/>
        <w:spacing w:after="0" w:line="259" w:lineRule="auto"/>
        <w:rPr>
          <w:rFonts w:ascii="Arial" w:cs="Arial" w:eastAsia="Arial" w:hAnsi="Arial"/>
          <w:sz w:val="18"/>
          <w:szCs w:val="18"/>
          <w:i w:val="1"/>
          <w:iCs w:val="1"/>
          <w:color w:val="0000FF"/>
        </w:rPr>
      </w:pPr>
      <w:r>
        <w:rPr>
          <w:rFonts w:ascii="Arial" w:cs="Arial" w:eastAsia="Arial" w:hAnsi="Arial"/>
          <w:sz w:val="18"/>
          <w:szCs w:val="18"/>
          <w:color w:val="auto"/>
        </w:rPr>
        <w:t xml:space="preserve">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w:t>
      </w:r>
      <w:hyperlink w:anchor="page173">
        <w:r>
          <w:rPr>
            <w:rFonts w:ascii="Arial" w:cs="Arial" w:eastAsia="Arial" w:hAnsi="Arial"/>
            <w:sz w:val="18"/>
            <w:szCs w:val="18"/>
            <w:color w:val="auto"/>
          </w:rPr>
          <w:t>the registration statement together with the additional information to which we refer you in the section of this prospectus entitled “</w:t>
        </w:r>
        <w:r>
          <w:rPr>
            <w:rFonts w:ascii="Arial" w:cs="Arial" w:eastAsia="Arial" w:hAnsi="Arial"/>
            <w:sz w:val="18"/>
            <w:szCs w:val="18"/>
            <w:i w:val="1"/>
            <w:iCs w:val="1"/>
            <w:u w:val="single" w:color="auto"/>
            <w:color w:val="0000FF"/>
          </w:rPr>
          <w:t>Where You Can Find</w:t>
        </w:r>
      </w:hyperlink>
      <w:r>
        <w:rPr>
          <w:rFonts w:ascii="Arial" w:cs="Arial" w:eastAsia="Arial" w:hAnsi="Arial"/>
          <w:sz w:val="18"/>
          <w:szCs w:val="18"/>
          <w:color w:val="auto"/>
        </w:rPr>
        <w:t xml:space="preserve"> </w:t>
      </w:r>
      <w:hyperlink w:anchor="page173">
        <w:r>
          <w:rPr>
            <w:rFonts w:ascii="Arial" w:cs="Arial" w:eastAsia="Arial" w:hAnsi="Arial"/>
            <w:sz w:val="18"/>
            <w:szCs w:val="18"/>
            <w:i w:val="1"/>
            <w:iCs w:val="1"/>
            <w:u w:val="single" w:color="auto"/>
            <w:color w:val="0000FF"/>
          </w:rPr>
          <w:t>More Information</w:t>
        </w:r>
        <w:r>
          <w:rPr>
            <w:rFonts w:ascii="Arial" w:cs="Arial" w:eastAsia="Arial" w:hAnsi="Arial"/>
            <w:sz w:val="18"/>
            <w:szCs w:val="18"/>
            <w:i w:val="1"/>
            <w:iCs w:val="1"/>
            <w:color w:val="000000"/>
          </w:rPr>
          <w:t>.</w:t>
        </w:r>
        <w:r>
          <w:rPr>
            <w:rFonts w:ascii="Arial" w:cs="Arial" w:eastAsia="Arial" w:hAnsi="Arial"/>
            <w:sz w:val="18"/>
            <w:szCs w:val="18"/>
            <w:color w:val="000000"/>
          </w:rPr>
          <w:t>”</w:t>
        </w:r>
      </w:hyperlink>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context otherwise requires, references in this prospectus to the “Company,” “Sema4” and “we,” “us” and “our” refer to (i) Mount Sinai Genomics, Inc. d/b/a as Sema4 (“Legacy Sema4”) prior to the consummation of our business combination with CM Life Sciences, Inc. (“CMLS”) on July 22, 2021 (the “Business Combination”) and (ii) Sema4 Holdings Corp. (“Sema4 Holdings”) and its consolidated subsidiaries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w:t>
      </w:r>
      <w:r>
        <w:rPr>
          <w:rFonts w:ascii="Arial" w:cs="Arial" w:eastAsia="Arial" w:hAnsi="Arial"/>
          <w:sz w:val="18"/>
          <w:szCs w:val="18"/>
          <w:color w:val="auto"/>
        </w:rPr>
        <w:t>” means the transactions contemplated by the Merger Agreement, including the Mergers.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transactions contemplated by the Prior Merger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Bylaws</w:t>
      </w:r>
      <w:r>
        <w:rPr>
          <w:rFonts w:ascii="Arial" w:cs="Arial" w:eastAsia="Arial" w:hAnsi="Arial"/>
          <w:sz w:val="18"/>
          <w:szCs w:val="18"/>
          <w:color w:val="auto"/>
        </w:rPr>
        <w:t>” means the Restated Bylaws of the Company.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Consideration</w:t>
      </w:r>
      <w:r>
        <w:rPr>
          <w:rFonts w:ascii="Arial" w:cs="Arial" w:eastAsia="Arial" w:hAnsi="Arial"/>
          <w:sz w:val="18"/>
          <w:szCs w:val="18"/>
          <w:color w:val="auto"/>
        </w:rPr>
        <w:t>” means the $150 million in cash paid by the Company to OPKO at the Closing pursuant to the Merger Agreement, subject to certain adjustments as provided in the Merger Agreement.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xml:space="preserve"> or “</w:t>
      </w:r>
      <w:r>
        <w:rPr>
          <w:rFonts w:ascii="Arial" w:cs="Arial" w:eastAsia="Arial" w:hAnsi="Arial"/>
          <w:sz w:val="18"/>
          <w:szCs w:val="18"/>
          <w:i w:val="1"/>
          <w:iCs w:val="1"/>
          <w:color w:val="auto"/>
        </w:rPr>
        <w:t>Charter</w:t>
      </w:r>
      <w:r>
        <w:rPr>
          <w:rFonts w:ascii="Arial" w:cs="Arial" w:eastAsia="Arial" w:hAnsi="Arial"/>
          <w:sz w:val="18"/>
          <w:szCs w:val="18"/>
          <w:color w:val="auto"/>
        </w:rPr>
        <w:t>” means our Third Amended and Restated Certificate of Incorporation, dated as of July 22, 2021, as amended by the Amendment to the Amended and Restated Certificate of Incorporation, dated as of April 29,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means the shares of Class A common stock, par value $0.0001 per share,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CMLS</w:t>
      </w:r>
      <w:r>
        <w:rPr>
          <w:rFonts w:ascii="Arial" w:cs="Arial" w:eastAsia="Arial" w:hAnsi="Arial"/>
          <w:sz w:val="18"/>
          <w:szCs w:val="18"/>
          <w:color w:val="auto"/>
        </w:rPr>
        <w:t>” means CM Life Sciences, Inc. prior to the closing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the shares of Class A common stock issuable pursuant to the Prior Merger Agreement upon the achievement of certain vesting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means the time the First Merger became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Sema4 Holdings Corp. 2021 Employee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w:t>
      </w:r>
      <w:r>
        <w:rPr>
          <w:rFonts w:ascii="Arial" w:cs="Arial" w:eastAsia="Arial" w:hAnsi="Arial"/>
          <w:sz w:val="18"/>
          <w:szCs w:val="18"/>
          <w:color w:val="auto"/>
        </w:rPr>
        <w:t>” means the merger of Merger Sub I with and into HoldCo, with HoldCo as the surviving corporation in the First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GeneDx</w:t>
      </w:r>
      <w:r>
        <w:rPr>
          <w:rFonts w:ascii="Arial" w:cs="Arial" w:eastAsia="Arial" w:hAnsi="Arial"/>
          <w:sz w:val="18"/>
          <w:szCs w:val="18"/>
          <w:color w:val="auto"/>
        </w:rPr>
        <w:t>” means (i) GeneDx, Inc., a New Jersey corporation prior to the Closing of the Acquisition and (ii) GeneDx, LLC, a Delaware limited liability company, following the Closing of the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HoldCo</w:t>
      </w:r>
      <w:r>
        <w:rPr>
          <w:rFonts w:ascii="Arial" w:cs="Arial" w:eastAsia="Arial" w:hAnsi="Arial"/>
          <w:sz w:val="18"/>
          <w:szCs w:val="18"/>
          <w:color w:val="auto"/>
        </w:rPr>
        <w:t>” means GeneDx Holding 2, Inc., which held 100% of GeneDx immediately following the Effective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IPO</w:t>
      </w:r>
      <w:r>
        <w:rPr>
          <w:rFonts w:ascii="Arial" w:cs="Arial" w:eastAsia="Arial" w:hAnsi="Arial"/>
          <w:sz w:val="17"/>
          <w:szCs w:val="17"/>
          <w:color w:val="auto"/>
        </w:rPr>
        <w:t>” or “</w:t>
      </w:r>
      <w:r>
        <w:rPr>
          <w:rFonts w:ascii="Arial" w:cs="Arial" w:eastAsia="Arial" w:hAnsi="Arial"/>
          <w:sz w:val="17"/>
          <w:szCs w:val="17"/>
          <w:i w:val="1"/>
          <w:iCs w:val="1"/>
          <w:color w:val="auto"/>
        </w:rPr>
        <w:t>CMLS IPO</w:t>
      </w:r>
      <w:r>
        <w:rPr>
          <w:rFonts w:ascii="Arial" w:cs="Arial" w:eastAsia="Arial" w:hAnsi="Arial"/>
          <w:sz w:val="17"/>
          <w:szCs w:val="17"/>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EIP</w:t>
      </w:r>
      <w:r>
        <w:rPr>
          <w:rFonts w:ascii="Arial" w:cs="Arial" w:eastAsia="Arial" w:hAnsi="Arial"/>
          <w:sz w:val="18"/>
          <w:szCs w:val="18"/>
          <w:color w:val="auto"/>
        </w:rPr>
        <w:t>” means the Sema4 Holdings Corp. 2021 Equity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5" w:name="page6"/>
    <w:bookmarkEnd w:id="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Former Sponsor</w:t>
      </w:r>
      <w:r>
        <w:rPr>
          <w:rFonts w:ascii="Arial" w:cs="Arial" w:eastAsia="Arial" w:hAnsi="Arial"/>
          <w:sz w:val="18"/>
          <w:szCs w:val="18"/>
          <w:color w:val="auto"/>
        </w:rPr>
        <w:t>” means CMLS Holdings LLC, a Delaware limited liability company.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Sema4</w:t>
      </w:r>
      <w:r>
        <w:rPr>
          <w:rFonts w:ascii="Arial" w:cs="Arial" w:eastAsia="Arial" w:hAnsi="Arial"/>
          <w:sz w:val="18"/>
          <w:szCs w:val="18"/>
          <w:color w:val="auto"/>
        </w:rPr>
        <w:t>” means Mount Sinai Genomics, Inc., a Delaware corporation, doing business as Sema4 prior to the consummation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Lock-Up Holder</w:t>
      </w:r>
      <w:r>
        <w:rPr>
          <w:rFonts w:ascii="Arial" w:cs="Arial" w:eastAsia="Arial" w:hAnsi="Arial"/>
          <w:sz w:val="18"/>
          <w:szCs w:val="18"/>
          <w:color w:val="auto"/>
        </w:rPr>
        <w:t>” means certain stockholders of OPKO who entered into the Shareholder Agreements with the Company.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that certain Agreement and Plan of Merger and Reorganization, dated as of January 14, 2022, by and among the Company, Merger Sub I, Merger Sub II, GeneDx, OPKO, and Holdco, as amended by the Amendment to Agreement and Plan of Merger and Reorganization, dated as of April 29,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Consideration</w:t>
      </w:r>
      <w:r>
        <w:rPr>
          <w:rFonts w:ascii="Arial" w:cs="Arial" w:eastAsia="Arial" w:hAnsi="Arial"/>
          <w:sz w:val="18"/>
          <w:szCs w:val="18"/>
          <w:color w:val="auto"/>
        </w:rPr>
        <w:t>” means the Cash Consideration and the Stock Consideration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 I</w:t>
      </w:r>
      <w:r>
        <w:rPr>
          <w:rFonts w:ascii="Arial" w:cs="Arial" w:eastAsia="Arial" w:hAnsi="Arial"/>
          <w:sz w:val="18"/>
          <w:szCs w:val="18"/>
          <w:color w:val="auto"/>
        </w:rPr>
        <w:t>” means Orion Merger Sub I,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 II</w:t>
      </w:r>
      <w:r>
        <w:rPr>
          <w:rFonts w:ascii="Arial" w:cs="Arial" w:eastAsia="Arial" w:hAnsi="Arial"/>
          <w:sz w:val="18"/>
          <w:szCs w:val="18"/>
          <w:color w:val="auto"/>
        </w:rPr>
        <w:t>” means Orion Merger Sub 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Subs</w:t>
      </w:r>
      <w:r>
        <w:rPr>
          <w:rFonts w:ascii="Arial" w:cs="Arial" w:eastAsia="Arial" w:hAnsi="Arial"/>
          <w:sz w:val="18"/>
          <w:szCs w:val="18"/>
          <w:color w:val="auto"/>
        </w:rPr>
        <w:t>” means Merger Sub I and Merger Sub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Mergers</w:t>
      </w:r>
      <w:r>
        <w:rPr>
          <w:rFonts w:ascii="Arial" w:cs="Arial" w:eastAsia="Arial" w:hAnsi="Arial"/>
          <w:sz w:val="18"/>
          <w:szCs w:val="18"/>
          <w:color w:val="auto"/>
        </w:rPr>
        <w:t>” means the First Merger and the Second Merger.</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Milestone Payments</w:t>
      </w:r>
      <w:r>
        <w:rPr>
          <w:rFonts w:ascii="Arial" w:cs="Arial" w:eastAsia="Arial" w:hAnsi="Arial"/>
          <w:sz w:val="16"/>
          <w:szCs w:val="16"/>
          <w:color w:val="auto"/>
        </w:rPr>
        <w:t>” means the up to $150 million payable by the Company to OPKO pursuant to the Merger Agreement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Milestone Shares</w:t>
      </w:r>
      <w:r>
        <w:rPr>
          <w:rFonts w:ascii="Arial" w:cs="Arial" w:eastAsia="Arial" w:hAnsi="Arial"/>
          <w:sz w:val="18"/>
          <w:szCs w:val="18"/>
          <w:color w:val="auto"/>
        </w:rPr>
        <w:t>” means the up to 30,864,198 shares of our Class A common stock that may be issuable to OPKO in connection with the Milestone Payments.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OPKO</w:t>
      </w:r>
      <w:r>
        <w:rPr>
          <w:rFonts w:ascii="Arial" w:cs="Arial" w:eastAsia="Arial" w:hAnsi="Arial"/>
          <w:sz w:val="18"/>
          <w:szCs w:val="18"/>
          <w:color w:val="auto"/>
        </w:rPr>
        <w:t>” means OPKO Health, Inc.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private placement pursuant to which the PIPE Investors collectively subscribed for the PIPE Shares at $4.00 per share, for an aggregate purchase price of $200 million.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certain institutional investors that invested in the PIPE Investment pursuant to, and on the terms and subject to the conditions of, the Subscription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50 million shares of Class A common stock issued in the PIPE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Restructuring</w:t>
      </w:r>
      <w:r>
        <w:rPr>
          <w:rFonts w:ascii="Arial" w:cs="Arial" w:eastAsia="Arial" w:hAnsi="Arial"/>
          <w:sz w:val="18"/>
          <w:szCs w:val="18"/>
          <w:color w:val="auto"/>
        </w:rPr>
        <w:t>” has the meaning ascribed to it in the Merger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Merger Agreement</w:t>
      </w:r>
      <w:r>
        <w:rPr>
          <w:rFonts w:ascii="Arial" w:cs="Arial" w:eastAsia="Arial" w:hAnsi="Arial"/>
          <w:sz w:val="18"/>
          <w:szCs w:val="18"/>
          <w:color w:val="auto"/>
        </w:rPr>
        <w:t>” means that certain Agreement and Plan of Merger, dated as of February 9, 2021, as amended, by and among CMLS, S-IV Sub, Inc. and Legacy Sema4.</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means the 7,236,667 warrants originally issued to the Former Sponsor and certain of the other initial stockholders of CMLS in a private placement in connection with our IPO, each of which is exercisable for three-quarters of one share of Class A common stock, in accordance with its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shares of Class A common stock included in the units issued in our IPO.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means holders of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6" w:name="page7"/>
    <w:bookmarkEnd w:id="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units issued in our IPO, each of which is exercisable for three-quarters of one share of Class A common stock, in accordance with its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Agreements</w:t>
      </w:r>
      <w:r>
        <w:rPr>
          <w:rFonts w:ascii="Arial" w:cs="Arial" w:eastAsia="Arial" w:hAnsi="Arial"/>
          <w:sz w:val="18"/>
          <w:szCs w:val="18"/>
          <w:color w:val="auto"/>
        </w:rPr>
        <w:t>” means, collectively, the Shareholder Agreements, the Subscription Agreements and the Support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2017 EIP, 2021 EIP or pursuant to the Prior Merger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w:t>
      </w:r>
      <w:r>
        <w:rPr>
          <w:rFonts w:ascii="Arial" w:cs="Arial" w:eastAsia="Arial" w:hAnsi="Arial"/>
          <w:sz w:val="18"/>
          <w:szCs w:val="18"/>
          <w:color w:val="auto"/>
        </w:rPr>
        <w:t>” means the merger of HoldCo, as the surviving corporation in the First Merger, with and into Merger Sub II, with Merger Sub II as the surviving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Agreements</w:t>
      </w:r>
      <w:r>
        <w:rPr>
          <w:rFonts w:ascii="Arial" w:cs="Arial" w:eastAsia="Arial" w:hAnsi="Arial"/>
          <w:sz w:val="18"/>
          <w:szCs w:val="18"/>
          <w:color w:val="auto"/>
        </w:rPr>
        <w:t>” means, collectively, those certain shareholder agreements entered into on January 14, 2022, between the Company and OPKO and the Lock-Up Holders, pursuant to which OPKO and the Lock-Up Holders have agreed, among other things, to certain transfer restrictions in respect of the shares of Class A common stock issues and to be issued pursuant to the Merger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Sarbanes-Oxley Act</w:t>
      </w:r>
      <w:r>
        <w:rPr>
          <w:rFonts w:ascii="Arial" w:cs="Arial" w:eastAsia="Arial" w:hAnsi="Arial"/>
          <w:sz w:val="18"/>
          <w:szCs w:val="18"/>
          <w:color w:val="auto"/>
        </w:rPr>
        <w:t>” or “</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Stockholders</w:t>
      </w:r>
      <w:r>
        <w:rPr>
          <w:rFonts w:ascii="Arial" w:cs="Arial" w:eastAsia="Arial" w:hAnsi="Arial"/>
          <w:sz w:val="18"/>
          <w:szCs w:val="18"/>
          <w:color w:val="auto"/>
        </w:rPr>
        <w:t>” means the selling stockholders named in this prospectus.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Consideration Shares</w:t>
      </w:r>
      <w:r>
        <w:rPr>
          <w:rFonts w:ascii="Arial" w:cs="Arial" w:eastAsia="Arial" w:hAnsi="Arial"/>
          <w:sz w:val="18"/>
          <w:szCs w:val="18"/>
          <w:color w:val="auto"/>
        </w:rPr>
        <w:t>” means the 80 million shares of Class A common stock issued by the Company to OPKO at the Closing pursuant to the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w:t>
      </w:r>
      <w:r>
        <w:rPr>
          <w:rFonts w:ascii="Arial" w:cs="Arial" w:eastAsia="Arial" w:hAnsi="Arial"/>
          <w:sz w:val="18"/>
          <w:szCs w:val="18"/>
          <w:color w:val="auto"/>
        </w:rPr>
        <w:t>” means holders of shares of the Company’s Class A common stock.</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collectively, those certain subscription agreements entered into on January 14, 2022, between the Company and the PIPE Investors, pursuant to which such investors agreed to purchase the PIPE Shares in the PIPE Investment on the terms and subject to the conditions of the Subscription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7" w:name="page8"/>
    <w:bookmarkEnd w:id="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This prospectus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w:t>
      </w:r>
      <w:hyperlink w:anchor="page17">
        <w:r>
          <w:rPr>
            <w:rFonts w:ascii="Arial" w:cs="Arial" w:eastAsia="Arial" w:hAnsi="Arial"/>
            <w:sz w:val="17"/>
            <w:szCs w:val="17"/>
            <w:i w:val="1"/>
            <w:iCs w:val="1"/>
            <w:u w:val="single" w:color="auto"/>
            <w:color w:val="0000FF"/>
          </w:rPr>
          <w:t>Risk Factors</w:t>
        </w:r>
      </w:hyperlink>
      <w:r>
        <w:rPr>
          <w:rFonts w:ascii="Arial" w:cs="Arial" w:eastAsia="Arial" w:hAnsi="Arial"/>
          <w:sz w:val="17"/>
          <w:szCs w:val="17"/>
          <w:i w:val="1"/>
          <w:iCs w:val="1"/>
          <w:color w:val="auto"/>
        </w:rPr>
        <w:t>.</w:t>
      </w:r>
      <w:r>
        <w:rPr>
          <w:rFonts w:ascii="Arial" w:cs="Arial" w:eastAsia="Arial" w:hAnsi="Arial"/>
          <w:sz w:val="17"/>
          <w:szCs w:val="17"/>
          <w:color w:val="auto"/>
        </w:rPr>
        <w:t>”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1440" w:right="339" w:bottom="1440" w:gutter="0" w:footer="0" w:header="0"/>
        </w:sectPr>
      </w:pPr>
    </w:p>
    <w:bookmarkStart w:id="8" w:name="page9"/>
    <w:bookmarkEnd w:id="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3" w:lineRule="auto"/>
        <w:rPr>
          <w:rFonts w:ascii="Arial" w:cs="Arial" w:eastAsia="Arial" w:hAnsi="Arial"/>
          <w:sz w:val="18"/>
          <w:szCs w:val="18"/>
          <w:i w:val="1"/>
          <w:iCs w:val="1"/>
          <w:color w:val="0000FF"/>
        </w:rPr>
      </w:pPr>
      <w:hyperlink w:anchor="page78">
        <w:r>
          <w:rPr>
            <w:rFonts w:ascii="Arial" w:cs="Arial" w:eastAsia="Arial" w:hAnsi="Arial"/>
            <w:sz w:val="18"/>
            <w:szCs w:val="18"/>
            <w:color w:val="auto"/>
          </w:rPr>
          <w:t>Certain matters discussed in this prospectus, including matters discussed under the caption “</w:t>
        </w:r>
        <w:r>
          <w:rPr>
            <w:rFonts w:ascii="Arial" w:cs="Arial" w:eastAsia="Arial" w:hAnsi="Arial"/>
            <w:sz w:val="18"/>
            <w:szCs w:val="18"/>
            <w:i w:val="1"/>
            <w:iCs w:val="1"/>
            <w:u w:val="single" w:color="auto"/>
            <w:color w:val="0000FF"/>
          </w:rPr>
          <w:t>Management’s Discussion and Analysis of Financial Condition</w:t>
        </w:r>
      </w:hyperlink>
      <w:r>
        <w:rPr>
          <w:rFonts w:ascii="Arial" w:cs="Arial" w:eastAsia="Arial" w:hAnsi="Arial"/>
          <w:sz w:val="18"/>
          <w:szCs w:val="18"/>
          <w:color w:val="auto"/>
        </w:rPr>
        <w:t xml:space="preserve"> </w:t>
      </w:r>
      <w:hyperlink w:anchor="page78">
        <w:r>
          <w:rPr>
            <w:rFonts w:ascii="Arial" w:cs="Arial" w:eastAsia="Arial" w:hAnsi="Arial"/>
            <w:sz w:val="18"/>
            <w:szCs w:val="18"/>
            <w:i w:val="1"/>
            <w:iCs w:val="1"/>
            <w:u w:val="single" w:color="auto"/>
            <w:color w:val="0000FF"/>
          </w:rPr>
          <w:t>and Results of Operations</w:t>
        </w:r>
        <w:r>
          <w:rPr>
            <w:rFonts w:ascii="Arial" w:cs="Arial" w:eastAsia="Arial" w:hAnsi="Arial"/>
            <w:sz w:val="18"/>
            <w:szCs w:val="18"/>
            <w:color w:val="000000"/>
          </w:rPr>
          <w:t>” may constitute forward-looking statements for purposes of the Securities Act of 1933, as amended (the “Securities Act”), and</w:t>
        </w:r>
      </w:hyperlink>
      <w:r>
        <w:rPr>
          <w:rFonts w:ascii="Arial" w:cs="Arial" w:eastAsia="Arial" w:hAnsi="Arial"/>
          <w:sz w:val="18"/>
          <w:szCs w:val="18"/>
          <w:i w:val="1"/>
          <w:iCs w:val="1"/>
          <w:color w:val="0000FF"/>
        </w:rPr>
        <w:t xml:space="preserve"> </w:t>
      </w:r>
      <w:r>
        <w:rPr>
          <w:rFonts w:ascii="Arial" w:cs="Arial" w:eastAsia="Arial" w:hAnsi="Arial"/>
          <w:sz w:val="18"/>
          <w:szCs w:val="18"/>
          <w:color w:val="000000"/>
        </w:rPr>
        <w:t xml:space="preserve">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w:t>
      </w:r>
      <w:hyperlink w:anchor="page78">
        <w:r>
          <w:rPr>
            <w:rFonts w:ascii="Arial" w:cs="Arial" w:eastAsia="Arial" w:hAnsi="Arial"/>
            <w:sz w:val="18"/>
            <w:szCs w:val="18"/>
            <w:color w:val="000000"/>
          </w:rPr>
          <w:t>variety of factors, including, without limitation, those discussed in the sections entitled “</w:t>
        </w:r>
        <w:r>
          <w:rPr>
            <w:rFonts w:ascii="Arial" w:cs="Arial" w:eastAsia="Arial" w:hAnsi="Arial"/>
            <w:sz w:val="18"/>
            <w:szCs w:val="18"/>
            <w:i w:val="1"/>
            <w:iCs w:val="1"/>
            <w:u w:val="single" w:color="auto"/>
            <w:color w:val="0000FF"/>
          </w:rPr>
          <w:t>Risk Factors</w:t>
        </w:r>
        <w:r>
          <w:rPr>
            <w:rFonts w:ascii="Arial" w:cs="Arial" w:eastAsia="Arial" w:hAnsi="Arial"/>
            <w:sz w:val="18"/>
            <w:szCs w:val="18"/>
            <w:color w:val="000000"/>
          </w:rPr>
          <w:t>,” “</w:t>
        </w:r>
        <w:r>
          <w:rPr>
            <w:rFonts w:ascii="Arial" w:cs="Arial" w:eastAsia="Arial" w:hAnsi="Arial"/>
            <w:sz w:val="18"/>
            <w:szCs w:val="18"/>
            <w:i w:val="1"/>
            <w:iCs w:val="1"/>
            <w:u w:val="single" w:color="auto"/>
            <w:color w:val="0000FF"/>
          </w:rPr>
          <w:t>Management’s Discussion and Analysis of</w:t>
        </w:r>
      </w:hyperlink>
      <w:r>
        <w:rPr>
          <w:rFonts w:ascii="Arial" w:cs="Arial" w:eastAsia="Arial" w:hAnsi="Arial"/>
          <w:sz w:val="18"/>
          <w:szCs w:val="18"/>
          <w:color w:val="000000"/>
        </w:rPr>
        <w:t xml:space="preserve"> </w:t>
      </w:r>
      <w:hyperlink w:anchor="page78">
        <w:r>
          <w:rPr>
            <w:rFonts w:ascii="Arial" w:cs="Arial" w:eastAsia="Arial" w:hAnsi="Arial"/>
            <w:sz w:val="18"/>
            <w:szCs w:val="18"/>
            <w:i w:val="1"/>
            <w:iCs w:val="1"/>
            <w:u w:val="single" w:color="auto"/>
            <w:color w:val="0000FF"/>
          </w:rPr>
          <w:t>Financial Condition and Results of Operations</w:t>
        </w:r>
        <w:r>
          <w:rPr>
            <w:rFonts w:ascii="Arial" w:cs="Arial" w:eastAsia="Arial" w:hAnsi="Arial"/>
            <w:sz w:val="18"/>
            <w:szCs w:val="18"/>
            <w:color w:val="000000"/>
          </w:rPr>
          <w:t>” and elsewhere in this prospectus, as well as other factors which may be identified from time to time in our</w:t>
        </w:r>
      </w:hyperlink>
      <w:r>
        <w:rPr>
          <w:rFonts w:ascii="Arial" w:cs="Arial" w:eastAsia="Arial" w:hAnsi="Arial"/>
          <w:sz w:val="18"/>
          <w:szCs w:val="18"/>
          <w:i w:val="1"/>
          <w:iCs w:val="1"/>
          <w:color w:val="0000FF"/>
        </w:rPr>
        <w:t xml:space="preserve"> </w:t>
      </w:r>
      <w:r>
        <w:rPr>
          <w:rFonts w:ascii="Arial" w:cs="Arial" w:eastAsia="Arial" w:hAnsi="Arial"/>
          <w:sz w:val="18"/>
          <w:szCs w:val="18"/>
          <w:color w:val="000000"/>
        </w:rPr>
        <w:t>other filings with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8" w:lineRule="exact"/>
        <w:rPr>
          <w:rFonts w:ascii="Arial" w:cs="Arial" w:eastAsia="Arial" w:hAnsi="Arial"/>
          <w:sz w:val="18"/>
          <w:szCs w:val="18"/>
          <w:i w:val="1"/>
          <w:iCs w:val="1"/>
          <w:color w:val="0000FF"/>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the benefits expected from the Acquisition and the other transactions contemplated by the Merger Agreement and the related PIPE Investment;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expected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 to expand our research and development and manufacturing capabilities;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including supply chain interruptions and manufacturing constraints, arising from or related to COVID-19;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or ability to enter into service, collaboration and other partnership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scale market and sell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actions or authorizations by the U.S. Food and Drug Administration (the “FDA”) or other regulatory authorities;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governmental regulation and other legal obligations, including privacy, data protection, information security, consumer protection, and anti-corruption and anti-bribery;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compete against existing and emerging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third-party payor reimbursement and coverage decisions;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reliance on third-party laboratories and service providers for our test volume in connection with our diagnostic solutions and data programs;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for future capital requirements;</w:t>
      </w:r>
    </w:p>
    <w:p>
      <w:pPr>
        <w:spacing w:after="0" w:line="200" w:lineRule="exact"/>
        <w:rPr>
          <w:rFonts w:ascii="Arial" w:cs="Arial" w:eastAsia="Arial" w:hAnsi="Arial"/>
          <w:sz w:val="18"/>
          <w:szCs w:val="18"/>
          <w:i w:val="1"/>
          <w:iCs w:val="1"/>
          <w:color w:val="0000FF"/>
        </w:rPr>
      </w:pPr>
    </w:p>
    <w:p>
      <w:pPr>
        <w:spacing w:after="0" w:line="200" w:lineRule="exact"/>
        <w:rPr>
          <w:rFonts w:ascii="Arial" w:cs="Arial" w:eastAsia="Arial" w:hAnsi="Arial"/>
          <w:sz w:val="18"/>
          <w:szCs w:val="18"/>
          <w:i w:val="1"/>
          <w:iCs w:val="1"/>
          <w:color w:val="0000FF"/>
        </w:rPr>
      </w:pPr>
    </w:p>
    <w:p>
      <w:pPr>
        <w:spacing w:after="0" w:line="200" w:lineRule="exact"/>
        <w:rPr>
          <w:rFonts w:ascii="Arial" w:cs="Arial" w:eastAsia="Arial" w:hAnsi="Arial"/>
          <w:sz w:val="18"/>
          <w:szCs w:val="18"/>
          <w:i w:val="1"/>
          <w:iCs w:val="1"/>
          <w:color w:val="0000FF"/>
        </w:rPr>
      </w:pPr>
    </w:p>
    <w:p>
      <w:pPr>
        <w:spacing w:after="0" w:line="200" w:lineRule="exact"/>
        <w:rPr>
          <w:rFonts w:ascii="Arial" w:cs="Arial" w:eastAsia="Arial" w:hAnsi="Arial"/>
          <w:sz w:val="18"/>
          <w:szCs w:val="18"/>
          <w:i w:val="1"/>
          <w:iCs w:val="1"/>
          <w:color w:val="0000FF"/>
        </w:rPr>
      </w:pPr>
    </w:p>
    <w:p>
      <w:pPr>
        <w:spacing w:after="0" w:line="289" w:lineRule="exact"/>
        <w:rPr>
          <w:rFonts w:ascii="Arial" w:cs="Arial" w:eastAsia="Arial" w:hAnsi="Arial"/>
          <w:sz w:val="18"/>
          <w:szCs w:val="18"/>
          <w:i w:val="1"/>
          <w:iCs w:val="1"/>
          <w:color w:val="0000FF"/>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hyperlink w:anchor="page17">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forward-looking statements contained in this prospectus reflect our views and assumptions only as of the date of this prospectus. Except as required by law, we assume no responsibility for updating any forward-looking statements.</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spacing w:after="0" w:line="275" w:lineRule="auto"/>
        <w:rPr>
          <w:rFonts w:ascii="Arial" w:cs="Arial" w:eastAsia="Arial" w:hAnsi="Arial"/>
          <w:sz w:val="17"/>
          <w:szCs w:val="17"/>
          <w:i w:val="1"/>
          <w:iCs w:val="1"/>
          <w:color w:val="0000FF"/>
        </w:rPr>
      </w:pPr>
      <w:r>
        <w:rPr>
          <w:rFonts w:ascii="Arial" w:cs="Arial" w:eastAsia="Arial" w:hAnsi="Arial"/>
          <w:sz w:val="17"/>
          <w:szCs w:val="17"/>
          <w:color w:val="auto"/>
        </w:rPr>
        <w:t xml:space="preserve">The following summary highlights information contained in greater details elsewhere in this prospectus. This summary is not complete and does not contain all of the information you should consider in making your investment decision. You should read the entire prospectus carefully before making an investment in our Class A common stock. You should carefully consider, among other things, our </w:t>
      </w:r>
      <w:hyperlink w:anchor="page78">
        <w:r>
          <w:rPr>
            <w:rFonts w:ascii="Arial" w:cs="Arial" w:eastAsia="Arial" w:hAnsi="Arial"/>
            <w:sz w:val="17"/>
            <w:szCs w:val="17"/>
            <w:color w:val="auto"/>
          </w:rPr>
          <w:t>financial statements and related notes and the sections titled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and “</w:t>
        </w:r>
        <w:r>
          <w:rPr>
            <w:rFonts w:ascii="Arial" w:cs="Arial" w:eastAsia="Arial" w:hAnsi="Arial"/>
            <w:sz w:val="17"/>
            <w:szCs w:val="17"/>
            <w:i w:val="1"/>
            <w:iCs w:val="1"/>
            <w:u w:val="single" w:color="auto"/>
            <w:color w:val="0000FF"/>
          </w:rPr>
          <w:t>Management’s Discussion and Analysis of Financial</w:t>
        </w:r>
      </w:hyperlink>
      <w:r>
        <w:rPr>
          <w:rFonts w:ascii="Arial" w:cs="Arial" w:eastAsia="Arial" w:hAnsi="Arial"/>
          <w:sz w:val="17"/>
          <w:szCs w:val="17"/>
          <w:color w:val="auto"/>
        </w:rPr>
        <w:t xml:space="preserve"> </w:t>
      </w:r>
      <w:hyperlink w:anchor="page78">
        <w:r>
          <w:rPr>
            <w:rFonts w:ascii="Arial" w:cs="Arial" w:eastAsia="Arial" w:hAnsi="Arial"/>
            <w:sz w:val="17"/>
            <w:szCs w:val="17"/>
            <w:i w:val="1"/>
            <w:iCs w:val="1"/>
            <w:u w:val="single" w:color="auto"/>
            <w:color w:val="0000FF"/>
          </w:rPr>
          <w:t>Condition and Results of Operations</w:t>
        </w:r>
        <w:r>
          <w:rPr>
            <w:rFonts w:ascii="Arial" w:cs="Arial" w:eastAsia="Arial" w:hAnsi="Arial"/>
            <w:sz w:val="17"/>
            <w:szCs w:val="17"/>
            <w:color w:val="000000"/>
          </w:rPr>
          <w:t>” included elsewhere in this prospectus.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patient-centered, health intelligence company with a mission to use artificial intelligence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(the “U.S.”) in areas such as reproductive health (“Women’s Health”), population health, and oncology (“Oncology”), we are reimbursed by payors, providers, and patients for providing these services. In collaboration with pharmaceutical and biotech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900"/>
          </w:cols>
          <w:pgMar w:left="100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Sema4 was established out of the Mount Sinai Health System (which we refer to together with its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 genomics and information platforms, and intend to continue to expand our scale and reach through organic and inorganic growth.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2011, rare diseases, which is estimated to cost the U.S. healthcare system over $400 billion annually, and cardiovascular disease, where direct medical spend represents approximately $200 billion annually.</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(“API”) layer.</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(“EMR”) data, totaling 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partner. Learning from our long-standing relationship with Mount Sinai, we have refined a health system engagement model that is both operational and economic and designed to maximize both our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On April 29, 2022, we consummated the transactions contemplated by the Merger Agreement, whereby we acquired GeneDx through the Mergers and paid OPKO $150 million of Cash Consideration and issued to OPKO 80 million of Stock Consideration Shares. Concurrently with the Closing, we also consummated the PIPE Investment, issuing 50 million PIPE Shares for aggregate gross proceeds of $200 million. We have filed the registration statement to which this prospectus relates to satisfy certain registration rights obligations we have to the Selling Stockholders in respect of the Stock Consideration Shares, the Milestone Shares and the PIPE Shares.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Legacy Sema4 pursuant to the Prior Merger Agreement. In connection with the Business Combination, CMLS changed its name to Sema4 Holdings Corp. (“Sema4 Holdings”).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jc w:val="both"/>
        <w:ind w:right="20"/>
        <w:spacing w:after="0" w:line="259" w:lineRule="auto"/>
        <w:rPr>
          <w:rFonts w:ascii="Arial" w:cs="Arial" w:eastAsia="Arial" w:hAnsi="Arial"/>
          <w:sz w:val="18"/>
          <w:szCs w:val="18"/>
          <w:color w:val="auto"/>
        </w:rPr>
      </w:pPr>
      <w:r>
        <w:rPr>
          <w:rFonts w:ascii="Arial" w:cs="Arial" w:eastAsia="Arial" w:hAnsi="Arial"/>
          <w:sz w:val="18"/>
          <w:szCs w:val="18"/>
          <w:color w:val="auto"/>
        </w:rPr>
        <w:t>In evaluating an investment in our securities, investors should carefully read the risks described below, this prospectus and especially consider the factors discussed in the section entitled “</w:t>
      </w:r>
      <w:hyperlink w:anchor="page17">
        <w:r>
          <w:rPr>
            <w:rFonts w:ascii="Arial" w:cs="Arial" w:eastAsia="Arial" w:hAnsi="Arial"/>
            <w:sz w:val="18"/>
            <w:szCs w:val="18"/>
            <w:i w:val="1"/>
            <w:iCs w:val="1"/>
            <w:u w:val="single" w:color="auto"/>
            <w:color w:val="0000FF"/>
          </w:rPr>
          <w:t>Risk Factors</w:t>
        </w:r>
      </w:hyperlink>
      <w:r>
        <w:rPr>
          <w:rFonts w:ascii="Arial" w:cs="Arial" w:eastAsia="Arial" w:hAnsi="Arial"/>
          <w:sz w:val="18"/>
          <w:szCs w:val="18"/>
          <w:color w:val="auto"/>
        </w:rPr>
        <w:t>.” If any of the following events occur, our business, financial condition and operating results may be materially adversely affected. In that event, the trading price of our securities could decline, and you could lose all or part of your investment. Such risks include, but are not limited to:</w:t>
      </w:r>
    </w:p>
    <w:p>
      <w:pPr>
        <w:spacing w:after="0" w:line="133" w:lineRule="exact"/>
        <w:rPr>
          <w:sz w:val="20"/>
          <w:szCs w:val="20"/>
          <w:color w:val="auto"/>
        </w:rPr>
      </w:pPr>
    </w:p>
    <w:p>
      <w:pPr>
        <w:ind w:left="64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w:t>
      </w:r>
    </w:p>
    <w:p>
      <w:pPr>
        <w:spacing w:after="0" w:line="116" w:lineRule="exact"/>
        <w:rPr>
          <w:rFonts w:ascii="Arial" w:cs="Arial" w:eastAsia="Arial" w:hAnsi="Arial"/>
          <w:sz w:val="18"/>
          <w:szCs w:val="18"/>
          <w:color w:val="auto"/>
        </w:rPr>
      </w:pPr>
    </w:p>
    <w:p>
      <w:pPr>
        <w:ind w:left="960" w:hanging="318"/>
        <w:spacing w:after="0" w:line="277"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further materially and adversely affect our business and financial results.</w:t>
      </w:r>
    </w:p>
    <w:p>
      <w:pPr>
        <w:spacing w:after="0" w:line="116" w:lineRule="exact"/>
        <w:rPr>
          <w:rFonts w:ascii="Arial" w:cs="Arial" w:eastAsia="Arial" w:hAnsi="Arial"/>
          <w:sz w:val="18"/>
          <w:szCs w:val="18"/>
          <w:color w:val="auto"/>
        </w:rPr>
      </w:pPr>
    </w:p>
    <w:p>
      <w:pPr>
        <w:ind w:left="960" w:right="20" w:hanging="318"/>
        <w:spacing w:after="0" w:line="277"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users, we may not remain competitive, which could harm our business and operating results.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42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520" w:right="20" w:hanging="318"/>
        <w:spacing w:after="0" w:line="311" w:lineRule="auto"/>
        <w:tabs>
          <w:tab w:leader="none" w:pos="53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94" w:lineRule="exact"/>
        <w:rPr>
          <w:rFonts w:ascii="Arial" w:cs="Arial" w:eastAsia="Arial" w:hAnsi="Arial"/>
          <w:sz w:val="16"/>
          <w:szCs w:val="16"/>
          <w:color w:val="auto"/>
        </w:rPr>
      </w:pPr>
    </w:p>
    <w:p>
      <w:pPr>
        <w:ind w:left="520" w:right="20" w:hanging="318"/>
        <w:spacing w:after="0" w:line="277"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with the development and commercialization of our databases and our health information and genomic platforms.</w:t>
      </w:r>
    </w:p>
    <w:p>
      <w:pPr>
        <w:spacing w:after="0" w:line="116" w:lineRule="exact"/>
        <w:rPr>
          <w:rFonts w:ascii="Arial" w:cs="Arial" w:eastAsia="Arial" w:hAnsi="Arial"/>
          <w:sz w:val="18"/>
          <w:szCs w:val="18"/>
          <w:color w:val="auto"/>
        </w:rPr>
      </w:pPr>
    </w:p>
    <w:p>
      <w:pPr>
        <w:ind w:left="520" w:right="20" w:hanging="318"/>
        <w:spacing w:after="0" w:line="277" w:lineRule="auto"/>
        <w:tabs>
          <w:tab w:leader="none" w:pos="53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116" w:lineRule="exact"/>
        <w:rPr>
          <w:rFonts w:ascii="Arial" w:cs="Arial" w:eastAsia="Arial" w:hAnsi="Arial"/>
          <w:sz w:val="18"/>
          <w:szCs w:val="18"/>
          <w:color w:val="auto"/>
        </w:rPr>
      </w:pPr>
    </w:p>
    <w:p>
      <w:pPr>
        <w:jc w:val="both"/>
        <w:ind w:left="520" w:right="20" w:hanging="318"/>
        <w:spacing w:after="0" w:line="263" w:lineRule="auto"/>
        <w:tabs>
          <w:tab w:leader="none" w:pos="53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29" w:lineRule="exact"/>
        <w:rPr>
          <w:rFonts w:ascii="Arial" w:cs="Arial" w:eastAsia="Arial" w:hAnsi="Arial"/>
          <w:sz w:val="18"/>
          <w:szCs w:val="18"/>
          <w:color w:val="auto"/>
        </w:rPr>
      </w:pPr>
    </w:p>
    <w:p>
      <w:pPr>
        <w:jc w:val="both"/>
        <w:ind w:left="520" w:hanging="318"/>
        <w:spacing w:after="0" w:line="263" w:lineRule="auto"/>
        <w:tabs>
          <w:tab w:leader="none" w:pos="54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29" w:lineRule="exact"/>
        <w:rPr>
          <w:rFonts w:ascii="Arial" w:cs="Arial" w:eastAsia="Arial" w:hAnsi="Arial"/>
          <w:sz w:val="18"/>
          <w:szCs w:val="18"/>
          <w:color w:val="auto"/>
        </w:rPr>
      </w:pPr>
    </w:p>
    <w:p>
      <w:pPr>
        <w:ind w:left="520" w:hanging="318"/>
        <w:spacing w:after="0" w:line="342" w:lineRule="auto"/>
        <w:tabs>
          <w:tab w:leader="none" w:pos="53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69" w:lineRule="exact"/>
        <w:rPr>
          <w:rFonts w:ascii="Arial" w:cs="Arial" w:eastAsia="Arial" w:hAnsi="Arial"/>
          <w:sz w:val="16"/>
          <w:szCs w:val="16"/>
          <w:color w:val="auto"/>
        </w:rPr>
      </w:pPr>
    </w:p>
    <w:p>
      <w:pPr>
        <w:jc w:val="both"/>
        <w:ind w:left="520" w:hanging="318"/>
        <w:spacing w:after="0" w:line="259" w:lineRule="auto"/>
        <w:tabs>
          <w:tab w:leader="none" w:pos="53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32" w:lineRule="exact"/>
        <w:rPr>
          <w:rFonts w:ascii="Arial" w:cs="Arial" w:eastAsia="Arial" w:hAnsi="Arial"/>
          <w:sz w:val="18"/>
          <w:szCs w:val="18"/>
          <w:color w:val="auto"/>
        </w:rPr>
      </w:pPr>
    </w:p>
    <w:p>
      <w:pPr>
        <w:jc w:val="both"/>
        <w:ind w:left="520" w:right="20" w:hanging="318"/>
        <w:spacing w:after="0" w:line="263"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29" w:lineRule="exact"/>
        <w:rPr>
          <w:rFonts w:ascii="Arial" w:cs="Arial" w:eastAsia="Arial" w:hAnsi="Arial"/>
          <w:sz w:val="18"/>
          <w:szCs w:val="18"/>
          <w:color w:val="auto"/>
        </w:rPr>
      </w:pPr>
    </w:p>
    <w:p>
      <w:pPr>
        <w:ind w:left="520" w:right="20" w:hanging="318"/>
        <w:spacing w:after="0" w:line="277"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116" w:lineRule="exact"/>
        <w:rPr>
          <w:rFonts w:ascii="Arial" w:cs="Arial" w:eastAsia="Arial" w:hAnsi="Arial"/>
          <w:sz w:val="18"/>
          <w:szCs w:val="18"/>
          <w:color w:val="auto"/>
        </w:rPr>
      </w:pPr>
    </w:p>
    <w:p>
      <w:pPr>
        <w:jc w:val="both"/>
        <w:ind w:left="520" w:hanging="318"/>
        <w:spacing w:after="0" w:line="286"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11" w:lineRule="exact"/>
        <w:rPr>
          <w:rFonts w:ascii="Arial" w:cs="Arial" w:eastAsia="Arial" w:hAnsi="Arial"/>
          <w:sz w:val="17"/>
          <w:szCs w:val="17"/>
          <w:color w:val="auto"/>
        </w:rPr>
      </w:pPr>
    </w:p>
    <w:p>
      <w:pPr>
        <w:ind w:left="520" w:right="20" w:hanging="318"/>
        <w:spacing w:after="0" w:line="277"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116" w:lineRule="exact"/>
        <w:rPr>
          <w:rFonts w:ascii="Arial" w:cs="Arial" w:eastAsia="Arial" w:hAnsi="Arial"/>
          <w:sz w:val="18"/>
          <w:szCs w:val="18"/>
          <w:color w:val="auto"/>
        </w:rPr>
      </w:pPr>
    </w:p>
    <w:p>
      <w:pPr>
        <w:jc w:val="both"/>
        <w:ind w:left="520" w:right="20" w:hanging="318"/>
        <w:spacing w:after="0" w:line="263" w:lineRule="auto"/>
        <w:tabs>
          <w:tab w:leader="none" w:pos="557"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129" w:lineRule="exact"/>
        <w:rPr>
          <w:rFonts w:ascii="Arial" w:cs="Arial" w:eastAsia="Arial" w:hAnsi="Arial"/>
          <w:sz w:val="18"/>
          <w:szCs w:val="18"/>
          <w:color w:val="auto"/>
        </w:rPr>
      </w:pPr>
    </w:p>
    <w:p>
      <w:pPr>
        <w:ind w:left="520" w:hanging="318"/>
        <w:spacing w:after="0" w:line="277"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make significant investments in our continued research and development of new products and services, which may not be successful.</w:t>
      </w:r>
    </w:p>
    <w:p>
      <w:pPr>
        <w:spacing w:after="0" w:line="116" w:lineRule="exact"/>
        <w:rPr>
          <w:rFonts w:ascii="Arial" w:cs="Arial" w:eastAsia="Arial" w:hAnsi="Arial"/>
          <w:sz w:val="18"/>
          <w:szCs w:val="18"/>
          <w:color w:val="auto"/>
        </w:rPr>
      </w:pPr>
    </w:p>
    <w:p>
      <w:pPr>
        <w:jc w:val="both"/>
        <w:ind w:left="520" w:hanging="318"/>
        <w:spacing w:after="0" w:line="257" w:lineRule="auto"/>
        <w:tabs>
          <w:tab w:leader="none" w:pos="51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ectPr>
          <w:pgSz w:w="11900" w:h="16838" w:orient="portrait"/>
          <w:cols w:equalWidth="0" w:num="1">
            <w:col w:w="9460"/>
          </w:cols>
          <w:pgMar w:left="144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460"/>
          </w:cols>
          <w:pgMar w:left="144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third-party laboratories to perform certain elements of our service offerings.</w:t>
      </w:r>
    </w:p>
    <w:p>
      <w:pPr>
        <w:spacing w:after="0" w:line="171" w:lineRule="exact"/>
        <w:rPr>
          <w:rFonts w:ascii="Arial" w:cs="Arial" w:eastAsia="Arial" w:hAnsi="Arial"/>
          <w:sz w:val="18"/>
          <w:szCs w:val="18"/>
          <w:color w:val="auto"/>
        </w:rPr>
      </w:pPr>
    </w:p>
    <w:p>
      <w:pPr>
        <w:ind w:left="960" w:right="20" w:hanging="318"/>
        <w:spacing w:after="0" w:line="277" w:lineRule="auto"/>
        <w:tabs>
          <w:tab w:leader="none" w:pos="956"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changes in FDA enforcement discretion for LDTs could subject our operations to much more significant regulatory requirements.</w:t>
      </w:r>
    </w:p>
    <w:p>
      <w:pPr>
        <w:spacing w:after="0" w:line="116" w:lineRule="exact"/>
        <w:rPr>
          <w:rFonts w:ascii="Arial" w:cs="Arial" w:eastAsia="Arial" w:hAnsi="Arial"/>
          <w:sz w:val="18"/>
          <w:szCs w:val="18"/>
          <w:color w:val="auto"/>
        </w:rPr>
      </w:pPr>
    </w:p>
    <w:p>
      <w:pPr>
        <w:jc w:val="both"/>
        <w:ind w:left="960" w:right="20" w:hanging="318"/>
        <w:spacing w:after="0" w:line="263" w:lineRule="auto"/>
        <w:tabs>
          <w:tab w:leader="none" w:pos="956"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29"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uncertainty related to healthcare reform, pricing, coverage and reimbursement, which could reduce our revenue.</w:t>
      </w:r>
    </w:p>
    <w:p>
      <w:pPr>
        <w:spacing w:after="0" w:line="194" w:lineRule="exact"/>
        <w:rPr>
          <w:rFonts w:ascii="Arial" w:cs="Arial" w:eastAsia="Arial" w:hAnsi="Arial"/>
          <w:sz w:val="16"/>
          <w:szCs w:val="16"/>
          <w:color w:val="auto"/>
        </w:rPr>
      </w:pPr>
    </w:p>
    <w:p>
      <w:pPr>
        <w:ind w:left="960" w:right="20" w:hanging="318"/>
        <w:spacing w:after="0" w:line="277" w:lineRule="auto"/>
        <w:tabs>
          <w:tab w:leader="none" w:pos="97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116" w:lineRule="exact"/>
        <w:rPr>
          <w:rFonts w:ascii="Arial" w:cs="Arial" w:eastAsia="Arial" w:hAnsi="Arial"/>
          <w:sz w:val="18"/>
          <w:szCs w:val="18"/>
          <w:color w:val="auto"/>
        </w:rPr>
      </w:pPr>
    </w:p>
    <w:p>
      <w:pPr>
        <w:jc w:val="both"/>
        <w:ind w:left="960" w:hanging="318"/>
        <w:spacing w:after="0" w:line="263" w:lineRule="auto"/>
        <w:tabs>
          <w:tab w:leader="none" w:pos="983"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29" w:lineRule="exact"/>
        <w:rPr>
          <w:rFonts w:ascii="Arial" w:cs="Arial" w:eastAsia="Arial" w:hAnsi="Arial"/>
          <w:sz w:val="18"/>
          <w:szCs w:val="18"/>
          <w:color w:val="auto"/>
        </w:rPr>
      </w:pPr>
    </w:p>
    <w:p>
      <w:pPr>
        <w:ind w:left="960" w:right="20" w:hanging="318"/>
        <w:spacing w:after="0" w:line="277" w:lineRule="auto"/>
        <w:tabs>
          <w:tab w:leader="none" w:pos="95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incur increased costs and demands on management as a result of compliance with laws and regulations applicable to public companies, which could harm our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 References herein to “emerging growth company” have the meaning associated with it in the JOBS Act.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Class A common stock</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Shares of Class A common stock offered by the Selling Stockholders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Terms of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-643890</wp:posOffset>
            </wp:positionV>
            <wp:extent cx="7136130" cy="4401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4401820"/>
                    </a:xfrm>
                    <a:prstGeom prst="rect">
                      <a:avLst/>
                    </a:prstGeom>
                    <a:noFill/>
                  </pic:spPr>
                </pic:pic>
              </a:graphicData>
            </a:graphic>
          </wp:anchor>
        </w:drawing>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Sema4 Holdings Corp.</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Up to 160,864,198 shares of Class A common stock, consisting of</w:t>
      </w:r>
    </w:p>
    <w:p>
      <w:pPr>
        <w:spacing w:after="0" w:line="21" w:lineRule="exact"/>
        <w:rPr>
          <w:sz w:val="20"/>
          <w:szCs w:val="20"/>
          <w:color w:val="auto"/>
        </w:rPr>
      </w:pPr>
    </w:p>
    <w:p>
      <w:pPr>
        <w:ind w:left="520" w:right="520" w:hanging="5"/>
        <w:spacing w:after="0" w:line="228" w:lineRule="auto"/>
        <w:tabs>
          <w:tab w:leader="none" w:pos="765"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80,000,000 Stock Consideration Shares; (b) up to 30,864,198 Milestone Shares; and (c) up to 50,000,000 PIPE Shares.</w:t>
      </w:r>
    </w:p>
    <w:p>
      <w:pPr>
        <w:spacing w:after="0" w:line="69" w:lineRule="exact"/>
        <w:rPr>
          <w:sz w:val="20"/>
          <w:szCs w:val="20"/>
          <w:color w:val="auto"/>
        </w:rPr>
      </w:pPr>
    </w:p>
    <w:p>
      <w:pPr>
        <w:ind w:left="520"/>
        <w:spacing w:after="0" w:line="224" w:lineRule="auto"/>
        <w:rPr>
          <w:sz w:val="20"/>
          <w:szCs w:val="20"/>
          <w:color w:val="auto"/>
        </w:rPr>
      </w:pPr>
      <w:r>
        <w:rPr>
          <w:rFonts w:ascii="Arial" w:cs="Arial" w:eastAsia="Arial" w:hAnsi="Arial"/>
          <w:sz w:val="18"/>
          <w:szCs w:val="18"/>
          <w:color w:val="auto"/>
        </w:rPr>
        <w:t>The Selling Stockholders will determine when and how they will dispose of the shares of Class A common stock registered under this prospectus for resale.</w:t>
      </w:r>
    </w:p>
    <w:p>
      <w:pPr>
        <w:spacing w:after="0" w:line="24" w:lineRule="exact"/>
        <w:rPr>
          <w:sz w:val="20"/>
          <w:szCs w:val="20"/>
          <w:color w:val="auto"/>
        </w:rPr>
      </w:pPr>
    </w:p>
    <w:p>
      <w:pPr>
        <w:sectPr>
          <w:pgSz w:w="11900" w:h="16838" w:orient="portrait"/>
          <w:cols w:equalWidth="0" w:num="2">
            <w:col w:w="3980" w:space="440"/>
            <w:col w:w="5420"/>
          </w:cols>
          <w:pgMar w:left="1020" w:top="1440" w:right="1039" w:bottom="1440" w:gutter="0" w:footer="0" w:header="0"/>
        </w:sect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20"/>
                <w:szCs w:val="20"/>
                <w:color w:val="auto"/>
              </w:rPr>
            </w:pPr>
            <w:r>
              <w:rPr>
                <w:rFonts w:ascii="Arial" w:cs="Arial" w:eastAsia="Arial" w:hAnsi="Arial"/>
                <w:sz w:val="18"/>
                <w:szCs w:val="18"/>
                <w:color w:val="auto"/>
              </w:rPr>
              <w:t>Use of proceeds</w:t>
            </w:r>
          </w:p>
        </w:tc>
        <w:tc>
          <w:tcPr>
            <w:tcW w:w="4860" w:type="dxa"/>
            <w:vAlign w:val="bottom"/>
            <w:gridSpan w:val="4"/>
          </w:tcPr>
          <w:p>
            <w:pPr>
              <w:spacing w:after="0"/>
              <w:rPr>
                <w:sz w:val="20"/>
                <w:szCs w:val="20"/>
                <w:color w:val="auto"/>
              </w:rPr>
            </w:pPr>
            <w:r>
              <w:rPr>
                <w:rFonts w:ascii="Arial" w:cs="Arial" w:eastAsia="Arial" w:hAnsi="Arial"/>
                <w:sz w:val="18"/>
                <w:szCs w:val="18"/>
                <w:color w:val="auto"/>
                <w:w w:val="89"/>
              </w:rPr>
              <w:t>We will not receive any proceeds from the sale of shares of Class A</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common stock by the Selling Stockholders.</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Lock-up restrictions</w:t>
            </w:r>
          </w:p>
        </w:tc>
        <w:tc>
          <w:tcPr>
            <w:tcW w:w="4860" w:type="dxa"/>
            <w:vAlign w:val="bottom"/>
            <w:gridSpan w:val="4"/>
          </w:tcPr>
          <w:p>
            <w:pPr>
              <w:spacing w:after="0"/>
              <w:rPr>
                <w:sz w:val="20"/>
                <w:szCs w:val="20"/>
                <w:color w:val="auto"/>
              </w:rPr>
            </w:pPr>
            <w:r>
              <w:rPr>
                <w:rFonts w:ascii="Arial" w:cs="Arial" w:eastAsia="Arial" w:hAnsi="Arial"/>
                <w:sz w:val="18"/>
                <w:szCs w:val="18"/>
                <w:color w:val="auto"/>
              </w:rPr>
              <w:t>Certain of our stockholders may still be subject to certain</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4860" w:type="dxa"/>
            <w:vAlign w:val="bottom"/>
            <w:gridSpan w:val="4"/>
          </w:tcPr>
          <w:p>
            <w:pPr>
              <w:spacing w:after="0" w:line="176" w:lineRule="exact"/>
              <w:rPr>
                <w:sz w:val="20"/>
                <w:szCs w:val="20"/>
                <w:color w:val="auto"/>
              </w:rPr>
            </w:pPr>
            <w:r>
              <w:rPr>
                <w:rFonts w:ascii="Arial" w:cs="Arial" w:eastAsia="Arial" w:hAnsi="Arial"/>
                <w:sz w:val="18"/>
                <w:szCs w:val="18"/>
                <w:color w:val="auto"/>
                <w:w w:val="95"/>
              </w:rPr>
              <w:t>restrictions on transfer until the termination of applicable lock-up</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4860" w:type="dxa"/>
            <w:vAlign w:val="bottom"/>
            <w:gridSpan w:val="4"/>
          </w:tcPr>
          <w:p>
            <w:pPr>
              <w:spacing w:after="0" w:line="189" w:lineRule="exact"/>
              <w:rPr>
                <w:rFonts w:ascii="Arial" w:cs="Arial" w:eastAsia="Arial" w:hAnsi="Arial"/>
                <w:sz w:val="18"/>
                <w:szCs w:val="18"/>
                <w:color w:val="auto"/>
              </w:rPr>
            </w:pPr>
            <w:hyperlink w:anchor="page148">
              <w:r>
                <w:rPr>
                  <w:rFonts w:ascii="Arial" w:cs="Arial" w:eastAsia="Arial" w:hAnsi="Arial"/>
                  <w:sz w:val="18"/>
                  <w:szCs w:val="18"/>
                  <w:color w:val="auto"/>
                </w:rPr>
                <w:t>periods. See “</w:t>
              </w:r>
              <w:r>
                <w:rPr>
                  <w:rFonts w:ascii="Arial" w:cs="Arial" w:eastAsia="Arial" w:hAnsi="Arial"/>
                  <w:sz w:val="18"/>
                  <w:szCs w:val="18"/>
                  <w:i w:val="1"/>
                  <w:iCs w:val="1"/>
                  <w:color w:val="0000FF"/>
                </w:rPr>
                <w:t>Certain Relationships and Related Person</w:t>
              </w:r>
            </w:hyperlink>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tcPr>
          <w:p>
            <w:pPr>
              <w:spacing w:after="0"/>
              <w:rPr>
                <w:sz w:val="13"/>
                <w:szCs w:val="13"/>
                <w:color w:val="auto"/>
              </w:rPr>
            </w:pPr>
          </w:p>
        </w:tc>
        <w:tc>
          <w:tcPr>
            <w:tcW w:w="4040" w:type="dxa"/>
            <w:vAlign w:val="bottom"/>
            <w:gridSpan w:val="3"/>
          </w:tcPr>
          <w:p>
            <w:pPr>
              <w:spacing w:after="0" w:line="156" w:lineRule="exact"/>
              <w:rPr>
                <w:rFonts w:ascii="Arial" w:cs="Arial" w:eastAsia="Arial" w:hAnsi="Arial"/>
                <w:sz w:val="18"/>
                <w:szCs w:val="18"/>
                <w:i w:val="1"/>
                <w:iCs w:val="1"/>
                <w:color w:val="0000FF"/>
              </w:rPr>
            </w:pPr>
            <w:hyperlink w:anchor="page148">
              <w:r>
                <w:rPr>
                  <w:rFonts w:ascii="Arial" w:cs="Arial" w:eastAsia="Arial" w:hAnsi="Arial"/>
                  <w:sz w:val="18"/>
                  <w:szCs w:val="18"/>
                  <w:i w:val="1"/>
                  <w:iCs w:val="1"/>
                  <w:color w:val="0000FF"/>
                </w:rPr>
                <w:t>Transactions</w:t>
              </w:r>
              <w:r>
                <w:rPr>
                  <w:rFonts w:ascii="Arial" w:cs="Arial" w:eastAsia="Arial" w:hAnsi="Arial"/>
                  <w:sz w:val="18"/>
                  <w:szCs w:val="18"/>
                  <w:color w:val="000000"/>
                </w:rPr>
                <w:t>.”</w:t>
              </w:r>
            </w:hyperlink>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Nasdaq symbols</w:t>
            </w:r>
          </w:p>
        </w:tc>
        <w:tc>
          <w:tcPr>
            <w:tcW w:w="920" w:type="dxa"/>
            <w:vAlign w:val="bottom"/>
            <w:shd w:val="clear" w:color="auto" w:fill="0000FF"/>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vMerge w:val="continue"/>
          </w:tcPr>
          <w:p>
            <w:pPr>
              <w:spacing w:after="0"/>
              <w:rPr>
                <w:sz w:val="21"/>
                <w:szCs w:val="21"/>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w w:val="94"/>
              </w:rPr>
              <w:t>Our Class A common stock and public warrants are listed on the</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w w:val="99"/>
              </w:rPr>
              <w:t>Nasdaq under the symbols SMFR and SMFRW, respectively.</w:t>
            </w:r>
          </w:p>
        </w:tc>
        <w:tc>
          <w:tcPr>
            <w:tcW w:w="0" w:type="dxa"/>
            <w:vAlign w:val="bottom"/>
          </w:tcPr>
          <w:p>
            <w:pPr>
              <w:spacing w:after="0"/>
              <w:rPr>
                <w:sz w:val="1"/>
                <w:szCs w:val="1"/>
                <w:color w:val="auto"/>
              </w:rPr>
            </w:pPr>
          </w:p>
        </w:tc>
      </w:tr>
    </w:tbl>
    <w:p>
      <w:pPr>
        <w:spacing w:after="0" w:line="48" w:lineRule="exact"/>
        <w:rPr>
          <w:sz w:val="20"/>
          <w:szCs w:val="20"/>
          <w:color w:val="auto"/>
        </w:rPr>
      </w:pPr>
    </w:p>
    <w:p>
      <w:pPr>
        <w:sectPr>
          <w:pgSz w:w="11900" w:h="16838" w:orient="portrait"/>
          <w:cols w:equalWidth="0" w:num="1">
            <w:col w:w="9840"/>
          </w:cols>
          <w:pgMar w:left="1020" w:top="1440" w:right="10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Risk factors</w:t>
      </w:r>
    </w:p>
    <w:p>
      <w:pPr>
        <w:spacing w:after="0" w:line="374"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Shares of Class A common stock outstanding as of April 29, 2022</w:t>
      </w:r>
    </w:p>
    <w:p>
      <w:pPr>
        <w:spacing w:after="0" w:line="20" w:lineRule="exact"/>
        <w:rPr>
          <w:sz w:val="20"/>
          <w:szCs w:val="20"/>
          <w:color w:val="auto"/>
        </w:rPr>
      </w:pPr>
      <w:r>
        <w:rPr>
          <w:sz w:val="20"/>
          <w:szCs w:val="20"/>
          <w:color w:val="auto"/>
        </w:rPr>
        <w:br w:type="column"/>
      </w:r>
    </w:p>
    <w:p>
      <w:pPr>
        <w:ind w:right="240"/>
        <w:spacing w:after="0" w:line="224" w:lineRule="auto"/>
        <w:rPr>
          <w:rFonts w:ascii="Arial" w:cs="Arial" w:eastAsia="Arial" w:hAnsi="Arial"/>
          <w:sz w:val="18"/>
          <w:szCs w:val="18"/>
          <w:color w:val="auto"/>
          <w:highlight w:val="white"/>
        </w:rPr>
      </w:pPr>
      <w:r>
        <w:rPr>
          <w:rFonts w:ascii="Arial" w:cs="Arial" w:eastAsia="Arial" w:hAnsi="Arial"/>
          <w:sz w:val="18"/>
          <w:szCs w:val="18"/>
          <w:color w:val="auto"/>
          <w:highlight w:val="white"/>
        </w:rPr>
        <w:t>See “</w:t>
      </w:r>
      <w:hyperlink w:anchor="page17">
        <w:r>
          <w:rPr>
            <w:rFonts w:ascii="Arial" w:cs="Arial" w:eastAsia="Arial" w:hAnsi="Arial"/>
            <w:sz w:val="18"/>
            <w:szCs w:val="18"/>
            <w:i w:val="1"/>
            <w:iCs w:val="1"/>
            <w:color w:val="0000FF"/>
          </w:rPr>
          <w:t>Risk Factors</w:t>
        </w:r>
      </w:hyperlink>
      <w:r>
        <w:rPr>
          <w:rFonts w:ascii="Arial" w:cs="Arial" w:eastAsia="Arial" w:hAnsi="Arial"/>
          <w:sz w:val="18"/>
          <w:szCs w:val="18"/>
          <w:color w:val="auto"/>
          <w:highlight w:val="white"/>
        </w:rPr>
        <w:t>” and other information included in this prospectus for a discussion of factors you should consider before investing in our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377,249,186</w:t>
      </w:r>
    </w:p>
    <w:p>
      <w:pPr>
        <w:spacing w:after="0" w:line="222" w:lineRule="exact"/>
        <w:rPr>
          <w:sz w:val="20"/>
          <w:szCs w:val="20"/>
          <w:color w:val="auto"/>
        </w:rPr>
      </w:pPr>
    </w:p>
    <w:p>
      <w:pPr>
        <w:sectPr>
          <w:pgSz w:w="11900" w:h="16838" w:orient="portrait"/>
          <w:cols w:equalWidth="0" w:num="2">
            <w:col w:w="4560" w:space="380"/>
            <w:col w:w="490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40"/>
          </w:cols>
          <w:pgMar w:left="1020" w:top="1440" w:right="1039" w:bottom="1440" w:gutter="0" w:footer="0" w:header="0"/>
          <w:type w:val="continuous"/>
        </w:sectPr>
      </w:pPr>
    </w:p>
    <w:bookmarkStart w:id="17" w:name="page18"/>
    <w:bookmarkEnd w:id="1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spacing w:after="0" w:line="270" w:lineRule="auto"/>
        <w:rPr>
          <w:rFonts w:ascii="Arial" w:cs="Arial" w:eastAsia="Arial" w:hAnsi="Arial"/>
          <w:sz w:val="17"/>
          <w:szCs w:val="17"/>
          <w:i w:val="1"/>
          <w:iCs w:val="1"/>
          <w:color w:val="0000FF"/>
        </w:rPr>
      </w:pPr>
      <w:r>
        <w:rPr>
          <w:rFonts w:ascii="Arial" w:cs="Arial" w:eastAsia="Arial" w:hAnsi="Arial"/>
          <w:sz w:val="17"/>
          <w:szCs w:val="17"/>
          <w:i w:val="1"/>
          <w:iCs w:val="1"/>
          <w:color w:val="auto"/>
        </w:rPr>
        <w:t xml:space="preserve">You should carefully review and consider the following risk factors and the other information contained in this prospectus, including our financial </w:t>
      </w:r>
      <w:hyperlink w:anchor="page78">
        <w:r>
          <w:rPr>
            <w:rFonts w:ascii="Arial" w:cs="Arial" w:eastAsia="Arial" w:hAnsi="Arial"/>
            <w:sz w:val="17"/>
            <w:szCs w:val="17"/>
            <w:i w:val="1"/>
            <w:iCs w:val="1"/>
            <w:color w:val="auto"/>
          </w:rPr>
          <w:t xml:space="preserve">statements and notes to the financial statements and the section titled “ </w:t>
        </w:r>
        <w:r>
          <w:rPr>
            <w:rFonts w:ascii="Arial" w:cs="Arial" w:eastAsia="Arial" w:hAnsi="Arial"/>
            <w:sz w:val="17"/>
            <w:szCs w:val="17"/>
            <w:i w:val="1"/>
            <w:iCs w:val="1"/>
            <w:u w:val="single" w:color="auto"/>
            <w:color w:val="0000FF"/>
          </w:rPr>
          <w:t>Management’s Discussion and Analysis of Financial Condition and Results of</w:t>
        </w:r>
      </w:hyperlink>
      <w:r>
        <w:rPr>
          <w:rFonts w:ascii="Arial" w:cs="Arial" w:eastAsia="Arial" w:hAnsi="Arial"/>
          <w:sz w:val="17"/>
          <w:szCs w:val="17"/>
          <w:i w:val="1"/>
          <w:iCs w:val="1"/>
          <w:color w:val="auto"/>
        </w:rPr>
        <w:t xml:space="preserve"> </w:t>
      </w:r>
      <w:hyperlink w:anchor="page78">
        <w:r>
          <w:rPr>
            <w:rFonts w:ascii="Arial" w:cs="Arial" w:eastAsia="Arial" w:hAnsi="Arial"/>
            <w:sz w:val="17"/>
            <w:szCs w:val="17"/>
            <w:i w:val="1"/>
            <w:iCs w:val="1"/>
            <w:u w:val="single" w:color="auto"/>
            <w:color w:val="0000FF"/>
          </w:rPr>
          <w:t>Operations</w:t>
        </w:r>
        <w:r>
          <w:rPr>
            <w:rFonts w:ascii="Arial" w:cs="Arial" w:eastAsia="Arial" w:hAnsi="Arial"/>
            <w:sz w:val="17"/>
            <w:szCs w:val="17"/>
            <w:i w:val="1"/>
            <w:iCs w:val="1"/>
            <w:color w:val="000000"/>
          </w:rPr>
          <w:t>” in this prospectus, before deciding whether to invest in our Class A common stock. We cannot assure you that any of the events discussed</w:t>
        </w:r>
      </w:hyperlink>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Class A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affected and may further materially and adversely affect our business and financial results.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the territories in which we market, sell, distribute and perform our tests and performs our health information and data science services continue to address the COVID-19 pandemic in varying ways, including stay-at-home orders, temporarily closing businesses, restricting gatherings, restricting travel, and mandating social distancing, face coverings and proof of vaccination. Despite recent progress in the administration of vaccines, the future impact and the level and nature of the disruption caused by the COVID-19 pandemic continues to be unpredictable, may be cyclical and long-lasting and may vary from location to location, and the emergence of new variant strains of COVID-19, including Delta and Omicron, in regions that have reopened have necessitated, and may in the future necessitate, renewed government restrictions. As a result,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Throughout 2020 and 2021, both we and our partners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For example, a portion of our sales force has recommenced field-based interactions, although access to healthcare providers remains impaired and the industry continues to resume normal activities. Our business could be negatively affected in the future if it takes excessive, ineffective or inadequate precautions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82"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Some or all of our workforce, much of which continues to work remotely in an effort to reduce the spread of COVID-19, may be infected by the virus or otherwise distracted;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Class A common stock or other equity or equity-linked securities. If these market conditions persist when and if we need to raise capital, and if we are able to sell shares of our Class A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2020, we received $5.4 million as part of the stimulus, comprised of $2.6 million received under the Provider Relief Fund (“PRF”) distribution and $2.8 million received under the Employee Retention Credit (“ERC”)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distribution. In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2021 and December 31, 2020.</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Other companies or institutions may develop and market novel or improved technologies, which may make our technologies less competitive or obsolete.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41"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acceptance for and sales of our tests and services, which could prevent us from increasing or sustaining our revenues or achieving sustained profitability.</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experience with the development and commercialization of our databases and our health information and genomic platforms.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genomic medicine and health information analysis could reduce demand for our tests.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GeneDx’s Business and Operations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GeneDx needs to scale its infrastructure in advance of demand for its tests, and its failure to generate sufficient demand for its tests would have a negative impact on its business and its ability to attain profitability.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 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GeneDx is not able to continue to generate substantial demand of its tests, its commercial success will be negatively affected.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 awareness and demand for these products through its and, following completion of the Acquisition, Sema4’s sales and marketing operations.</w:t>
      </w:r>
    </w:p>
    <w:p>
      <w:pPr>
        <w:spacing w:after="0" w:line="10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GeneDx’s laboratories become inoperable due to disasters, health epidemics or for any other reasons, it will be unable to perform tests and its business will be harmed.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GeneDx performs all of its tests at its production facilities in Gaithersburg, Maryland. GeneDx’s laboratories and the equipment it uses to perform its tests would be costly to replace and could require substantial lead time to replace and qualify for use. GeneDx’s laboratories may be harmed or rendered inoperable by natural or man-made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and our founder, president and Chief Research &amp; Development Officer,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particular, in connection with the closing of the Acquisition, Dr. Schadt ceased serving as our Chief Executive Officer and we have not yet entered into a new employment contract with Dr. Schadt. We also do not carry key person insurance for any of our executives or employees.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president and Chief Research &amp; Development Officer, Eric Schadt, and certain other of our employees have performed, and will continue to perform, duties for or on behalf of Mount Sinai.</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founder, president and Chief Research &amp; Development Officer, Eric Schadt, and certain of our other employees continue to perform duties for or on behalf of the Mount Sinai Health System, which refer to together with its related entities as Mount Sinai. In the case of Dr. Schadt, in addition to serving as our president and Chief Research &amp; Development Officer and as a director, Dr. Schadt also serves as the Dean for Precision Medicine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professor at Icahn School of Medicine at Mount Sinai (“ISMMS”). We expect Dr. Schadt to continue to devote a substantial amount of time to the research and development responsibilities for our company while maintaining certain duties for Mount Sinai. Though we do not expect Dr. Schadt’s role as our president and Chief Research &amp; Development Officer and a director to conflict with his roles at Mount Sinai, there can be no guarantee that such conflicts will not occur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the development of future products and services. Accordingly, our business and financial results in the future could be adversely affected due to a variety of factors, including:</w:t>
      </w:r>
    </w:p>
    <w:p>
      <w:pPr>
        <w:spacing w:after="0" w:line="116" w:lineRule="exact"/>
        <w:rPr>
          <w:sz w:val="20"/>
          <w:szCs w:val="20"/>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(“FCPA”), its books and records provisions, or its anti-bribery provisions or laws similar to the FCPA in other jurisdictions in which we may in the future operate, such as the United Kingdom’s Bribery Act of 2010 and anti-bribery requirements of member states in the European Union (“EU”).</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business, financial condition, and results of operations, and we may not be able to find replacements or immediately transition to alternative products or service providers.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Amazon Web Services (“AWS”) and Google Cloud Platform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16" w:lineRule="exact"/>
        <w:rPr>
          <w:sz w:val="20"/>
          <w:szCs w:val="20"/>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ind w:left="66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estimated the sizes of the markets for our current and future products and services, and these markets may be smaller than we estimate.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addressable market for our products or services is smaller than we have estimated, it may impair our sales growth and have an adverse impact on our business.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achieve commercial success for our tests and our future products and services, we must continue to develop and grow our sales, marketing and medical affairs organizations to effectively explain to healthcare providers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December 31, 2021 and December 31, 2020, we have an accumulated deficit of approximately $575.4 million and $330.1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success in marketing and selling, and changes in demand for, our tests, and the level of reimbursement and collection obtained for such tests;</w:t>
      </w:r>
    </w:p>
    <w:p>
      <w:pPr>
        <w:spacing w:after="0" w:line="1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Sema4 has incurred net losses and negative cash flows from operations since its inception, including net losses of $245.4 million, $241.3 million and $29.7 million for the years ended December 31, 2021, 2020 and 2019, respectively. As of December 31, 2021, we had an accumulated deficit of $575.4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rate of progress in establishing payer coverage and reimbursement arrangements with commercial third-party payors and government payers;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products and services in research and early development;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December 31, 2021.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24"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However, as noted above, as of December 31, 2021, the material weaknesses have not yet been fully remediated.</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8"/>
          <w:szCs w:val="18"/>
          <w:i w:val="1"/>
          <w:iCs w:val="1"/>
          <w:color w:val="auto"/>
        </w:rPr>
        <w:t>Risks Related to Being a Public Company—Our internal controls over financial reporting may not be effective and our independent registered public</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firm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ind w:right="1960"/>
        <w:spacing w:after="0" w:line="464" w:lineRule="auto"/>
        <w:rPr>
          <w:sz w:val="20"/>
          <w:szCs w:val="20"/>
          <w:color w:val="auto"/>
        </w:rPr>
      </w:pPr>
      <w:r>
        <w:rPr>
          <w:rFonts w:ascii="Arial" w:cs="Arial" w:eastAsia="Arial" w:hAnsi="Arial"/>
          <w:sz w:val="17"/>
          <w:szCs w:val="17"/>
          <w:i w:val="1"/>
          <w:iCs w:val="1"/>
          <w:color w:val="auto"/>
        </w:rPr>
        <w:t>not be able to certify as to their effectiveness, which could have a significant and adverse effect on our business and reputation.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Our ability to use our net operating loss carry forwards and certain other tax attributes may be limited.</w:t>
      </w:r>
    </w:p>
    <w:p>
      <w:pPr>
        <w:jc w:val="both"/>
        <w:spacing w:after="0" w:line="259" w:lineRule="auto"/>
        <w:rPr>
          <w:sz w:val="20"/>
          <w:szCs w:val="20"/>
          <w:color w:val="auto"/>
        </w:rPr>
      </w:pPr>
      <w:r>
        <w:rPr>
          <w:rFonts w:ascii="Arial" w:cs="Arial" w:eastAsia="Arial" w:hAnsi="Arial"/>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Furthermore, under Section 382 of the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Acquisition, or future transactions in our stock, our ability to utilize NOLs and tax credit carryovers could be further limited by Section 382 of the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17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Acquisition, OPKO became the owner of 80 million shares of Class A common stock as of the Closing Date. OPKO is subject to transfer restrictions and requirements to dispose of its shares in marketed sales processes under the Shareholder Agreements, but those restrictions and requirements are finite and subject to exceptions.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shares held by OPKO or the other Lock-Up Holders are sold, or if it is perceived that they will be sold in the public market, the trading price of our Class A common stock could decline. For more information on the Lock-Up Shares and the applicable Lock-Up Periods see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Transactions—Related Party Transactions Related to the Acquisition—Shareholder Agreements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Our ability to be successful following the Acquisition is dependent upon the efforts of our key personnel, including the key personnel of GeneDx. The loss of key personnel could negatively impact our operations and profitability our financial condition could suffer as a result.</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ability to be successful following the Acquisition is dependent upon the efforts of our key personnel, including the key personnel of GeneDx (who became our employees as of the Closing). Although our key personnel are expected to continue remain with the Company in their current roles, it is possible that we will lose some key personnel, the loss of which could negatively impact the operations and profitability of our business.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will continue to incur significant transaction and transition costs in connection with the Acquisition.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incurred significant, non-recurring costs in connection with consummating the Acquisition. Furthermore, we expect to incur additional significant, non-recurring costs in connection with the integration of the businesses of our company and GeneDx. We may also incur additional costs to retain key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anticipated benefits of the Acquisition may not be realized fully or at all or may take longer to realize than expected.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Acquisition involves the integration of two companies that have previously operated independently. Prior to the announcement, we and GeneDx did not conduct any integration planning for the two companies, and our ability to do so prior to consummation of the Acquisition was limited by applicable law. Following the Closing, we are devoting significant management attention and resources to integrating the two businesses. Delays in this process could adversely affect the combined company’s business, financial results, financial condition and stock price. Even if we are able to integrate the two companies’ business operations successfully, there can be no assurance that this integration will result in the realization of the full benefits of synergies, cost savings, innovation and operational efficiencies that we expected from this integration or that these benefits will be achieved within the anticipated time frame.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Acquisition’s benefits do not meet the expectations of investors, stockholders or financial analysts, the market price of our securities may decline.</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benefits of the Acquisition do not meet the expectations of investors or securities analysts, the market price of our securities may decline. For additional factors that may affect the trading price of our securities see “</w:t>
      </w:r>
      <w:r>
        <w:rPr>
          <w:rFonts w:ascii="Arial" w:cs="Arial" w:eastAsia="Arial" w:hAnsi="Arial"/>
          <w:sz w:val="18"/>
          <w:szCs w:val="18"/>
          <w:b w:val="1"/>
          <w:bCs w:val="1"/>
          <w:color w:val="auto"/>
        </w:rPr>
        <w:t>—</w:t>
      </w:r>
      <w:r>
        <w:rPr>
          <w:rFonts w:ascii="Arial" w:cs="Arial" w:eastAsia="Arial" w:hAnsi="Arial"/>
          <w:sz w:val="18"/>
          <w:szCs w:val="18"/>
          <w:i w:val="1"/>
          <w:iCs w:val="1"/>
          <w:color w:val="auto"/>
        </w:rPr>
        <w:t>Risks Related to Being a Public Company</w:t>
      </w:r>
      <w:r>
        <w:rPr>
          <w:rFonts w:ascii="Arial" w:cs="Arial" w:eastAsia="Arial" w:hAnsi="Arial"/>
          <w:sz w:val="18"/>
          <w:szCs w:val="18"/>
          <w:b w:val="1"/>
          <w:bCs w:val="1"/>
          <w:color w:val="auto"/>
        </w:rPr>
        <w:t>—</w:t>
      </w:r>
      <w:r>
        <w:rPr>
          <w:rFonts w:ascii="Arial" w:cs="Arial" w:eastAsia="Arial" w:hAnsi="Arial"/>
          <w:sz w:val="18"/>
          <w:szCs w:val="18"/>
          <w:i w:val="1"/>
          <w:iCs w:val="1"/>
          <w:color w:val="auto"/>
        </w:rPr>
        <w:t>If we do not meet the expectations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investors, stockholders or financial analysts, the market price of our securities may decline</w:t>
      </w:r>
      <w:r>
        <w:rPr>
          <w:rFonts w:ascii="Arial" w:cs="Arial" w:eastAsia="Arial" w:hAnsi="Arial"/>
          <w:sz w:val="18"/>
          <w:szCs w:val="18"/>
          <w:color w:val="auto"/>
        </w:rPr>
        <w:t>.”</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unaudited pro forma financial information included elsewhere in this prospectus may not be indicative of our future operating results or financial position.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unaudited pro forma combined financial information in this prospectus is presented for illustrative purposes only and is not necessarily indicative of what our actual financial condition or results of operations would have been had the Acquisition been completed on the dates indicated. The unaudited pro forma combined financial information is subject to a number of assumptions, and does not take into account any synergies related to the Acquisition. Further, our actual results and financial condition after the Acquisition may differ materially and adversely from the unaudited pro forma combined financial data that is included in this prospectus. The unaudited pro forma combined financial information includes adjustments which are preliminary and may be revised after closing. There can be no assurance that such revisions will not result in material changes. The unaudited pro forma combined financial information is presented for illustrative purposes only and is not necessarily indicative of the results or financial position that would have occurred or that may occur in the future had the Acquisition and PIPE Investment been completed on the dates indicated, nor is it necessarily indicative of the future operating results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Sema4 after the Acquisition. Future results may vary significantly from the results reflected because of various factors. For further discussion, see the section entitled “</w:t>
      </w:r>
      <w:r>
        <w:rPr>
          <w:rFonts w:ascii="Arial" w:cs="Arial" w:eastAsia="Arial" w:hAnsi="Arial"/>
          <w:sz w:val="18"/>
          <w:szCs w:val="18"/>
          <w:i w:val="1"/>
          <w:iCs w:val="1"/>
          <w:color w:val="auto"/>
        </w:rPr>
        <w:t>Unaudited Pro Forma Combined Financial Information</w:t>
      </w:r>
      <w:r>
        <w:rPr>
          <w:rFonts w:ascii="Arial" w:cs="Arial" w:eastAsia="Arial" w:hAnsi="Arial"/>
          <w:sz w:val="18"/>
          <w:szCs w:val="18"/>
          <w:color w:val="auto"/>
        </w:rPr>
        <w:t>.”</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been the target of transaction related lawsuits as result of the Acquisition, which could result in substantial costs, and we have also assumed GeneDx’s risks arising from various legal proceedings.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Acquisition, two lawsuits were filed in federal courts against us and our directors. The complaints assert claims under Section 14(a) and Section 20(a) of the Exchange Act, and Rule 14a-19 promulgated thereunder, generally allege that the proxy statement we mailed to our stockholders in connection with the approval of certain matters related to the Acquisition misrepresented and/or omitted certain purportedly material information, and seek a variety of equitable and injunctive relief. In addition, five purported stockholders of our company have sent us demand letters making similar allegations about the proxy statement and demanding we provide supplemental disclosures. Although we believe that these allegations, claims and demands are without merit, we cannot predict the outcome of these legal proceedings, or whether additional stockholders will file lawsuits.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of the Closing, we assumed GeneDx’s risks arising from legal proceedings. Furthermore, following the Closing of the Acquisition, the strategies or motivations of a party or parties with respect to actual or potential litigation against us may change. We cannot predict with certainty the eventual outcome of GeneDx’s pending or future legal proceedings and the ultimate outcome of such matters could be material to our results of operations, cash flows and financial condition.</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Finally, the Acquisition may result in post-transaction disputes with OPKO or the other counterparties to the Merger Agreement and the Related Agreements regarding a number of matters, including any post-closing adjustments to the Cash Consideration, the occurrence or non-occurrence of any Milestone Event or payment of any Milestone Payment or any liabilities for which we or OPKO believes it was indemnified under the Merger Agreement.</w:t>
      </w:r>
    </w:p>
    <w:p>
      <w:pPr>
        <w:spacing w:after="0" w:line="9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additional acquisitions of complementary products or technologies, and the failure to manage these acquisitions, or the failure to integrate them with our existing business, could have a material adverse effect on our business, financial condition and operating results.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consider additional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3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currently offer a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(“CRDH”) have expressed significant concerns regarding disparities between some LDTs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Recently, the FDA has also taken a more active role in certain diagnostic areas, including the oversight of pharmacogenetic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to down classify the device into Class II or Class I, which would not require a PMA. In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usually takes from six to 12 months, but for many applicants can take up to 18 months or more.</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3" w:lineRule="exact"/>
        <w:rPr>
          <w:sz w:val="20"/>
          <w:szCs w:val="20"/>
          <w:color w:val="auto"/>
        </w:rPr>
      </w:pPr>
    </w:p>
    <w:p>
      <w:pPr>
        <w:ind w:left="660" w:right="2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2018, Congress passed the Eliminating Kickbacks in Recovery Act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16"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General Data Protection Regulation (“GPDR”),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ind w:left="328"/>
        <w:spacing w:after="0"/>
        <w:rPr>
          <w:sz w:val="20"/>
          <w:szCs w:val="20"/>
          <w:color w:val="auto"/>
        </w:rPr>
      </w:pPr>
      <w:r>
        <w:rPr>
          <w:rFonts w:ascii="Arial" w:cs="Arial" w:eastAsia="Arial" w:hAnsi="Arial"/>
          <w:sz w:val="18"/>
          <w:szCs w:val="18"/>
          <w:color w:val="auto"/>
        </w:rPr>
        <w:t>facility, item or service for which payment may be made, in whole or in part, under a federal healthcare program;</w:t>
      </w:r>
    </w:p>
    <w:p>
      <w:pPr>
        <w:spacing w:after="0" w:line="171" w:lineRule="exact"/>
        <w:rPr>
          <w:sz w:val="20"/>
          <w:szCs w:val="20"/>
          <w:color w:val="auto"/>
        </w:rPr>
      </w:pPr>
    </w:p>
    <w:p>
      <w:pPr>
        <w:ind w:left="328" w:right="20" w:hanging="328"/>
        <w:spacing w:after="0" w:line="277"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3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16"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2"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8"/>
          </w:cols>
          <w:pgMar w:left="652" w:top="1440" w:right="339" w:bottom="1440" w:gutter="0" w:footer="0" w:header="0"/>
        </w:sectPr>
      </w:pPr>
    </w:p>
    <w:bookmarkStart w:id="50" w:name="page51"/>
    <w:bookmarkEnd w:id="50"/>
    <w:p>
      <w:pPr>
        <w:spacing w:after="0" w:line="144" w:lineRule="exact"/>
        <w:rPr>
          <w:sz w:val="20"/>
          <w:szCs w:val="20"/>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coverage and reimbursement, which could reduce our revenue.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increasing total sequencing costs and reducing the number of samples we can process in a given time period. Therefore, inefficient or variable processes can cause variability in our operating results and damage our reputation.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increasingly complex taxation rules and practices, which may affect how we conduct our business and our results of operations.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effectively protect our proprietary technologies under certain jurisdictions and legal regimes could harm our competitive position.</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adversely affect our ability to obtain commercially relevant or competitively advantageous patent protection for our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 as well as subsequent case law, affect the legal concept of subject matter eligibility by seemingly narrowing the scope of the statute defining patentable inventions.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2014 and again in 2019, the USPTO published revised guidelines for patent examiners to apply when examining process claims for patent eligibility in view of several recent Supreme Court decisions,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Mayo, Association for Molecular Pathology v. Myriad Genetics, Inc.</w:t>
      </w:r>
      <w:r>
        <w:rPr>
          <w:rFonts w:ascii="Arial" w:cs="Arial" w:eastAsia="Arial" w:hAnsi="Arial"/>
          <w:sz w:val="18"/>
          <w:szCs w:val="18"/>
          <w:color w:val="auto"/>
        </w:rPr>
        <w:t>, and</w:t>
      </w:r>
      <w:r>
        <w:rPr>
          <w:rFonts w:ascii="Arial" w:cs="Arial" w:eastAsia="Arial" w:hAnsi="Arial"/>
          <w:sz w:val="18"/>
          <w:szCs w:val="18"/>
          <w:i w:val="1"/>
          <w:iCs w:val="1"/>
          <w:color w:val="auto"/>
        </w:rPr>
        <w:t xml:space="preserve"> Alice Corporation Pty. Ltd. v. CLS Bank International</w:t>
      </w:r>
      <w:r>
        <w:rPr>
          <w:rFonts w:ascii="Arial" w:cs="Arial" w:eastAsia="Arial" w:hAnsi="Arial"/>
          <w:sz w:val="18"/>
          <w:szCs w:val="18"/>
          <w:color w:val="auto"/>
        </w:rPr>
        <w:t>, and others. The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indicates that claims directed to a law of nature, a natural phenomenon, or an 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the U.S. Patent &amp; Trademark Office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software, which could substantially help our competitors develop products that are similar to or better than our products.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our business, we collect and store sensitive data, including PHI, personally identifiable information, genetic information, credit card information, intellectual property and proprietary business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 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for data transfers between the EU and the United Kingdom.</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possible the GDPR, CCPA and other emerging United States and international data protection laws may be interpreted and applied in manner that is inconsistent with our practices. If so, this could result in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scientific computing and information technology and management systems and any failure of these systems could harm our business.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including costs associated with public company reporting requirements. In addition, the Sarbanes-Oxley Act of 2002,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that the Acquisition disrupts our current plans and operations or affects our ability to retain or recruit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the Acquisition diverting management’s or employees’ attention from ongoing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the Acquisition on our business relationships (including, without limitation customers, strategic partners, collaborators and suppliers), operating results and business generally;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substantial amounts of Class A common stock by our directors, officers or significant stockholders or the perception that such sales could occur;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 and interest rates, fuel prices, international currency fluctuations and acts of war or terrorism.</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contained in our Charter and Bylaws, as well as provisions of Delaware law, could impair a takeover attempt.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3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Class A common stock;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and federal court within the State of Delaware will be exclusive forums for any:</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action asserting a claim against the us or any of our directors, officers, stockholders, employees or agents arising pursuant to any provision of the DGCL, our Charter or our Bylaws or as to which the DGCL confers jurisdiction on the Court of Chancery of the State of Delaware: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2021,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Included on our balance sheet as of December 31, 2021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resales of our Class A common stock could cause the market price of our common stock to drop significantly, even if our business is doing well.</w:t>
      </w:r>
    </w:p>
    <w:p>
      <w:pPr>
        <w:spacing w:after="0" w:line="20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had outstanding 377,249,186 shares of Class A common stock as of April 29, 2022. The registration statement to which this prospectus relates registers the offer and sale from time to time by the Selling Stockholders of up to 160,864,198 shares of common stock, although the 110,864,198 shares registered on behalf of OPKO will be subject to transfer restrictions pursuant to the Shareholder Agreements. See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Transactions—Related Party Transactions Related to the Acquisition—Shareholder Agreements</w:t>
      </w:r>
      <w:r>
        <w:rPr>
          <w:rFonts w:ascii="Arial" w:cs="Arial" w:eastAsia="Arial" w:hAnsi="Arial"/>
          <w:sz w:val="17"/>
          <w:szCs w:val="17"/>
          <w:color w:val="auto"/>
        </w:rPr>
        <w:t>” for more information regarding these transfer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we have filed a separate registration statement that the registers the offer and sale from time to time by certain selling security holders of up to an additional 229,657,978 shares of our Class A common stock. Furthermore, beginning on July 29, 2022, Rule 144 will become available for the resale of any shares that are restricted or control securities, subject to volume and other restrictions as applicable under Rule 144. To the extent shares are sold into the market pursuant to this prospectus, under Rule 144 or otherwise, particularly in substantial quantities and including following the end of the transfer restrictions provided for in the Shareholder Agreements in the case of OPKO and the other Lock-Up Holders, the market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All of the securities offered by the Selling Stockholders pursuant to this prospectus will be sold by the Selling Stockholders for their respective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these sales.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Stockholders will pay any underwriting discounts and commissions and expenses incurred by the Selling Stockholders for brokerage, accounting, tax or legal services or any other expenses incurred by the Selling Stockholders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Class A common stock and public warrants are listed on the Nasdaq under the symbols “SMFR” and “SMFRW,” respectively. On May 10, 2022, the closing sale price of our Class A common stock was $1.78 per share and the closing price of the public warrants was $0.29 per warrant. As of May 10, 2022, there were approximately 76 holders of record of our Class A common stock. Such numbers do not include beneficial owners whose shares were held of record by nominees or broker dealers.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paid any cash dividends on our capital stock. We anticipate that we will retain earnings, if any, to support operations and to finance the growth and development of our business. In addition, the terms of the revolving credit facility with Silicon Valley Bank (“SVB”) precludes us from paying cash dividends without the prior written consent of SVB. Therefore, we do not expect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the prospectus. Unless otherwise indicated or the context otherwise requires, references in this section to (i) “we,” “our,” “Sema4” and the “Company” refer to Sema4 Holdings Corp., a Delaware corporation, and its consolidated subsidiary and to (ii) “GeneDx,” refers to (a) GeneDx, Inc., a New Jersey corporation prior to the Closing of the Acquisition and (b) GeneDx, LLC, a Delaware limited liability company following the Closing of the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combined financial statements are based on the historical consolidated financial statements of Sema4 and historical combined financial statements of GeneDx and are adjusted to illustrate the estimated effects of the Acquisition as described below. In order to finance the Acquisition, Sema4 entered into Subscription Agreements with the PIPE Investors. The PIPE Investment closed substantially concurrently with the closing of the Acquisition.</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 Sema4 is headquartered in Stamford, Connecticut.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have pioneered panels, exome and whole genome sequencing and have developed a proprietary genomic interpretation and information services platform in support of healthcare partners and patients globally. GeneDx is headquartered in Elmwood Park in New Jersey.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combined balance sheet as of December 31, 2021, combines the audited historical consolidated balance sheet of Sema4 as of December 31, 2021, with the audited historical combined carve out balance sheets of GeneDx as of December 31, 2021, giving effect to the Acquisition, the PIPE Investment and all factually supportable adjustments that are directly attributable to the Transactions, as if they had been consummated as of that date.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combined statements of operations for the year ended December 31, 2021, combine the historical consolidated statements of comprehensive loss of Sema4 and the historical combined carve out statements of comprehensive loss of GeneDx for such periods, giving effect to the Acquisition, the PIPE Investment and all factually supportable adjustments that are directly attributable to the Transactions, as if they had been consummated on January 1, 2021, the beginning of the earliest period presented.</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unaudited pro forma combined financial information presented is based on the estimates, assumptions and adjustments described in the accompanying notes. The unaudited pro forma combined financial information is derived from the respective historical consolidated financial statements of Sema4 and combined carve out financial statements of GeneDx as described further in Note 2 — Basis of Presentation. The unaudited pro forma combined financial information includes adjustments which are preliminary and may be revised after closing. There can be no assurance that such revisions will not result in material changes. The unaudited pro forma combined financial information is presented for illustrative purposes only and is not necessarily indicative of the results or financial position that would have occurred or that may occur in the future had the Acquisition and PIPE Investment been completed on the dates indicated, nor is it necessarily indicative of the future operating results or financial position of Sema4 after the Acquisition. Future results may vary significantly from the results reflected because of various factors.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combined financial information has been compiled in a manner consistent with the accounting policies adopted by Sema4. Subsequent to completion of the Acquisition, Sema4 will perform a more detailed review of the GeneDx accounting policies. As a result of that review, differences could be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between the accounting policies of the two companies that, when conformed, have a material impact on the combined financial statements.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139"/>
          </w:cols>
          <w:pgMar w:left="320" w:top="1440" w:right="1440"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Historical</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 Forma</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GeneDx</w:t>
            </w:r>
          </w:p>
        </w:tc>
        <w:tc>
          <w:tcPr>
            <w:tcW w:w="15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9"/>
              </w:rPr>
              <w:t>Pro forma Adjustment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right"/>
              <w:ind w:right="99"/>
              <w:spacing w:after="0" w:line="135" w:lineRule="exact"/>
              <w:rPr>
                <w:sz w:val="20"/>
                <w:szCs w:val="20"/>
                <w:color w:val="auto"/>
              </w:rPr>
            </w:pPr>
            <w:r>
              <w:rPr>
                <w:rFonts w:ascii="Arial" w:cs="Arial" w:eastAsia="Arial" w:hAnsi="Arial"/>
                <w:sz w:val="14"/>
                <w:szCs w:val="14"/>
                <w:b w:val="1"/>
                <w:bCs w:val="1"/>
                <w:color w:val="auto"/>
                <w:w w:val="95"/>
              </w:rPr>
              <w:t>Pro Forma Balance</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39"/>
              <w:spacing w:after="0"/>
              <w:rPr>
                <w:sz w:val="20"/>
                <w:szCs w:val="20"/>
                <w:color w:val="auto"/>
              </w:rPr>
            </w:pPr>
            <w:r>
              <w:rPr>
                <w:rFonts w:ascii="Arial" w:cs="Arial" w:eastAsia="Arial" w:hAnsi="Arial"/>
                <w:sz w:val="14"/>
                <w:szCs w:val="14"/>
                <w:b w:val="1"/>
                <w:bCs w:val="1"/>
                <w:color w:val="auto"/>
              </w:rPr>
              <w:t>(Note 4)</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39"/>
              <w:spacing w:after="0"/>
              <w:rPr>
                <w:sz w:val="20"/>
                <w:szCs w:val="20"/>
                <w:color w:val="auto"/>
              </w:rPr>
            </w:pPr>
            <w:r>
              <w:rPr>
                <w:rFonts w:ascii="Arial" w:cs="Arial" w:eastAsia="Arial" w:hAnsi="Arial"/>
                <w:sz w:val="14"/>
                <w:szCs w:val="14"/>
                <w:b w:val="1"/>
                <w:bCs w:val="1"/>
                <w:color w:val="auto"/>
              </w:rPr>
              <w:t>Sheet</w:t>
            </w:r>
          </w:p>
        </w:tc>
        <w:tc>
          <w:tcPr>
            <w:tcW w:w="0" w:type="dxa"/>
            <w:vAlign w:val="bottom"/>
          </w:tcPr>
          <w:p>
            <w:pPr>
              <w:spacing w:after="0"/>
              <w:rPr>
                <w:sz w:val="1"/>
                <w:szCs w:val="1"/>
                <w:color w:val="auto"/>
              </w:rPr>
            </w:pPr>
          </w:p>
        </w:tc>
      </w:tr>
      <w:tr>
        <w:trPr>
          <w:trHeight w:val="197"/>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49,201</w:t>
            </w:r>
          </w:p>
        </w:tc>
        <w:tc>
          <w:tcPr>
            <w:tcW w:w="50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w w:val="81"/>
              </w:rPr>
              <w:t>a1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449,914</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46,850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Due from related parties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33,456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41,284</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07"/>
              <w:spacing w:after="0"/>
              <w:rPr>
                <w:sz w:val="20"/>
                <w:szCs w:val="20"/>
                <w:color w:val="auto"/>
              </w:rPr>
            </w:pPr>
            <w:r>
              <w:rPr>
                <w:rFonts w:ascii="Arial" w:cs="Arial" w:eastAsia="Arial" w:hAnsi="Arial"/>
                <w:sz w:val="16"/>
                <w:szCs w:val="16"/>
                <w:color w:val="auto"/>
              </w:rPr>
              <w:t xml:space="preserve">(594) </w:t>
            </w:r>
            <w:r>
              <w:rPr>
                <w:rFonts w:ascii="Arial" w:cs="Arial" w:eastAsia="Arial" w:hAnsi="Arial"/>
                <w:sz w:val="10"/>
                <w:szCs w:val="10"/>
                <w:color w:val="auto"/>
              </w:rPr>
              <w:t>b5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21,982</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5,606</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565,690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62,719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90,996</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cash</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6,983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50,112</w:t>
            </w:r>
          </w:p>
        </w:tc>
        <w:tc>
          <w:tcPr>
            <w:tcW w:w="50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w w:val="81"/>
              </w:rPr>
              <w:t>e1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217,000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6,936</w:t>
            </w:r>
          </w:p>
        </w:tc>
        <w:tc>
          <w:tcPr>
            <w:tcW w:w="500" w:type="dxa"/>
            <w:vAlign w:val="bottom"/>
          </w:tcPr>
          <w:p>
            <w:pPr>
              <w:jc w:val="right"/>
              <w:ind w:right="387"/>
              <w:spacing w:after="0"/>
              <w:rPr>
                <w:sz w:val="20"/>
                <w:szCs w:val="20"/>
                <w:color w:val="auto"/>
              </w:rPr>
            </w:pPr>
            <w:r>
              <w:rPr>
                <w:rFonts w:ascii="Arial" w:cs="Arial" w:eastAsia="Arial" w:hAnsi="Arial"/>
                <w:sz w:val="11"/>
                <w:szCs w:val="11"/>
                <w:color w:val="auto"/>
              </w:rPr>
              <w:t>f</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288,960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Due from Parent and its subsidiaries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07"/>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0"/>
                <w:szCs w:val="10"/>
                <w:color w:val="auto"/>
              </w:rPr>
              <w:t>b2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Operating lease right of use assets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367"/>
              <w:spacing w:after="0"/>
              <w:rPr>
                <w:sz w:val="20"/>
                <w:szCs w:val="20"/>
                <w:color w:val="auto"/>
              </w:rPr>
            </w:pPr>
            <w:r>
              <w:rPr>
                <w:rFonts w:ascii="Arial" w:cs="Arial" w:eastAsia="Arial" w:hAnsi="Arial"/>
                <w:sz w:val="16"/>
                <w:szCs w:val="16"/>
                <w:color w:val="auto"/>
              </w:rPr>
              <w:t xml:space="preserve">(5,789) </w:t>
            </w:r>
            <w:r>
              <w:rPr>
                <w:rFonts w:ascii="Arial" w:cs="Arial" w:eastAsia="Arial" w:hAnsi="Arial"/>
                <w:sz w:val="10"/>
                <w:szCs w:val="10"/>
                <w:color w:val="auto"/>
              </w:rPr>
              <w:t>c</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 in related companies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7"/>
              <w:spacing w:after="0"/>
              <w:rPr>
                <w:sz w:val="20"/>
                <w:szCs w:val="20"/>
                <w:color w:val="auto"/>
              </w:rPr>
            </w:pPr>
            <w:r>
              <w:rPr>
                <w:rFonts w:ascii="Arial" w:cs="Arial" w:eastAsia="Arial" w:hAnsi="Arial"/>
                <w:sz w:val="16"/>
                <w:szCs w:val="16"/>
                <w:color w:val="auto"/>
              </w:rPr>
              <w:t xml:space="preserve">(205) </w:t>
            </w:r>
            <w:r>
              <w:rPr>
                <w:rFonts w:ascii="Arial" w:cs="Arial" w:eastAsia="Arial" w:hAnsi="Arial"/>
                <w:sz w:val="10"/>
                <w:szCs w:val="10"/>
                <w:color w:val="auto"/>
              </w:rPr>
              <w:t>b1</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554,093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516,780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99,656</w:t>
            </w:r>
          </w:p>
        </w:tc>
        <w:tc>
          <w:tcPr>
            <w:tcW w:w="5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1,170,529</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44,693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5,397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50,090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35,673</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Due to related parties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capital lease obligations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Current contract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30,539</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Income tax payable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307"/>
              <w:spacing w:after="0"/>
              <w:rPr>
                <w:sz w:val="20"/>
                <w:szCs w:val="20"/>
                <w:color w:val="auto"/>
              </w:rPr>
            </w:pPr>
            <w:r>
              <w:rPr>
                <w:rFonts w:ascii="Arial" w:cs="Arial" w:eastAsia="Arial" w:hAnsi="Arial"/>
                <w:sz w:val="16"/>
                <w:szCs w:val="16"/>
                <w:color w:val="auto"/>
              </w:rPr>
              <w:t xml:space="preserve">(180) </w:t>
            </w:r>
            <w:r>
              <w:rPr>
                <w:rFonts w:ascii="Arial" w:cs="Arial" w:eastAsia="Arial" w:hAnsi="Arial"/>
                <w:sz w:val="10"/>
                <w:szCs w:val="10"/>
                <w:color w:val="auto"/>
              </w:rPr>
              <w:t>b3</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101,284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122,817</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Long-term debt, net of current portion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11,000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Capital lease obligation, net of current portion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18,427</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15,800</w:t>
            </w:r>
          </w:p>
        </w:tc>
        <w:tc>
          <w:tcPr>
            <w:tcW w:w="500" w:type="dxa"/>
            <w:vAlign w:val="bottom"/>
          </w:tcPr>
          <w:p>
            <w:pPr>
              <w:jc w:val="right"/>
              <w:ind w:right="327"/>
              <w:spacing w:after="0"/>
              <w:rPr>
                <w:sz w:val="20"/>
                <w:szCs w:val="20"/>
                <w:color w:val="auto"/>
              </w:rPr>
            </w:pPr>
            <w:r>
              <w:rPr>
                <w:rFonts w:ascii="Arial" w:cs="Arial" w:eastAsia="Arial" w:hAnsi="Arial"/>
                <w:sz w:val="11"/>
                <w:szCs w:val="11"/>
                <w:color w:val="auto"/>
                <w:w w:val="81"/>
              </w:rPr>
              <w:t>a3</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19,280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Earn-out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10,244</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Warrant liability</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21,555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21,555</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67"/>
              <w:spacing w:after="0"/>
              <w:rPr>
                <w:sz w:val="20"/>
                <w:szCs w:val="20"/>
                <w:color w:val="auto"/>
              </w:rPr>
            </w:pPr>
            <w:r>
              <w:rPr>
                <w:rFonts w:ascii="Arial" w:cs="Arial" w:eastAsia="Arial" w:hAnsi="Arial"/>
                <w:sz w:val="16"/>
                <w:szCs w:val="16"/>
                <w:color w:val="auto"/>
              </w:rPr>
              <w:t xml:space="preserve">(9,936) </w:t>
            </w:r>
            <w:r>
              <w:rPr>
                <w:rFonts w:ascii="Arial" w:cs="Arial" w:eastAsia="Arial" w:hAnsi="Arial"/>
                <w:sz w:val="10"/>
                <w:szCs w:val="10"/>
                <w:color w:val="auto"/>
              </w:rPr>
              <w:t>c</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Deferred tax liabilities,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307"/>
              <w:spacing w:after="0"/>
              <w:rPr>
                <w:sz w:val="20"/>
                <w:szCs w:val="20"/>
                <w:color w:val="auto"/>
              </w:rPr>
            </w:pPr>
            <w:r>
              <w:rPr>
                <w:rFonts w:ascii="Arial" w:cs="Arial" w:eastAsia="Arial" w:hAnsi="Arial"/>
                <w:sz w:val="16"/>
                <w:szCs w:val="16"/>
                <w:color w:val="auto"/>
              </w:rPr>
              <w:t xml:space="preserve">(24,063) </w:t>
            </w:r>
            <w:r>
              <w:rPr>
                <w:rFonts w:ascii="Arial" w:cs="Arial" w:eastAsia="Arial" w:hAnsi="Arial"/>
                <w:sz w:val="10"/>
                <w:szCs w:val="10"/>
                <w:color w:val="auto"/>
              </w:rPr>
              <w:t>b4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165,990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55,712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(18,379)</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203,323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Sema4 Class A common stock, $0.0001 par value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500" w:type="dxa"/>
            <w:vAlign w:val="bottom"/>
          </w:tcPr>
          <w:p>
            <w:pPr>
              <w:jc w:val="right"/>
              <w:ind w:right="187"/>
              <w:spacing w:after="0"/>
              <w:rPr>
                <w:sz w:val="20"/>
                <w:szCs w:val="20"/>
                <w:color w:val="auto"/>
              </w:rPr>
            </w:pPr>
            <w:r>
              <w:rPr>
                <w:rFonts w:ascii="Arial" w:cs="Arial" w:eastAsia="Arial" w:hAnsi="Arial"/>
                <w:sz w:val="11"/>
                <w:szCs w:val="11"/>
                <w:color w:val="auto"/>
                <w:w w:val="87"/>
              </w:rPr>
              <w:t>a1,a2</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67"/>
              <w:spacing w:after="0"/>
              <w:rPr>
                <w:sz w:val="20"/>
                <w:szCs w:val="20"/>
                <w:color w:val="auto"/>
              </w:rPr>
            </w:pPr>
            <w:r>
              <w:rPr>
                <w:rFonts w:ascii="Arial" w:cs="Arial" w:eastAsia="Arial" w:hAnsi="Arial"/>
                <w:sz w:val="16"/>
                <w:szCs w:val="16"/>
                <w:color w:val="auto"/>
              </w:rPr>
              <w:t xml:space="preserve">(148,292) </w:t>
            </w:r>
            <w:r>
              <w:rPr>
                <w:rFonts w:ascii="Arial" w:cs="Arial" w:eastAsia="Arial" w:hAnsi="Arial"/>
                <w:sz w:val="10"/>
                <w:szCs w:val="10"/>
                <w:color w:val="auto"/>
              </w:rPr>
              <w:t>g</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1,475,734</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(575,441)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266,314</w:t>
            </w:r>
          </w:p>
        </w:tc>
        <w:tc>
          <w:tcPr>
            <w:tcW w:w="500" w:type="dxa"/>
            <w:vAlign w:val="bottom"/>
            <w:tcBorders>
              <w:bottom w:val="single" w:sz="8" w:color="CCEEFF"/>
            </w:tcBorders>
          </w:tcPr>
          <w:p>
            <w:pPr>
              <w:jc w:val="right"/>
              <w:ind w:right="307"/>
              <w:spacing w:after="0"/>
              <w:rPr>
                <w:sz w:val="20"/>
                <w:szCs w:val="20"/>
                <w:color w:val="auto"/>
              </w:rPr>
            </w:pPr>
            <w:r>
              <w:rPr>
                <w:rFonts w:ascii="Arial" w:cs="Arial" w:eastAsia="Arial" w:hAnsi="Arial"/>
                <w:sz w:val="11"/>
                <w:szCs w:val="11"/>
                <w:color w:val="auto"/>
                <w:w w:val="97"/>
              </w:rPr>
              <w:t>b4</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(508,565)</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118,035</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967,206</w:t>
            </w:r>
          </w:p>
        </w:tc>
        <w:tc>
          <w:tcPr>
            <w:tcW w:w="0" w:type="dxa"/>
            <w:vAlign w:val="bottom"/>
          </w:tcPr>
          <w:p>
            <w:pPr>
              <w:spacing w:after="0"/>
              <w:rPr>
                <w:sz w:val="1"/>
                <w:szCs w:val="1"/>
                <w:color w:val="auto"/>
              </w:rPr>
            </w:pPr>
          </w:p>
        </w:tc>
      </w:tr>
      <w:tr>
        <w:trPr>
          <w:trHeight w:val="213"/>
        </w:trPr>
        <w:tc>
          <w:tcPr>
            <w:tcW w:w="430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554,093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516,780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99,656</w:t>
            </w:r>
          </w:p>
        </w:tc>
        <w:tc>
          <w:tcPr>
            <w:tcW w:w="5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1,170,529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information.</w:t>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Historical</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Pro forma</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GeneDx</w:t>
            </w: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Pro Forma Adjustments</w:t>
            </w:r>
          </w:p>
        </w:tc>
        <w:tc>
          <w:tcPr>
            <w:tcW w:w="5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Pro Forma Statement of</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32"/>
              <w:spacing w:after="0"/>
              <w:rPr>
                <w:sz w:val="20"/>
                <w:szCs w:val="20"/>
                <w:color w:val="auto"/>
              </w:rPr>
            </w:pPr>
            <w:r>
              <w:rPr>
                <w:rFonts w:ascii="Arial" w:cs="Arial" w:eastAsia="Arial" w:hAnsi="Arial"/>
                <w:sz w:val="14"/>
                <w:szCs w:val="14"/>
                <w:b w:val="1"/>
                <w:bCs w:val="1"/>
                <w:color w:val="auto"/>
              </w:rPr>
              <w:t>(Note 4)</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51"/>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11"/>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321,695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328,790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313,158</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gross profit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15,632</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117,539</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d1,d3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132,102</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11,113</w:t>
            </w:r>
          </w:p>
        </w:tc>
        <w:tc>
          <w:tcPr>
            <w:tcW w:w="500" w:type="dxa"/>
            <w:vAlign w:val="bottom"/>
          </w:tcPr>
          <w:p>
            <w:pPr>
              <w:ind w:left="20"/>
              <w:spacing w:after="0"/>
              <w:rPr>
                <w:sz w:val="20"/>
                <w:szCs w:val="20"/>
                <w:color w:val="auto"/>
              </w:rPr>
            </w:pPr>
            <w:r>
              <w:rPr>
                <w:rFonts w:ascii="Arial" w:cs="Arial" w:eastAsia="Arial" w:hAnsi="Arial"/>
                <w:sz w:val="12"/>
                <w:szCs w:val="12"/>
                <w:color w:val="auto"/>
              </w:rPr>
              <w:t>d2,d3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257,395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302"/>
              <w:spacing w:after="0" w:line="230" w:lineRule="exact"/>
              <w:rPr>
                <w:sz w:val="20"/>
                <w:szCs w:val="20"/>
                <w:color w:val="auto"/>
              </w:rPr>
            </w:pPr>
            <w:r>
              <w:rPr>
                <w:rFonts w:ascii="Arial" w:cs="Arial" w:eastAsia="Arial" w:hAnsi="Arial"/>
                <w:sz w:val="18"/>
                <w:szCs w:val="18"/>
                <w:color w:val="auto"/>
              </w:rPr>
              <w:t xml:space="preserve">(16,813) </w:t>
            </w:r>
            <w:r>
              <w:rPr>
                <w:rFonts w:ascii="Arial" w:cs="Arial" w:eastAsia="Arial" w:hAnsi="Arial"/>
                <w:sz w:val="23"/>
                <w:szCs w:val="23"/>
                <w:color w:val="auto"/>
                <w:vertAlign w:val="superscript"/>
              </w:rPr>
              <w:t>e3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(497,063)</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Change in fair value of warrant and earn-out contingent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200,755</w:t>
            </w:r>
          </w:p>
        </w:tc>
        <w:tc>
          <w:tcPr>
            <w:tcW w:w="0" w:type="dxa"/>
            <w:vAlign w:val="bottom"/>
          </w:tcPr>
          <w:p>
            <w:pPr>
              <w:spacing w:after="0"/>
              <w:rPr>
                <w:sz w:val="1"/>
                <w:szCs w:val="1"/>
                <w:color w:val="auto"/>
              </w:rPr>
            </w:pPr>
          </w:p>
        </w:tc>
      </w:tr>
      <w:tr>
        <w:trPr>
          <w:trHeight w:val="223"/>
        </w:trPr>
        <w:tc>
          <w:tcPr>
            <w:tcW w:w="4300" w:type="dxa"/>
            <w:vAlign w:val="bottom"/>
          </w:tcPr>
          <w:p>
            <w:pPr>
              <w:ind w:left="460"/>
              <w:spacing w:after="0"/>
              <w:rPr>
                <w:sz w:val="20"/>
                <w:szCs w:val="20"/>
                <w:color w:val="auto"/>
              </w:rPr>
            </w:pPr>
            <w:r>
              <w:rPr>
                <w:rFonts w:ascii="Arial" w:cs="Arial" w:eastAsia="Arial" w:hAnsi="Arial"/>
                <w:sz w:val="18"/>
                <w:szCs w:val="18"/>
                <w:color w:val="auto"/>
              </w:rPr>
              <w:t>Net 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(296,308)</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or benefit for income taxes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54,329</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66,876</w:t>
            </w:r>
          </w:p>
        </w:tc>
        <w:tc>
          <w:tcPr>
            <w:tcW w:w="0" w:type="dxa"/>
            <w:vAlign w:val="bottom"/>
          </w:tcPr>
          <w:p>
            <w:pPr>
              <w:spacing w:after="0"/>
              <w:rPr>
                <w:sz w:val="1"/>
                <w:szCs w:val="1"/>
                <w:color w:val="auto"/>
              </w:rPr>
            </w:pPr>
          </w:p>
        </w:tc>
      </w:tr>
      <w:tr>
        <w:trPr>
          <w:trHeight w:val="223"/>
        </w:trPr>
        <w:tc>
          <w:tcPr>
            <w:tcW w:w="4300" w:type="dxa"/>
            <w:vAlign w:val="bottom"/>
          </w:tcPr>
          <w:p>
            <w:pPr>
              <w:ind w:left="46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52,850</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(229,432)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Weighted average shares outstanding,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238,077,439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Pr>
          <w:p>
            <w:pPr>
              <w:ind w:left="20"/>
              <w:spacing w:after="0" w:line="203" w:lineRule="exact"/>
              <w:rPr>
                <w:sz w:val="20"/>
                <w:szCs w:val="20"/>
                <w:color w:val="auto"/>
              </w:rPr>
            </w:pPr>
            <w:r>
              <w:rPr>
                <w:rFonts w:ascii="Arial" w:cs="Arial" w:eastAsia="Arial" w:hAnsi="Arial"/>
                <w:sz w:val="18"/>
                <w:szCs w:val="18"/>
                <w:color w:val="auto"/>
              </w:rPr>
              <w:t>Basic and diluted net loss per share</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information.</w:t>
      </w:r>
    </w:p>
    <w:p>
      <w:pPr>
        <w:sectPr>
          <w:pgSz w:w="11900" w:h="16838" w:orient="portrait"/>
          <w:cols w:equalWidth="0" w:num="1">
            <w:col w:w="11240"/>
          </w:cols>
          <w:pgMar w:left="320" w:top="121" w:right="339" w:bottom="1440" w:gutter="0" w:footer="0" w:header="0"/>
        </w:sectPr>
      </w:pPr>
    </w:p>
    <w:bookmarkStart w:id="73" w:name="page74"/>
    <w:bookmarkEnd w:id="7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17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Acquisition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14, 2022, Sema4, Merger Sub I and Merger Sub II entered into the Merger Agreement with GeneDx, a wholly-owned subsidiary of OPKO, Holdco and OPKO.</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Closing, GeneDx converted into a Delaware limited liability company and became a wholly-owned indirect subsidiary of Sema4. Subject to the terms and conditions of the Merger Agreement, Sema4 (a) agreed to pay consideration to OPKO, for the Acquisition of (i) $150 million in cash at the closing of the Acquisition, subject to certain adjustments as provided in the Acquisition Merger Agreement and (ii) 80 million shares of Sema4’s Class A common stock issued at the Closing and (b) will pay consideration to OPKO of up to $150 million payable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Class A common stock over the period of 30 trading days ended January 12, 2022), with such mix to be determined in Sema4’s sole discretion.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in connection with entering into the Merger Agreement, Sema4 entered into Subscription Agreements for the PIPE Investment to sell $200 million in Class A common stock at a price of $4.00 per share to the PIPE Investors.</w:t>
      </w:r>
    </w:p>
    <w:p>
      <w:pPr>
        <w:spacing w:after="0" w:line="11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financial information set out below has been prepared in accordance with Article 11 of Regulation S-X, as amended by the SEC Final Rule Release No. 33 10786, Amendments to Financial Disclosures About Acquired and Disposed Businesses (“</w:t>
      </w:r>
      <w:r>
        <w:rPr>
          <w:rFonts w:ascii="Arial" w:cs="Arial" w:eastAsia="Arial" w:hAnsi="Arial"/>
          <w:sz w:val="18"/>
          <w:szCs w:val="18"/>
          <w:i w:val="1"/>
          <w:iCs w:val="1"/>
          <w:color w:val="auto"/>
        </w:rPr>
        <w:t>Regulation S-X</w:t>
      </w:r>
      <w:r>
        <w:rPr>
          <w:rFonts w:ascii="Arial" w:cs="Arial" w:eastAsia="Arial" w:hAnsi="Arial"/>
          <w:sz w:val="18"/>
          <w:szCs w:val="18"/>
          <w:color w:val="auto"/>
        </w:rPr>
        <w:t>”), using accounting policies in accordance with GAAP.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combined financial statements;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audited historical consolidated financial statements of Sema4 as of December 31, 2021, and the related notes, in each case, included in this prospectus;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 audited historical combined carve out financial statements of GeneDx as of and for the year ended December 31, 2021, and the related notes, in each case, included in this prospectus;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section of this prospectus entitled “</w:t>
      </w:r>
      <w:hyperlink w:anchor="page78">
        <w:r>
          <w:rPr>
            <w:rFonts w:ascii="Arial" w:cs="Arial" w:eastAsia="Arial" w:hAnsi="Arial"/>
            <w:sz w:val="18"/>
            <w:szCs w:val="18"/>
            <w:i w:val="1"/>
            <w:iCs w:val="1"/>
            <w:u w:val="single" w:color="auto"/>
            <w:color w:val="0000FF"/>
          </w:rPr>
          <w:t>Management’s Discussion and Analysis of Financial Condition and Results of Operations</w:t>
        </w:r>
      </w:hyperlink>
      <w:r>
        <w:rPr>
          <w:rFonts w:ascii="Arial" w:cs="Arial" w:eastAsia="Arial" w:hAnsi="Arial"/>
          <w:sz w:val="18"/>
          <w:szCs w:val="18"/>
          <w:color w:val="auto"/>
        </w:rPr>
        <w:t>” and the other financial information included elsewhere in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Management elected not to present any adjustments related to synergies or dis-synergies that may exist.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pro forma combined financial statements have been prepared for illustrative purposes only and are not intended to represent or be indicative of the consolidated financial results of operations in future periods or the results that actually would have been achieved if Sema4 and GeneDx had been a combined company during the periods presented. The actual results of operations may differ significantly from the pro forma amounts reflected herein due to a variety of factors. The unaudited pro forma combined statement of operations does not reflect any operating efficiencies and/or cost savings that Sema4 may achieve with respect to the combined company.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will be accounted for using the acquisition method of accounting in accordance with Accounting Standards Codification (“ASC”) 805 - Business Combinations. Under the acquisition method of accounting, the total purchase price is allocated to the tangible and identifiable intangible assets and liabilities assumed based on their relative fair values. The excess of the purchase price over the net assets is recorded as goodwill. The purchase price allocations are preliminary because valuation of the net assets is still being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the pro forma adjustments related to the purchase price allocations and certain other estimates, assumptions, and adjustments are preliminary and subject to change, which changes could be significant.</w:t>
      </w:r>
    </w:p>
    <w:p>
      <w:pPr>
        <w:spacing w:after="0" w:line="11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GeneDx Accounting Policies Historical Financial Statement Reclassification</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GeneDx’s historical combined carve out financial statements were prepared in accordance with U.S. GAAP. Sema4 performed certain procedures for the purposes of identifying material differences in significant accounting policies between Sema4 and GeneDx, and any accounting adjustments that would be required in connection with adopting uniform policies. These procedures included a review of GeneDx’s standalone combined carve out financial statements and preliminary discussion with GeneDx management. Sema4 does not believe there are any differences in the accounting policies that will result in material adjustments to Sema4’s consolidated financial statements. Subsequent to completion of the Acquisition, or as more information becomes available, Sema4 will perform a more detailed review of the GeneDx accounting policies. As a result of that review, differences could be identified between the accounting policies of the two companies that, when conformed, could have a material impact on the combined financial statements.</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$12.1 million included as selling, general and administrative in GeneDx’s historical financial information included within the unaudited pro forma combined financial information has been reclassified to selling and marketing to conform the presentation to that of Sema4.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4.</w:t>
            </w:r>
          </w:p>
        </w:tc>
        <w:tc>
          <w:tcPr>
            <w:tcW w:w="9400" w:type="dxa"/>
            <w:vAlign w:val="bottom"/>
          </w:tcPr>
          <w:p>
            <w:pPr>
              <w:ind w:left="500"/>
              <w:spacing w:after="0"/>
              <w:rPr>
                <w:sz w:val="20"/>
                <w:szCs w:val="20"/>
                <w:color w:val="auto"/>
              </w:rPr>
            </w:pPr>
            <w:r>
              <w:rPr>
                <w:rFonts w:ascii="Arial" w:cs="Arial" w:eastAsia="Arial" w:hAnsi="Arial"/>
                <w:sz w:val="18"/>
                <w:szCs w:val="18"/>
                <w:b w:val="1"/>
                <w:bCs w:val="1"/>
                <w:color w:val="auto"/>
              </w:rPr>
              <w:t>Adjustments to unaudited pro forma combined financial information</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9560" w:type="dxa"/>
            <w:vAlign w:val="bottom"/>
            <w:gridSpan w:val="2"/>
          </w:tcPr>
          <w:p>
            <w:pPr>
              <w:spacing w:after="0"/>
              <w:rPr>
                <w:sz w:val="20"/>
                <w:szCs w:val="20"/>
                <w:color w:val="auto"/>
              </w:rPr>
            </w:pPr>
            <w:r>
              <w:rPr>
                <w:rFonts w:ascii="Arial" w:cs="Arial" w:eastAsia="Arial" w:hAnsi="Arial"/>
                <w:sz w:val="18"/>
                <w:szCs w:val="18"/>
                <w:color w:val="auto"/>
              </w:rPr>
              <w:t>The adjustments included in the unaudited preliminary pro forma combined financial statements are as follows: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a)  Estimated aggregate purchase price consideration and allocation:</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9560" w:type="dxa"/>
            <w:vAlign w:val="bottom"/>
            <w:gridSpan w:val="2"/>
          </w:tcPr>
          <w:p>
            <w:pPr>
              <w:spacing w:after="0"/>
              <w:rPr>
                <w:sz w:val="20"/>
                <w:szCs w:val="20"/>
                <w:color w:val="auto"/>
              </w:rPr>
            </w:pPr>
            <w:r>
              <w:rPr>
                <w:rFonts w:ascii="Arial" w:cs="Arial" w:eastAsia="Arial" w:hAnsi="Arial"/>
                <w:sz w:val="18"/>
                <w:szCs w:val="18"/>
                <w:color w:val="auto"/>
              </w:rPr>
              <w:t>The aggregate purchase price consideration is estimated to be approximately $478.8 million as follows (in millions):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16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160" w:type="dxa"/>
            <w:vAlign w:val="bottom"/>
          </w:tcPr>
          <w:p>
            <w:pPr>
              <w:spacing w:after="0"/>
              <w:rPr>
                <w:sz w:val="19"/>
                <w:szCs w:val="19"/>
                <w:color w:val="auto"/>
              </w:rPr>
            </w:pPr>
          </w:p>
        </w:tc>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Closing Net Working Capital Adjustment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Consideration </w:t>
            </w:r>
            <w:r>
              <w:rPr>
                <w:rFonts w:ascii="Arial" w:cs="Arial" w:eastAsia="Arial" w:hAnsi="Arial"/>
                <w:sz w:val="23"/>
                <w:szCs w:val="23"/>
                <w:color w:val="auto"/>
                <w:vertAlign w:val="superscript"/>
              </w:rPr>
              <w:t>(a1)</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30"/>
        </w:trPr>
        <w:tc>
          <w:tcPr>
            <w:tcW w:w="160" w:type="dxa"/>
            <w:vAlign w:val="bottom"/>
          </w:tcPr>
          <w:p>
            <w:pPr>
              <w:spacing w:after="0"/>
              <w:rPr>
                <w:sz w:val="19"/>
                <w:szCs w:val="19"/>
                <w:color w:val="auto"/>
              </w:rPr>
            </w:pPr>
          </w:p>
        </w:tc>
        <w:tc>
          <w:tcPr>
            <w:tcW w:w="9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Add: Stock Consideration </w:t>
            </w:r>
            <w:r>
              <w:rPr>
                <w:rFonts w:ascii="Arial" w:cs="Arial" w:eastAsia="Arial" w:hAnsi="Arial"/>
                <w:sz w:val="23"/>
                <w:szCs w:val="23"/>
                <w:color w:val="auto"/>
                <w:vertAlign w:val="superscript"/>
              </w:rPr>
              <w:t>(a2)</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29"/>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Add: Fair value of Contingent Consideration </w:t>
            </w:r>
            <w:r>
              <w:rPr>
                <w:rFonts w:ascii="Arial" w:cs="Arial" w:eastAsia="Arial" w:hAnsi="Arial"/>
                <w:sz w:val="23"/>
                <w:szCs w:val="23"/>
                <w:color w:val="auto"/>
                <w:vertAlign w:val="superscript"/>
              </w:rPr>
              <w:t>(a3)</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16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Aggregate Purchase Price Consideration</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r>
      <w:tr>
        <w:trPr>
          <w:trHeight w:val="20"/>
        </w:trPr>
        <w:tc>
          <w:tcPr>
            <w:tcW w:w="16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This represents cash consideration estimated net of net working capital adjustment ($10.2 million) based on the closing net working capital target of $22 million, as stated in the Merger Agreement. This cash consideration is offset by gross proceeds of $200 million which is based on 50 million shares of Class A common stock at a price of $4.00 per share in accordance with the Subscription Agreements that have been entered into with PIPE investors. The $200 million gross proceeds are offset by the estimated incremental transaction costs to be paid by Sema4 for $11 million, resulting in an approximately $49 million adjustment to cash and cash equivalents. These amounts are estimates.</w:t>
      </w:r>
    </w:p>
    <w:p>
      <w:pPr>
        <w:spacing w:after="0" w:line="138"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80 million shares of Sema4 Class A common stock were issued to the seller upon closing of the Acquisition. We estimated the Stock Consideration based on a per share price of $4.04, which was the closing price of the Class A common stock on January 14, 2022, the date the Merger Agreement was signed. The closing price of Sema4 Class A common stock on April 29, 2022 was $2.15 which would change the value of the purchase price by approximately $151.2 million.</w:t>
      </w:r>
    </w:p>
    <w:p>
      <w:pPr>
        <w:spacing w:after="0" w:line="133" w:lineRule="exact"/>
        <w:rPr>
          <w:sz w:val="20"/>
          <w:szCs w:val="20"/>
          <w:color w:val="auto"/>
        </w:rPr>
      </w:pPr>
    </w:p>
    <w:p>
      <w:pPr>
        <w:jc w:val="both"/>
        <w:ind w:left="1300" w:right="20" w:hanging="647"/>
        <w:spacing w:after="0" w:line="308" w:lineRule="auto"/>
        <w:tabs>
          <w:tab w:leader="none" w:pos="12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7"/>
          <w:szCs w:val="17"/>
          <w:color w:val="auto"/>
        </w:rPr>
        <w:t>The fair value of the $15.8 million Milestone Payment is estimated using a Monte Carlo simulation valuation model. Pay-out of this consideration is dependent upon GeneDx achieving 2022 and 2023 revenue target of $163 million and $219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price allocations for the assets acquired and liabilities assumed are based on preliminary valuations and are subject to change as we obtain additional information (in thousands).</w:t>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Fair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Identifiable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d2</w:t>
      </w:r>
    </w:p>
    <w:p>
      <w:pPr>
        <w:spacing w:after="0" w:line="92" w:lineRule="exact"/>
        <w:rPr>
          <w:sz w:val="20"/>
          <w:szCs w:val="20"/>
          <w:color w:val="auto"/>
        </w:rPr>
      </w:pPr>
    </w:p>
    <w:p>
      <w:pPr>
        <w:spacing w:after="0"/>
        <w:rPr>
          <w:sz w:val="20"/>
          <w:szCs w:val="20"/>
          <w:color w:val="auto"/>
        </w:rPr>
      </w:pPr>
      <w:r>
        <w:rPr>
          <w:rFonts w:ascii="Arial" w:cs="Arial" w:eastAsia="Arial" w:hAnsi="Arial"/>
          <w:sz w:val="9"/>
          <w:szCs w:val="9"/>
          <w:color w:val="auto"/>
        </w:rPr>
        <w:t>b1,b2,c</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b3</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b4,c</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f</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200" w:hanging="1195"/>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144</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20,341</w:t>
      </w:r>
    </w:p>
    <w:p>
      <w:pPr>
        <w:spacing w:after="0" w:line="34"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7,828</w:t>
      </w:r>
    </w:p>
    <w:p>
      <w:pPr>
        <w:spacing w:after="0" w:line="22"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4,632</w:t>
      </w:r>
    </w:p>
    <w:p>
      <w:pPr>
        <w:spacing w:after="0" w:line="2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28,330</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(21,533)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(66,876)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986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(27,134)</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288,960</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217,000</w:t>
      </w:r>
    </w:p>
    <w:p>
      <w:pPr>
        <w:spacing w:after="0" w:line="47" w:lineRule="exact"/>
        <w:rPr>
          <w:sz w:val="20"/>
          <w:szCs w:val="20"/>
          <w:color w:val="auto"/>
        </w:rPr>
      </w:pPr>
    </w:p>
    <w:p>
      <w:pPr>
        <w:ind w:left="880" w:hanging="875"/>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478,826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986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8400" w:space="720"/>
            <w:col w:w="340" w:space="240"/>
            <w:col w:w="1540"/>
          </w:cols>
          <w:pgMar w:left="320" w:top="1440" w:right="339" w:bottom="1440" w:gutter="0" w:footer="0" w:header="0"/>
          <w:type w:val="continuous"/>
        </w:sectPr>
      </w:pP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value of the purchase price consideration does not purport to represent the actual value of the total Merger Consideration that was paid when the Acquisition was completed. As discussed above, the Stock Consideration would change the purchase price by approximately $151.2 million based on the closing price of Sema4 Class A common stock on April 29, 2022 of $2.15.</w:t>
      </w:r>
    </w:p>
    <w:p>
      <w:pPr>
        <w:spacing w:after="0" w:line="130"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Elimination of GeneDx’s historical balance sheet accounts that are not acquired or assumed by Sema4:</w:t>
      </w:r>
    </w:p>
    <w:p>
      <w:pPr>
        <w:spacing w:after="0" w:line="171"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b1)As part of the pre-closing condition, GeneDx exited the joint venture investment that had a carrying value of $0.2 million. Therefore, the related investment balance and impairment loss of $0.04 million is eliminated.</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b2)</w:t>
      </w:r>
      <w:r>
        <w:rPr>
          <w:rFonts w:ascii="Arial" w:cs="Arial" w:eastAsia="Arial" w:hAnsi="Arial"/>
          <w:sz w:val="16"/>
          <w:szCs w:val="16"/>
          <w:color w:val="auto"/>
        </w:rPr>
        <w:t>Represents adjustment to eliminate the carrying value of intercompany receivables.</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b3)</w:t>
      </w:r>
      <w:r>
        <w:rPr>
          <w:rFonts w:ascii="Arial" w:cs="Arial" w:eastAsia="Arial" w:hAnsi="Arial"/>
          <w:sz w:val="16"/>
          <w:szCs w:val="16"/>
          <w:color w:val="auto"/>
        </w:rPr>
        <w:t>Represents adjustment to eliminate the income tax payable.</w:t>
      </w:r>
    </w:p>
    <w:p>
      <w:pPr>
        <w:spacing w:after="0" w:line="171" w:lineRule="exact"/>
        <w:rPr>
          <w:rFonts w:ascii="Arial" w:cs="Arial" w:eastAsia="Arial" w:hAnsi="Arial"/>
          <w:sz w:val="18"/>
          <w:szCs w:val="18"/>
          <w:color w:val="auto"/>
        </w:rPr>
      </w:pPr>
    </w:p>
    <w:p>
      <w:pPr>
        <w:ind w:left="1300" w:hanging="648"/>
        <w:spacing w:after="0" w:line="284" w:lineRule="auto"/>
        <w:rPr>
          <w:rFonts w:ascii="Arial" w:cs="Arial" w:eastAsia="Arial" w:hAnsi="Arial"/>
          <w:sz w:val="18"/>
          <w:szCs w:val="18"/>
          <w:color w:val="auto"/>
        </w:rPr>
      </w:pPr>
      <w:r>
        <w:rPr>
          <w:rFonts w:ascii="Arial" w:cs="Arial" w:eastAsia="Arial" w:hAnsi="Arial"/>
          <w:sz w:val="18"/>
          <w:szCs w:val="18"/>
          <w:color w:val="auto"/>
        </w:rPr>
        <w:t>b4)</w:t>
      </w:r>
      <w:r>
        <w:rPr>
          <w:rFonts w:ascii="Arial" w:cs="Arial" w:eastAsia="Arial" w:hAnsi="Arial"/>
          <w:sz w:val="16"/>
          <w:szCs w:val="16"/>
          <w:color w:val="auto"/>
        </w:rPr>
        <w:t>Deferred tax liabilities of $24.1 million were adjusted due to certain deferred tax assets being absorbed by OPKO and the write off of historical intangible assets. Therefore, they do not carry over. Additionally, there are deferred tax liabilities recorded for $66.9 million related to intangible assets that will result in the release of Sema4’s valuation allowance in a corresponding amount. The impact of the valuation allowance release is reflected in the unaudited pro forma combined statement of operations as well as the accumulated deficit.</w:t>
      </w:r>
    </w:p>
    <w:p>
      <w:pPr>
        <w:spacing w:after="0" w:line="10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b5)</w:t>
      </w:r>
      <w:r>
        <w:rPr>
          <w:rFonts w:ascii="Arial" w:cs="Arial" w:eastAsia="Arial" w:hAnsi="Arial"/>
          <w:sz w:val="16"/>
          <w:szCs w:val="16"/>
          <w:color w:val="auto"/>
        </w:rPr>
        <w:t>Represents adjustment to eliminate the prepaid bonus of GeneDx executives.</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adjustment relates to eliminating the affect of the ASC 842, Leases (“ASC 842”) which was adopted by GeneDx because Sema4 did not adopt the ASC 842 as of December 31, 2021. Therefore, the adjustment removed the carrying value of the right of use assets ($5.8 million) and lease liabilities ($9.9 million). As an emerging growth company, the Company elected to adopt the ASC 842 under the extended transition period available, which will be effective for the annual period beginning on January 1, 2022 and all interim periods within the year ended December 31, 2023. Early adoption is permitted.</w:t>
      </w:r>
    </w:p>
    <w:p>
      <w:pPr>
        <w:spacing w:after="0" w:line="133"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Adjustment of GeneDx’s historical income statement accounts relates to the following (in millions):</w:t>
      </w:r>
    </w:p>
    <w:p>
      <w:pPr>
        <w:spacing w:after="0" w:line="171"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d1)Adjustment of $7.2 million of selling and marketing expense is primarily related to the amortization expense of identifiable intangible assets (e2) and stock-based compensation adjustment (d3).</w:t>
      </w:r>
    </w:p>
    <w:p>
      <w:pPr>
        <w:spacing w:after="0" w:line="116"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d2)Adjustment of $11.1 million of general and administrative expense is primarily related to the amortization expense of identifiable intangible assets (e2) and stock-based compensation adjustment (d3).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type w:val="continuous"/>
        </w:sectPr>
      </w:pPr>
    </w:p>
    <w:bookmarkStart w:id="76" w:name="page77"/>
    <w:bookmarkEnd w:id="76"/>
    <w:p>
      <w:pPr>
        <w:spacing w:after="0" w:line="144" w:lineRule="exact"/>
        <w:rPr>
          <w:sz w:val="20"/>
          <w:szCs w:val="20"/>
          <w:color w:val="auto"/>
        </w:rPr>
      </w:pPr>
    </w:p>
    <w:p>
      <w:pPr>
        <w:jc w:val="both"/>
        <w:ind w:left="1300" w:hanging="647"/>
        <w:spacing w:after="0" w:line="272" w:lineRule="auto"/>
        <w:tabs>
          <w:tab w:leader="none" w:pos="128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7"/>
          <w:szCs w:val="17"/>
          <w:color w:val="auto"/>
        </w:rPr>
        <w:t>Stock-based compensation adjustment represents estimated $6.2 million of Sema4 stock awards that are agreed to be granted to certain executives following the transaction closing. We only considered the contingent grants made to certain GeneDx executives who are continuing their employment with Sema4. The grant date fair value for options were calculated using a Black-Scholes option-pricing model, using the closing share price as of January 14, 2022 of $4.04, risk free rate of 1.64%, expected life of 5.5 years, volatility 65.2% and dividend yield of zero. The fair value of the restricted stock units are calculated using Sema4’s closing share price as of January 14, 2022, $4.04. The expense is reduced by $1.2 million of stock-based compensation recorded for the executives and reflected in GeneDx financial information under their current employment agreement with GeneDx.</w:t>
      </w:r>
    </w:p>
    <w:p>
      <w:pPr>
        <w:spacing w:after="0" w:line="123"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Income tax benefit of $12.5 million is eliminated as we expect GeneDx’s parent company to absorb this benefit. In addition, we adjust for $66.9 million of income tax benefit related to the deferred tax liabilities of identifiable intangible assets created in connection with the Acquisition.</w:t>
      </w:r>
    </w:p>
    <w:p>
      <w:pPr>
        <w:spacing w:after="0" w:line="13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Reflects the adjustment to record the fair values of the identifiable intangible assets created in connection with the Acquisition.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GeneDx’s trade name and trademarks and developed technology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fair value of the customer relationships was calculated using a multi-period excess earnings method, a form of the income approach, which incorporates the estimated future cash flows to be generated from GeneDx’s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customer attrition rate, determination of excess earnings, and an appropriate rate of return.</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estimated fair values of GeneDx’s identifiable intangible assets and their estimated useful lives determined (in million):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Useful Life (in years)</w:t>
            </w:r>
          </w:p>
        </w:tc>
        <w:tc>
          <w:tcPr>
            <w:tcW w:w="200" w:type="dxa"/>
            <w:vAlign w:val="bottom"/>
          </w:tcPr>
          <w:p>
            <w:pPr>
              <w:spacing w:after="0"/>
              <w:rPr>
                <w:sz w:val="16"/>
                <w:szCs w:val="16"/>
                <w:color w:val="auto"/>
              </w:rPr>
            </w:pPr>
          </w:p>
        </w:tc>
        <w:tc>
          <w:tcPr>
            <w:tcW w:w="19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Estimated Fair Value</w:t>
            </w:r>
          </w:p>
        </w:tc>
        <w:tc>
          <w:tcPr>
            <w:tcW w:w="17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Annual Amortization</w:t>
            </w: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 (General and administrative)</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Developed Technology (General and administrative)</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(Selling and marketing)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9"/>
                <w:szCs w:val="19"/>
                <w:color w:val="auto"/>
              </w:rPr>
            </w:pPr>
          </w:p>
        </w:tc>
      </w:tr>
      <w:tr>
        <w:trPr>
          <w:trHeight w:val="223"/>
        </w:trPr>
        <w:tc>
          <w:tcPr>
            <w:tcW w:w="5700" w:type="dxa"/>
            <w:vAlign w:val="bottom"/>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jc w:val="right"/>
              <w:ind w:right="162"/>
              <w:spacing w:after="0"/>
              <w:rPr>
                <w:sz w:val="20"/>
                <w:szCs w:val="20"/>
                <w:color w:val="auto"/>
              </w:rPr>
            </w:pPr>
            <w:r>
              <w:rPr>
                <w:rFonts w:ascii="Arial" w:cs="Arial" w:eastAsia="Arial" w:hAnsi="Arial"/>
                <w:sz w:val="12"/>
                <w:szCs w:val="12"/>
                <w:color w:val="auto"/>
                <w:w w:val="89"/>
              </w:rPr>
              <w:t>e2</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Historic GeneDx Intangible Assets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2"/>
              <w:spacing w:after="0" w:line="230" w:lineRule="exact"/>
              <w:rPr>
                <w:sz w:val="20"/>
                <w:szCs w:val="20"/>
                <w:color w:val="auto"/>
              </w:rPr>
            </w:pPr>
            <w:r>
              <w:rPr>
                <w:rFonts w:ascii="Arial" w:cs="Arial" w:eastAsia="Arial" w:hAnsi="Arial"/>
                <w:sz w:val="18"/>
                <w:szCs w:val="18"/>
                <w:color w:val="auto"/>
              </w:rPr>
              <w:t xml:space="preserve">(16.8) </w:t>
            </w:r>
            <w:r>
              <w:rPr>
                <w:rFonts w:ascii="Arial" w:cs="Arial" w:eastAsia="Arial" w:hAnsi="Arial"/>
                <w:sz w:val="23"/>
                <w:szCs w:val="23"/>
                <w:color w:val="auto"/>
                <w:vertAlign w:val="superscript"/>
              </w:rPr>
              <w:t>e3</w:t>
            </w:r>
          </w:p>
        </w:tc>
      </w:tr>
      <w:tr>
        <w:trPr>
          <w:trHeight w:val="223"/>
        </w:trPr>
        <w:tc>
          <w:tcPr>
            <w:tcW w:w="5700" w:type="dxa"/>
            <w:vAlign w:val="bottom"/>
          </w:tcPr>
          <w:p>
            <w:pPr>
              <w:ind w:left="240"/>
              <w:spacing w:after="0"/>
              <w:rPr>
                <w:sz w:val="20"/>
                <w:szCs w:val="20"/>
                <w:color w:val="auto"/>
              </w:rPr>
            </w:pPr>
            <w:r>
              <w:rPr>
                <w:rFonts w:ascii="Arial" w:cs="Arial" w:eastAsia="Arial" w:hAnsi="Arial"/>
                <w:sz w:val="18"/>
                <w:szCs w:val="18"/>
                <w:color w:val="auto"/>
              </w:rPr>
              <w:t>Pro forma adjustment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620" w:type="dxa"/>
            <w:vAlign w:val="bottom"/>
            <w:gridSpan w:val="3"/>
          </w:tcPr>
          <w:p>
            <w:pPr>
              <w:jc w:val="right"/>
              <w:ind w:right="390"/>
              <w:spacing w:after="0"/>
              <w:rPr>
                <w:sz w:val="20"/>
                <w:szCs w:val="20"/>
                <w:color w:val="auto"/>
              </w:rPr>
            </w:pPr>
            <w:r>
              <w:rPr>
                <w:rFonts w:ascii="Arial" w:cs="Arial" w:eastAsia="Arial" w:hAnsi="Arial"/>
                <w:sz w:val="12"/>
                <w:szCs w:val="12"/>
                <w:color w:val="auto"/>
                <w:w w:val="89"/>
              </w:rPr>
              <w:t>e1</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
        </w:trPr>
        <w:tc>
          <w:tcPr>
            <w:tcW w:w="5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e3)</w:t>
      </w:r>
      <w:r>
        <w:rPr>
          <w:sz w:val="20"/>
          <w:szCs w:val="20"/>
          <w:color w:val="auto"/>
        </w:rPr>
        <w:tab/>
      </w:r>
      <w:r>
        <w:rPr>
          <w:rFonts w:ascii="Arial" w:cs="Arial" w:eastAsia="Arial" w:hAnsi="Arial"/>
          <w:sz w:val="18"/>
          <w:szCs w:val="18"/>
          <w:color w:val="auto"/>
        </w:rPr>
        <w:t>Represents adjustment to eliminate the amortization of historic GeneDx intangible assets of $16.8 million.</w:t>
      </w:r>
    </w:p>
    <w:p>
      <w:pPr>
        <w:spacing w:after="0" w:line="171" w:lineRule="exact"/>
        <w:rPr>
          <w:sz w:val="20"/>
          <w:szCs w:val="20"/>
          <w:color w:val="auto"/>
        </w:rPr>
      </w:pPr>
    </w:p>
    <w:p>
      <w:pPr>
        <w:ind w:left="660" w:hanging="328"/>
        <w:spacing w:after="0" w:line="277" w:lineRule="auto"/>
        <w:tabs>
          <w:tab w:leader="none" w:pos="6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the preliminary purchase price allocations performed, the estimated goodwill of $289.0 million is recognized from the Acquisition resulting the adjustment of $7.0 million. The historic GeneDx goodwill of $282.0 million is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left="660" w:hanging="328"/>
        <w:spacing w:after="0" w:line="277"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elimination of GeneDx’s historical additional paid-in capital and adjustment to Sema4’s common stock and additional paid capital for the stock considerations and PIPE financing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Arial" w:cs="Arial" w:eastAsia="Arial" w:hAnsi="Arial"/>
                <w:sz w:val="14"/>
                <w:szCs w:val="14"/>
                <w:b w:val="1"/>
                <w:bCs w:val="1"/>
                <w:color w:val="auto"/>
              </w:rPr>
              <w:t>Amount</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 of GeneDx historical additional paid-in capital</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Stock consideration a2)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PIPE financing a1)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PIPE financing cost a1)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related notes and other financial information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w:t>
      </w:r>
      <w:hyperlink w:anchor="page17">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section of this prospectus, our actual results could differ materially from the results described in or implied by the forward-looking statements contained in the following discussion and analysis.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established out of Icahn School of Medicine at Mount Sinai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12 million de-identified individual clinical records, many with genomic profiles. We also manage a data asset over 47 petabytes in size, that has been expanding at more than 1 petabyte per month with an accelerating growth rate.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we derive the majority of our revenue from our diagnostic test solutions. Our diagnostic business generates revenue and engages with healthcare professionals working with patients primarily through our Women’s Health and Oncology solutions.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 which we intend to discontinue by March 31, 2022.</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w:t>
      </w:r>
      <w:hyperlink w:anchor="page17">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historically reported both accessioned and resulted tests as important factors impacting our performance. A test is resulted once the appropriate workflow is completed and details are provided to the ordered patients or healthcare professional for reviews, which corresponds to the timing of our revenue recognition. We believe the number of resulted tests in any period is more important and useful to our investors because it directly correlates with long-term patient relationships and the size of our genomic database. Therefore, we do not plan to report the number of accessioned tests.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prospectus.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2021, we resulted 709,942 tests in our laboratories, 418,053 tests of which were for COVID-19, compared to the period ended December 31, 2020, in which we resulted approximately 540,407 tests in our laboratories, 332,764 of which were for COVID-19. This 31% increase in resulted volume from 2020 to 2021 largely resulted from newly entered service agreements for COVID-19 testing as well as an increase in non-COVID-19 institutional testing. During the year ended December 31, 2019, we resulted approximately 155,497 tests in our laboratories, none of which were for COVID-19. The 248% increase in resulted volume from 2019 to 2020 largely resulted from newly entered service agreements for COVID-19 testing, offset by a slowdown in the base diagnostic business during the beginning of the COVID-19 pandemic given that many of our customers, including hospitals and clinics, had suspended non-emergency appointments and services.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above, we no longer report the number of accessioned tests as a key performance indicator because the number of resulted tests more directly correlates with long-term patient relationships and the size of our genomic database.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ongoing COVID-19 pandemic has had, and continues to have, an extensive impact on the global health and economic environments since the initial outbreak in March 2020.</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April 2020, our diagnostic test volumes decreased significantly as compared to the prior year as a result of the COVID-19 pandemic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2020 and further increased in 2021. To support the rapid expansion of COVID-19 test volumes, we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response to the ongoing COVID-19 pandemic,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conditions improve, we are focused on overhauling our revenue cycle, and as part of transformational activities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test volumes have since improved, we continue to experience changes in the mix of tests due to the impact of the COVID-19 and its variants. We anticipate that demand for COVID-19 tests will decrease as vaccines continue to be developed and deployed to the general population. For this reason, we announced in December 2021 that we had decided to discontinue COVID-19 testing services by March 31, 2022 and began notifying our COVID-19 testing solutions customers of this decision. We intend to dedicate all of our efforts and resources to our core mission to transform healthcare by using artificial intelligence to enable the delivery of precision medicine as the standard of care, and do not expect declines for our other revenue streams during 2022.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or its variants, the actions taken to contain it or treat it and the economic impact on local, regional, national and international markets and supply chains. Therefore, the COVID-19 pandemic could continue to have a material impact on our results of operations, cash flows and financial condition for the foreseeable future.</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Coronavirus Aid, Relief and Economic Security Act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(“PRF”) distribution and $2.8 million received under the Employee Retention Credit (“ERC”) distribution. During 2021, we received an additional $5.6 million under the PRF distribution.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consolidated balance sheets as of December 31, 2021 and 2020.</w:t>
      </w:r>
    </w:p>
    <w:p>
      <w:pPr>
        <w:spacing w:after="0" w:line="138" w:lineRule="exact"/>
        <w:rPr>
          <w:sz w:val="20"/>
          <w:szCs w:val="20"/>
          <w:color w:val="auto"/>
        </w:rPr>
      </w:pPr>
    </w:p>
    <w:p>
      <w:pPr>
        <w:ind w:right="660"/>
        <w:spacing w:after="0" w:line="438" w:lineRule="auto"/>
        <w:rPr>
          <w:sz w:val="20"/>
          <w:szCs w:val="20"/>
          <w:color w:val="auto"/>
        </w:rPr>
      </w:pPr>
      <w:r>
        <w:rPr>
          <w:rFonts w:ascii="Arial" w:cs="Arial" w:eastAsia="Arial" w:hAnsi="Arial"/>
          <w:sz w:val="18"/>
          <w:szCs w:val="18"/>
          <w:color w:val="auto"/>
        </w:rPr>
        <w:t xml:space="preserve">At this time, we are not certain of the availability, extent or impact of any future relief provided under the CARES Act or other stimulus initiatives. </w:t>
      </w:r>
      <w:r>
        <w:rPr>
          <w:rFonts w:ascii="Arial" w:cs="Arial" w:eastAsia="Arial" w:hAnsi="Arial"/>
          <w:sz w:val="18"/>
          <w:szCs w:val="18"/>
          <w:b w:val="1"/>
          <w:bCs w:val="1"/>
          <w:color w:val="auto"/>
        </w:rPr>
        <w:t>Recent Developments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29, 2022, we consummated the transactions contemplated by the Merger Agreement, whereby we acquired GeneDx through the Mergers and paid OPKO $150 million of Cash Consideration and issued to OPKO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of Stock Consideration Shares. Concurrently with the Closing, we also consummated the PIPE Investment, issuing 50 million PIPE Shares for aggregate gross proceeds of $200 million.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has pioneered panels, exome and whole genome sequencing and has developed a proprietary genomic interpretation and information services platform in support of healthcare partners and patients globally.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in December 2021, we announced that we decided to discontinue COVID-19 testing services by March 31, 2022 and begun notifying its COVID-19 testing solutions customers of this decision.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associated with delivery services. Allocated costs include depreciation of laboratory equipment, facility occupancy, and information technology costs. The cost of services are recorded as the services are performed.</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Related party expenses primarily consist of amounts incurred in connection with transactions occurred with ISMMS for expenses under our transition services agreement (“TSA”) with ISMMS which expired at the end of the first quarter of 2021, and other service agreements. Additional information can be found in our consolidated financial statements in Note 7,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included elsewhere in this prospectus.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primarily consists of interest earned on money market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consists of interest costs related to our capital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net primarily consists of funding received under the CARES Act. We recognized $2.6 million of the $5.4 million of funding received under the CARES Act as other income, net on the statements of operations and comprehensive loss during the year ended December 31, 2020. We recognized $5.6 million of additional funding received under the CARES Act during the year ended December 31, 2021 and the amount is included in other income, net for the year ended December 31, 2021. In addition, the loss incurred due to early payment penalties recognized upon extinguishment of debt of $0.3 million is included in other income, net.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discussion regarding our financial condition and results of consolidated operations for the year ended December 31, 2021 compared to the year ended December 31, 2020 and for the year ended December 31, 2020 compared to the year ended December 31, 2019 is presented below.</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expenses were previously misclassified as cost of services and they are now reported as selling and marketing. The adjustment is reflected in the amounts reported below for years ended December 31, 2021, 2020 and 2019.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for further information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385"/>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2"/>
              </w:rPr>
              <w:t>2020 (Restated)</w:t>
            </w:r>
          </w:p>
        </w:tc>
        <w:tc>
          <w:tcPr>
            <w:tcW w:w="0" w:type="dxa"/>
            <w:vAlign w:val="bottom"/>
          </w:tcPr>
          <w:p>
            <w:pPr>
              <w:spacing w:after="0"/>
              <w:rPr>
                <w:sz w:val="1"/>
                <w:szCs w:val="1"/>
                <w:color w:val="auto"/>
              </w:rPr>
            </w:pPr>
          </w:p>
        </w:tc>
      </w:tr>
      <w:tr>
        <w:trPr>
          <w:trHeight w:val="385"/>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right"/>
              <w:ind w:right="10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175,351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(loss) profit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63,183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0" w:type="dxa"/>
            <w:vAlign w:val="bottom"/>
          </w:tcPr>
          <w:p>
            <w:pPr>
              <w:spacing w:after="0"/>
              <w:rPr>
                <w:sz w:val="1"/>
                <w:szCs w:val="1"/>
                <w:color w:val="auto"/>
              </w:rPr>
            </w:pPr>
          </w:p>
        </w:tc>
      </w:tr>
      <w:tr>
        <w:trPr>
          <w:trHeight w:val="398"/>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Change in fair market value of warrant and earn-out contingent 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 net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3"/>
              </w:rPr>
              <w:t>Change</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4"/>
                <w:szCs w:val="14"/>
                <w:b w:val="1"/>
                <w:bCs w:val="1"/>
                <w:color w:val="auto"/>
              </w:rPr>
              <w:t>2020 to 2021</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6"/>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increased by $32.9 million, or 18%, to $212.2 million for the year ended December 31, 2021, from $179.3 million for the year ended December 31, 2020.</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 volume during the year ended December 31, 2020, compared to the year ended December 31, 2021 (with COVID-19 test volumes growing 26% year over year) .</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increased by $3.1 million, or 79%, to $7.1 million for the year ended December 31, 2021, from $4.0 million for the year ended December 31, 2020. The increase was primarily attributable to growth in collaboration service activities due to the execution of third-party contracts which generated $3.7 million more in revenues in 2021 compared to 2020. This was partially offset by reduced revenues recognized related to an existing third-party contract by $0.8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amount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228,797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175,296</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53,501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24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July 22, 2021, the closing date of our Business Combination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105,162</w:t>
            </w:r>
          </w:p>
        </w:tc>
        <w:tc>
          <w:tcPr>
            <w:tcW w:w="92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72,700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32,462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of the Business Combination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amount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112,738</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63,183</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49,555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of the Business Combination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320" w:type="dxa"/>
            <w:vAlign w:val="bottom"/>
          </w:tcPr>
          <w:p>
            <w:pPr>
              <w:jc w:val="center"/>
              <w:ind w:left="16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205,988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100,742</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86"/>
              </w:rPr>
              <w:t>105,246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 and administrative expenses increased by $105.3 million, or 104%, to $206.0 million for the year ended December 31, 2021, from $100.7 million for the year ended December 31, 2020. The increase was primarily attributable to the following cost components: an $51.7 million increase in stock-based compensation expense driven by the increase in fair value of the liability-classified awards until the closing date of the Business Combination and an increase in the number of stock-based compensation awards granted; a $21.1 million increase in professional services incurred mainly in connection with the Business Combination transaction;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transaction. These increases were partially offset by a $0.4 million decrease in occupancy and depreciation expenses in connection with our laboratory move from New York City to Stamford, Connecticut.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0"/>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5,659</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(3,736)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w w:val="90"/>
              </w:rPr>
              <w:t>(dollars in thousands)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(427)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by $0.4 million, or 84%, to $0.1 million for the year ended December 31, 2021, from $0.5 million for the year ended December 31, 2020. The decrease was due to declines in interest rates on money market fund accounts.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0"/>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2,835</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361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entered into with Silicon Valley Bank at the end of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w w:val="90"/>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5,114</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2,492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385"/>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2020 (Restated)</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4"/>
              </w:rPr>
              <w:t>2019 (Restated)</w:t>
            </w:r>
          </w:p>
        </w:tc>
        <w:tc>
          <w:tcPr>
            <w:tcW w:w="0" w:type="dxa"/>
            <w:vAlign w:val="bottom"/>
          </w:tcPr>
          <w:p>
            <w:pPr>
              <w:spacing w:after="0"/>
              <w:rPr>
                <w:sz w:val="1"/>
                <w:szCs w:val="1"/>
                <w:color w:val="auto"/>
              </w:rPr>
            </w:pPr>
          </w:p>
        </w:tc>
      </w:tr>
      <w:tr>
        <w:trPr>
          <w:trHeight w:val="385"/>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41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398"/>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994"/>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decreased by $16.9 million, or 9%, to $179.3 million for the year ended December 31, 2020, from $196.2 million for the year ended December 31, 2019.</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Diagnostic test revenue decreased by $16.3 million, or 9%, to $175.4 million for the year ended December 31, 2020, from $191.7 million for the year ended December 31, 2019. The decrease was primarily attributable to a change in the mix of tests performed coupled with reduced reimbursement rates. The Company experienced an increase in volumes of 248%,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320" w:top="1440" w:right="339" w:bottom="1440" w:gutter="0" w:footer="0" w:header="0"/>
          <w:type w:val="continuous"/>
        </w:sectPr>
      </w:pPr>
    </w:p>
    <w:bookmarkStart w:id="90" w:name="page91"/>
    <w:bookmarkEnd w:id="90"/>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revenue decreased by $0.5 million, or 12%, to $4.0 million for the year ended December 31, 2020, from $4.5 million for the year ended December 31, 2019.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and 2019 amounts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61,907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services increased by $61.9 million, or 55%, to $175.3 million for the year ended December 31, 2020, from $113.4 million for the year ended December 31, 2019. The increase was primarily attributable to the following cost components: a $17.5 million increase in reagents and laboratory supplies expense due primarily to the 248% increase in resulted volumes coupled with the lower per test cost of performing COVID-19 tests relative to our other tests; a $12.2 million increase in stock-based compensation expenses primarily driven by the increase in fair value of the liability-classified awards; an $11.1 million increase in personnel-related expenses driven by an increase in average headcount, partially offset by COVID-19 austerity measures; a $6.4 million increase in third party reference laboratory expenses due to an increase in tests performed by such third parties; a $4.6 million increase in expenses for other services such as genetic counseling, shipping and phlebotomy services; a $4.4 million increase in depreciation and amortization expenses driven by laboratory sequencing equipment acquired in 2020 and an increase in capitalized software as compared to the prior year; a $3.6 million increase in outside labor costs driven by temporary hires contracted in 2020 to perform COVID-19 testing activities as well as an increase in consultants supporting collaboration services; a $0.2 million increase in software expenses due to increased cloud storage and expanded computing capacity requirements for testing data; a $1.3 million increase in equipment-related expenses, including maintenance expenses on existing equipment and purchases of minor equipment in 2020; and a $0.5 million increase in occupancy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left="544"/>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left="544"/>
              <w:spacing w:after="0"/>
              <w:rPr>
                <w:sz w:val="20"/>
                <w:szCs w:val="20"/>
                <w:color w:val="auto"/>
              </w:rPr>
            </w:pPr>
            <w:r>
              <w:rPr>
                <w:rFonts w:ascii="Arial" w:cs="Arial" w:eastAsia="Arial" w:hAnsi="Arial"/>
                <w:sz w:val="14"/>
                <w:szCs w:val="14"/>
                <w:b w:val="1"/>
                <w:bCs w:val="1"/>
                <w:color w:val="auto"/>
                <w:w w:val="91"/>
              </w:rPr>
              <w:t>2019 to 2020</w:t>
            </w:r>
          </w:p>
        </w:tc>
        <w:tc>
          <w:tcPr>
            <w:tcW w:w="1000" w:type="dxa"/>
            <w:vAlign w:val="bottom"/>
            <w:tcBorders>
              <w:bottom w:val="single" w:sz="8" w:color="auto"/>
            </w:tcBorders>
          </w:tcPr>
          <w:p>
            <w:pPr>
              <w:spacing w:after="0"/>
              <w:rPr>
                <w:sz w:val="16"/>
                <w:szCs w:val="16"/>
                <w:color w:val="auto"/>
              </w:rPr>
            </w:pPr>
          </w:p>
        </w:tc>
      </w:tr>
      <w:tr>
        <w:trPr>
          <w:trHeight w:val="182"/>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37,790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increased by $37.8 million, or 108%, to $72.7 million for the year ended December 31, 2020, from $34.9 million for the year ended December 31, 2019. The increase was primarily attributable to the following cost components: a $25.4 million increase in stock-based compensation expenses primarily due to an increase in fair value of the liability-classified awards and an increase in the number of stock-based compensation awards granted;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and 2019 amounts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23,831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and marketing expense increased by $23.8 million, or 61%, to $63.2 million for the year ended December 31, 2020, from $39.4 million for the year ended December 31, 2019. The increase was primarily attributable to the following cost components: a $11.4 million increase in personnel-related expenses driven by an increase in average headcount, partially offset by COVID-19 austerity measures; a $11.1 million increase in stock-based compensation expenses primarily due to an increase in the fair value of the liability-classified awards and an increase in the number of outstanding awards due to increase in the number of stock-based compensation awards granted; a $1.5 million increase in commissions due to an increase in sales employee headcount and the implementation of temporary minimum commissions offered to sales employees in response to the COVID-19 pandemic; a $1.0 million increase in other lab service; and a $0.6 million increase in software expenses due to increased cloud storage requirements. These increases were partially offset by a $1.8 million decrease in travel and business expenses due to reduced business travel during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100,742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71,258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 increased by $71.3 million, or 242%, to $100.7 million for the year ended December 31, 2020, from $29.5 million for the year ended December 31, 2019. The increase was primarily attributable to the following cost components: a $66.0 million increase in stock-based compensation expenses due to an increase in the fair value of the liability-classified awards and an increase in the number of outstanding awards due to increase in the number of stock-based compensation awards granted;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Related party expenses decreased by $0.1 million, or 0.6%, to $9.4 million for the year ended December 31, 2020, from $9.5 million for the year ended December 31, 2019. The decrease was primarily attributable to a $1.7 million decrease in service fees associated with a reduction of leased ISMMS employees, a $1.0 million decrease in fees associated with information technology support pursuant to the TSA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(482)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decreased by $0.5 million, or 49%, to $0.5 million for the year ended December 31, 2020, from $1.0 million for the year ended December 31, 2019. The decrease was due to declines in interest rates on money market deposit accounts and reductions in the average cash balances held throughout the year in these interest-bearing accounts.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1,691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increased by $1.7 million, or 216%, to $2.5 million for the year ended December 31, 2020, from $0.8 million for the year ended December 31, 2019. The increase was driven by an increase in capital lease obligations, an increase in our interest-bearing loan balance with the Connecticut Department of Economic and Community Development (the “DECD”) and a new interest-bearing bank loan executed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2,118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bl>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income, net increased by $2.1 million or 420% to $2.6 million for the year ended December 31, 2020, from $0.5 million for the year ended December 31, 2019. The increase in other income, net was primarily attributable to $2.6 million in funding that we received under the CARES Act.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measures to their most directly comparable GAAP financial measures, and not to rely on any single financial measure to evaluate our business.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Gross Profit is a non-GAAP financial measure that we define as revenue less cost of services, excluding stock-based compensation expense, labor costs due to our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2021,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7"/>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2020 (Restated)</w:t>
            </w:r>
          </w:p>
        </w:tc>
        <w:tc>
          <w:tcPr>
            <w:tcW w:w="240" w:type="dxa"/>
            <w:vAlign w:val="bottom"/>
          </w:tcPr>
          <w:p>
            <w:pPr>
              <w:spacing w:after="0"/>
              <w:rPr>
                <w:sz w:val="16"/>
                <w:szCs w:val="16"/>
                <w:color w:val="auto"/>
              </w:rPr>
            </w:pP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 (Restated)</w:t>
            </w: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212,195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179,322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196,174</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228,797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175,296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113,389</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(16,602)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4,026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82,785</w:t>
            </w:r>
          </w:p>
        </w:tc>
      </w:tr>
      <w:tr>
        <w:trPr>
          <w:trHeight w:val="223"/>
        </w:trPr>
        <w:tc>
          <w:tcPr>
            <w:tcW w:w="6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22,567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12,942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710</w:t>
            </w:r>
          </w:p>
        </w:tc>
      </w:tr>
      <w:tr>
        <w:trPr>
          <w:trHeight w:val="229"/>
        </w:trPr>
        <w:tc>
          <w:tcPr>
            <w:tcW w:w="6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16,391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5,965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36,538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83,495</w:t>
            </w:r>
          </w:p>
        </w:tc>
      </w:tr>
      <w:tr>
        <w:trPr>
          <w:trHeight w:val="224"/>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43 %</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60" w:hanging="332"/>
        <w:spacing w:after="0" w:line="241"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ind w:left="340" w:right="20" w:hanging="332"/>
        <w:spacing w:after="0" w:line="248"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non-GAAP financial measure that we define as net loss adjusted for interest expense (income), net, depreciation and amortization, stock-based compensation expenses, transaction costs, other (income) expense, net, COVID-19 costs and change in fair market value of warrant and earn-out contingent liabilities and.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our net loss to Adjusted EBITDA for the years ended December 31, 2021, 2020, and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(income),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5,482</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3"/>
                <w:szCs w:val="23"/>
                <w:color w:val="auto"/>
                <w:vertAlign w:val="superscript"/>
              </w:rPr>
              <w:t>(5)</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that did not meet the requirement for capitalization.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fiscal year 2020 and 2021, primarily consists of funding received under the CARES Act Provider Relief Fund.</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 w:lineRule="exact"/>
        <w:rPr>
          <w:rFonts w:ascii="Arial" w:cs="Arial" w:eastAsia="Arial" w:hAnsi="Arial"/>
          <w:sz w:val="14"/>
          <w:szCs w:val="14"/>
          <w:color w:val="auto"/>
        </w:rPr>
      </w:pPr>
    </w:p>
    <w:p>
      <w:pPr>
        <w:ind w:left="340" w:right="200" w:hanging="332"/>
        <w:spacing w:after="0" w:line="255"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the year ended December 31, 2021, represents the change in fair market value of the liabilities associated with our public warrants, private placement warrants and the earn-out shares issuable under the terms of the Prior Merger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22, 2021, we completed the Business Combination, consummated the Prior PIPE Investment and received net cash proceeds of $510 million. Management determined that the cash proceeds received from the Business Combination provides us with sufficient liquidity to meet our obligations for at least twelve months from the date of the filing of our Annual Report on Form 10-K for the year ended December 31, 2021.</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on November 15, 2021, we entered into a loan and security agreement (the “SVB Agreement”) with Silicon Valley Bank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 In addition, on April 29, 2022, we consummated the PIPE Investment, issuing 50 million PIPE Shares for aggregate gross proceeds of $200 million, in connection with the Closing of the Acquisition.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the consolidated financial statements included elsewhere in this prospectus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description of commitments for known and reasonably likely cash requirements as of December 31, 2021 and December 31, 2020. We anticipate fulfilling such commitments with our existing cash and cash equivalents, which amounted to $400.6 million and $108.1 million as of December 31, 2021 and December 31, 2020, respectively, or through additional capital raised to finance our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future minimum payments under non-cancellable operating lease and capital lease agreements were $68.3 and $65.6 million, respectively as of December 31, 2021. The timing of these future payments, by year, can be found in our consolidated financial statements in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included elsewhere within this prospectus.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Our future contractual purchase commitments were $23.1 million as of December 31, 2021. The timing of these future payments, by year, can be found in our consolidated financial statements in Note 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included elsewhere within this prospectus.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2020</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(190,434)</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(93,128)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(18,728)</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(20,786)</w:t>
            </w:r>
          </w:p>
        </w:tc>
        <w:tc>
          <w:tcPr>
            <w:tcW w:w="300" w:type="dxa"/>
            <w:vAlign w:val="bottom"/>
          </w:tcPr>
          <w:p>
            <w:pPr>
              <w:spacing w:after="0"/>
              <w:rPr>
                <w:sz w:val="19"/>
                <w:szCs w:val="19"/>
                <w:color w:val="auto"/>
              </w:rPr>
            </w:pPr>
          </w:p>
        </w:tc>
        <w:tc>
          <w:tcPr>
            <w:tcW w:w="1400" w:type="dxa"/>
            <w:vAlign w:val="bottom"/>
          </w:tcPr>
          <w:p>
            <w:pPr>
              <w:ind w:left="700"/>
              <w:spacing w:after="0"/>
              <w:rPr>
                <w:sz w:val="20"/>
                <w:szCs w:val="20"/>
                <w:color w:val="auto"/>
              </w:rPr>
            </w:pPr>
            <w:r>
              <w:rPr>
                <w:rFonts w:ascii="Arial" w:cs="Arial" w:eastAsia="Arial" w:hAnsi="Arial"/>
                <w:sz w:val="18"/>
                <w:szCs w:val="18"/>
                <w:color w:val="auto"/>
              </w:rPr>
              <w:t>(31,974)</w:t>
            </w:r>
          </w:p>
        </w:tc>
        <w:tc>
          <w:tcPr>
            <w:tcW w:w="40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Arial" w:cs="Arial" w:eastAsia="Arial" w:hAnsi="Arial"/>
                <w:sz w:val="18"/>
                <w:szCs w:val="18"/>
                <w:color w:val="auto"/>
                <w:w w:val="92"/>
              </w:rPr>
              <w:t>(15,456)</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493,729</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129,056</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148,012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during the year ended December 31, 2019 was $18.7 million, which was primarily attributable to a net loss of $29.7 million and a net change in our operating assets and liabilities of $0.7 million, partially offset by non-cash depreciation and amortization of $6.4 million and non-cash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2021 was $20.8 million, which was attributable to $9.4 million in purchases of property and equipment and $11.4 million of costs related to development of internal-use software assets.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during the year ended December 31, 2021 was $493.7 million, which was attributable to the consummation of our Business Combination including: $350.0 million from the Prior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prepared our consolidated financial statements in accordance with GAAP. Our preparation of these consolidated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for further discussion on our accounting policies. We have identified below our accounting policies that we believe could potentially generate materially different results if we were to change underlying assumptions, estimates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judgments. Although actual results may differ from those estimates, we believe the estimates are reasonable and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payors, which we believe could be a reasonably likely change, would result in an unfavorable or favorable adjustment to diagnostic test revenue of approximately $16.2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Class A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the 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on recent accounting pronouncements can be found in Sema4’s audited consolidated financial statements in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included elsewhere in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preparation of Legacy Sema4's audited financial statements for the years ended December 31, 2020, 2019 and 2018, we identified material weaknesses in our internal controls over financial reporting, as of December 31, 2020. These material weaknesses had not been fully remediated as of December 31, 2021. In addition, during 2021, management identified a misclassification of certain costs included within cost of services for the years ended December 31, 2021, 2020 and 2019.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38" w:lineRule="exact"/>
        <w:rPr>
          <w:sz w:val="20"/>
          <w:szCs w:val="20"/>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87"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did not design and maintain formal accounting policies, procedures and controls to achieve complete, accurate and timely financial accounting, reporting and disclosures, including controls over the preparation and review of account reconciliations, journal entries and classification of certain costs; the accounting for cost capitalization policies in accordance with ASC 330, Inventory, and ASC 350-40, Intangibles</w:t>
      </w:r>
    </w:p>
    <w:p>
      <w:pPr>
        <w:spacing w:after="0" w:line="2" w:lineRule="exact"/>
        <w:rPr>
          <w:rFonts w:ascii="Arial" w:cs="Arial" w:eastAsia="Arial" w:hAnsi="Arial"/>
          <w:sz w:val="16"/>
          <w:szCs w:val="16"/>
          <w:color w:val="auto"/>
        </w:rPr>
      </w:pP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 Goodwill and Other – Internal-Use Software; and the application of ASC 840, Leases, ASC 340-40, Contracts with Customers and SEC Regulation S-X Article 5.</w:t>
      </w:r>
    </w:p>
    <w:p>
      <w:pPr>
        <w:spacing w:after="0" w:line="131"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During 2021, we made the following enhancements to our control environment:</w:t>
      </w:r>
    </w:p>
    <w:p>
      <w:pPr>
        <w:spacing w:after="0" w:line="116" w:lineRule="exact"/>
        <w:rPr>
          <w:sz w:val="20"/>
          <w:szCs w:val="20"/>
          <w:color w:val="auto"/>
        </w:rPr>
      </w:pPr>
    </w:p>
    <w:p>
      <w:pPr>
        <w:jc w:val="both"/>
        <w:ind w:left="660" w:hanging="328"/>
        <w:spacing w:after="0" w:line="26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29"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spacing w:after="0" w:line="11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engaged outside consultants to assist us in the evaluation of our Enterprise Resource Planning (“</w:t>
      </w:r>
      <w:r>
        <w:rPr>
          <w:rFonts w:ascii="Arial" w:cs="Arial" w:eastAsia="Arial" w:hAnsi="Arial"/>
          <w:sz w:val="17"/>
          <w:szCs w:val="17"/>
          <w:i w:val="1"/>
          <w:iCs w:val="1"/>
          <w:color w:val="auto"/>
        </w:rPr>
        <w:t>ERP</w:t>
      </w:r>
      <w:r>
        <w:rPr>
          <w:rFonts w:ascii="Arial" w:cs="Arial" w:eastAsia="Arial" w:hAnsi="Arial"/>
          <w:sz w:val="17"/>
          <w:szCs w:val="17"/>
          <w:color w:val="auto"/>
        </w:rPr>
        <w:t>”) system in order to mitigate the internal control gaps and limitations with the current configuration, and to enhance the information technology general controls environment.</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remediation activities are continuing during 2022. In addition to the above actions, we expect to engage in additional activities, including, but not limited to:</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(“U.S.”) in areas such as reproductive health (“Women’s Health”), population health, and oncology (“Oncology”), we are reimbursed by payors, providers, and patients for providing these services. In collaboration with pharmaceutical and biotech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Sema4 was established out of the Mount Sinai Health System (which we refer to together with its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ind w:right="1920"/>
        <w:spacing w:after="0" w:line="464" w:lineRule="auto"/>
        <w:rPr>
          <w:sz w:val="20"/>
          <w:szCs w:val="20"/>
          <w:color w:val="auto"/>
        </w:rPr>
      </w:pPr>
      <w:r>
        <w:rPr>
          <w:rFonts w:ascii="Arial" w:cs="Arial" w:eastAsia="Arial" w:hAnsi="Arial"/>
          <w:sz w:val="17"/>
          <w:szCs w:val="17"/>
          <w:color w:val="auto"/>
        </w:rPr>
        <w:t xml:space="preserve">genomics and information platforms, and intend to continue to expand our scale and reach through organic and inorganic growth. </w:t>
      </w:r>
      <w:r>
        <w:rPr>
          <w:rFonts w:ascii="Arial" w:cs="Arial" w:eastAsia="Arial" w:hAnsi="Arial"/>
          <w:sz w:val="17"/>
          <w:szCs w:val="17"/>
          <w:b w:val="1"/>
          <w:bCs w:val="1"/>
          <w:i w:val="1"/>
          <w:iCs w:val="1"/>
          <w:color w:val="auto"/>
        </w:rPr>
        <w:t>Our Purpose-Built, Flexible Platforms Address Immediate and Untapped Market Opportunities</w:t>
      </w:r>
    </w:p>
    <w:p>
      <w:pPr>
        <w:jc w:val="both"/>
        <w:spacing w:after="0" w:line="263" w:lineRule="auto"/>
        <w:rPr>
          <w:sz w:val="20"/>
          <w:szCs w:val="20"/>
          <w:color w:val="auto"/>
        </w:rPr>
      </w:pPr>
      <w:r>
        <w:rPr>
          <w:rFonts w:ascii="Arial" w:cs="Arial" w:eastAsia="Arial" w:hAnsi="Arial"/>
          <w:sz w:val="18"/>
          <w:szCs w:val="18"/>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the U.S. in 2011, rare diseases, which is estimated to cost the U.S. healthcare system over $400 billion annually, and cardiovascular disease, where direct medical spend represents approximately $200 billion annually.</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(“API”) layer.</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(“EMR”) data, totaling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 partner. Learning from our long-standing relationship with Mount Sinai, we have refined a health system engagement model that is both operational and economic and designed to maximize both our and our health system partner’s value from the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 These systems include: AdventHealth, Avera Health, and Northshore University HealthSystem.</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AdventHealth partnership builds upon the current AdventHealth Genomics and Personalized Health Program to offer genomic solutions to patients across a number of services and specialties. Together, we will conduct data structuring and curation of the combined genomic and clinical data to enable clinicians and scientists to advance research and discovery to improve patient care. We are initially focused on accelerating research in the central Florida division, which includes 18 hospitals and emergency departments, and accounts for more than two million patient visits annually. Nationally, AdventHealth has 51 hospitals and over 100 care sites across 9 states.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Avera Health partnership initially focuses on advancing oncology care, enabling Avera Health’s providers and patients to benefit from data-driven insights that inform targeted cancer treatments. Avera Health’s providers will be able to leverage Centrellis, to curate, structure and integrate clinical and genomic data to support both cancer research and clinical care at Avera Health. We will deliver predictive disease network models and clinically actionable insights, empowering Avera Health’s providers to further improve the prevention, detection, and treatment of cancer for their patients. We are also offering digital tools, which give Avera Health’s providers the ability to readily search for cohorts of patients based on clinical criteria, view a patient’s treatment history that is contained in the curated data as an interactive timeline, and more systematically match patients to clinical trials.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NorthShore University HealthSystem, we are enabling a data-driven genomics program to help clinicians and patients detect, and treat diseases at an early stage, when they are most treatable. As part of the program, NorthShore University HealthSystem’s clinicians and patients will have access to our information-rich genomic solutions for hereditary cancer, population health, pharmacogenomics, and rare expanded carrier screening. Importantly, by combining clinical information with genomic analysis, physicians will be better positioned to administer more personalized, holistic care plans by both drawing insights on how genetic variants will impact patients’ chances of developing disease and determining the most appropriate treatment options. In addition to guiding clinicians, the program is expected to make it easier for NorthShore University HealthSystem patients to understand the implications of genomic findings.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ind w:right="1820"/>
        <w:spacing w:after="0" w:line="438" w:lineRule="auto"/>
        <w:rPr>
          <w:sz w:val="20"/>
          <w:szCs w:val="20"/>
          <w:color w:val="auto"/>
        </w:rPr>
      </w:pPr>
      <w:r>
        <w:rPr>
          <w:rFonts w:ascii="Arial" w:cs="Arial" w:eastAsia="Arial" w:hAnsi="Arial"/>
          <w:sz w:val="18"/>
          <w:szCs w:val="18"/>
          <w:color w:val="auto"/>
        </w:rPr>
        <w:t xml:space="preserve">understanding of disease and wellness and improve the standard of care through information driven knowledge and understanding. </w:t>
      </w:r>
      <w:r>
        <w:rPr>
          <w:rFonts w:ascii="Arial" w:cs="Arial" w:eastAsia="Arial" w:hAnsi="Arial"/>
          <w:sz w:val="18"/>
          <w:szCs w:val="18"/>
          <w:b w:val="1"/>
          <w:bCs w:val="1"/>
          <w:i w:val="1"/>
          <w:iCs w:val="1"/>
          <w:color w:val="auto"/>
        </w:rPr>
        <w:t>Provider Engagement Technologies: Our Next Generation Tools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API layer, including:</w:t>
      </w:r>
    </w:p>
    <w:p>
      <w:pPr>
        <w:spacing w:after="0" w:line="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designed Centrellis to create an accessible and usable database that can support interpretation consistently across patient populations represented within the broad healthcare ecosystem. Centrellis aggregates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natural language processing, augmented as needed by human annotators, to extract information and knowledge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that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not only collect data from external sources, but also generate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Traversa: Our Genomics Platform for Optimizing Screening and Diagnostic Genomics Products and Population Health Initiatives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 clinical-grade coverage, as well as low-pass whole genome data to span all common variation in the genome.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2022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Advent Health, Avera and NorthShore. For more information regarding our data arrangements with Mount Sinai, see “</w:t>
      </w:r>
      <w:r>
        <w:rPr>
          <w:rFonts w:ascii="Arial" w:cs="Arial" w:eastAsia="Arial" w:hAnsi="Arial"/>
          <w:sz w:val="17"/>
          <w:szCs w:val="17"/>
          <w:i w:val="1"/>
          <w:iCs w:val="1"/>
          <w:color w:val="auto"/>
        </w:rPr>
        <w:t>Certain Relationships and Related Party Transactions—Related Party Transactions—Sema4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Elements Women’s Health Solutions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our focus into a multi-generational and pan-ethnic view of the health of individual women and their families. Sema4 Elements™, our portfolio of data-science driven products and services to support reproductive and generational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health, highlights our continued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Non-invasive Prenatal Testing Solutions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Noninvasive Prenatal Testing is a comprehensive noninvasive prenatal test,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Expansive development in prenatal screening allows our team to advance scientific efforts to deliver Genome Wide Screening and includes the ability to detect additional whole chromosome aneuploidies and copy number variations (“CNVs”). We believe an updated bioinformatics pipeline will help to further reduce false positives. We expect to release new versions of our code in 2022, which we believe will help improve the positive predictive value for CNV calling through fetal fraction enrichment and CNV normalization through nucleosome positioning and fragment characteristics.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Natalis test is an extension of our screening portfolio allowing for detection of heritable conditions from pre-conception, pregnancy and childhood. Newborn Screening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Signal Precision Oncology Solutions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Centrellis platform, combined with our comprehensive whole exome and whole transcriptome tumor profiling and hereditary cancer and pharmacogenomics genomic testing solutions, will make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meaningful difference in transforming cancer care. We have developed the “Sema4 Signal®” portfolio to be leveraged individually or as part of a holistic solution for precision oncology care. The Sema4 Signal portfolio features the integration of our germline and somatic tests with our informatics and data science tools, enabled by customized services to meet patient and provider needs to help drive more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research discoveries and drug development.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one of the most comprehensive sets of panels on the U.S. market, and deliver this solution supported by the Traversa platform to enable us to adapt our panels as new discoveries on clinically actionable variants are made, so we can adapt at the rate of learning. Our solution includes tools to enable testing at the point of care or outside the office, including a digital family screening questionnaire to identify individuals who would benefit from testing, digital ordering via an EMR portal, video-based education, saliva procurement in the patient’s home, proactive billing investigation, pre-and post-test genetic counselling and family outreach to enable cascade testing.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Women's Health and population health solutions. For affected cancer patients, integrating hereditary cancer with our Sema4 Signal Whole Exome and Transcriptome and our informatics offerings, which incorporating real world evidence, integrates available data needed to better personalized clinical care decisions. For unaffected patients, our Sema4 Signal Hereditary Cancer solution is incorporated into both our Women’s Health and Population Health products and services to support early identification and treatment of cancer risk.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(“WES”) with whole transcriptome sequencing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deliver the WES/WTS solution using a number of proprietary tools housed in Centrellis, including our cancer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ind w:right="1440"/>
        <w:spacing w:after="0" w:line="438" w:lineRule="auto"/>
        <w:rPr>
          <w:sz w:val="20"/>
          <w:szCs w:val="20"/>
          <w:color w:val="auto"/>
        </w:rPr>
      </w:pPr>
      <w:r>
        <w:rPr>
          <w:rFonts w:ascii="Arial" w:cs="Arial" w:eastAsia="Arial" w:hAnsi="Arial"/>
          <w:sz w:val="18"/>
          <w:szCs w:val="18"/>
          <w:color w:val="auto"/>
        </w:rPr>
        <w:t xml:space="preserve">care for patients, including clinical trial recruitment, improved system-wide quality of care and increased financial and research activity. </w:t>
      </w:r>
      <w:r>
        <w:rPr>
          <w:rFonts w:ascii="Arial" w:cs="Arial" w:eastAsia="Arial" w:hAnsi="Arial"/>
          <w:sz w:val="18"/>
          <w:szCs w:val="18"/>
          <w:i w:val="1"/>
          <w:iCs w:val="1"/>
          <w:color w:val="auto"/>
        </w:rPr>
        <w:t>Regulatory and Payer Relations Strategy</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developed and are advancing our strategy to drive increased reimbursement and higher average selling prices (“ASPs”) for our Sema4 Signal Oncology solutions. As part of this strategy, we will take advantage of a Medicare Administrative Contractor (“MAC”), National Government Services (“NGS”), update to a Local Coverage Decision (“LCD”) titled Genomic Sequence Analysis Panels in the Treatment of Solid Organ Neoplasms under which qualifying CGP tests are covered for patients insured by Medicare, who are living with advanced cancer and meet other clinical criteria.</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expanding our presence in select markets where Palmetto GBA is the MAC and the MolDx program they administer provides opportunities to apply for coverage under existing or future LCDs. Specifically, we have, or intend to, submit Technical Assessments for coverage and reimbursement of WES/WTS and other tumor profiling solutions based on existing MolDx LCDs.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Beyond the testing, we are exploring the regulatory and market access landscape as it relates to the governance and reimbursement of real-world evidence and AI driven clinical decision-making tools. As we demonstrate the clinical utility of information driven solutions, these emerging areas will become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response to the outbreak of the worldwide COVID-19 pandemic, in the first quarter of 2020, we rapidly leveraged our existing technologies and infrastructure capabilities, supplemented by a requisite set of technologies and services, to offer a comprehensive COVID-19 diagnostic testing service for our customers. However, on December 15, 2021, we announced that we decided to discontinue COVID-19 testing services by March 31, 2022 and began notifying our COVID-19 testing solutions customers of this decision. Nationwide and regional lab capacity for COVID-19 testing has increased since we entered the market for COVID-19 testing in the first half of 2020. Management believes it is the appropriate time to discontinue this line of services and dedicate all of our efforts and resources to our core mission to transform healthcare by using artificial intelligence to enable the delivery of precision medicine as the standard of care.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April 29, 2022, we consummated the transactions contemplated by the Merger Agreement, whereby we acquired GeneDx through the Mergers.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has pioneered panels, exome and whole genome sequencing and have developed a proprietary genomic interpretation and information services platform in support of healthcare partners and patients globally. GeneDx creates, follows, and is informed by cutting-edge science and technology. With one of the most sophisticated datasets of genomic information, GeneDx is able to identify new disease-causing genes, advancing the field of medicine through the detection, discovery, and diagnosis of genetic diseases.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by scientists from the U.S. National Institutes of Health (“NIH”) in 2000, GeneDx has a proven track record of expertise in genetic testing, having launched next generation sequencing panels in 2008, pioneered exome sequencing in 2012 and has now sequenced more than 300,000 exomes to date. GeneDX has performed more than one-million genetic tests and has developed the following:</w:t>
      </w:r>
    </w:p>
    <w:p>
      <w:pPr>
        <w:spacing w:after="0" w:line="13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curated database of disease-associated genomic variants;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proprietary bioinformatics and variant interpretation pipelines;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rapid exome and whole genome sequencing testing options •a curated database of disease-associated genomic variants;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GeneDx’s years of exome sequencing experience provides an enormous phenotyped clinical genomic dataset, including more than 2.1 million structured phenotypes with 60% as parent-child trios. Of particular importance, GeneDx has invested resources over time to annotate the phenotypes and sequence the parents, because they improve the diagnostic outcome of each case but also because that data improves the interpretation of future cases. GeneDx now has nearly twice as many expertly annotated disease-causing variants as the largest public resource, ClinVar, across more genes, which GeneDx has built over the course of a decade of clinical work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95" w:lineRule="exact"/>
        <w:rPr>
          <w:sz w:val="20"/>
          <w:szCs w:val="20"/>
          <w:color w:val="auto"/>
        </w:rPr>
      </w:pPr>
    </w:p>
    <w:p>
      <w:pPr>
        <w:jc w:val="both"/>
        <w:ind w:left="66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our data curation capabilities for both structured and unstructured data to identify clinical utility that can be used by health system providers, researchers and administration,</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our and our health system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Us and Our Health System Partners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continue to use the proceeds from our July 2021 Business Combination and related private placement financing (which we refer to as the “Prior PIPE Investment”) to accelerate growth in our health system relationships by further investing in research-oriented projects,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Act as a Broker and Catalyst for Commercial Engagement Between Health System and Biopharma Companies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us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them to understand their capabilities and how those capabilities are complemented by our enhancement of a health systems’ data assets and clinical-genomic data generation capabilities, and by facilitating solutions that can be provided jointly to Biopharma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Biopharma Solutions Engage and Enable Our Partners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 health system relationships and information-driven diagnostics solutions, combined with our powerful analytics capabilities and software solutions.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deliver novel insights that help to de-risk the development of next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therapeutics, provide for pharmacologic proof of concept via the integration of genomic and clinical data support, reduce development costs, enhance the patient experience, and increase speed to market.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Solutions for BioPharma Customers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our five-year collaborative study with Sanofi S.A.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 environmental, and sensor data from mobile devices to enable sophisticated analyses and to include advanced causal network modeling.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2" w:lineRule="exact"/>
        <w:rPr>
          <w:rFonts w:ascii="Arial" w:cs="Arial" w:eastAsia="Arial" w:hAnsi="Arial"/>
          <w:sz w:val="17"/>
          <w:szCs w:val="17"/>
          <w:color w:val="auto"/>
        </w:rPr>
      </w:pPr>
    </w:p>
    <w:p>
      <w:pPr>
        <w:jc w:val="both"/>
        <w:ind w:left="660" w:hanging="328"/>
        <w:spacing w:after="0" w:line="291"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We work with collaborators, researchers, and key opinion leaders to build new models of disease and deliver insights to Biopharma partners that can further optimize their operations.</w:t>
      </w:r>
    </w:p>
    <w:p>
      <w:pPr>
        <w:spacing w:after="0" w:line="112" w:lineRule="exact"/>
        <w:rPr>
          <w:rFonts w:ascii="Arial" w:cs="Arial" w:eastAsia="Arial" w:hAnsi="Arial"/>
          <w:sz w:val="16"/>
          <w:szCs w:val="16"/>
          <w:color w:val="auto"/>
        </w:rPr>
      </w:pPr>
    </w:p>
    <w:p>
      <w:pPr>
        <w:jc w:val="both"/>
        <w:ind w:left="660" w:hanging="328"/>
        <w:spacing w:after="0" w:line="290"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prominent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Biopharma partners seeking to use high-quality genomic analysis to assess patient eligibility for clinical trials. We believe our clinical testing services and data solutions make us a key partner for supporting efficient clinical trials.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invested a substantial amount of time and expense into research and development for our technology and test offerings, which requires the continuous improvement of software capabilities to analyze data and process customer orders. Our research and development efforts focus on several key areas, including multiscale biotechnology, assay development across sequencing technologies, data science and engineering, and the development of network-based models. We expect our research and development activities to increase as we innovate and expand the application of our current and future platforms including Traversa and Centrellis.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internationally recognized research team includes leaders in data science, network modeling, multiscale biotechnology and genomics. As noted above, our founder, president and Chief Research &amp; Development Officer, Eric Schadt, is a world-renowned expert on constructing predictive models of disease that link molecular biology to physiology to enable clinical medicine. He has published more than 450 peer-reviewed papers in leading scientific journals, with a public citation or “h-” index of 137, and has contributed to discoveries relating to the genetic basis of common human diseases such as cancer, diabetes, obesity, and Alzheimer’s disease. Under the leadership of our management team, our research team comprises more than 160 Ph.D.-level scientists, complemented by additional physician scientists and certified technicians as of December 31, 2021. Ongoing collaborations with scientists and clinicians at the Mount Sinai and other healthcare systems allows our research to remain patient-centered and clinically relevant.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fields of genomic and health information analysis present limited opportunities for patent protection, based on well-known legal precedents. As result, our patent protection strategy is to protect our non-gene specific technology and our specific biomarkers. In this regard, as of December 31, 2021, we have four pending utility patent applications and one provisional patent application. The pending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physical and technological security measures, to guard against misappropriation of our proprietary information by third parties.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Arial" w:cs="Arial" w:eastAsia="Arial" w:hAnsi="Arial"/>
          <w:sz w:val="17"/>
          <w:szCs w:val="17"/>
          <w:i w:val="1"/>
          <w:iCs w:val="1"/>
          <w:color w:val="auto"/>
        </w:rPr>
        <w:t>Risk Factors—Risks Related to Our Intellectual Property</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various trademarks, applications and unregistered trademarks in the U.S and other commercially important markets, including our company name, product and service names and other trade or service marks. Our trademark portfolio is designed to protect the brands for our products and services, both current and in the pipeline.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 management organizations, or reimbursed by government health administration authorities, such as Medicare and Medicaid and private health insurers.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 other organizations generally decide which devices they will pay for and establish reimbursement levels for healthcare. Medicare is a federally funded program for the elderly and disabled managed by Centers for Medicare &amp; Medicaid Services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U.S., private health insurers and other third-party payors often provide reimbursement for products and services based in part on the coverage and payment rates set by the Medicare or Medicaid programs.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programs in the U.S.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restrictions on certain product access and marketing cost disclosure and transparency measures, and, in some cases, designed to encourage importation from other countries and bulk purchasing.</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above trends, we may need to conduct expensive studies in order to demonstrate the medical necessity and cost effectiveness of our products and services, in addition to the costs required to obtain FDA approvals. Our products and services may not be considered medically necessary or cost effective, or the discount percentages required to secure coverage may not yield an adequate margin over cost.</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spacing w:after="0" w:line="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Moreover, a payor’s decision to provide coverage for a diagnostic product does not imply that an adequate reimbursement rate will be approved. Adequate third-party reimbursement may not be available to enable us to maintain price levels sufficient to realize an appropriate return on our investment in device development. Legislative proposals to reform healthcare or reduce costs under government insurance programs may result in lower reimbursement for our products and services or exclusion of our products and services from coverage. The cost containment measures that healthcare payor and providers are instituting and any healthcare reform could significantly reduce our revenue from the sale of any approved products and services. We cannot provide any assurances that we will be able to obtain and maintain third-party coverage or adequate reimbursement for our products and services in whole or in part.</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our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We maintain protocols intended to identify any overpayments. From time to time, we may identify overpayments and be required to refund those amounts to governmental payors.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Act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clinical reference laboratories in Connecticut are required to hold certain federal certificates to conduct our business. Under the Clinical Laboratory Improvement Act of 1988 (“CLIA”), we are required to hold a certificate applicable to the type of laboratory examinations we perform and to comply with standards covering personnel, facilities administration, inspections, quality control, quality assurance and proficiency testing.</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we have a current certificate under CLIA to perform testing at our laboratory locations in Stamford and Branford, Connecticut. To renew this CLIA certificate, we are subject to survey and inspection every two years to assess compliance with program standards. Moreover, CLIA inspectors may make random inspections of our clinical reference laboratories. The regulatory and compliance standards applicable to the testing we perform may change over time, and any such changes could have a material effect on our business.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clinical reference laboratory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and Medicaid beneficiaries. If we were to be found out of compliance with CLIA requirements and subjected to sanction, our business could be harmed.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Laboratory Testing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is required to maintain a license to conduct testing in Connecticut. Connecticut laws establish standards for day-to-day operations of our laboratories in Stamford and Branford, Connecticut. If our clinical reference laboratories are out of compliance with Connecticut standards, the Connecticut Department of Health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(“CDHS”) may suspend, restrict or revoke our license to operate our clinical reference laboratories, assess substantial civil money penalties, or impose specific corrective action plans. Any such actions could materially affect our business. As of December 31, 2021, we maintain a current license in good standing with CDHS. However, we cannot provide assurance that CDHS will at all times in the future find us to be in compliance with all such laws.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(“CAP”) Laboratory Accreditation Program, including those for personnel qualifications, proficiency testing, physical facility, equipment, and quality control standards. Our laboratory holds the required licenses for California, New York, Maryland, Pennsylvania, and Rhode Island.</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our clinical reference laboratories in Connecticut is required to be licensed on a test-specific basis by New York State as an out of state laboratory and our products, as laboratory-developed tests (“LDTs”) must be approved by the New York State Department of Health (“NYDOH”) before they are performed on samples from New York. Each Sema4 laboratory is licensed by New York, and we are currently approved for testing samples from New York. We are subject to periodic inspection by the NYDOH and we are required to demonstrate ongoing compliance with NYDOH regulations and standards.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states may adopt similar licensure requirements in the future, which may require us to modify, delay or stop our operations in such jurisdictions. Complying with licensure requirements in new jurisdictions may be expensive, time-consuming, and subject us to significant and unanticipated delays. If we identify any other state with such requirements, or if we are contacted by any other state advising us of such requirements, we intend to follow instructions from the state regulators as to how we should comply with such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provide our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Legislative proposals addressing the FDA’s oversight of LDTs have been introduced in previous Congresses, and we expect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assure you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medical device requirements to our tests could materially and adversely affect our business, financial condition, and results of operations.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obtain FDA premarket approval (“PMA”) for some of our tests including its matched whole exome sequencing (“WES”) and whole transcriptome sequencing (“WTS”) tests. Devices subject to FDA regulation must undergo premarket review prior to commercialization unless the device is exempt from such review, and we expect that we will be required to perform non-inferiority studies showing comparable results between the Sema4 Signal WES/WTS LDT and third party, FDA-approved tests with regard to certain therapeutic drugs prescribed to ovarian cancer patients, colorectal cancer patients, and non-small cell lung cancer patients. We are currently evaluating an updated pre-submission letter to the FDA with regard to the studies necessary for ovarian cancer and is working to secure access to the subjects necessary to perform this study. With regard to the studies necessary for colorectal cancer patients and non-small cell lung cancer patients, we submitted our pre-submission package and held a pre-submission meeting with the FDA in 2020, and are working to secure access to the subjects necessary to perform this study. Further, the regulations governing the approvals place substantial restrictions on how the tests will be marketed and sold, specifically, by prescription only. In addition, as a condition of Sema4’s FDA approval, we may be required to conduct post-approval studies.</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manufacturers of medical devices must comply with various regulatory requirements under the Food, Drug, and Cosmetic Act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our tests will be cleared or approved on a timely basis, if at all. In addition, there can be no assurance that the labeling claims cleared or approved by the FDA will be consistent with our current claims or adequate to support continued adoption of and reimbursement for our products. Ongoing compliance with FDA regulations could increase the cost of conducting our business, subject us to FDA inspections and other regulatory actions, and potentially subject us to penalties in the event we fail to comply with such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(“HIPAA”), as amended by the Health Information Technology for Economic and Clinical Health Act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We perform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we are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HITRUST CSF was developed to address the multitude of security, privacy, and regulatory challenges facing organizations. By including federal and state regulations, standards, frameworks, and incorporating a risk-based approach, the HITRUST CSF helps organizations address these challenges through a comprehensive and flexible framework of prescriptive and scalable security and privacy controls. The HITRUST CSF includes, harmonizes, and cross-references existing, globally recognized standards, regulations, and business requirements, including ISO, EU GDPR, NIST, and PCI. On December 10, 2021, we met the HITRUST Assurance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requirements for the CSF v9.4 Risk-based, 2-year (r2) certification criteria for our Centrellis Platform, for hosting and curating Patient data.</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 protected health information as defined under HIPAA. Massachusetts, for example, has a state law that protects the privacy and security of personal information of Massachusetts residents.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 transactions that do not comply with the electronic data transmission standards established under HIPAA and HITECH, payments to us may be delayed or denied.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U.S., there are various fraud and abuse laws with which we must comply, and we are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U.S.,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25, 2018, the Substance Use-Disorder Prevention that Promoted Opioid Recovery and Treatment for Patients and Communities Act of 2018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Referral Prohibitions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 through licensure proceedings. Typically, such laws are only applicable to entities that have a physical presence in the state.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Privacy and Testing Laws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and Medical Regulations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federal physician payment transparency requirements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our operations require employees to use certain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chemicals, we also must comply with regulations on hazard communication and hazardous chemicals in laboratories. These regulations require us, among other things, to develop written programs and plans, which must address methods for preventing and mitigating employee exposure, the use of personal protective equipment, and training.</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commercialization activities subject us to regulations of the Department of Transportation, the U.S. Postal Service, and the Centers for Disease Control and Prevention that apply to the surface and air transportation of clinical laboratory specimens.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 in that jurisdiction. Certain international privacy and data protection laws, such as those in the European Union, can be more restrictive and prescriptive than those in the U.S., while other jurisdictions can have laws less restrictive or prescriptive than those in the U.S. Enforcement of these laws vary from jurisdiction to jurisdiction, with a variety of civil or criminal penalties, or private rights of action.</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European Union’s General Data Protection Regulation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United Kingdom of Great Britain and Northern Ireland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Payment Card Industry Data Security Standard (“PCI DSS”) was issued by the Payment Card Industry Security Standards Council and establishes industry standards for the processing of payment card information. While the PCI DSS requirements do not have the force of law, the penalties for noncompliance could include exclusion from payment card systems. To the extent that we collect payment card information when receiving payments of insurance premiums or payments for our products or services, we comply with PCI DSS as applicable to our payment environment and PCI DSS merchant level, which is determined by our volume of payment card transactions per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Act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an entity regulated by the Federal Trade Commission (“FTC”), we are subject to the FTC’s enforcement power under Section 5 of the Federal Trade Commission Act (“FTC Act”). The FTC has policed privacy and data security through its broad power under Section 5 of the FTC Act. Under Section 5, “unfair or deceptive acts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CAN-SPAM Act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Controlling the Assault of Non-Solicited Pornography and Marketing Act of 2003 (“CAN-SPAM Act”) establishes rules for commercial electronic mail messages, gives recipients the right to opt out of certain messages, and establishes penalties for violations. We comply with the CAN-SPAM Act in connection with our transmittal of commercial electronic mail messages (“Commercial Email Messages”). Commercial Email Messages do not include emails that are informational or are transactional or relationship messages.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Telephone Consumer Protection Act of 1991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We comply with TCPA in connection with our transmittal of automated, artificial, or prerecorded phone calls, SMS text messages, facsimile transmissions, and push notifications.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Consumer Privacy Act</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California Consumer Privacy Act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CCPA does not apply to personal information that is protected health information under HIPAA. The CCPA also does not apply to a HIPAA covered entity to the extent that the covered entity maintains patient information in the same manner as protected health information. We are subject to the CCPA with respect to personal information we collect from California consumers that is neither protected health information under HIPAA nor patient information that we maintain in the same manner as protected health information.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in our market are:</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Patient-centric approach;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Breadth, depth, and quality of data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 and quality of tests;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Turnaround time of testing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Depth and clinical applicability of interpretive insights;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Degree of utility of patient and provider facing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Breadth of interpretive insights beyond just one episode of care;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Convenience of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Brand recognition of test provider;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Additional value-added services and informatics tools;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Quality of website content;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we compare favorably with our competitors on the basis of these factors. However, many of our competitors and potential competitors have longer operating histories, larger customer bases, greater brand recognition and market penetration, substantially greater financial, technological and research and development 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We may not be able to compete effectively against these organizations.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operations require the use of hazardous materials (including biological materials) that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our partners’, business operations should contamination of the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individual exposure to hazardous substances occur. We cannot predict how changes in laws or new regulations will affect our business operations or the cost of compliance.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Our laboratory operations could be interrupted if we encounter delays or difficulties in securing these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 consuming and expensive, may result in interruptions in our laboratory operations, could affect the performance specifications of its laboratory operations or could require that we revalidate our tests. We cannot assure you that we would be able to secure alternative equipment, reagents, and other materials, or bring such equipment, reagents, and materials online and revalidate them without experiencing interruptions in our workflow. If we encounter delays or difficulties in securing, reconfiguring, or revalidating the equipment and reagents we require for our tests, our business and reputation could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our health information products and services to a broad range of customers, including health plans (including managed care organizations and other health insurance providers); clinicians; hospitals; employers; patients; federally qualified health centers; and Biopharma companies. In addition, during 2020 and 2021, the customers for our COVID-19 tests included state governments.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we seek payment from third party payers, such as a commercial health insurance company, Medicare or a Medicaid program, pursuant to contracts established between us and such third parties.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reimbursement from health plans represented 79% and 76% of our diagnostic test revenue and total revenue, respectively. In 2021, two health plans each represented 10% or more of our consolidated total revenue, and no other health plans or other customers represented 10% or more of our consolidated total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Sema4 is mission driven. Our employees are passionate about changing healthcare and impacting lives. We attract entrepreneurs who are comfortable with ambiguity and thrive on innovation and thoughtful discourse. We empower our employees to iterate and rapidly execute on ideas.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our People Team’s mission to connect people to purpose. We achieve this through enablement of excellence across the employment journey, through stewardship of an engaged and inclusive culture, by growing individual, team and organizational capability, in delivering simplification and innovation, and by sharing data-driven people insights that transform our organization. All of this is in service of driving our business forward and optimizing patient health outcomes.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delivering a competitive package of compensation and benefits that aims to attract and retain strong talent, in a very competitive talent marketplace. As of December 31, 2021, we had approximately 1,200 employees, of which 54% are women and 46% are men. Our headcount grew by approximately 33% in 2021, and we hired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500 employees in that timeframe, as a part of scaling our operations in connection with our transition to a public company and meeting our strategic priorities.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Diversity and Inclusion Council seeks to improve diversity, inclusion, equality, and global understanding by promoting dialogue, encouraging respectful understanding, providing information, participating in policy development, overseeing diversity education and training, and helping to foster respect for all employees. In 2022, we will be hosting our inaugural BIPOC Initiative Genomics Symposium, inviting select Ph.D. students and post doctorates for a two-day research symposium to strengthen our diverse hiring practices. Each attendee will present their original research, and will learn about science and career opportunities at Sema4.</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our corporate culture fosters innovation, creativity, and teamwork. In this past year, we launched several programs and processes, which intend to help build a driven culture of alignment, development, compliance, and respect. We are in our second year of formal performance management processes, which are used to drive organizational alignment and includes tracking top-down business priorities and people development goals. The launch of two promotion cycles focus and enable employee career growth and mobility. We also implemented formal people manager learning, in order to build stronger people management skills for our leaders. We have optimized processes and transformed our people management solution in order to have greater systems capability, access to robust reporting, and to strengthen our analytical horsepower.</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implemented a comprehensive compliance infrastructure, which advises Sema4 individuals and business affiliates on how to prevent, detect, report, and resolve matters of fraud, waste, threats, and abuse related to institutional policies and federal, state, and local laws and regulations. We have implemented various committees, councils and boards such as the Diversity &amp; Inclusion Council, Data Governance Board, and IRB Review Board. These groups provide guidance for our employees, to empower them to perform according to our legal and ethical standards. We observe legal, regulatory, and industry trends and comprehensively adapt internal policies and practices as needed. We educate our Board members, executives, and other key employees about conflicts of interest and advise how to prevent and detect potential or actual conflicts of interest to safeguard from inappropriate external influence or impropriety.</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look to further strengthen our people infrastructure in 2022 through enhanced engagement surveys, values and behaviors programming, and formal talent reviews, with development planning.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corporate headquarter is located at 333 Ludlow Street, North Tower, 8th Floor, Stamford, Connecticut 06902. Material lease agreements include offices and laboratory facilities as shown in the table below. We believe that our current facilities are suitable and adequate to meet our current needs.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Acquisition, two lawsuits were filed in federal courts against us and our directors. The complaints assert claims under Section 14(a) and Section 20(a) of the Exchange Act, and Rule 14a-19 promulgated thereunder, generally allege that the proxy statement we mailed to our stockholders in connection with the approval of certain matters related to the Acquisition misrepresented and/or omitted certain purportedly material information, and seek a variety of equitable and injunctive relief. In addition, five purported stockholders of our company have sent us demand letters making similar allegations about the proxy statement and demanding we provide supplemental disclosures. Although we believe that these allegations, claims and demands are without merit, we cannot predict the outcome of these legal proceedings, or whether additional stockholders will file lawsuits.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names, ages as of April 29, 2022, and certain other information regarding our executive officers and directors: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20" w:type="dxa"/>
            <w:vAlign w:val="bottom"/>
            <w:tcBorders>
              <w:top w:val="single" w:sz="8" w:color="auto"/>
            </w:tcBorders>
            <w:shd w:val="clear" w:color="auto" w:fill="CCEEFF"/>
          </w:tcPr>
          <w:p>
            <w:pPr>
              <w:spacing w:after="0"/>
              <w:rPr>
                <w:sz w:val="19"/>
                <w:szCs w:val="19"/>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Katherine Strueland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Isaac Ro</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Eric Schadt, Ph.D.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Chief Research &amp; Development Officer and Director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Daniel Clark, J.D.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Anthony Prentice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Product Officer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Kareem Saad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Business Officer</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Karen White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People Officer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Dennis Charney, M.D.</w:t>
            </w:r>
            <w:r>
              <w:rPr>
                <w:rFonts w:ascii="Arial" w:cs="Arial" w:eastAsia="Arial" w:hAnsi="Arial"/>
                <w:sz w:val="23"/>
                <w:szCs w:val="23"/>
                <w:color w:val="auto"/>
                <w:vertAlign w:val="superscript"/>
              </w:rPr>
              <w:t>(5)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Eli D. Casdin</w:t>
            </w:r>
            <w:r>
              <w:rPr>
                <w:rFonts w:ascii="Arial" w:cs="Arial" w:eastAsia="Arial" w:hAnsi="Arial"/>
                <w:sz w:val="23"/>
                <w:szCs w:val="23"/>
                <w:color w:val="auto"/>
                <w:vertAlign w:val="superscript"/>
              </w:rPr>
              <w:t>(4)(6)</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Emily Leproust, Ph.D.</w:t>
            </w:r>
            <w:r>
              <w:rPr>
                <w:rFonts w:ascii="Arial" w:cs="Arial" w:eastAsia="Arial" w:hAnsi="Arial"/>
                <w:sz w:val="23"/>
                <w:szCs w:val="23"/>
                <w:color w:val="auto"/>
                <w:vertAlign w:val="superscript"/>
              </w:rPr>
              <w:t>(5)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Keith A. Meister</w:t>
            </w:r>
            <w:r>
              <w:rPr>
                <w:rFonts w:ascii="Arial" w:cs="Arial" w:eastAsia="Arial" w:hAnsi="Arial"/>
                <w:sz w:val="23"/>
                <w:szCs w:val="23"/>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Pellini, M.D.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Richard C. Pfenniger, Jr.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Joshua Ruch</w:t>
            </w:r>
            <w:r>
              <w:rPr>
                <w:rFonts w:ascii="Arial" w:cs="Arial" w:eastAsia="Arial" w:hAnsi="Arial"/>
                <w:sz w:val="23"/>
                <w:szCs w:val="23"/>
                <w:color w:val="auto"/>
                <w:vertAlign w:val="superscript"/>
              </w:rPr>
              <w:t>(2)(4)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04"/>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r>
              <w:rPr>
                <w:rFonts w:ascii="Arial" w:cs="Arial" w:eastAsia="Arial" w:hAnsi="Arial"/>
                <w:sz w:val="23"/>
                <w:szCs w:val="23"/>
                <w:color w:val="auto"/>
                <w:vertAlign w:val="superscript"/>
              </w:rPr>
              <w:t>(3)(6)</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Chair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Katherine Stueland </w:t>
      </w:r>
      <w:r>
        <w:rPr>
          <w:rFonts w:ascii="Arial" w:cs="Arial" w:eastAsia="Arial" w:hAnsi="Arial"/>
          <w:sz w:val="17"/>
          <w:szCs w:val="17"/>
          <w:color w:val="auto"/>
        </w:rPr>
        <w:t>has served as our Chief Executive Officer and as a member of our Board since April 2022. Previously, Ms. Stueland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Executive Officer of GeneDx from June 2021 to the closing of the Acquisition. Prior to joining GeneDx, Ms. Stueland served as the Chief Commercial Officer at Invitae Corporation, a biotechnology company, from October 2016 to June 2021 and as the Head of Communications and Investor Relations at Invitae Corporation from November 2013 to October 2016, during which time she helped Invitae Corporation transition from a private to a public company. Ms. Stueland previously served as the Principal at Vivo Communications, a technology company, from January 2013 to December 2013, and as the Vice President of Communications and Investor Relations at Dendreon Corporation, a biotechnology company, from September 2009 to June 2012. Ms. Stueland previously served on the board of the Rivkin Center, a non-profit organization dedicated to the treatment and prevention of cancer in women. Ms. Stueland earned a B.S. in English language and literature from Miami University of Ohio. Ms. Stueland’s extensive leadership experience as an executive officer of biotechnology companies and knowledge of GeneDx’s business provide her with the qualifications and skills to serve as a director on our Board.</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Jason Ryan </w:t>
      </w:r>
      <w:r>
        <w:rPr>
          <w:rFonts w:ascii="Arial" w:cs="Arial" w:eastAsia="Arial" w:hAnsi="Arial"/>
          <w:sz w:val="17"/>
          <w:szCs w:val="17"/>
          <w:color w:val="auto"/>
        </w:rPr>
        <w:t>has served as a member of our Board since July 2021, and as our Executive Chairman since January 2022. Mr. Ryan served as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Financial Officer of Magenta Therapeutics, Inc., a biotechnology company, from January 2019 to November 2020. Prior to joining Magenta Therapeutics, Inc., Mr. Ryan previously served as Chief Financial Officer of Foundation Medicine, Inc., a molecular information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Isaac Ro </w:t>
      </w:r>
      <w:r>
        <w:rPr>
          <w:rFonts w:ascii="Arial" w:cs="Arial" w:eastAsia="Arial" w:hAnsi="Arial"/>
          <w:sz w:val="16"/>
          <w:szCs w:val="16"/>
          <w:color w:val="auto"/>
        </w:rPr>
        <w:t>has served as our Chief Financial Officer since July 2021. Mr. Ro previously served as Legacy Sema4’s Chief Financial Officer from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to July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Eric Schadt, Ph.D.</w:t>
      </w:r>
      <w:r>
        <w:rPr>
          <w:rFonts w:ascii="Arial" w:cs="Arial" w:eastAsia="Arial" w:hAnsi="Arial"/>
          <w:sz w:val="16"/>
          <w:szCs w:val="16"/>
          <w:color w:val="auto"/>
        </w:rPr>
        <w:t>, has served as our President and Chief Research &amp; Development Officer since April 2022 and as a member of our Board since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Dr. Schadt previously served as our Chief Executive Officer from July 2021 to the closing of the Acquisition. Dr. Schadt was the founder of Legacy Sema4 and previously served as its Chief Executive Officer and as a member of its board of directors from June 2017 to July 2021.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our General Counsel since July 2021. Mr. Clark previously served as Legacy Sema4’s General Counsel from March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July 2021 and Secretary from March 2016 to July 2021.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Anthony Prentice </w:t>
      </w:r>
      <w:r>
        <w:rPr>
          <w:rFonts w:ascii="Arial" w:cs="Arial" w:eastAsia="Arial" w:hAnsi="Arial"/>
          <w:sz w:val="17"/>
          <w:szCs w:val="17"/>
          <w:color w:val="auto"/>
        </w:rPr>
        <w:t>has served as our Chief Product Officer since July 2021. Mr. Prentice previously served as Legacy Sema4’s Chief Product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2016 to July 2021.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Kareem Saad </w:t>
      </w:r>
      <w:r>
        <w:rPr>
          <w:rFonts w:ascii="Arial" w:cs="Arial" w:eastAsia="Arial" w:hAnsi="Arial"/>
          <w:sz w:val="16"/>
          <w:szCs w:val="16"/>
          <w:color w:val="auto"/>
        </w:rPr>
        <w:t>has served as our Chief Business Officer since July 2021. Mr. Saad previously served as Legacy Sema4’s Chief Business Officer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2021 to July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Karen White </w:t>
      </w:r>
      <w:r>
        <w:rPr>
          <w:rFonts w:ascii="Arial" w:cs="Arial" w:eastAsia="Arial" w:hAnsi="Arial"/>
          <w:sz w:val="17"/>
          <w:szCs w:val="17"/>
          <w:color w:val="auto"/>
        </w:rPr>
        <w:t>has served as our Chief People Officer since July 2021. Ms. White previously served as Legacy Sema4’s Chief People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2020 to July 2021. Prior to joining Sema4, Ms. White was Vice 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Dennis Charney, M.D., </w:t>
      </w:r>
      <w:r>
        <w:rPr>
          <w:rFonts w:ascii="Arial" w:cs="Arial" w:eastAsia="Arial" w:hAnsi="Arial"/>
          <w:sz w:val="16"/>
          <w:szCs w:val="16"/>
          <w:color w:val="auto"/>
        </w:rPr>
        <w:t>has served as a member of our Board since July 2021, and previously served as a member of Legacy Sema4’s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June 2017 to July 2021. Dr. Charney has served as the Anne and Joel Ehrenkranz Dean of the Icahn School of Medicine at Mount Sinai since March 2007, and as President for Academic Affairs for the Mount Sinai Health System since September 2013. From March 2005 to March 2007, Dr. Charney served as Dean for Academic and Scientific Affairs of the Icahn School of Medicine at Mount Sinai and Senior Vice President for Health Services of The Mount Sinai Medical Center. From 2007-2013,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Eli D. Casdin </w:t>
      </w:r>
      <w:r>
        <w:rPr>
          <w:rFonts w:ascii="Arial" w:cs="Arial" w:eastAsia="Arial" w:hAnsi="Arial"/>
          <w:sz w:val="17"/>
          <w:szCs w:val="17"/>
          <w:color w:val="auto"/>
        </w:rPr>
        <w:t>has served as a member of our Board since July 2020, and from, previously served as the Chief Executive Officer of CMLS from July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(“CMLS II”)), since September 2021 (having previously served as the Chief Executive Officer of CMLS II from February 2021 to September 2021), and EQRx, Inc., a pharmaceutical company (formerly, CM Life Sciences III Inc., a special purpose acquisition company (“CMLS III”)),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Emily Leproust, Ph.D., </w:t>
      </w:r>
      <w:r>
        <w:rPr>
          <w:rFonts w:ascii="Arial" w:cs="Arial" w:eastAsia="Arial" w:hAnsi="Arial"/>
          <w:sz w:val="16"/>
          <w:szCs w:val="16"/>
          <w:color w:val="auto"/>
        </w:rPr>
        <w:t>has served as a member of our Board since September 2020. Dr. Leproust has been President and Chief Executive Officer of Twist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Keith Meister </w:t>
      </w:r>
      <w:r>
        <w:rPr>
          <w:rFonts w:ascii="Arial" w:cs="Arial" w:eastAsia="Arial" w:hAnsi="Arial"/>
          <w:sz w:val="17"/>
          <w:szCs w:val="17"/>
          <w:color w:val="auto"/>
        </w:rPr>
        <w:t>has served as a member of our Board since January 2022, and previously served as the Chairman of the Board of CMLS from July 2020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2021. He founded Corvex 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(Nasdaq: IEP), the primary investment vehicle for Carl Icahn. In addition, Mr. Meister previously served as Chairman of CMLS II from December 2020 to September 2021 and CMLS III from January 2021 to December 2021.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our Board since July 2021, and previously served as a member of Legacy Sema4’s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13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Richard C. Pfenniger, Jr. </w:t>
      </w:r>
      <w:r>
        <w:rPr>
          <w:rFonts w:ascii="Arial" w:cs="Arial" w:eastAsia="Arial" w:hAnsi="Arial"/>
          <w:sz w:val="16"/>
          <w:szCs w:val="16"/>
          <w:color w:val="auto"/>
        </w:rPr>
        <w:t>has served as a member of our Board since April 2022. Mr. Pfenniger is a private investor and has previously served as Interim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CEO of Vein Clinics of America, Inc., a privately held company that specializes in the treatment of vein disease, from May 2014 to February 2015 and as Interim CEO of IntegraMed America, Inc., a privately held company that manages outpatient fertility medical centers, from January 2013 to June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2013. He served as Chief Executive Officer and President for Continucare Corporation, a provider of primary care physician and practice management services, from 2003 until 2011, and served as Chairman of the Board of Directors of Continucare Corporation from 2002 until 2011. Previously, Mr. Pfenniger served as the Chief Executive Officer and Vice Chairman of Whitman Education Group, Inc. from 1997 through June 2003. Prior to joining Whitman, he served as the Chief Operating Officer of IVAX from 1994 to 1997, and, from 1989 to 1994, he served as the Senior Vice President-Legal Affairs and General Counsel of IVAX Corporation. Prior thereto he was engaged in the private practice of law. Mr. Pfenniger currently serves as a director of OPKO Health, Inc., a medical test and medication company focused on diagnostics and pharmaceuticals, GP Strategies Corporation, a corporate education and training company, and Asensus Surgical, Inc., a medical device company. He also serves as the Vice Chairman of the Board of Trustees and as a member of the Executive Committee of the Phillip and Patricia Frost Museum of Science. Mr. Pfenniger previously served as a director of BioCardia, Inc., clinical-stage regenerative medicine company developing novel therapeutics for cardiovascular diseases, IntegraMed America, Inc., a private specialty healthcare services company offering products and services to patients and providers in the fertility and vein care segments of the health industry, Vein Clinics of America and Wright Investors’ Services Holdings, Inc., an investment management and financial advisory firm. Mr. Pfenniger’s experience as a chief executive officer, chief operating officer and general counsel, and knowledge of the healthcare business provide him with the qualifications and skills to serve as a director on our Board.</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a member of our Board since July 2021, and previously served as the Chairman of our Board from July 2021 to January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Rachel Sherman, M.D., </w:t>
      </w:r>
      <w:r>
        <w:rPr>
          <w:rFonts w:ascii="Arial" w:cs="Arial" w:eastAsia="Arial" w:hAnsi="Arial"/>
          <w:sz w:val="16"/>
          <w:szCs w:val="16"/>
          <w:color w:val="auto"/>
        </w:rPr>
        <w:t>M.P.H., F.A.C.P., has served as a member of our Board since July 2021, previously served as a member of Legacy Sema4’s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 from March 2020 to July 2021.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 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familial relationships among our executive officers or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Board oversees our business affairs and works with our CEO and other senior management to determine our strategy and mission. In fulfilling its responsibilities, our Board is involved in strategic and operational planning, financial reporting, governance, compliance and risk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rules of Nasdaq require that a majority of the Company’s Board be independent. An “independent director” is defined generally as a person other than an executive officer or employee the Company or any other individual having a relationship which, in the opinion of the issuer’s board of directors, would interfere with the exercise of independent judgement in carrying out the responsibilities of a director. Our Board has determined that each individual currently serving on our board, other than Dr. Schadt, Ms. Stueland and Mr. Ryan, qualifies as an independent director under Nasdaq listing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the terms of our Certificate of Incorporation, the Board consists of 12 members and is divided into three classes of directors, which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The Board is divided among the three classes as follows:</w:t>
      </w:r>
    </w:p>
    <w:p>
      <w:pPr>
        <w:spacing w:after="0" w:line="117" w:lineRule="exact"/>
        <w:rPr>
          <w:sz w:val="20"/>
          <w:szCs w:val="20"/>
          <w:color w:val="auto"/>
        </w:rPr>
      </w:pPr>
    </w:p>
    <w:p>
      <w:pPr>
        <w:ind w:left="660" w:right="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Class I directors are Eli D. Casdin, Joshua Ruch and Michael Pellini, and their terms will expire at annual meeting of stockholders to be held in 2025;</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Class II directors are Rachel Sherman, Eric Schadt and Dennis Charney, and their terms will expire at the annual meeting of stockholders to be held in 2023;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Class III directors are Emily Leproust, Jason Ryan, Keith Meister, Katherine Stueland and Richard C. Pfenniger, Jr., and their terms will expire at the annual meeting of stockholders to be held in 2024.</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The Certificate of Incorporation and Bylaws authorize only the Board to fill vacancies on the Board.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w:t>
      </w:r>
      <w:r>
        <w:rPr>
          <w:rFonts w:ascii="Arial" w:cs="Arial" w:eastAsia="Arial" w:hAnsi="Arial"/>
          <w:sz w:val="18"/>
          <w:szCs w:val="18"/>
          <w:i w:val="1"/>
          <w:iCs w:val="1"/>
          <w:color w:val="auto"/>
        </w:rPr>
        <w:t>Description of Capital Stock — Certain Anti-Takeover</w:t>
      </w:r>
      <w:r>
        <w:rPr>
          <w:rFonts w:ascii="Arial" w:cs="Arial" w:eastAsia="Arial" w:hAnsi="Arial"/>
          <w:sz w:val="18"/>
          <w:szCs w:val="18"/>
          <w:color w:val="auto"/>
        </w:rPr>
        <w:t xml:space="preserve"> </w:t>
      </w:r>
      <w:r>
        <w:rPr>
          <w:rFonts w:ascii="Arial" w:cs="Arial" w:eastAsia="Arial" w:hAnsi="Arial"/>
          <w:sz w:val="18"/>
          <w:szCs w:val="18"/>
          <w:i w:val="1"/>
          <w:iCs w:val="1"/>
          <w:color w:val="auto"/>
        </w:rPr>
        <w:t>Provisions of Delaware Law and Our Certificate of Incorporation and Bylaws</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Board has the authority to appoint standing and special committees to perform certain management and administration functions. Our Board has established a standing audit committee, a standing compensation committee, and a standing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our website is not a part of this prospectus, and the inclusion of such website address in this prospectus is an inactive textual reference only.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committee is comprised of Keith Meister, Dennis Charney and Emily Leproust, with Mr. Meister as the chairman of our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Mr. Meister is an “audit committee financial expert” as defined in Item 407(d)(5)(ii) of Regulation S-K promulgated under the Securities Act. This designation does not impose on him or her any duties, obligations or liabilities that are greater than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generally imposed on members of our audit committee and our Board. Our audit committee is directly responsible for, among other things: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 on Form 10-K;</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monitoring the qualifications, independence and performance of our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proxy statement for our annual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overseeing our accounting and financial reporting processes, including our financial statement audits and the integrity of our financial statements;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our financial risks, enterprise exposures, cybersecurity risks and other risks as it deems necessary or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is comprised of Joshua Ruch, Rachel Sherman and Eli Casdin,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3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71" w:lineRule="exact"/>
        <w:rPr>
          <w:rFonts w:ascii="Arial" w:cs="Arial" w:eastAsia="Arial" w:hAnsi="Arial"/>
          <w:sz w:val="18"/>
          <w:szCs w:val="18"/>
          <w:color w:val="auto"/>
        </w:rPr>
      </w:pPr>
    </w:p>
    <w:p>
      <w:pPr>
        <w:ind w:right="1380" w:firstLine="332"/>
        <w:spacing w:after="0" w:line="438" w:lineRule="auto"/>
        <w:tabs>
          <w:tab w:leader="none" w:pos="643"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officers and employees. The compensation committee may retain compensation advisors and other compensation consultants.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(“Radford”)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spacing w:after="0" w:line="13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Assisting in developing a peer group of publicly traded companies to be used to help assess the competitiveness of executive compensation;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Assisting in ensuring a competitive compensation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4" w:lineRule="exact"/>
        <w:rPr>
          <w:sz w:val="20"/>
          <w:szCs w:val="20"/>
          <w:color w:val="auto"/>
        </w:rPr>
      </w:pPr>
    </w:p>
    <w:p>
      <w:pPr>
        <w:ind w:left="6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Meeting regularly with the compensation committee to review all elements of executive compensation, including the competitiveness of our executive compensation program;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Assisting in the competitive assessment of the short-term cash and long-term equity incentive plans designs;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Assisting in the risk assessment of our compensation program.</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Outside of its services to the compensation committee, Radford provides no other services to us. The compensation committee evaluated the independence of Radford and determined that it is independent. The compensation committee also determined that Radford’s work for the Company in 2021 did not raise any conflicts of interest.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Committee and Executive Officers in Compensation Decisions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may not be present during any determinations and deliberations about her compensation. For fiscal year 2021, our former Chief Executive Officer, Eric Schadt, prepared an analysis for the compensation committee recommending each element of compensation to be paid to all other executive officers. The compensation committee considered his recommendations, along with an analysis from Radford, in approving the compensation of our other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nominating and governance committee is comprised of Joshua Ruch, Rachel Sherman and Eli Casdin with Dr.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9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advising our Board on other corporate governance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exception of a 9-month lockup established in the employment agreements entered into in June and July 2021 with Eric Schadt, Isaac Ro, Daniel Clark, James Coffin, Anthony Prentice, Kareem Saad and Karen White in connection with the closing of our 2021 SPAC merger transaction, we have not established any stock ownership requirements for our executives.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Meetings and Attendance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and its committees meet throughout the year on a pre-determined schedule and also hold special meetings and act by written consent from time to time.</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2021, the Board met six times (including telephonic meetings) and took action by unanimous written consent four times. During 2021, our audit committee met three times and took action by unanimous written consent one time, our compensation committee met three times and took action by unanimous written consent two times, and our nominating and governance committee did not meet. In addition to the official meetings, the Board also had a number of informational meetings throughout the year to update the Board on various strategic initiatives,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Acquisition. Each director attended at least 75% of the meetings held by the Board and by each committee on which he or she served while he or she was a director during the year, except for Nat Turner.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Attendance at Annual Meetings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do not have a formal policy regarding attendance by members of the Board at each annual meeting of stockholders, we encourage all of our directors to attend in person, or virtually, depending on the meeting format. In fiscal year 2021, all of the directors serving at the time of last year’s special meeting, which was held as a special meeting in lieu of our annual meeting, attended that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prospectus, and the inclusion of the website address in this prospectus is an inactive textual reference only. We intend to disclose any amendments to the Code of Business Conduct and Ethics, or any waivers of its requirements, on our website to the extent required by the applicable rules and exchange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Board has adopted Corporate Governance Guidelines that set forth expectations for directors, director independence standards, board committee structure and functions, stock ownership guidelines, and other policies for the governance of the Company. Under our Corporate Governance Guidelines, at all times, a majority of our directors will be independent, which means, generally, that they will not have any connections to us that could affect their ability to provide impartial oversight. Specifically, these directors will meet the independence requirements of the applicable rules, regulations and listing standards of the stock exchange on which our securities are listed for trading. Our Corporate Governance Guidelines are available without charge on the investor relations section of our website at </w:t>
      </w:r>
      <w:r>
        <w:rPr>
          <w:rFonts w:ascii="Arial" w:cs="Arial" w:eastAsia="Arial" w:hAnsi="Arial"/>
          <w:sz w:val="17"/>
          <w:szCs w:val="17"/>
          <w:i w:val="1"/>
          <w:iCs w:val="1"/>
          <w:color w:val="auto"/>
        </w:rPr>
        <w:t>www.Sema4.com</w:t>
      </w:r>
      <w:r>
        <w:rPr>
          <w:rFonts w:ascii="Arial" w:cs="Arial" w:eastAsia="Arial" w:hAnsi="Arial"/>
          <w:sz w:val="17"/>
          <w:szCs w:val="17"/>
          <w:color w:val="auto"/>
        </w:rPr>
        <w:t>. Information contained on or accessible through such website is not a part of this prospectus, and the inclusion of the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Executive Compensation Program</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our Named Executive Officers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for the year ended December 31, 2021, who were:</w:t>
      </w:r>
    </w:p>
    <w:p>
      <w:pPr>
        <w:spacing w:after="0" w:line="116" w:lineRule="exact"/>
        <w:rPr>
          <w:sz w:val="20"/>
          <w:szCs w:val="20"/>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Eric Schadt, Ph.D., our President and Chief Research and Development Officer, and former Chief Executive Officer for the year ended December 31, 2021,</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Isaac Ro, our Chief Financial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James Coffin, Ph.D., our former President and Chief Operating Officer.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7"/>
                <w:szCs w:val="17"/>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 ($)</w:t>
            </w: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(2)</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Awards ($)</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0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00" w:type="dxa"/>
            <w:vAlign w:val="bottom"/>
          </w:tcPr>
          <w:p>
            <w:pPr>
              <w:jc w:val="right"/>
              <w:ind w:right="465"/>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5"/>
                <w:szCs w:val="15"/>
                <w:color w:val="auto"/>
              </w:rPr>
            </w:pPr>
          </w:p>
        </w:tc>
        <w:tc>
          <w:tcPr>
            <w:tcW w:w="1400" w:type="dxa"/>
            <w:vAlign w:val="bottom"/>
            <w:gridSpan w:val="2"/>
          </w:tcPr>
          <w:p>
            <w:pPr>
              <w:jc w:val="center"/>
              <w:ind w:right="80"/>
              <w:spacing w:after="0" w:line="176" w:lineRule="exact"/>
              <w:rPr>
                <w:sz w:val="20"/>
                <w:szCs w:val="20"/>
                <w:color w:val="auto"/>
              </w:rPr>
            </w:pPr>
            <w:r>
              <w:rPr>
                <w:rFonts w:ascii="Arial" w:cs="Arial" w:eastAsia="Arial" w:hAnsi="Arial"/>
                <w:sz w:val="14"/>
                <w:szCs w:val="14"/>
                <w:b w:val="1"/>
                <w:bCs w:val="1"/>
                <w:color w:val="auto"/>
                <w:w w:val="90"/>
              </w:rPr>
              <w:t>Compensation ($)</w:t>
            </w:r>
            <w:r>
              <w:rPr>
                <w:rFonts w:ascii="Arial" w:cs="Arial" w:eastAsia="Arial" w:hAnsi="Arial"/>
                <w:sz w:val="18"/>
                <w:szCs w:val="18"/>
                <w:b w:val="1"/>
                <w:bCs w:val="1"/>
                <w:color w:val="auto"/>
                <w:w w:val="90"/>
                <w:vertAlign w:val="superscript"/>
              </w:rPr>
              <w:t>(3)</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040" w:type="dxa"/>
            <w:vAlign w:val="bottom"/>
            <w:tcBorders>
              <w:top w:val="single" w:sz="8" w:color="auto"/>
            </w:tcBorders>
            <w:shd w:val="clear" w:color="auto" w:fill="CCEEFF"/>
          </w:tcPr>
          <w:p>
            <w:pPr>
              <w:ind w:left="20"/>
              <w:spacing w:after="0" w:line="159" w:lineRule="exact"/>
              <w:rPr>
                <w:sz w:val="20"/>
                <w:szCs w:val="20"/>
                <w:color w:val="auto"/>
              </w:rPr>
            </w:pPr>
            <w:r>
              <w:rPr>
                <w:rFonts w:ascii="Arial" w:cs="Arial" w:eastAsia="Arial" w:hAnsi="Arial"/>
                <w:sz w:val="16"/>
                <w:szCs w:val="16"/>
                <w:color w:val="auto"/>
              </w:rPr>
              <w:t>Eric Schadt, Ph.D.</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i w:val="1"/>
                <w:iCs w:val="1"/>
                <w:color w:val="auto"/>
                <w:w w:val="94"/>
              </w:rPr>
              <w:t>President, Chief Research and Development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i w:val="1"/>
                <w:iCs w:val="1"/>
                <w:color w:val="auto"/>
              </w:rPr>
              <w:t>Officer, Former Chief Executive Officer,</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650,000</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513,000</w:t>
            </w:r>
          </w:p>
        </w:tc>
        <w:tc>
          <w:tcPr>
            <w:tcW w:w="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10,699,239</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3,867,064</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41,533</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15,770,836</w:t>
            </w: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and Director</w:t>
            </w:r>
          </w:p>
        </w:tc>
        <w:tc>
          <w:tcPr>
            <w:tcW w:w="7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643,846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540,000</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1,770,474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2,968,076</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line="166" w:lineRule="exact"/>
              <w:rPr>
                <w:sz w:val="20"/>
                <w:szCs w:val="20"/>
                <w:color w:val="auto"/>
              </w:rPr>
            </w:pPr>
            <w:r>
              <w:rPr>
                <w:rFonts w:ascii="Arial" w:cs="Arial" w:eastAsia="Arial" w:hAnsi="Arial"/>
                <w:sz w:val="16"/>
                <w:szCs w:val="16"/>
                <w:color w:val="auto"/>
              </w:rPr>
              <w:t>Isaac Ro</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353,846</w:t>
            </w:r>
          </w:p>
        </w:tc>
        <w:tc>
          <w:tcPr>
            <w:tcW w:w="8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color w:val="auto"/>
              </w:rPr>
              <w:t>139,333</w:t>
            </w:r>
          </w:p>
        </w:tc>
        <w:tc>
          <w:tcPr>
            <w:tcW w:w="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7,897,167</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2,633,103</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16,615</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11,040,064</w:t>
            </w:r>
          </w:p>
        </w:tc>
        <w:tc>
          <w:tcPr>
            <w:tcW w:w="0" w:type="dxa"/>
            <w:vAlign w:val="bottom"/>
          </w:tcPr>
          <w:p>
            <w:pPr>
              <w:spacing w:after="0"/>
              <w:rPr>
                <w:sz w:val="1"/>
                <w:szCs w:val="1"/>
                <w:color w:val="auto"/>
              </w:rPr>
            </w:pPr>
          </w:p>
        </w:tc>
      </w:tr>
      <w:tr>
        <w:trPr>
          <w:trHeight w:val="209"/>
        </w:trPr>
        <w:tc>
          <w:tcPr>
            <w:tcW w:w="304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James Coffin, Ph.D.</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i w:val="1"/>
                <w:iCs w:val="1"/>
                <w:color w:val="auto"/>
              </w:rPr>
              <w:t>Former President and Chief Operating</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530,397</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180,370</w:t>
            </w:r>
          </w:p>
        </w:tc>
        <w:tc>
          <w:tcPr>
            <w:tcW w:w="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3,155,535</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1,104,874</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17,400</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4,988,576</w:t>
            </w: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i w:val="1"/>
                <w:iCs w:val="1"/>
                <w:color w:val="auto"/>
              </w:rPr>
              <w:t>Officer</w:t>
            </w:r>
            <w:r>
              <w:rPr>
                <w:rFonts w:ascii="Arial" w:cs="Arial" w:eastAsia="Arial" w:hAnsi="Arial"/>
                <w:sz w:val="21"/>
                <w:szCs w:val="21"/>
                <w:i w:val="1"/>
                <w:iCs w:val="1"/>
                <w:color w:val="auto"/>
                <w:vertAlign w:val="superscript"/>
              </w:rPr>
              <w:t>(4)</w:t>
            </w:r>
          </w:p>
        </w:tc>
        <w:tc>
          <w:tcPr>
            <w:tcW w:w="7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524,615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363,000</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623,189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1,521,973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00" w:hanging="332"/>
        <w:spacing w:after="0" w:line="241" w:lineRule="auto"/>
        <w:tabs>
          <w:tab w:leader="none" w:pos="3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our named executive officers for their service in 2021. For additional information regarding the bonus compensation, see “—2021 Bonuses.”</w:t>
      </w:r>
    </w:p>
    <w:p>
      <w:pPr>
        <w:ind w:left="340" w:right="160" w:hanging="332"/>
        <w:spacing w:after="0" w:line="241" w:lineRule="auto"/>
        <w:tabs>
          <w:tab w:leader="none" w:pos="3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represent the grant date fair value of the restricted stock units and stock options awarded to the named executive officer during 2021 in accordance with FASB Accounting Standards Codification Topic 718. The assumptions used in determining the grant date fair value of the restricted stock units and stock options are set forth in Note 10 of the notes to our audited consolidated financial statements included in this prospectus. In determining the total value of the equity awards, we have considered all grants issued during the year as earned by the respective executive officers.</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 and other personal benefits including reimbursement for travel costs in the amount of $24,133.</w:t>
      </w: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Dr. Coffin left the Company in February 2022. Amounts reported include payments in respect of his 2021 bonus pursuant to our separation agreement with Dr. Coffin.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Bonuses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their employment agreements, Dr. Eric Schadt and Mr. Ro are entitled to receive annual bonuses based on the achievement of certain corporate and individual performance objectives. Prior to his leaving the Company, Dr. Coffin was also entitled to receive annual bonuses based on the achievement of corporate performance objectives. For the 2021 bonuses, the target annual bonuses for Dr. Schadt and Mr. Ro were equal to 100% and 50 %, respectively, of their respective annual base salaries. In February 2022, based on the achievement of corporate and individual performance objectives, the Compensation Committee determined to award bonuses for 2021 to Dr. Schadt, and to Mr. Ro on a pro rata basis based on his hire date, as set forth in the table above. Further, pursuant to a separation agreement we entered into with Dr. Coffin in January 2022, we agreed to pay Dr. Coffin a 2021 bonus in the amount reflected in the table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Awards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connection with the Prior Merger Agreement and following the closing of the Business Combination, we also granted RSUs in the form of “Earnout RSUs” to our named executive officers that vest subject to certain market-based and service-based vesting conditions. In December 2021, we also issued stock bonuses to our employees who were hired on or before June 30, 2021, including our named executive officers, in connection with the termination of our sabbatical leave program. The stock bonuses were fully vested as of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 31,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or Units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Shares or Units</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of Stock That</w:t>
            </w: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of Stock That</w:t>
            </w: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Unexercised Options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1"/>
              </w:rPr>
              <w:t>Exercise Price</w:t>
            </w:r>
          </w:p>
        </w:tc>
        <w:tc>
          <w:tcPr>
            <w:tcW w:w="1220" w:type="dxa"/>
            <w:vAlign w:val="bottom"/>
            <w:gridSpan w:val="2"/>
          </w:tcPr>
          <w:p>
            <w:pPr>
              <w:ind w:left="340"/>
              <w:spacing w:after="0" w:line="159" w:lineRule="exact"/>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Have Not Vested</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Have Not Vested</w:t>
            </w:r>
          </w:p>
        </w:tc>
        <w:tc>
          <w:tcPr>
            <w:tcW w:w="0" w:type="dxa"/>
            <w:vAlign w:val="bottom"/>
          </w:tcPr>
          <w:p>
            <w:pPr>
              <w:spacing w:after="0"/>
              <w:rPr>
                <w:sz w:val="1"/>
                <w:szCs w:val="1"/>
                <w:color w:val="auto"/>
              </w:rPr>
            </w:pPr>
          </w:p>
        </w:tc>
      </w:tr>
      <w:tr>
        <w:trPr>
          <w:trHeight w:val="215"/>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Grant Date</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Exercisable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Unexercisable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w:t>
            </w:r>
            <w:r>
              <w:rPr>
                <w:rFonts w:ascii="Arial" w:cs="Arial" w:eastAsia="Arial" w:hAnsi="Arial"/>
                <w:sz w:val="18"/>
                <w:szCs w:val="18"/>
                <w:b w:val="1"/>
                <w:bCs w:val="1"/>
                <w:color w:val="auto"/>
                <w:w w:val="93"/>
                <w:vertAlign w:val="superscript"/>
              </w:rPr>
              <w:t>(*)</w:t>
            </w:r>
          </w:p>
        </w:tc>
        <w:tc>
          <w:tcPr>
            <w:tcW w:w="0" w:type="dxa"/>
            <w:vAlign w:val="bottom"/>
          </w:tcPr>
          <w:p>
            <w:pPr>
              <w:spacing w:after="0"/>
              <w:rPr>
                <w:sz w:val="1"/>
                <w:szCs w:val="1"/>
                <w:color w:val="auto"/>
              </w:rPr>
            </w:pPr>
          </w:p>
        </w:tc>
      </w:tr>
      <w:tr>
        <w:trPr>
          <w:trHeight w:val="286"/>
        </w:trPr>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Eric Schadt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6/1/2017</w:t>
            </w:r>
            <w:r>
              <w:rPr>
                <w:rFonts w:ascii="Arial" w:cs="Arial" w:eastAsia="Arial" w:hAnsi="Arial"/>
                <w:sz w:val="21"/>
                <w:szCs w:val="21"/>
                <w:color w:val="auto"/>
                <w:vertAlign w:val="superscript"/>
              </w:rPr>
              <w:t>(2)</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4,829,521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$0.1529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5/31/2027</w:t>
            </w:r>
          </w:p>
        </w:tc>
        <w:tc>
          <w:tcPr>
            <w:tcW w:w="100" w:type="dxa"/>
            <w:vAlign w:val="bottom"/>
            <w:shd w:val="clear" w:color="auto" w:fill="CCEEFF"/>
          </w:tcPr>
          <w:p>
            <w:pPr>
              <w:spacing w:after="0"/>
              <w:rPr>
                <w:sz w:val="24"/>
                <w:szCs w:val="2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10/17/2019</w:t>
            </w:r>
            <w:r>
              <w:rPr>
                <w:rFonts w:ascii="Arial" w:cs="Arial" w:eastAsia="Arial" w:hAnsi="Arial"/>
                <w:sz w:val="21"/>
                <w:szCs w:val="21"/>
                <w:color w:val="auto"/>
                <w:vertAlign w:val="superscript"/>
              </w:rPr>
              <w:t>(3)</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851,357</w:t>
            </w: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510,815</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10/16/2029</w:t>
            </w:r>
          </w:p>
        </w:tc>
        <w:tc>
          <w:tcPr>
            <w:tcW w:w="100" w:type="dxa"/>
            <w:vAlign w:val="bottom"/>
            <w:shd w:val="clear" w:color="auto" w:fill="CCEEFF"/>
          </w:tcPr>
          <w:p>
            <w:pPr>
              <w:spacing w:after="0"/>
              <w:rPr>
                <w:sz w:val="24"/>
                <w:szCs w:val="2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1360" w:type="dxa"/>
            <w:vAlign w:val="bottom"/>
            <w:gridSpan w:val="3"/>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1"/>
                <w:szCs w:val="21"/>
                <w:color w:val="auto"/>
                <w:vertAlign w:val="superscript"/>
              </w:rPr>
              <w:t>(4)</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1,300,203</w:t>
            </w: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1,011,285</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100" w:type="dxa"/>
            <w:vAlign w:val="bottom"/>
            <w:shd w:val="clear" w:color="auto" w:fill="CCEEFF"/>
          </w:tcPr>
          <w:p>
            <w:pPr>
              <w:spacing w:after="0"/>
              <w:rPr>
                <w:sz w:val="24"/>
                <w:szCs w:val="2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1360" w:type="dxa"/>
            <w:vAlign w:val="bottom"/>
            <w:gridSpan w:val="3"/>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52,541</w:t>
            </w: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788,125</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shd w:val="clear" w:color="auto" w:fill="CCEEFF"/>
          </w:tcPr>
          <w:p>
            <w:pPr>
              <w:spacing w:after="0"/>
              <w:rPr>
                <w:sz w:val="24"/>
                <w:szCs w:val="2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1360" w:type="dxa"/>
            <w:vAlign w:val="bottom"/>
            <w:gridSpan w:val="3"/>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1,182,187</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5,272,552</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(6)</w:t>
            </w:r>
          </w:p>
        </w:tc>
        <w:tc>
          <w:tcPr>
            <w:tcW w:w="8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223,830</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309,334</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(7)</w:t>
            </w:r>
          </w:p>
        </w:tc>
        <w:tc>
          <w:tcPr>
            <w:tcW w:w="8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35,054</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48,444</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(8)</w:t>
            </w:r>
          </w:p>
        </w:tc>
        <w:tc>
          <w:tcPr>
            <w:tcW w:w="8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197,635</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273,133</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(8)</w:t>
            </w:r>
          </w:p>
        </w:tc>
        <w:tc>
          <w:tcPr>
            <w:tcW w:w="8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83,818</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115,836</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(9)</w:t>
            </w:r>
          </w:p>
        </w:tc>
        <w:tc>
          <w:tcPr>
            <w:tcW w:w="8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201,720</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278,778</w:t>
            </w:r>
          </w:p>
        </w:tc>
        <w:tc>
          <w:tcPr>
            <w:tcW w:w="0" w:type="dxa"/>
            <w:vAlign w:val="bottom"/>
          </w:tcPr>
          <w:p>
            <w:pPr>
              <w:spacing w:after="0"/>
              <w:rPr>
                <w:sz w:val="1"/>
                <w:szCs w:val="1"/>
                <w:color w:val="auto"/>
              </w:rPr>
            </w:pPr>
          </w:p>
        </w:tc>
      </w:tr>
      <w:tr>
        <w:trPr>
          <w:trHeight w:val="113"/>
        </w:trPr>
        <w:tc>
          <w:tcPr>
            <w:tcW w:w="2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380" w:type="dxa"/>
            <w:vAlign w:val="bottom"/>
            <w:vMerge w:val="restart"/>
          </w:tcPr>
          <w:p>
            <w:pPr>
              <w:ind w:left="20"/>
              <w:spacing w:after="0"/>
              <w:rPr>
                <w:sz w:val="20"/>
                <w:szCs w:val="20"/>
                <w:color w:val="auto"/>
              </w:rPr>
            </w:pPr>
            <w:r>
              <w:rPr>
                <w:rFonts w:ascii="Arial" w:cs="Arial" w:eastAsia="Arial" w:hAnsi="Arial"/>
                <w:sz w:val="16"/>
                <w:szCs w:val="16"/>
                <w:color w:val="auto"/>
              </w:rPr>
              <w:t>Isaac Ro</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(10)</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108,507</w:t>
            </w:r>
          </w:p>
        </w:tc>
        <w:tc>
          <w:tcPr>
            <w:tcW w:w="1360" w:type="dxa"/>
            <w:vAlign w:val="bottom"/>
            <w:gridSpan w:val="3"/>
            <w:vMerge w:val="restart"/>
          </w:tcPr>
          <w:p>
            <w:pPr>
              <w:jc w:val="right"/>
              <w:spacing w:after="0"/>
              <w:rPr>
                <w:sz w:val="20"/>
                <w:szCs w:val="20"/>
                <w:color w:val="auto"/>
              </w:rPr>
            </w:pPr>
            <w:r>
              <w:rPr>
                <w:rFonts w:ascii="Arial" w:cs="Arial" w:eastAsia="Arial" w:hAnsi="Arial"/>
                <w:sz w:val="16"/>
                <w:szCs w:val="16"/>
                <w:color w:val="auto"/>
              </w:rPr>
              <w:t>470,197</w:t>
            </w:r>
          </w:p>
        </w:tc>
        <w:tc>
          <w:tcPr>
            <w:tcW w:w="1060" w:type="dxa"/>
            <w:vAlign w:val="bottom"/>
            <w:gridSpan w:val="3"/>
            <w:vMerge w:val="restart"/>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tcPr>
          <w:p>
            <w:pPr>
              <w:spacing w:after="0"/>
              <w:rPr>
                <w:sz w:val="24"/>
                <w:szCs w:val="2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(10)</w:t>
            </w:r>
          </w:p>
        </w:tc>
        <w:tc>
          <w:tcPr>
            <w:tcW w:w="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812,500</w:t>
            </w:r>
          </w:p>
        </w:tc>
        <w:tc>
          <w:tcPr>
            <w:tcW w:w="1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3,623,750</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(11)</w:t>
            </w:r>
          </w:p>
        </w:tc>
        <w:tc>
          <w:tcPr>
            <w:tcW w:w="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197,848</w:t>
            </w:r>
          </w:p>
        </w:tc>
        <w:tc>
          <w:tcPr>
            <w:tcW w:w="1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273,428</w:t>
            </w:r>
          </w:p>
        </w:tc>
        <w:tc>
          <w:tcPr>
            <w:tcW w:w="0" w:type="dxa"/>
            <w:vAlign w:val="bottom"/>
          </w:tcPr>
          <w:p>
            <w:pPr>
              <w:spacing w:after="0"/>
              <w:rPr>
                <w:sz w:val="1"/>
                <w:szCs w:val="1"/>
                <w:color w:val="auto"/>
              </w:rPr>
            </w:pPr>
          </w:p>
        </w:tc>
      </w:tr>
      <w:tr>
        <w:trPr>
          <w:trHeight w:val="103"/>
        </w:trPr>
        <w:tc>
          <w:tcPr>
            <w:tcW w:w="2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James Coffin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8/31/2017</w:t>
            </w:r>
            <w:r>
              <w:rPr>
                <w:rFonts w:ascii="Arial" w:cs="Arial" w:eastAsia="Arial" w:hAnsi="Arial"/>
                <w:sz w:val="21"/>
                <w:szCs w:val="21"/>
                <w:color w:val="auto"/>
                <w:vertAlign w:val="superscript"/>
              </w:rPr>
              <w:t>(12)</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2,167,093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$0.1529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8/30/2027</w:t>
            </w:r>
          </w:p>
        </w:tc>
        <w:tc>
          <w:tcPr>
            <w:tcW w:w="100" w:type="dxa"/>
            <w:vAlign w:val="bottom"/>
            <w:shd w:val="clear" w:color="auto" w:fill="CCEEFF"/>
          </w:tcPr>
          <w:p>
            <w:pPr>
              <w:spacing w:after="0"/>
              <w:rPr>
                <w:sz w:val="24"/>
                <w:szCs w:val="2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1"/>
                <w:szCs w:val="21"/>
                <w:color w:val="auto"/>
                <w:vertAlign w:val="superscript"/>
              </w:rPr>
              <w:t>(4)</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457,659</w:t>
            </w: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355,961</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100" w:type="dxa"/>
            <w:vAlign w:val="bottom"/>
            <w:shd w:val="clear" w:color="auto" w:fill="CCEEFF"/>
          </w:tcPr>
          <w:p>
            <w:pPr>
              <w:spacing w:after="0"/>
              <w:rPr>
                <w:sz w:val="24"/>
                <w:szCs w:val="2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1360" w:type="dxa"/>
            <w:vAlign w:val="bottom"/>
            <w:gridSpan w:val="3"/>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15,011</w:t>
            </w: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225,179</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shd w:val="clear" w:color="auto" w:fill="CCEEFF"/>
          </w:tcPr>
          <w:p>
            <w:pPr>
              <w:spacing w:after="0"/>
              <w:rPr>
                <w:sz w:val="24"/>
                <w:szCs w:val="2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1360" w:type="dxa"/>
            <w:vAlign w:val="bottom"/>
            <w:gridSpan w:val="3"/>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337,767</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1,506,442</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(6)</w:t>
            </w:r>
          </w:p>
        </w:tc>
        <w:tc>
          <w:tcPr>
            <w:tcW w:w="8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189,119</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261,363</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(13)</w:t>
            </w:r>
          </w:p>
        </w:tc>
        <w:tc>
          <w:tcPr>
            <w:tcW w:w="8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29,056</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40,155</w:t>
            </w: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(14)</w:t>
            </w:r>
          </w:p>
        </w:tc>
        <w:tc>
          <w:tcPr>
            <w:tcW w:w="8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41,946</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57,968</w:t>
            </w:r>
          </w:p>
        </w:tc>
        <w:tc>
          <w:tcPr>
            <w:tcW w:w="0" w:type="dxa"/>
            <w:vAlign w:val="bottom"/>
          </w:tcPr>
          <w:p>
            <w:pPr>
              <w:spacing w:after="0"/>
              <w:rPr>
                <w:sz w:val="1"/>
                <w:szCs w:val="1"/>
                <w:color w:val="auto"/>
              </w:rPr>
            </w:pPr>
          </w:p>
        </w:tc>
      </w:tr>
      <w:tr>
        <w:trPr>
          <w:trHeight w:val="113"/>
        </w:trPr>
        <w:tc>
          <w:tcPr>
            <w:tcW w:w="2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closing market price of our Class A common stock on December 31, 2021 was $4.46 per share.</w:t>
      </w:r>
    </w:p>
    <w:p>
      <w:pPr>
        <w:spacing w:after="0" w:line="1" w:lineRule="exact"/>
        <w:rPr>
          <w:sz w:val="20"/>
          <w:szCs w:val="20"/>
          <w:color w:val="auto"/>
        </w:rPr>
      </w:pPr>
    </w:p>
    <w:p>
      <w:pPr>
        <w:ind w:left="340" w:right="4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outstanding stock options were granted under our 2021 Equity Incentive Plan and Legacy Sema4’s 2017 Equity Incentive Plan, as applicable. The outstanding RSUs were granted under our 2021 Equity Incentive Plan and pursuant to the Prior Merger Agreement, as applicable.</w:t>
      </w: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stock option vests at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jc w:val="both"/>
        <w:ind w:left="340" w:right="30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stock option vests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stock options and RSU vest in quarterly installments over a four-year period.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40" w:right="14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w:t>
      </w:r>
    </w:p>
    <w:p>
      <w:pPr>
        <w:ind w:left="34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12,254 of the RSUs, and will be satisfied with respect to the remainder of the RSUs over four vesting periods, subject to the officer’s continued service to us on each service-based vesting date.</w:t>
      </w:r>
    </w:p>
    <w:p>
      <w:pPr>
        <w:spacing w:after="0" w:line="1" w:lineRule="exact"/>
        <w:rPr>
          <w:rFonts w:ascii="Arial" w:cs="Arial" w:eastAsia="Arial" w:hAnsi="Arial"/>
          <w:sz w:val="14"/>
          <w:szCs w:val="14"/>
          <w:color w:val="auto"/>
        </w:rPr>
      </w:pPr>
    </w:p>
    <w:p>
      <w:pPr>
        <w:ind w:left="340" w:right="140" w:hanging="332"/>
        <w:spacing w:after="0" w:line="255"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54,532</w:t>
      </w:r>
    </w:p>
    <w:p>
      <w:pPr>
        <w:sectPr>
          <w:pgSz w:w="11900" w:h="16838"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1440" w:right="339" w:bottom="0" w:gutter="0" w:footer="0" w:header="0"/>
          <w:type w:val="continuous"/>
        </w:sectPr>
      </w:pPr>
    </w:p>
    <w:bookmarkStart w:id="140" w:name="page141"/>
    <w:bookmarkEnd w:id="140"/>
    <w:p>
      <w:pPr>
        <w:spacing w:after="0" w:line="139" w:lineRule="exact"/>
        <w:rPr>
          <w:sz w:val="20"/>
          <w:szCs w:val="20"/>
          <w:color w:val="auto"/>
        </w:rPr>
      </w:pPr>
    </w:p>
    <w:p>
      <w:pPr>
        <w:ind w:left="340" w:right="320"/>
        <w:spacing w:after="0" w:line="250" w:lineRule="auto"/>
        <w:rPr>
          <w:sz w:val="20"/>
          <w:szCs w:val="20"/>
          <w:color w:val="auto"/>
        </w:rPr>
      </w:pPr>
      <w:r>
        <w:rPr>
          <w:rFonts w:ascii="Arial" w:cs="Arial" w:eastAsia="Arial" w:hAnsi="Arial"/>
          <w:sz w:val="14"/>
          <w:szCs w:val="14"/>
          <w:color w:val="auto"/>
        </w:rPr>
        <w:t>of the RSUs, and will be satisfied with respect to the remainder of the RSUs over five semi-annual periods, subject to the officer’s continued service to us on each service-based vesting date.</w:t>
      </w:r>
    </w:p>
    <w:p>
      <w:pPr>
        <w:spacing w:after="0" w:line="1" w:lineRule="exact"/>
        <w:rPr>
          <w:sz w:val="20"/>
          <w:szCs w:val="20"/>
          <w:color w:val="auto"/>
        </w:rPr>
      </w:pPr>
    </w:p>
    <w:p>
      <w:pPr>
        <w:ind w:left="340" w:right="140" w:hanging="332"/>
        <w:spacing w:after="0" w:line="241"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100,737 of the RSUs, and will be satisfied with respect to the remainder of the RSUs over eight quarterly periods, subject to the officer’s continued service to us on each service-based vesting date.</w:t>
      </w:r>
    </w:p>
    <w:p>
      <w:pPr>
        <w:spacing w:after="0" w:line="1" w:lineRule="exact"/>
        <w:rPr>
          <w:rFonts w:ascii="Arial" w:cs="Arial" w:eastAsia="Arial" w:hAnsi="Arial"/>
          <w:sz w:val="14"/>
          <w:szCs w:val="14"/>
          <w:color w:val="auto"/>
        </w:rPr>
      </w:pPr>
    </w:p>
    <w:p>
      <w:pPr>
        <w:ind w:left="340" w:right="120" w:hanging="332"/>
        <w:spacing w:after="0" w:line="260" w:lineRule="auto"/>
        <w:tabs>
          <w:tab w:leader="none" w:pos="337" w:val="left"/>
        </w:tabs>
        <w:numPr>
          <w:ilvl w:val="0"/>
          <w:numId w:val="62"/>
        </w:numPr>
        <w:rPr>
          <w:rFonts w:ascii="Arial" w:cs="Arial" w:eastAsia="Arial" w:hAnsi="Arial"/>
          <w:sz w:val="13"/>
          <w:szCs w:val="13"/>
          <w:color w:val="auto"/>
        </w:rPr>
      </w:pPr>
      <w:r>
        <w:rPr>
          <w:rFonts w:ascii="Arial" w:cs="Arial" w:eastAsia="Arial" w:hAnsi="Arial"/>
          <w:sz w:val="13"/>
          <w:szCs w:val="13"/>
          <w:color w:val="auto"/>
        </w:rPr>
        <w:t>1/8th of the total shares underlying the stock options and RSUs vested on October 25, 2021, 1/16th of the total shares vested on November 8, 2021, and the RSUs thereafter vests as to 1/16th of the total shares underlying the award in quarterly installments until fully vested on February 8, 2025, subject to the officer's continued service to us on each vesting date.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ind w:left="340" w:right="140" w:hanging="332"/>
        <w:spacing w:after="0" w:line="241" w:lineRule="auto"/>
        <w:tabs>
          <w:tab w:leader="none" w:pos="331"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24,701 of the RSUs, and will be satisfied with respect to the remainder of the RSUs over 14 quarterly periods, subject to the officer’s continued service to us on each service-based vesting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37"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6,263 of the RSUs, and will be satisfied with respect to the remainder of the RSUs over six quarterly periods, subject to the officer’s continued service to us on each service-based vesting date. Dr. Coffin left the Company in February 2022.</w:t>
      </w:r>
    </w:p>
    <w:p>
      <w:pPr>
        <w:spacing w:after="0" w:line="1" w:lineRule="exact"/>
        <w:rPr>
          <w:rFonts w:ascii="Arial" w:cs="Arial" w:eastAsia="Arial" w:hAnsi="Arial"/>
          <w:sz w:val="14"/>
          <w:szCs w:val="14"/>
          <w:color w:val="auto"/>
        </w:rPr>
      </w:pPr>
    </w:p>
    <w:p>
      <w:pPr>
        <w:ind w:left="340" w:hanging="332"/>
        <w:spacing w:after="0" w:line="248" w:lineRule="auto"/>
        <w:tabs>
          <w:tab w:leader="none" w:pos="337"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29,196 of the RSUs, and will be satisfied with respect to the remainder of the RSUs over four vesting periods, subject to the officer’s continued service to us on each service-based vesting date. Dr. Coffin left the Company in February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Current Named Executive Officers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of our current named executive officers has entered into an employment agreement with us that provides for at-will employment and includes each named executive officer’s base salary, a discretionary incentive bonus opportunity and standard employee benefit plan participation. The employment agreements provide for an annual base salary of $675,000 and a target annual bonus of 100% of annual base salary, in the case of Dr. Schadt, and an annual base salary of $400,000 and a target annual bonus of 50% of annual base salary, in the case of Mr. Ro. The employment agreements also provide for the potential payments and benefits upon a termination of employment or in connection with a change in control as described below in “—</w:t>
      </w:r>
      <w:r>
        <w:rPr>
          <w:rFonts w:ascii="Arial" w:cs="Arial" w:eastAsia="Arial" w:hAnsi="Arial"/>
          <w:sz w:val="16"/>
          <w:szCs w:val="16"/>
          <w:i w:val="1"/>
          <w:iCs w:val="1"/>
          <w:color w:val="auto"/>
        </w:rPr>
        <w:t>Potential 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upon Termination or Change in Control</w:t>
      </w:r>
      <w:r>
        <w:rPr>
          <w:rFonts w:ascii="Arial" w:cs="Arial" w:eastAsia="Arial" w:hAnsi="Arial"/>
          <w:sz w:val="16"/>
          <w:szCs w:val="16"/>
          <w:color w:val="auto"/>
        </w:rPr>
        <w:t>.” In addition, Dr’s Schadt’s and Mr. Ro’s employment agreements provided for each to receive certain equity-based incentive awards following the closing of the Business Combination, which awards were granted under the 2021 Equity Incentive Plan (the “2021 EIP”) and are subject to service-based vesting conditions. For more information, see “—</w:t>
      </w:r>
      <w:r>
        <w:rPr>
          <w:rFonts w:ascii="Arial" w:cs="Arial" w:eastAsia="Arial" w:hAnsi="Arial"/>
          <w:sz w:val="16"/>
          <w:szCs w:val="16"/>
          <w:i w:val="1"/>
          <w:iCs w:val="1"/>
          <w:color w:val="auto"/>
        </w:rPr>
        <w:t>Outstanding Equity Awards at 2021 Fiscal Year-End</w:t>
      </w:r>
      <w:r>
        <w:rPr>
          <w:rFonts w:ascii="Arial" w:cs="Arial" w:eastAsia="Arial" w:hAnsi="Arial"/>
          <w:sz w:val="16"/>
          <w:szCs w:val="16"/>
          <w:color w:val="auto"/>
        </w:rPr>
        <w:t>.”</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pursuant to their employment agreements, each of Dr. Schadt and Mr. Ro agreed that, during the nine-month period following the closing of our Business Combination,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his employment agreement, if Dr. Schadt is terminated without “cause” or resigns for “good reason” (as such terms are defined in his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 of continued coverage under our group health benefit plans, and accelerated vesting of his outstanding equity-based compensation awards, subject to his execution of a release of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his employment agreement, if Mr. Ro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in “—</w:t>
      </w:r>
      <w:r>
        <w:rPr>
          <w:rFonts w:ascii="Arial" w:cs="Arial" w:eastAsia="Arial" w:hAnsi="Arial"/>
          <w:sz w:val="18"/>
          <w:szCs w:val="18"/>
          <w:i w:val="1"/>
          <w:iCs w:val="1"/>
          <w:color w:val="auto"/>
        </w:rPr>
        <w:t>Outstanding Equity Awards at 2021 Fiscal Year-End</w:t>
      </w:r>
      <w:r>
        <w:rPr>
          <w:rFonts w:ascii="Arial" w:cs="Arial" w:eastAsia="Arial" w:hAnsi="Arial"/>
          <w:sz w:val="18"/>
          <w:szCs w:val="18"/>
          <w:color w:val="auto"/>
        </w:rPr>
        <w:t>”, a portion of the stock options held by Dr. Schadt would vest upon a change in control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Our Former Named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Dr. Coffin’s departure from our company in February 2022, we and Dr. Coffin entered into a separation agreement (the “Separation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pursuant to which Dr. Coffin received the following severance benefits in exchange for his execution of release of claims:</w:t>
      </w:r>
    </w:p>
    <w:p>
      <w:pPr>
        <w:spacing w:after="0" w:line="15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severance payment equal to 12 months of Dr. Coffin’s annual base salary in the amount of $550,000;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discretionary 2021 annual bonus payment in the amount of $180,370;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12 months of reimbursement of COBRA continuation benefits;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accelerated vesting of 25,425 stock options that were otherwise scheduled to vest on February 2, 2022 in the amount of $58,233, which is calculated based on the fair value estimated as of the effective date of his separation agreement;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extended period to exercise certain of Dr. Coffin’s vested stock options through May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2021 Equity Incentive Plan or the 2021 EIP was adopted by our Board and approved by our stockholders in July 2021. The following summarizes the material terms of the 2021 EIP. This summary is qualified in its entirety to the full text of the 2021 EIP.</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Shares reserved. </w:t>
      </w:r>
      <w:r>
        <w:rPr>
          <w:rFonts w:ascii="Arial" w:cs="Arial" w:eastAsia="Arial" w:hAnsi="Arial"/>
          <w:sz w:val="17"/>
          <w:szCs w:val="17"/>
          <w:color w:val="auto"/>
        </w:rPr>
        <w:t>We initially reserved 32,734,983 shares of Class A common stock for issuance pursuant to awards granted under the 2021 EIP,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shares of our Class A common stock previously reserved but unissued under Legacy Sema4’s 2017 Equity Incentive Plan that became available for issuance under the 2021 Plan. The number of shares reserved for issuance under the 2021 EIP will increase automatically on January 1 of each of 2022 through 2031 by the number of shares equal to 5% of the aggregate number of outstanding shares of all classes of our Class A common stock as of the immediately preceding December 31, or a lesser number as may be determined by our Board. On January 25, 2022, an additional 12,128,941 shares became available for future issuance under the 2021 EIP pursuant to the plan’s evergreen provision.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2021 EIP:</w:t>
      </w:r>
    </w:p>
    <w:p>
      <w:pPr>
        <w:spacing w:after="0" w:line="171" w:lineRule="exact"/>
        <w:rPr>
          <w:sz w:val="20"/>
          <w:szCs w:val="20"/>
          <w:color w:val="auto"/>
        </w:rPr>
      </w:pPr>
    </w:p>
    <w:p>
      <w:pPr>
        <w:ind w:left="660" w:right="2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2021 EIP that cease to be subject to the option or SAR for any reason other than exercise of the option or SAR;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subsequently forfeited or repurchased by us at the original issue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otherwise terminate without such shares being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surrendered, cancelled, or exchanged for cash or a different award (or combination thereof);</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2021 EIP that cease to be subject to such options or other awards, by forfeiture or otherwise, after the effective date of the 2021 EIP;</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subject to awards granted under the 2021 EIP that are forfeited or repurchased by us at the original price after the effective date of the 2021 EIP;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subject to awards under the 2021 EIP that are used to pay the exercise price of an option or withheld to satisfy the tax withholding obligations related to any award.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2021 EIP will be administered by our compensation committee, or by our Board acting in place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of the 2021 EIP, the administrator will have the authority, among other things, to select the persons to whom awards may be granted, construe and interpret our 2021 EIP as well as to determine the terms of such awards and prescribe, amend and rescind the rules and regulations relating to the plan or any award granted thereunder. The 2021 EIP provides that the administrator may delegate its authority, including the authority to grant awards, to one or more executive officers to the extent permitted by applicable law, provided that awards granted to non-employee directors may only be determined by our Board.</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2021 EIP provides for the grant of both incentive stock options intended to qualify under Section 422 of the Code, and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shares of our Class A common stock at a stated exercise price. Incentive stock options may only be granted to employees, including officers and directors who are also employees. The exercise price of stock options granted under the 2021 EIP must be at least equal to the fair market value of our Class A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Class A common stock on the date of grant.</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2021 EIP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Restricted stock awards (“</w:t>
      </w:r>
      <w:r>
        <w:rPr>
          <w:rFonts w:ascii="Arial" w:cs="Arial" w:eastAsia="Arial" w:hAnsi="Arial"/>
          <w:sz w:val="18"/>
          <w:szCs w:val="18"/>
          <w:color w:val="auto"/>
        </w:rPr>
        <w:t>RSA</w:t>
      </w:r>
      <w:r>
        <w:rPr>
          <w:rFonts w:ascii="Arial" w:cs="Arial" w:eastAsia="Arial" w:hAnsi="Arial"/>
          <w:sz w:val="18"/>
          <w:szCs w:val="18"/>
          <w:i w:val="1"/>
          <w:iCs w:val="1"/>
          <w:color w:val="auto"/>
        </w:rPr>
        <w:t xml:space="preserve">”). </w:t>
      </w:r>
      <w:r>
        <w:rPr>
          <w:rFonts w:ascii="Arial" w:cs="Arial" w:eastAsia="Arial" w:hAnsi="Arial"/>
          <w:sz w:val="18"/>
          <w:szCs w:val="18"/>
          <w:color w:val="auto"/>
        </w:rPr>
        <w:t>An RSA is an offer by us to grant or sell shares of our Class A common stock subject to restrictions, which may lapse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Stock appreciation rights (“</w:t>
      </w:r>
      <w:r>
        <w:rPr>
          <w:rFonts w:ascii="Arial" w:cs="Arial" w:eastAsia="Arial" w:hAnsi="Arial"/>
          <w:sz w:val="18"/>
          <w:szCs w:val="18"/>
          <w:color w:val="auto"/>
        </w:rPr>
        <w:t>SAR”</w:t>
      </w:r>
      <w:r>
        <w:rPr>
          <w:rFonts w:ascii="Arial" w:cs="Arial" w:eastAsia="Arial" w:hAnsi="Arial"/>
          <w:sz w:val="18"/>
          <w:szCs w:val="18"/>
          <w:i w:val="1"/>
          <w:iCs w:val="1"/>
          <w:color w:val="auto"/>
        </w:rPr>
        <w:t>)</w:t>
      </w:r>
      <w:r>
        <w:rPr>
          <w:rFonts w:ascii="Arial" w:cs="Arial" w:eastAsia="Arial" w:hAnsi="Arial"/>
          <w:sz w:val="18"/>
          <w:szCs w:val="18"/>
          <w:color w:val="auto"/>
        </w:rPr>
        <w:t>. A SAR provides for a payment, in cash or shares of our Class A common stock (up to a specified maximum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if determined by the administrator), to the participant based upon the difference between the fair market value of our Class A common stock on the date of exercise and a predetermined exercise price, multiplied by the number of shares. The exercise price of a SAR must be at least the fair market value of a share of our Class A common stock on the date of grant. SARs may vest based on service or achievement of performance conditions. No SAR may have a term that is longer than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Restricted stock units (“</w:t>
      </w:r>
      <w:r>
        <w:rPr>
          <w:rFonts w:ascii="Arial" w:cs="Arial" w:eastAsia="Arial" w:hAnsi="Arial"/>
          <w:sz w:val="18"/>
          <w:szCs w:val="18"/>
          <w:color w:val="auto"/>
        </w:rPr>
        <w:t>RSU</w:t>
      </w:r>
      <w:r>
        <w:rPr>
          <w:rFonts w:ascii="Arial" w:cs="Arial" w:eastAsia="Arial" w:hAnsi="Arial"/>
          <w:sz w:val="18"/>
          <w:szCs w:val="18"/>
          <w:i w:val="1"/>
          <w:iCs w:val="1"/>
          <w:color w:val="auto"/>
        </w:rPr>
        <w:t xml:space="preserve">”). </w:t>
      </w:r>
      <w:r>
        <w:rPr>
          <w:rFonts w:ascii="Arial" w:cs="Arial" w:eastAsia="Arial" w:hAnsi="Arial"/>
          <w:sz w:val="18"/>
          <w:szCs w:val="18"/>
          <w:color w:val="auto"/>
        </w:rPr>
        <w:t>An RSU represents the right to receive the value of shares of our Class A common stock at a specified date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be subject to vesting based on service or achievement of performance conditions. RSUs may be settled in cash, shares of our Class A common stock or a combination of both as soon as practicable following vesting or on a later date subject to the terms of the 2021 EIP. No RSU may have a term that is longer than ten years from the date of grant.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2021 EIP may be in the form of a cash bonus, or an award of performance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denominated in shares of our Class A common stock that may be settled in cash, property or by issuance of those shares, subject to the satisfaction or achievement of specified performance conditions.</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Stock bonus awards. </w:t>
      </w:r>
      <w:r>
        <w:rPr>
          <w:rFonts w:ascii="Arial" w:cs="Arial" w:eastAsia="Arial" w:hAnsi="Arial"/>
          <w:sz w:val="16"/>
          <w:szCs w:val="16"/>
          <w:color w:val="auto"/>
        </w:rPr>
        <w:t>A stock bonus award provides for payment in the form of cash, shares of our Class A common stock or a combination thereof,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Dividend equivalents rights. </w:t>
      </w:r>
      <w:r>
        <w:rPr>
          <w:rFonts w:ascii="Arial" w:cs="Arial" w:eastAsia="Arial" w:hAnsi="Arial"/>
          <w:sz w:val="18"/>
          <w:szCs w:val="18"/>
          <w:color w:val="auto"/>
        </w:rPr>
        <w:t>Our Board or the compensation committee thereof may permit participants holding RSUs to receive dividend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Our 2021 EIP provides that, in the event of a corporate transaction that constitutes a change of control of our company under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2021 EIP,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Adjustment. </w:t>
      </w:r>
      <w:r>
        <w:rPr>
          <w:rFonts w:ascii="Arial" w:cs="Arial" w:eastAsia="Arial" w:hAnsi="Arial"/>
          <w:sz w:val="17"/>
          <w:szCs w:val="17"/>
          <w:color w:val="auto"/>
        </w:rPr>
        <w:t>In the event of a change in the number of outstanding shares of our Class A common stock without consideration by reason of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2021 EIP;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Exchange, repricing and buyout of awards</w:t>
      </w:r>
      <w:r>
        <w:rPr>
          <w:rFonts w:ascii="Arial" w:cs="Arial" w:eastAsia="Arial" w:hAnsi="Arial"/>
          <w:sz w:val="17"/>
          <w:szCs w:val="17"/>
          <w:color w:val="auto"/>
        </w:rPr>
        <w:t>. The administrator may, without prior stockholder approval, (i) reduce the exercise price of outstanding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or SARs without the consent of any participant and (ii) pay cash or issue new awards in exchange for the surrender and cancellation of any, or all, outstanding awards, subject to the consent of any affected participant to the extent required by the terms of the 2021 EIP.</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2021 EIP with a grant date value that when combined with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received for his or her service as a director,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$750,000 in a calendar year, increased to $1,000,000 in the calendar year of his or her initial services as a non-employee director.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or the compensation committee thereof or required by law during the term of service of the participant, to the extent set forth in such policy or applicable agreement. Except in limited circumstances, awards granted under our 2021 EIP may generally not be transferred in any manner other than by will or by the laws of descent and distribution.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Sub-plans</w:t>
      </w:r>
      <w:r>
        <w:rPr>
          <w:rFonts w:ascii="Arial" w:cs="Arial" w:eastAsia="Arial" w:hAnsi="Arial"/>
          <w:sz w:val="18"/>
          <w:szCs w:val="18"/>
          <w:color w:val="auto"/>
        </w:rPr>
        <w:t>. Subject to the terms of the 2021 EIP, the plan administrator may establish a sub-plan under the 2021 EIP and/or modify the terms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participants outside of the United States to comply with any laws or regulations applicable to any such jurisdiction.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or compensation committee may amend our 2021 EIP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2021 EIP will terminate ten years from the date our Board adopts the plan, unless it is terminated earlier by our Board. No termination or amendment of the 2021 EIP may materially adversely affect any then-outstanding award without the consent of the affected participant, except as is necessary to comply with applicable laws or as otherwise provided by the terms of the 2021 EIP.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Legacy Sema4’s 2017 Equity Incentive Plan (the “2017 EIP”) was adopted by Legacy Sema4’s board of directors and approved by its stockholders in April 2017. The 2017 EIP allowed for the grant of stock options, stock appreciation rights, restricted stock, and RSUs. As of December 31, 2021, we had 27,671,750 shares of our Class A common stock reserved for issuance pursuant to outstanding awards granted under the 2017 EIP. We terminated the 2017 EIP upon the effective date of the 2021 EIP, which was July 21, 2021. Any awards granted under the 2017 EIP that remained outstanding as of such date continue to be subject to the terms of the 2017 EIP and applicable award agreements until such awards are exercised or amended or until they terminate or expire by their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2021 Employee Stock Purchase Plan (the “ESPP”) was adopted by our Board and approved by our stockholders in July 2021. The following summarizes the material terms of the ESPP. This summary is qualified in its entirety to the full text of the ESPP. We have not yet established an offering period under the ESPP.</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Shares Reserved</w:t>
      </w:r>
      <w:r>
        <w:rPr>
          <w:rFonts w:ascii="Arial" w:cs="Arial" w:eastAsia="Arial" w:hAnsi="Arial"/>
          <w:sz w:val="18"/>
          <w:szCs w:val="18"/>
          <w:color w:val="auto"/>
        </w:rPr>
        <w:t>. We have initially reserved 4,804,011 shares of our Class A common stock equal for issuance and sale under the ESPP.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reserved for issuance and sale under our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ESPP Share Reserve may be issued over the term of the ESPP. On January 25, 2022, an additional 2,425,788 shares became available for future issuance under the ESPP pursuant to the plan’s evergreen provision.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ESPP will be administered by our compensation committee, or by our Board acting in place of our compensation committee,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eligible to participate in any offering pursuant to the ESPP generally include any employee that is employed by us or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Offering Periods; Enrollment. </w:t>
      </w:r>
      <w:r>
        <w:rPr>
          <w:rFonts w:ascii="Arial" w:cs="Arial" w:eastAsia="Arial" w:hAnsi="Arial"/>
          <w:sz w:val="17"/>
          <w:szCs w:val="17"/>
          <w:color w:val="auto"/>
        </w:rPr>
        <w:t>Under our ESPP, eligible employees will be offered the option to purchase shares of our Class A common stock at a discount</w:t>
      </w:r>
      <w:r>
        <w:rPr>
          <w:rFonts w:ascii="Arial" w:cs="Arial" w:eastAsia="Arial" w:hAnsi="Arial"/>
          <w:sz w:val="17"/>
          <w:szCs w:val="17"/>
          <w:i w:val="1"/>
          <w:iCs w:val="1"/>
          <w:color w:val="auto"/>
        </w:rPr>
        <w:t xml:space="preserve"> </w:t>
      </w:r>
      <w:r>
        <w:rPr>
          <w:rFonts w:ascii="Arial" w:cs="Arial" w:eastAsia="Arial" w:hAnsi="Arial"/>
          <w:sz w:val="17"/>
          <w:szCs w:val="17"/>
          <w:color w:val="auto"/>
        </w:rPr>
        <w:t>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1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Offerings; Contributions; Limitations. </w:t>
      </w:r>
      <w:r>
        <w:rPr>
          <w:rFonts w:ascii="Arial" w:cs="Arial" w:eastAsia="Arial" w:hAnsi="Arial"/>
          <w:sz w:val="16"/>
          <w:szCs w:val="16"/>
          <w:color w:val="auto"/>
        </w:rPr>
        <w:t>The purchase price for shares purchased under the ESPP during any given purchase period will be 85% of the lesser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market value of our Class A common stock on (i) the first trading day of the applicable offering period or (ii) the last trading day of the purchase period. The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Adjustments upon recapitalization. </w:t>
      </w:r>
      <w:r>
        <w:rPr>
          <w:rFonts w:ascii="Arial" w:cs="Arial" w:eastAsia="Arial" w:hAnsi="Arial"/>
          <w:sz w:val="17"/>
          <w:szCs w:val="17"/>
          <w:color w:val="auto"/>
        </w:rPr>
        <w:t>If the number of outstanding shares of our Class A common stock is changed by stock dividend, recapitalization,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The board or compensation committee may amend, suspend or terminate the ESPP at any time without stockholder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2022, our Board appointed Jason Ryan as Executive Chairman and entered into an executive chairman agreement (the “Executive Chairman Agreement”) with Mr. Ryan. Prior to this appointment, Mr. Ryan served as a non-employee director of our Board. The Executive Chairman Agreement provides for an annual base salary of $540,000. In connection with the appointment, we issued to our Executive Chairman an option to purchase 429,730 shares of our Class A common stock, 247,525 service-based RSUs and 126,980 performance-based stock units, which awards will vest in full on the earlier of (a) December 31, 2022, and (b) a change in control of our company subject to Mr. Ryan’s continued service as our Executive Chairman through such date and,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performance-based RSUs, subject to the achievement of certain performance-based vesting conditions. The Executive Chairman Agreement will terminate on December 31, 2022 unless terminated earlier in accordance with its terms or extended by the mutual agreement of our Board and Mr. Ryan.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Director Compensation Table</w:t>
      </w:r>
    </w:p>
    <w:p>
      <w:pPr>
        <w:spacing w:after="0" w:line="171" w:lineRule="exact"/>
        <w:rPr>
          <w:sz w:val="20"/>
          <w:szCs w:val="20"/>
          <w:color w:val="auto"/>
        </w:rPr>
      </w:pPr>
    </w:p>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The following table sets forth the compensation earned by or paid to our non-employee directors for services provided during the year ended December 31, 2021, other than Keith Meister who joined the Board in January 2022 and Richard Pfenniger, Jr., who joined the Board in April 2022. Dr. Schadt did not receive any compensation for his service as a director during fiscal year 2021, while also serving as Chief Executive Officer. Ms. Stueland also joined the Board in April 2022 and will not receive any compensation for her service as a director while also service as Co-Chief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2021. Please see the section entitled “</w:t>
      </w:r>
      <w:hyperlink w:anchor="page137">
        <w:r>
          <w:rPr>
            <w:rFonts w:ascii="Arial" w:cs="Arial" w:eastAsia="Arial" w:hAnsi="Arial"/>
            <w:sz w:val="16"/>
            <w:szCs w:val="16"/>
            <w:i w:val="1"/>
            <w:iCs w:val="1"/>
            <w:u w:val="single" w:color="auto"/>
            <w:color w:val="0000FF"/>
          </w:rPr>
          <w:t>Executive Compensation</w:t>
        </w:r>
        <w:r>
          <w:rPr>
            <w:rFonts w:ascii="Arial" w:cs="Arial" w:eastAsia="Arial" w:hAnsi="Arial"/>
            <w:sz w:val="16"/>
            <w:szCs w:val="16"/>
            <w:u w:val="single" w:color="auto"/>
            <w:color w:val="0000FF"/>
            <w:highlight w:val="white"/>
          </w:rPr>
          <w:t>—</w:t>
        </w:r>
        <w:r>
          <w:rPr>
            <w:rFonts w:ascii="Arial" w:cs="Arial" w:eastAsia="Arial" w:hAnsi="Arial"/>
            <w:sz w:val="16"/>
            <w:szCs w:val="16"/>
            <w:i w:val="1"/>
            <w:iCs w:val="1"/>
            <w:u w:val="single" w:color="auto"/>
            <w:color w:val="0000FF"/>
            <w:highlight w:val="white"/>
          </w:rPr>
          <w:t>2021 Summary Compensation Table</w:t>
        </w:r>
      </w:hyperlink>
      <w:r>
        <w:rPr>
          <w:rFonts w:ascii="Arial" w:cs="Arial" w:eastAsia="Arial" w:hAnsi="Arial"/>
          <w:sz w:val="16"/>
          <w:szCs w:val="16"/>
          <w:color w:val="auto"/>
          <w:highlight w:val="white"/>
        </w:rPr>
        <w:t>”</w:t>
      </w:r>
      <w:r>
        <w:rPr>
          <w:rFonts w:ascii="Arial" w:cs="Arial" w:eastAsia="Arial" w:hAnsi="Arial"/>
          <w:sz w:val="16"/>
          <w:szCs w:val="16"/>
          <w:color w:val="auto"/>
        </w:rPr>
        <w:t xml:space="preserve"> </w:t>
      </w:r>
      <w:r>
        <w:rPr>
          <w:rFonts w:ascii="Arial" w:cs="Arial" w:eastAsia="Arial" w:hAnsi="Arial"/>
          <w:sz w:val="16"/>
          <w:szCs w:val="16"/>
          <w:color w:val="auto"/>
          <w:highlight w:val="white"/>
        </w:rPr>
        <w:t>for a summary of payments made to Dr. Schadt.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Restricted Stock</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Fees Earned or Paid</w:t>
            </w:r>
          </w:p>
        </w:tc>
        <w:tc>
          <w:tcPr>
            <w:tcW w:w="1400" w:type="dxa"/>
            <w:vAlign w:val="bottom"/>
            <w:gridSpan w:val="2"/>
          </w:tcPr>
          <w:p>
            <w:pPr>
              <w:ind w:left="60"/>
              <w:spacing w:after="0" w:line="189" w:lineRule="exact"/>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and Other Securities</w:t>
            </w: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All Other</w:t>
            </w:r>
          </w:p>
        </w:tc>
        <w:tc>
          <w:tcPr>
            <w:tcW w:w="13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2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320" w:type="dxa"/>
            <w:vAlign w:val="bottom"/>
            <w:tcBorders>
              <w:bottom w:val="single" w:sz="8" w:color="auto"/>
            </w:tcBorders>
          </w:tcPr>
          <w:p>
            <w:pPr>
              <w:jc w:val="right"/>
              <w:ind w:right="261"/>
              <w:spacing w:after="0" w:line="135" w:lineRule="exact"/>
              <w:rPr>
                <w:sz w:val="20"/>
                <w:szCs w:val="20"/>
                <w:color w:val="auto"/>
              </w:rPr>
            </w:pPr>
            <w:r>
              <w:rPr>
                <w:rFonts w:ascii="Arial" w:cs="Arial" w:eastAsia="Arial" w:hAnsi="Arial"/>
                <w:sz w:val="14"/>
                <w:szCs w:val="14"/>
                <w:b w:val="1"/>
                <w:bCs w:val="1"/>
                <w:color w:val="auto"/>
              </w:rPr>
              <w:t>in Cash($)</w:t>
            </w:r>
          </w:p>
        </w:tc>
        <w:tc>
          <w:tcPr>
            <w:tcW w:w="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523"/>
              <w:spacing w:after="0"/>
              <w:rPr>
                <w:sz w:val="20"/>
                <w:szCs w:val="20"/>
                <w:color w:val="auto"/>
              </w:rPr>
            </w:pPr>
            <w:r>
              <w:rPr>
                <w:rFonts w:ascii="Arial" w:cs="Arial" w:eastAsia="Arial" w:hAnsi="Arial"/>
                <w:sz w:val="9"/>
                <w:szCs w:val="9"/>
                <w:b w:val="1"/>
                <w:bCs w:val="1"/>
                <w:color w:val="auto"/>
              </w:rPr>
              <w:t>(5)</w:t>
            </w:r>
          </w:p>
        </w:tc>
        <w:tc>
          <w:tcPr>
            <w:tcW w:w="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7"/>
                <w:szCs w:val="7"/>
                <w:b w:val="1"/>
                <w:bCs w:val="1"/>
                <w:color w:val="auto"/>
              </w:rPr>
              <w:t>(1)(5)</w:t>
            </w:r>
          </w:p>
        </w:tc>
        <w:tc>
          <w:tcPr>
            <w:tcW w:w="10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b w:val="1"/>
                <w:bCs w:val="1"/>
                <w:color w:val="auto"/>
              </w:rPr>
              <w:t>Compensation ($)</w:t>
            </w:r>
            <w:r>
              <w:rPr>
                <w:rFonts w:ascii="Arial" w:cs="Arial" w:eastAsia="Arial" w:hAnsi="Arial"/>
                <w:sz w:val="15"/>
                <w:szCs w:val="15"/>
                <w:b w:val="1"/>
                <w:bCs w:val="1"/>
                <w:color w:val="auto"/>
                <w:vertAlign w:val="superscript"/>
              </w:rPr>
              <w:t>(2)</w:t>
            </w:r>
          </w:p>
        </w:tc>
        <w:tc>
          <w:tcPr>
            <w:tcW w:w="10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Joshua Ruch</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47,500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201,911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199,985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449,396</w:t>
            </w:r>
          </w:p>
        </w:tc>
        <w:tc>
          <w:tcPr>
            <w:tcW w:w="0" w:type="dxa"/>
            <w:vAlign w:val="bottom"/>
          </w:tcPr>
          <w:p>
            <w:pPr>
              <w:spacing w:after="0"/>
              <w:rPr>
                <w:sz w:val="1"/>
                <w:szCs w:val="1"/>
                <w:color w:val="auto"/>
              </w:rPr>
            </w:pPr>
          </w:p>
        </w:tc>
      </w:tr>
      <w:tr>
        <w:trPr>
          <w:trHeight w:val="213"/>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Dennis Charney, M.D.</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 D. Casdin</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101,401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221,393</w:t>
            </w:r>
          </w:p>
        </w:tc>
        <w:tc>
          <w:tcPr>
            <w:tcW w:w="0" w:type="dxa"/>
            <w:vAlign w:val="bottom"/>
          </w:tcPr>
          <w:p>
            <w:pPr>
              <w:spacing w:after="0"/>
              <w:rPr>
                <w:sz w:val="1"/>
                <w:szCs w:val="1"/>
                <w:color w:val="auto"/>
              </w:rPr>
            </w:pPr>
          </w:p>
        </w:tc>
      </w:tr>
      <w:tr>
        <w:trPr>
          <w:trHeight w:val="213"/>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Emily Leproust, Ph.D.</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101,401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99,992</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226,393</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Jason Ryan</w:t>
            </w:r>
            <w:r>
              <w:rPr>
                <w:rFonts w:ascii="Arial" w:cs="Arial" w:eastAsia="Arial" w:hAnsi="Arial"/>
                <w:sz w:val="21"/>
                <w:szCs w:val="21"/>
                <w:color w:val="auto"/>
                <w:vertAlign w:val="superscript"/>
              </w:rPr>
              <w:t>(3)</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201,911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199,985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431,896</w:t>
            </w:r>
          </w:p>
        </w:tc>
        <w:tc>
          <w:tcPr>
            <w:tcW w:w="0" w:type="dxa"/>
            <w:vAlign w:val="bottom"/>
          </w:tcPr>
          <w:p>
            <w:pPr>
              <w:spacing w:after="0"/>
              <w:rPr>
                <w:sz w:val="1"/>
                <w:szCs w:val="1"/>
                <w:color w:val="auto"/>
              </w:rPr>
            </w:pPr>
          </w:p>
        </w:tc>
      </w:tr>
      <w:tr>
        <w:trPr>
          <w:trHeight w:val="213"/>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Michael Pellini, M.D.</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201,911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199,985</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421,896</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Nat Turner</w:t>
            </w:r>
            <w:r>
              <w:rPr>
                <w:rFonts w:ascii="Arial" w:cs="Arial" w:eastAsia="Arial" w:hAnsi="Arial"/>
                <w:sz w:val="21"/>
                <w:szCs w:val="21"/>
                <w:color w:val="auto"/>
                <w:vertAlign w:val="superscript"/>
              </w:rPr>
              <w:t>(4)</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23,750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101,401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225,143</w:t>
            </w:r>
          </w:p>
        </w:tc>
        <w:tc>
          <w:tcPr>
            <w:tcW w:w="0" w:type="dxa"/>
            <w:vAlign w:val="bottom"/>
          </w:tcPr>
          <w:p>
            <w:pPr>
              <w:spacing w:after="0"/>
              <w:rPr>
                <w:sz w:val="1"/>
                <w:szCs w:val="1"/>
                <w:color w:val="auto"/>
              </w:rPr>
            </w:pP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Rachel Sherman, M.D., M.P.H., F.A.C.P.</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101,401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143,797</w:t>
            </w:r>
          </w:p>
        </w:tc>
        <w:tc>
          <w:tcPr>
            <w:tcW w:w="10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315,198</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32"/>
        <w:spacing w:after="0" w:line="241"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awards granted under the 2021 EIP and pursuant to the Prior Merger Agreement, as applicable, to our directors during the year ended December 31, 2021, as computed in accordance with FASB ASC Topic 718. The assumptions used in determining the grant date fair value of the awards reported in the Option Awards and Restricted Stock and Other Securities columns are set forth in Note 10 to our financial statements included elsewhere in this prospectus. Note that the amounts reported in this column reflect the aggregate accounting cost for these awards granted during the year, and do not necessarily correspond to the actual economic value that may be received by the director from the awards.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reported in this column represents payments under director legacy and other charitable award programs.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Ryan served as a non-employee director until January 2022.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Turner resigned as a director in April 2022.</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following table sets forth information regarding the aggregate number of shares of our Class A common stock underlying outstanding stock options held by our non-employee directors as of December 31, 2021 and the aggregate number of unvested shares of our Class A common stock underlying outstanding RSU awards held by our non-employee directors as of December 31, 2021:</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5660" w:type="dxa"/>
            <w:vAlign w:val="bottom"/>
            <w:gridSpan w:val="5"/>
          </w:tcPr>
          <w:p>
            <w:pPr>
              <w:jc w:val="right"/>
              <w:ind w:right="9"/>
              <w:spacing w:after="0"/>
              <w:rPr>
                <w:sz w:val="20"/>
                <w:szCs w:val="20"/>
                <w:color w:val="auto"/>
              </w:rPr>
            </w:pPr>
            <w:r>
              <w:rPr>
                <w:rFonts w:ascii="Arial" w:cs="Arial" w:eastAsia="Arial" w:hAnsi="Arial"/>
                <w:sz w:val="13"/>
                <w:szCs w:val="13"/>
                <w:b w:val="1"/>
                <w:bCs w:val="1"/>
                <w:color w:val="auto"/>
              </w:rPr>
              <w:t>Shares Underlying UnexercisedUnvested Shares of Restricted</w:t>
            </w:r>
          </w:p>
        </w:tc>
        <w:tc>
          <w:tcPr>
            <w:tcW w:w="0" w:type="dxa"/>
            <w:vAlign w:val="bottom"/>
          </w:tcPr>
          <w:p>
            <w:pPr>
              <w:spacing w:after="0"/>
              <w:rPr>
                <w:sz w:val="1"/>
                <w:szCs w:val="1"/>
                <w:color w:val="auto"/>
              </w:rPr>
            </w:pPr>
          </w:p>
        </w:tc>
      </w:tr>
      <w:tr>
        <w:trPr>
          <w:trHeight w:val="170"/>
        </w:trPr>
        <w:tc>
          <w:tcPr>
            <w:tcW w:w="4700" w:type="dxa"/>
            <w:vAlign w:val="bottom"/>
            <w:gridSpan w:val="2"/>
            <w:vMerge w:val="continue"/>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ind w:left="360"/>
              <w:spacing w:after="0"/>
              <w:rPr>
                <w:sz w:val="20"/>
                <w:szCs w:val="20"/>
                <w:color w:val="auto"/>
              </w:rPr>
            </w:pPr>
            <w:r>
              <w:rPr>
                <w:rFonts w:ascii="Arial" w:cs="Arial" w:eastAsia="Arial" w:hAnsi="Arial"/>
                <w:sz w:val="13"/>
                <w:szCs w:val="13"/>
                <w:b w:val="1"/>
                <w:bCs w:val="1"/>
                <w:color w:val="auto"/>
              </w:rPr>
              <w:t>Stock Options</w:t>
            </w:r>
          </w:p>
        </w:tc>
        <w:tc>
          <w:tcPr>
            <w:tcW w:w="1480" w:type="dxa"/>
            <w:vAlign w:val="bottom"/>
          </w:tcPr>
          <w:p>
            <w:pPr>
              <w:jc w:val="right"/>
              <w:ind w:right="349"/>
              <w:spacing w:after="0"/>
              <w:rPr>
                <w:sz w:val="20"/>
                <w:szCs w:val="20"/>
                <w:color w:val="auto"/>
              </w:rPr>
            </w:pPr>
            <w:r>
              <w:rPr>
                <w:rFonts w:ascii="Arial" w:cs="Arial" w:eastAsia="Arial" w:hAnsi="Arial"/>
                <w:sz w:val="13"/>
                <w:szCs w:val="13"/>
                <w:b w:val="1"/>
                <w:bCs w:val="1"/>
                <w:color w:val="auto"/>
              </w:rPr>
              <w:t>Stock Units</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20"/>
                <w:szCs w:val="20"/>
                <w:color w:val="auto"/>
              </w:rPr>
            </w:pPr>
            <w:r>
              <w:rPr>
                <w:rFonts w:ascii="Arial" w:cs="Arial" w:eastAsia="Arial" w:hAnsi="Arial"/>
                <w:sz w:val="13"/>
                <w:szCs w:val="13"/>
                <w:color w:val="auto"/>
                <w:w w:val="71"/>
              </w:rPr>
              <w:t>Joshua</w:t>
            </w:r>
          </w:p>
        </w:tc>
        <w:tc>
          <w:tcPr>
            <w:tcW w:w="4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Ruch</w:t>
            </w:r>
          </w:p>
        </w:tc>
        <w:tc>
          <w:tcPr>
            <w:tcW w:w="2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3"/>
                <w:szCs w:val="13"/>
                <w:color w:val="auto"/>
                <w:w w:val="74"/>
              </w:rPr>
              <w:t>Dennis</w:t>
            </w:r>
          </w:p>
        </w:tc>
        <w:tc>
          <w:tcPr>
            <w:tcW w:w="4380" w:type="dxa"/>
            <w:vAlign w:val="bottom"/>
          </w:tcPr>
          <w:p>
            <w:pPr>
              <w:ind w:left="120"/>
              <w:spacing w:after="0"/>
              <w:rPr>
                <w:sz w:val="20"/>
                <w:szCs w:val="20"/>
                <w:color w:val="auto"/>
              </w:rPr>
            </w:pPr>
            <w:r>
              <w:rPr>
                <w:rFonts w:ascii="Arial" w:cs="Arial" w:eastAsia="Arial" w:hAnsi="Arial"/>
                <w:sz w:val="14"/>
                <w:szCs w:val="14"/>
                <w:color w:val="auto"/>
              </w:rPr>
              <w:t>Charney, M.D.</w:t>
            </w: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700" w:type="dxa"/>
            <w:vAlign w:val="bottom"/>
            <w:gridSpan w:val="2"/>
          </w:tcPr>
          <w:p>
            <w:pPr>
              <w:spacing w:after="0"/>
              <w:rPr>
                <w:sz w:val="20"/>
                <w:szCs w:val="20"/>
                <w:color w:val="auto"/>
              </w:rPr>
            </w:pPr>
            <w:r>
              <w:rPr>
                <w:rFonts w:ascii="Arial" w:cs="Arial" w:eastAsia="Arial" w:hAnsi="Arial"/>
                <w:sz w:val="14"/>
                <w:szCs w:val="14"/>
                <w:color w:val="auto"/>
              </w:rPr>
              <w:t>Eli D. Casdin</w:t>
            </w:r>
          </w:p>
        </w:tc>
        <w:tc>
          <w:tcPr>
            <w:tcW w:w="4080" w:type="dxa"/>
            <w:vAlign w:val="bottom"/>
            <w:gridSpan w:val="3"/>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rPr>
                <w:sz w:val="20"/>
                <w:szCs w:val="20"/>
                <w:color w:val="auto"/>
              </w:rPr>
            </w:pPr>
            <w:r>
              <w:rPr>
                <w:rFonts w:ascii="Arial" w:cs="Arial" w:eastAsia="Arial" w:hAnsi="Arial"/>
                <w:sz w:val="14"/>
                <w:szCs w:val="14"/>
                <w:color w:val="auto"/>
              </w:rPr>
              <w:t>Emily Leproust, Ph.D.</w:t>
            </w:r>
          </w:p>
        </w:tc>
        <w:tc>
          <w:tcPr>
            <w:tcW w:w="4080" w:type="dxa"/>
            <w:vAlign w:val="bottom"/>
            <w:gridSpan w:val="3"/>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20"/>
                <w:szCs w:val="20"/>
                <w:color w:val="auto"/>
              </w:rPr>
            </w:pPr>
            <w:r>
              <w:rPr>
                <w:rFonts w:ascii="Arial" w:cs="Arial" w:eastAsia="Arial" w:hAnsi="Arial"/>
                <w:sz w:val="14"/>
                <w:szCs w:val="14"/>
                <w:color w:val="auto"/>
                <w:w w:val="80"/>
              </w:rPr>
              <w:t>Jason</w:t>
            </w:r>
          </w:p>
        </w:tc>
        <w:tc>
          <w:tcPr>
            <w:tcW w:w="4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Ryan</w:t>
            </w:r>
          </w:p>
        </w:tc>
        <w:tc>
          <w:tcPr>
            <w:tcW w:w="4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82"/>
        </w:trPr>
        <w:tc>
          <w:tcPr>
            <w:tcW w:w="4700" w:type="dxa"/>
            <w:vAlign w:val="bottom"/>
            <w:gridSpan w:val="2"/>
          </w:tcPr>
          <w:p>
            <w:pPr>
              <w:spacing w:after="0"/>
              <w:rPr>
                <w:sz w:val="20"/>
                <w:szCs w:val="20"/>
                <w:color w:val="auto"/>
              </w:rPr>
            </w:pPr>
            <w:r>
              <w:rPr>
                <w:rFonts w:ascii="Arial" w:cs="Arial" w:eastAsia="Arial" w:hAnsi="Arial"/>
                <w:sz w:val="14"/>
                <w:szCs w:val="14"/>
                <w:color w:val="auto"/>
              </w:rPr>
              <w:t>Michael Pellini, M.D.</w:t>
            </w:r>
          </w:p>
        </w:tc>
        <w:tc>
          <w:tcPr>
            <w:tcW w:w="4080" w:type="dxa"/>
            <w:vAlign w:val="bottom"/>
            <w:gridSpan w:val="3"/>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20"/>
                <w:szCs w:val="20"/>
                <w:color w:val="auto"/>
              </w:rPr>
            </w:pPr>
            <w:r>
              <w:rPr>
                <w:rFonts w:ascii="Arial" w:cs="Arial" w:eastAsia="Arial" w:hAnsi="Arial"/>
                <w:sz w:val="14"/>
                <w:szCs w:val="14"/>
                <w:color w:val="auto"/>
              </w:rPr>
              <w:t>Nat</w:t>
            </w: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Turner</w:t>
            </w:r>
          </w:p>
        </w:tc>
        <w:tc>
          <w:tcPr>
            <w:tcW w:w="4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44"/>
        </w:trPr>
        <w:tc>
          <w:tcPr>
            <w:tcW w:w="320" w:type="dxa"/>
            <w:vAlign w:val="bottom"/>
          </w:tcPr>
          <w:p>
            <w:pPr>
              <w:spacing w:after="0"/>
              <w:rPr>
                <w:sz w:val="20"/>
                <w:szCs w:val="20"/>
                <w:color w:val="auto"/>
              </w:rPr>
            </w:pPr>
            <w:r>
              <w:rPr>
                <w:rFonts w:ascii="Arial" w:cs="Arial" w:eastAsia="Arial" w:hAnsi="Arial"/>
                <w:sz w:val="13"/>
                <w:szCs w:val="13"/>
                <w:color w:val="auto"/>
                <w:w w:val="74"/>
              </w:rPr>
              <w:t>Rachel</w:t>
            </w:r>
          </w:p>
        </w:tc>
        <w:tc>
          <w:tcPr>
            <w:tcW w:w="4380" w:type="dxa"/>
            <w:vAlign w:val="bottom"/>
          </w:tcPr>
          <w:p>
            <w:pPr>
              <w:ind w:left="120"/>
              <w:spacing w:after="0"/>
              <w:rPr>
                <w:sz w:val="20"/>
                <w:szCs w:val="20"/>
                <w:color w:val="auto"/>
              </w:rPr>
            </w:pPr>
            <w:r>
              <w:rPr>
                <w:rFonts w:ascii="Arial" w:cs="Arial" w:eastAsia="Arial" w:hAnsi="Arial"/>
                <w:sz w:val="14"/>
                <w:szCs w:val="14"/>
                <w:color w:val="auto"/>
              </w:rPr>
              <w:t>Sherman, M.D., M.P.H., F.A.C.P.</w:t>
            </w:r>
          </w:p>
        </w:tc>
        <w:tc>
          <w:tcPr>
            <w:tcW w:w="4080" w:type="dxa"/>
            <w:vAlign w:val="bottom"/>
            <w:gridSpan w:val="3"/>
          </w:tcPr>
          <w:p>
            <w:pPr>
              <w:jc w:val="right"/>
              <w:spacing w:after="0"/>
              <w:rPr>
                <w:sz w:val="20"/>
                <w:szCs w:val="20"/>
                <w:color w:val="auto"/>
              </w:rPr>
            </w:pPr>
            <w:r>
              <w:rPr>
                <w:rFonts w:ascii="Arial" w:cs="Arial" w:eastAsia="Arial" w:hAnsi="Arial"/>
                <w:sz w:val="14"/>
                <w:szCs w:val="14"/>
                <w:color w:val="auto"/>
              </w:rPr>
              <w:t>385,509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44533</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-754380</wp:posOffset>
            </wp:positionV>
            <wp:extent cx="638619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6195" cy="12001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31,697 Earnout RSUs granted in connection with the Prior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71"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have been or is to be a participant;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involved exceeded or will exceed the lesser $120,000 or 1% of the average of our total assets as of year-end for the last two completed fiscal years;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Related to the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Subscription Agreements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Acquisition, the PIPE Investors executed subscription agreements to purchase an aggregate of 50,000,000 shares of our Class A common stock at $4.00 per share, for an aggregate purchase price of $200 million in the PIPE Investment. The PIPE Investment closed on April 29, 2022. The funds from the PIPE Investment were used, in part, to fund the Acquisition of GeneDx. The following table sets forth the number of shares of our Class A common stock that we issued to our directors, executive officers and 5% stockholders and their affiliates in connection with the PIPE Investment: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154"/>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Mount Sinai</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Rho Partners</w:t>
            </w:r>
            <w:r>
              <w:rPr>
                <w:rFonts w:ascii="Arial" w:cs="Arial" w:eastAsia="Arial" w:hAnsi="Arial"/>
                <w:sz w:val="23"/>
                <w:szCs w:val="23"/>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Section32</w:t>
            </w:r>
            <w:r>
              <w:rPr>
                <w:rFonts w:ascii="Arial" w:cs="Arial" w:eastAsia="Arial" w:hAnsi="Arial"/>
                <w:sz w:val="23"/>
                <w:szCs w:val="23"/>
                <w:color w:val="auto"/>
                <w:vertAlign w:val="superscript"/>
              </w:rPr>
              <w:t>(7)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80" w:hanging="332"/>
        <w:spacing w:after="0" w:line="241" w:lineRule="auto"/>
        <w:tabs>
          <w:tab w:leader="none" w:pos="332"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2,434,863 shares of Class A common stock issued to BTO Sema4 Holdings L.P., 50,402 shares of Class A common stock issued to Blackstone Tactical Opportunities Fund - FD L.P. and 14,735 shares of Class A common stock issued to Blackstone Family Tactical Opportunities Investment Partnership III ESC L.P.</w:t>
      </w: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11,437,500 shares of Class A common stock issued to Casdin Partners Master Fund, L.P.</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3,557,000 shares of Class A common stock issued to Corvex Master Fund LP, 7,320,000 shares of Class A common stock issued to Corvex Select Equity Master Fund LP, and 560,500 shares of Class A common stock issued to Corvex Dynamic Equity Select Master Fund LP.</w:t>
      </w: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6,250,000 shares of Class A common stock issued to Ichan School of Medicine at Mount Sinai.</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Consists of 3,125,000 shares of Class A common stock issued to Deerfield Private Design Fund V, L.P. and 1,875,000 shares of Class A common stock issued to Deerfield Partners, L.P.</w:t>
      </w:r>
    </w:p>
    <w:p>
      <w:pPr>
        <w:spacing w:after="0" w:line="12" w:lineRule="exact"/>
        <w:rPr>
          <w:rFonts w:ascii="Arial" w:cs="Arial" w:eastAsia="Arial" w:hAnsi="Arial"/>
          <w:sz w:val="13"/>
          <w:szCs w:val="13"/>
          <w:color w:val="auto"/>
        </w:rPr>
      </w:pPr>
    </w:p>
    <w:p>
      <w:pPr>
        <w:ind w:left="340" w:right="260" w:hanging="332"/>
        <w:spacing w:after="0" w:line="241" w:lineRule="auto"/>
        <w:tabs>
          <w:tab w:leader="none" w:pos="332"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1,632,963 shares of Class A common stock issued to Vaal Investment Partners Q9 LP, 329,665 shares of Class A common stock issued to Rugu2 LLC, and 162,372 shares of Class A common stock issued to Kariba LLC. Rho Partners is an affiliate of Joshua Ruch, a member of our Board.</w:t>
      </w: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1,250,000 shares of Class A common stock issued to Section 32 Fund 2, L.P. Section32 is an affiliate of Michael Pellini,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Agreements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execution of the Merger Agreement, OPKO, a 5% stockholder of the Company following the Closing of the Acquisition, and certain individual stockholders of OPKO who hold 5% or more of OPKO’s common stock (each a “Lock-Up Holder”) entered into the Shareholder Agreements, whereby each agreed to certain transfer restrictions with respect to shares of Class A common stock included in the Merger Consideration or Milestone Payments that were distributed or otherwise transferred to it (such shares of Class A common stock, the “</w:t>
      </w:r>
      <w:r>
        <w:rPr>
          <w:rFonts w:ascii="Arial" w:cs="Arial" w:eastAsia="Arial" w:hAnsi="Arial"/>
          <w:sz w:val="16"/>
          <w:szCs w:val="16"/>
          <w:i w:val="1"/>
          <w:iCs w:val="1"/>
          <w:color w:val="auto"/>
        </w:rPr>
        <w:t>Lock-up Shares</w:t>
      </w:r>
      <w:r>
        <w:rPr>
          <w:rFonts w:ascii="Arial" w:cs="Arial" w:eastAsia="Arial" w:hAnsi="Arial"/>
          <w:sz w:val="16"/>
          <w:szCs w:val="16"/>
          <w:color w:val="auto"/>
        </w:rPr>
        <w:t>”) that will remain in place until,</w:t>
      </w:r>
    </w:p>
    <w:p>
      <w:pPr>
        <w:spacing w:after="0" w:line="1" w:lineRule="exact"/>
        <w:rPr>
          <w:sz w:val="20"/>
          <w:szCs w:val="20"/>
          <w:color w:val="auto"/>
        </w:rPr>
      </w:pPr>
    </w:p>
    <w:p>
      <w:pPr>
        <w:jc w:val="both"/>
        <w:ind w:firstLine="8"/>
        <w:spacing w:after="0" w:line="281" w:lineRule="auto"/>
        <w:tabs>
          <w:tab w:leader="none" w:pos="245"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 respect to the Stock Consideration Shares, the date that is one year from the Closing Date (as defined in the Merger Agreement), (b) with respect to the stock portion of the first Milestone Payment, if any, the date that is one year from the date of issuance for such payment and (c) with respect to the stock portion of the second Milestone Payment, if any, the date that is six months from the date of issuance for such payment (the period described in (a), (b)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referred to as the “Lock-Up Period”).</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Lock-Up Holder has also agreed in the Shareholders Agreements that, following the Lock-Up Period and for so long as such Lock-Up Holder is the record or beneficial owner of at least 5% of the issued and outstanding Class A common stock, such Lock-Up Holder shall not, without the Company’s consent, sell more than 25% of the shares of the Company’s Class A common stock it received in connection with the Acquisition in any 90-day period, except as part of a marketed sale process for which one lead bookrunner has been selected by Company in its sole discretion.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Lock-Up Holder has also agreed to vote all of his, her or its Lock-Up Shares in whatever manner is recommended by the Board for so long as such Lock-Up Holder is the record or beneficial owner of at least 5% of the issued and outstanding Class A common stock.</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Shareholder Agreements also provide that, for a period of twelve months from the Closing, the Lock-Up Holders shall not, without the consent of the Company’s Board or chief executive officer (a) acquire shares or voting securities in the Company, (b) make any solicitation of votes, or seek to advise on any vote of the Company’s securities, (c) form a “group” (with the meaning of Section 13(d)(3) of the Exchange Act) with respect to any voting securities of the Company, (e) propose any merger, business combination, tender offer, or similar transaction with respect to the Company, (f) solicit or provide information to any person with respect of a business combination or tender offer involving the Company, (g) advise, assist or knowingly encourage any other person with respect to the actions described in (a)-(g) above, (h) enter into any discussions or negotiations with respect to the foregoing, (i) take any action that could reasonably be expected to require disclosure on the part of the Company with respect to any of the foregoing, or (j) disclose any intention inconsistent with the foregoing.</w:t>
      </w:r>
    </w:p>
    <w:p>
      <w:pPr>
        <w:spacing w:after="0" w:line="1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agreed in the Shareholder Agreements to file a registration statement in respect of the Registrable Securities (as defined therein) within 30 days following the closing of the Acquisition and granted to the Lock-Up Holders certain customary shelf, piggyback and demand registration rights.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closing of the Acquisition, the Company (a) issued 80 million Stock Consideration Shares to OPKO (at a total value of $323.2 million based on a per share price of $4.04, which was the closing price of the Class A common stock on January 14, 2022, the date the Merger Agreement was signed) and (b) paid $150.0 million to OPKO as the Cash Consideration, each pursuant to the Merger Agreement. In addition, the Company may pay OPKO up to $150 million, in cash or Milestone Shares, in the Company’s sole discretion, following the Closing, if certain revenue-based milestones are achieved for each of the fiscal years ending December 31, 2022 and December 31,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closing of the Acquisition, GeneDx and OPKO entered into a Transition Services Agreement dated as of April 29, 2022 (the “Transition Services Agreement”) pursuant to which OPKO has agreed to provide, at cost, certain services in support of the Acquisition of the GeneDx business through December 31, 2022, subject to certain limited exceptions, with such services being in order to facilitate the transactions contemplated by the Merger Agreement, including human resources, information technology support, and finance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execution of the Merger Agreement, we and Icahn School of Medicine at Mount Sinai entered into a Lock-Up Agreement whereby ISMMS agreed to certain transfer restrictions in respect of the shares of our Class A common stock issued to ISMMS pursuant to the PIPE Investment. These transfer restrictions will expire on July 12,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Our Executive Officers and Directors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Emilio Schadt, the son of Eric Schadt, our former Chief Executive Officer and a director, has been employed with us since August 2018 as a Data Science Software Engineer, where he is responsible for implementing methods to improve data reliability. During the year ended December 31, 2021, Mr. Schadt had total compensation, including base salary and bonus, of $177,543. Rick Wallsten, the brother of Eric Schadt, our former Chief Executive Officer and a director, has been employed by us since November 2017 as a clinical pharmacist, where he is responsible for certain aspects of our pharmacogenomics program. During the year ended December 31, 2021, Mr. Wallsten had total cash compensation, including base salary and bonus, of $209,563. During the year ended December 31, 2020, Mr. Wallsten had total cash compensation, including base salary and bonus, of $157,620. Carol Senn, the sister-in-law of James Coffin, our former Chief Operating Officer, has been employed with us since November 2020 as an Account Manager, where she is responsible for certain aspects of growing the business. During the year ended December 31, 2021, Ms. Senn had total compensation, including base salary, of $155,706. Kelly Peterson, the sister of James Coffin, our former Chief Operating Officer, has been employed with us since February 2019 as a Sales Specialist Oncology, where she is responsible for the aspect of growing the business. During the year ended December 31, 2021, Ms. Peterson had total compensation, including base salary, of $211,152.</w:t>
      </w:r>
    </w:p>
    <w:p>
      <w:pPr>
        <w:spacing w:after="0" w:line="1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were a party to several space license agreements and continue to be a party to sublease agreements with the Mount Sinai Health System (which we refer to together with its related entities as “Mount Sinai”) pursuant to which we leased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all facilities subleased by Icahn School of Medicine at Mount Sinai (“ISMMS”) to us was $4.2 million for the year ended December 31, 2021 and $5.9 million for the year ended December 31, 2020. Future minimum lease payments are expected to total $4.2 million related to all facilities subleased by ISMMS to Sema4 for the year ending December 31,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ISMMS provided transition services, under a transition services agreement and other contractual arrangements with us for services related to finance (accounts payable &amp; purchasing, general accounting, financial systems, and payroll), real estate management, insurance coverage, compliance, equipment subleases, and IT. The transition services agreement expired on March 28, 2021. We made direct payments to ISMMS of approximately $1.6 million pursuant to such transition services agreement in 2021.</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provide partial reimbursement to Mount Sinai for limited compensation, services, and related expenses for certain individuals employed by Mount Sinai and certain individuals employed at both Mount Sinai and our company. For the years ended December 31, 2021 and 2020, the total amount of reimbursement for employee compensation and expenses paid by us to Mount Sinai was equal to approximately $1.2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$1.4 million and $3.4 million for the years ended December 31, 2021 and 2020,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contains provisions limiting the liability of directors,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Sema4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2020, Legacy Sema4 sold an aggregate of 197,821 shares of its Series C preferred stock at a purchase price of $613.6743 per share to accredited investors for an aggregate purchase price of approximately $121.4 million. On July 22, 2021, each share of Legacy Sema4’s Series C preferred stock was cancelled and received a portion of the merger consideration in connection with the completion of the Business Combination, as provided in the Prior Merger Agreement.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purchases of shares of Legacy Sema4’s Series C preferred stock by its executive officers, directors, and holders of more than 5% of its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Shares of Series C Preferred Stock</w:t>
            </w:r>
          </w:p>
        </w:tc>
        <w:tc>
          <w:tcPr>
            <w:tcW w:w="0" w:type="dxa"/>
            <w:vAlign w:val="bottom"/>
          </w:tcPr>
          <w:p>
            <w:pPr>
              <w:spacing w:after="0"/>
              <w:rPr>
                <w:sz w:val="1"/>
                <w:szCs w:val="1"/>
                <w:color w:val="auto"/>
              </w:rPr>
            </w:pPr>
          </w:p>
        </w:tc>
      </w:tr>
      <w:tr>
        <w:trPr>
          <w:trHeight w:val="134"/>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1"/>
                <w:szCs w:val="11"/>
                <w:color w:val="auto"/>
              </w:rPr>
            </w:pPr>
          </w:p>
        </w:tc>
        <w:tc>
          <w:tcPr>
            <w:tcW w:w="138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89"/>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20" w:hanging="332"/>
        <w:spacing w:after="0" w:line="255" w:lineRule="auto"/>
        <w:tabs>
          <w:tab w:leader="none" w:pos="332"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27, 2020, Legacy Sema4 entered into a second amended and restated stockholders’ agreement, as amended (the “A&amp;R Stockholders’ Agreement”), with certain holders of Legacy Sema4’s capital stock. The A&amp;R Stockholders’ Agreement provided for certain customary rights with respect to the management of Legacy Sema4, rights of first offer and pre-emptive rights, transfer restrictions, tag-along rights and drag-along rights, which rights and restrictions terminated on July 22, 2021, upon the consummation of the Business Combination. In addition, the A&amp;R Stockholders’ Agreement provided for certain customary registration rights.</w:t>
      </w:r>
    </w:p>
    <w:p>
      <w:pPr>
        <w:spacing w:after="0" w:line="130" w:lineRule="exact"/>
        <w:rPr>
          <w:sz w:val="20"/>
          <w:szCs w:val="20"/>
          <w:color w:val="auto"/>
        </w:rPr>
      </w:pPr>
    </w:p>
    <w:p>
      <w:pPr>
        <w:ind w:right="4580"/>
        <w:spacing w:after="0" w:line="440" w:lineRule="auto"/>
        <w:rPr>
          <w:sz w:val="20"/>
          <w:szCs w:val="20"/>
          <w:color w:val="auto"/>
        </w:rPr>
      </w:pPr>
      <w:r>
        <w:rPr>
          <w:rFonts w:ascii="Arial" w:cs="Arial" w:eastAsia="Arial" w:hAnsi="Arial"/>
          <w:sz w:val="18"/>
          <w:szCs w:val="18"/>
          <w:b w:val="1"/>
          <w:bCs w:val="1"/>
          <w:color w:val="auto"/>
        </w:rPr>
        <w:t xml:space="preserve">Related Party Transactions Entered into in Connection with the Business Combination </w:t>
      </w:r>
      <w:r>
        <w:rPr>
          <w:rFonts w:ascii="Arial" w:cs="Arial" w:eastAsia="Arial" w:hAnsi="Arial"/>
          <w:sz w:val="18"/>
          <w:szCs w:val="18"/>
          <w:b w:val="1"/>
          <w:bCs w:val="1"/>
          <w:i w:val="1"/>
          <w:iCs w:val="1"/>
          <w:color w:val="auto"/>
        </w:rPr>
        <w:t>Business Combination Subscription Agreements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Business Combination, the Prior PIPE Investors purchased an aggregate of 35,000,000 shares of our Class A common stock at $10.00 per share, for an aggregate purchase price of $350 million in private placements that closed immediately prior to the closing of the Business Combination. The funds from such private placement were used as part of the consideration to Legacy Sema4’s equity holders in connection with the Business Combination. The following table sets forth the number of shares of our Class A common stock that we issued to our directors, executive officers and 5% stockholders and their affiliates in this transaction: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156"/>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5,000,000 shares of Class A common stock held by affiliates of Casdin Partners Master Fund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4,000,000 shares of Class A common stock held by affiliates of Corvex Management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2,750,000 shares of Class A common stock held by affiliates of Deerfield Management Company, L.P.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consummation of our Business Combination, we, CMLS Holdings LLC (the “Former Sponsor”) and certain other parties thereto (collectively, the “rights holders”) entered into an amended and restated registration rights agreement (the “Amended and Restated Registration Rights Agreement”). Pursuant to the terms of the Amended and Restated Registration Rights Agreement, we were required to prepare and file with the SEC, no later than 30 days after the closing date for the Merger, a shelf registration statement for an offering to be made on a continuous basis from time to time with respect to the resale of the registrable shares under the Amended and Restated Registration Rights Agreement. We were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 review such registration statement, subject to extension in the event that the registration is subject comments from the SEC.</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registration rights, subject to certain requirements and customary conditions. We will bear the expenses incurred in connection with the filing of any such registration statement.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execution of the Prior Merger Agreement, we and Icahn School of Medicine at Mount Sinai entered into the ISMMS Lock-Up Agreement whereby ISMMS agreed to certain transfer restrictions in respect of the shares of our Class A common stock issued to ISMMS pursuant to the Prior Merger Agreement. These transfer restrictions expired on January 18,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execution of the Prior Merger Agreement, each stockholder of Legacy Sema4 prior to the closing of the Business Combination holding more than 1% of the outstanding common stock of Legacy Sema4 as of the date thereof, entered into a Stockholder Lock-up Agreement whereby such shareholder agreed to certain transfer restrictions in respect of the shares of our Class A common stock issued to such shareholder pursuant to the Prior Merger Agreement. These transfer restrictions expired on January 18, 2022.</w:t>
      </w:r>
    </w:p>
    <w:p>
      <w:pPr>
        <w:spacing w:after="0" w:line="129" w:lineRule="exact"/>
        <w:rPr>
          <w:sz w:val="20"/>
          <w:szCs w:val="20"/>
          <w:color w:val="auto"/>
        </w:rPr>
      </w:pPr>
    </w:p>
    <w:p>
      <w:pPr>
        <w:ind w:right="4880"/>
        <w:spacing w:after="0" w:line="440" w:lineRule="auto"/>
        <w:rPr>
          <w:sz w:val="20"/>
          <w:szCs w:val="20"/>
          <w:color w:val="auto"/>
        </w:rPr>
      </w:pPr>
      <w:r>
        <w:rPr>
          <w:rFonts w:ascii="Arial" w:cs="Arial" w:eastAsia="Arial" w:hAnsi="Arial"/>
          <w:sz w:val="18"/>
          <w:szCs w:val="18"/>
          <w:b w:val="1"/>
          <w:bCs w:val="1"/>
          <w:color w:val="auto"/>
        </w:rPr>
        <w:t xml:space="preserve">CMLS Related Party Transactions Entered into Prior to the Business Combination </w:t>
      </w:r>
      <w:r>
        <w:rPr>
          <w:rFonts w:ascii="Arial" w:cs="Arial" w:eastAsia="Arial" w:hAnsi="Arial"/>
          <w:sz w:val="18"/>
          <w:szCs w:val="18"/>
          <w:b w:val="1"/>
          <w:bCs w:val="1"/>
          <w:i w:val="1"/>
          <w:iCs w:val="1"/>
          <w:color w:val="auto"/>
        </w:rPr>
        <w:t>Founder Shares</w:t>
      </w:r>
    </w:p>
    <w:p>
      <w:pPr>
        <w:spacing w:after="0" w:line="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16, 2020, the Former Sponsor purchased an aggregate of 10,062,500 shares of Class B common stock of CMLS (the “Class B common stock”), for a total purchase price of $25,000, or approximately $0.002 per share. In August 2020, the Former Sponsor transferred 25,000 of Class B common stock to each of Dr. Leproust and Mr. Turner. On September 1, 2020, CMLS effected a 1:1.1 stock split of its Class B common stock, resulting in the Former Sponsor holding an aggregate of 10,993,750 shares of Class B common stock. The shares of Class B common stock automatically converted into Class A common stock on July 22, 2021 in connection with the consummation of the Business Combination (such shares, the “Founder Shares”).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1, 2020, simultaneously with the closing of CMLS’s initial public offering (the “Initial Public Offering”), the Former Sponsor and certain of CMLS’s independent directors purchased an aggregate of 7,236,667 private placement warrants (the “Private Placement Warrants”), at a price of $1.50 per Private Placement Warrant, for an aggregate purchase price of $10,855,000. The Former Sponsor purchased 6,903,335 Private Placement Warrants, and Dr. Leproust (and/or one or more entities controlled by her) purchased 166,666 Private Placement Warrants. Each Private Placement Warrant is exercisable to purchase one share of Class A common stock at a price of $11.50 per share, subject to adjustment.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16, 2020, the Former Sponsor issued an unsecured promissory note to CMLS (the “Promissory Note”), pursuant to which CMLS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Letter</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 2020, in connection with the Initial Public Offering, CMLS, the Former Sponsor and certain insiders of CMLS entered into a letter agreement (the “Insider Letter”) providing for, among other things, a lock-up in relation to the Founder Shares until the earlier of (a) one year after the completion of the Business Combination and (b) subsequent to the Business Combination, if the closing price of the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liquidation, merger, capital stock exchange, reorganization or other similar transaction that results in all of our stockholders having the right to exchange their shares of Class A common stock for cash securities or other property. The Former Sponsor and each insider also agreed not to transfer any Private Placement Warrants (or any share of Class A common stock issued or issuable upon the exercise of the Private Placement Warrants), until 30 days after the completion of the Business Combination.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 2020, in connection with the Initial Public Offering, CMLS entered into separate forward purchase agreements with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provided therein, they caused the Clients to purchase from us up to an aggregate amount of 15,000,000 shares of Class A common stock the private placement that closed concurrently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PRINCIPAL SECURITYHOLDERS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Certain Stockholders, Directors and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Class A common stock as of April 29, 2022, by:</w:t>
      </w:r>
    </w:p>
    <w:p>
      <w:pPr>
        <w:spacing w:after="0" w:line="18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Percentage ownership of our Class A common stock is based on 377,249,186 shares of our Class A common stock outstanding on April 29, 2022. 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Sema4 Holdings Corp., 333 Ludlow Street, North Tower, 8th Floor, Stamford, Connecticut 06902.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Owners</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Class A Common Stock</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 Class A</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Blackstone Group Inc.</w:t>
            </w:r>
            <w:r>
              <w:rPr>
                <w:rFonts w:ascii="Arial" w:cs="Arial" w:eastAsia="Arial" w:hAnsi="Arial"/>
                <w:sz w:val="23"/>
                <w:szCs w:val="23"/>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28,366,502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3"/>
                <w:szCs w:val="23"/>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18,966,824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3"/>
                <w:szCs w:val="23"/>
                <w:color w:val="auto"/>
                <w:vertAlign w:val="superscript"/>
              </w:rPr>
              <w:t>(3)</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94,605,473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25.1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OPKO Health, Inc.</w:t>
            </w:r>
            <w:r>
              <w:rPr>
                <w:rFonts w:ascii="Arial" w:cs="Arial" w:eastAsia="Arial" w:hAnsi="Arial"/>
                <w:sz w:val="23"/>
                <w:szCs w:val="23"/>
                <w:color w:val="auto"/>
                <w:vertAlign w:val="superscript"/>
              </w:rPr>
              <w:t>(4)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21.2</w:t>
            </w:r>
          </w:p>
        </w:tc>
        <w:tc>
          <w:tcPr>
            <w:tcW w:w="0" w:type="dxa"/>
            <w:vAlign w:val="bottom"/>
          </w:tcPr>
          <w:p>
            <w:pPr>
              <w:spacing w:after="0"/>
              <w:rPr>
                <w:sz w:val="1"/>
                <w:szCs w:val="1"/>
                <w:color w:val="auto"/>
              </w:rPr>
            </w:pPr>
          </w:p>
        </w:tc>
      </w:tr>
      <w:tr>
        <w:trPr>
          <w:trHeight w:val="203"/>
        </w:trPr>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Katherine Stueland</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Eric Schadt</w:t>
            </w:r>
            <w:r>
              <w:rPr>
                <w:rFonts w:ascii="Arial" w:cs="Arial" w:eastAsia="Arial" w:hAnsi="Arial"/>
                <w:sz w:val="23"/>
                <w:szCs w:val="23"/>
                <w:color w:val="auto"/>
                <w:vertAlign w:val="superscript"/>
              </w:rPr>
              <w:t>(5)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7,845,070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Isaac Ro</w:t>
            </w:r>
            <w:r>
              <w:rPr>
                <w:rFonts w:ascii="Arial" w:cs="Arial" w:eastAsia="Arial" w:hAnsi="Arial"/>
                <w:sz w:val="23"/>
                <w:szCs w:val="23"/>
                <w:color w:val="auto"/>
                <w:vertAlign w:val="superscript"/>
              </w:rPr>
              <w:t>(6)</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497,859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James Coffin</w:t>
            </w:r>
            <w:r>
              <w:rPr>
                <w:rFonts w:ascii="Arial" w:cs="Arial" w:eastAsia="Arial" w:hAnsi="Arial"/>
                <w:sz w:val="23"/>
                <w:szCs w:val="23"/>
                <w:color w:val="auto"/>
                <w:vertAlign w:val="superscript"/>
              </w:rPr>
              <w:t>(7)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2,696,081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Dennis Charney</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Eli D. Casdin</w:t>
            </w:r>
            <w:r>
              <w:rPr>
                <w:rFonts w:ascii="Arial" w:cs="Arial" w:eastAsia="Arial" w:hAnsi="Arial"/>
                <w:sz w:val="23"/>
                <w:szCs w:val="23"/>
                <w:color w:val="auto"/>
                <w:vertAlign w:val="superscript"/>
              </w:rPr>
              <w:t>(8)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34,167,919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Emily Leproust</w:t>
            </w:r>
            <w:r>
              <w:rPr>
                <w:rFonts w:ascii="Arial" w:cs="Arial" w:eastAsia="Arial" w:hAnsi="Arial"/>
                <w:sz w:val="23"/>
                <w:szCs w:val="23"/>
                <w:color w:val="auto"/>
                <w:vertAlign w:val="superscript"/>
              </w:rPr>
              <w:t>(9)</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Keith Meister</w:t>
            </w:r>
            <w:r>
              <w:rPr>
                <w:rFonts w:ascii="Arial" w:cs="Arial" w:eastAsia="Arial" w:hAnsi="Arial"/>
                <w:sz w:val="23"/>
                <w:szCs w:val="23"/>
                <w:color w:val="auto"/>
                <w:vertAlign w:val="superscript"/>
              </w:rPr>
              <w:t>(10)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33,667,919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8.9</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Michael Pellini</w:t>
            </w:r>
            <w:r>
              <w:rPr>
                <w:rFonts w:ascii="Arial" w:cs="Arial" w:eastAsia="Arial" w:hAnsi="Arial"/>
                <w:sz w:val="23"/>
                <w:szCs w:val="23"/>
                <w:color w:val="auto"/>
                <w:vertAlign w:val="superscript"/>
              </w:rPr>
              <w:t>(11)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4,952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Jason Ryan</w:t>
            </w:r>
            <w:r>
              <w:rPr>
                <w:rFonts w:ascii="Arial" w:cs="Arial" w:eastAsia="Arial" w:hAnsi="Arial"/>
                <w:sz w:val="23"/>
                <w:szCs w:val="23"/>
                <w:color w:val="auto"/>
                <w:vertAlign w:val="superscript"/>
              </w:rPr>
              <w:t>(12)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Joshua Ruch</w:t>
            </w:r>
            <w:r>
              <w:rPr>
                <w:rFonts w:ascii="Arial" w:cs="Arial" w:eastAsia="Arial" w:hAnsi="Arial"/>
                <w:sz w:val="23"/>
                <w:szCs w:val="23"/>
                <w:color w:val="auto"/>
                <w:vertAlign w:val="superscript"/>
              </w:rPr>
              <w:t>(13)</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4,952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Rachel Sherman</w:t>
            </w:r>
            <w:r>
              <w:rPr>
                <w:rFonts w:ascii="Arial" w:cs="Arial" w:eastAsia="Arial" w:hAnsi="Arial"/>
                <w:sz w:val="23"/>
                <w:szCs w:val="23"/>
                <w:color w:val="auto"/>
                <w:vertAlign w:val="superscript"/>
              </w:rPr>
              <w:t>(14)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204,310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Richard Pfenniger, Jr.</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Directors and executive officers as a group (17 individuals)</w:t>
            </w:r>
            <w:r>
              <w:rPr>
                <w:rFonts w:ascii="Arial" w:cs="Arial" w:eastAsia="Arial" w:hAnsi="Arial"/>
                <w:sz w:val="23"/>
                <w:szCs w:val="23"/>
                <w:b w:val="1"/>
                <w:bCs w:val="1"/>
                <w:color w:val="auto"/>
                <w:vertAlign w:val="superscript"/>
              </w:rPr>
              <w:t>(15)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65,454,501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16.8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 w:lineRule="exact"/>
        <w:rPr>
          <w:sz w:val="20"/>
          <w:szCs w:val="20"/>
          <w:color w:val="auto"/>
        </w:rPr>
      </w:pPr>
    </w:p>
    <w:p>
      <w:pPr>
        <w:ind w:left="340" w:right="140" w:hanging="332"/>
        <w:spacing w:after="0" w:line="255"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the information set forth in a Schedule 13D/A filed with the SEC on January 20, 2022 by Blackstone Holding III L.P. Consists of (i) 24,404,324 shares of Class A common stock held by BTO Sema4 Holdings L.P., (ii) 505,095 shares of Class A common stock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9" w:lineRule="exact"/>
        <w:rPr>
          <w:sz w:val="20"/>
          <w:szCs w:val="20"/>
          <w:color w:val="auto"/>
        </w:rPr>
      </w:pPr>
    </w:p>
    <w:p>
      <w:pPr>
        <w:ind w:left="332"/>
        <w:spacing w:after="0"/>
        <w:rPr>
          <w:sz w:val="20"/>
          <w:szCs w:val="20"/>
          <w:color w:val="auto"/>
        </w:rPr>
      </w:pPr>
      <w:r>
        <w:rPr>
          <w:rFonts w:ascii="Arial" w:cs="Arial" w:eastAsia="Arial" w:hAnsi="Arial"/>
          <w:sz w:val="13"/>
          <w:szCs w:val="13"/>
          <w:color w:val="auto"/>
        </w:rPr>
        <w:t>Blackstone Tactical Opportunities Fund - FD L.P., (iii) 147,574 shares of Class A common stock held by Blackstone Family Tactical Opportunities Investment Partnership III ESC L.P., and</w:t>
      </w:r>
    </w:p>
    <w:p>
      <w:pPr>
        <w:spacing w:after="0" w:line="25" w:lineRule="exact"/>
        <w:rPr>
          <w:sz w:val="20"/>
          <w:szCs w:val="20"/>
          <w:color w:val="auto"/>
        </w:rPr>
      </w:pPr>
    </w:p>
    <w:p>
      <w:pPr>
        <w:jc w:val="both"/>
        <w:ind w:left="332" w:right="160" w:hanging="8"/>
        <w:spacing w:after="0" w:line="260" w:lineRule="auto"/>
        <w:tabs>
          <w:tab w:leader="none" w:pos="576" w:val="left"/>
        </w:tabs>
        <w:numPr>
          <w:ilvl w:val="1"/>
          <w:numId w:val="77"/>
        </w:numPr>
        <w:rPr>
          <w:rFonts w:ascii="Arial" w:cs="Arial" w:eastAsia="Arial" w:hAnsi="Arial"/>
          <w:sz w:val="13"/>
          <w:szCs w:val="13"/>
          <w:color w:val="auto"/>
        </w:rPr>
      </w:pPr>
      <w:r>
        <w:rPr>
          <w:rFonts w:ascii="Arial" w:cs="Arial" w:eastAsia="Arial" w:hAnsi="Arial"/>
          <w:sz w:val="13"/>
          <w:szCs w:val="13"/>
          <w:color w:val="auto"/>
        </w:rPr>
        <w:t>(a) 100,000 shares of Class A common stock and (b) warrants to purchase 709,509 shares of Class A common stock which are exercisable within 60 days of April 29, 2022 held by Blackstone Aqua Master Sub-Fund, a sub-fund of Blackstone Global Master Fund ICAV. Also consists of 2,500,000 shares purchased pursuant to the PIPE Investment, consisting of (i) 2,434,863 shares of Class A common stock held by BTO Sema4 Holdings L.P., (ii) 50,402 shares of Class A common stock held by Blackstone Tactical Opportunities Fund - DF L.P., and</w:t>
      </w:r>
    </w:p>
    <w:p>
      <w:pPr>
        <w:ind w:left="332" w:right="40" w:hanging="8"/>
        <w:spacing w:after="0" w:line="260" w:lineRule="auto"/>
        <w:tabs>
          <w:tab w:leader="none" w:pos="584" w:val="left"/>
        </w:tabs>
        <w:numPr>
          <w:ilvl w:val="1"/>
          <w:numId w:val="78"/>
        </w:numPr>
        <w:rPr>
          <w:rFonts w:ascii="Arial" w:cs="Arial" w:eastAsia="Arial" w:hAnsi="Arial"/>
          <w:sz w:val="13"/>
          <w:szCs w:val="13"/>
          <w:color w:val="auto"/>
        </w:rPr>
      </w:pPr>
      <w:r>
        <w:rPr>
          <w:rFonts w:ascii="Arial" w:cs="Arial" w:eastAsia="Arial" w:hAnsi="Arial"/>
          <w:sz w:val="13"/>
          <w:szCs w:val="13"/>
          <w:color w:val="auto"/>
        </w:rPr>
        <w:t>14,735 shares of Class A common stock held by Blackstone Family Tactical Opportunities Investment Partnership III ESC L.P.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ind w:left="332" w:right="2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the information set forth in a Schedule 13G/A filed with the SEC on February 11, 2022 by James E. Flynn. Consists of (i) 7,042,580 shares of Class A common stock held by Deerfield Partners, L.P. and (ii) 6,924,244 shares of Class A common stock held by DPDF. Also consists of 5,000,000 shares of Class A common stock purchased pursuant to the PIPE Investment, consisting of (i) 3,125,000 shares of Class A common stock held by Deerfield Private Design Fund V., L.P. and (ii) 1,875,000 shares of Class A common stock held by Deerfield Partners, L.P. 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3" w:lineRule="exact"/>
        <w:rPr>
          <w:rFonts w:ascii="Arial" w:cs="Arial" w:eastAsia="Arial" w:hAnsi="Arial"/>
          <w:sz w:val="14"/>
          <w:szCs w:val="14"/>
          <w:color w:val="auto"/>
        </w:rPr>
      </w:pPr>
    </w:p>
    <w:p>
      <w:pPr>
        <w:ind w:left="332" w:hanging="332"/>
        <w:spacing w:after="0" w:line="260" w:lineRule="auto"/>
        <w:tabs>
          <w:tab w:leader="none" w:pos="324"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the information set forth in a Schedule 13D/A filed with the SEC on January 21, 2022 by Icahn School of Medicine at Mount Sinai (“ISMMS”). Consists of 88,355,473 shares of Class A common stock held by ISMMS. Also consists of 6,250,000 shares of Class A common stock purchased pursuant to the PIPE Investment and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ind w:left="312" w:hanging="312"/>
        <w:spacing w:after="0"/>
        <w:tabs>
          <w:tab w:leader="none" w:pos="312"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80,000,000 shares of Class A common stock issued to OPKO in connection with the Acquisition.</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168,351 shares of Class A common stock and (ii) 7,676,719 shares of Class A common stock subject to options that are exercisable within 60 days of April 29, 2022.</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254,514 shares of Class A common stock and (ii) 243,345 shares of Class A common stock subject to options that are exercisable within 60 days of April 29, 2022.</w:t>
      </w:r>
    </w:p>
    <w:p>
      <w:pPr>
        <w:spacing w:after="0" w:line="12" w:lineRule="exact"/>
        <w:rPr>
          <w:rFonts w:ascii="Arial" w:cs="Arial" w:eastAsia="Arial" w:hAnsi="Arial"/>
          <w:sz w:val="13"/>
          <w:szCs w:val="13"/>
          <w:color w:val="auto"/>
        </w:rPr>
      </w:pPr>
    </w:p>
    <w:p>
      <w:pPr>
        <w:ind w:left="332" w:right="22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1,597,524 shares of Class A common stock and (ii) 1,098,557 shares of Class A common stock subject to options that are exercisable within 60 days of April 29, 2022. Dr. Coffin left the Company in February 2022.</w:t>
      </w:r>
    </w:p>
    <w:p>
      <w:pPr>
        <w:ind w:left="332"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the information set forth in a Schedule 13D/A filed with the SEC on January 19, 2022 by CMLS Holdings LLC. Includes (i) 5,000,000 shares of Class A common stock held indirectly by Casdin Partners Master Fund L.P., and (ii) (x) 10,993,750 shares of Class A common stock and (y) 6,736,669 shares of Class A common stock underlying private placement warrants that are exercisable within 60 days of April 29, 2022 held indirectly by CMLS Holdings LLC (the “Former Sponsor”). Also consists of 11,437,500 shares of Class A common stock purchased pursuant to the PIPE Investment and held by Casdin Partners Master Fund L.P. The Board of Managers of the Former Sponsor is comprised of Mr. Eli Casdin and Mr. Keith Meister who share voting and investment discretion with respect to the Class A common stock held of record by CMLS Holdings LLC. Mr. Casdin is a member of the Board.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2" w:lineRule="exact"/>
        <w:rPr>
          <w:rFonts w:ascii="Arial" w:cs="Arial" w:eastAsia="Arial" w:hAnsi="Arial"/>
          <w:sz w:val="14"/>
          <w:szCs w:val="14"/>
          <w:color w:val="auto"/>
        </w:rPr>
      </w:pPr>
    </w:p>
    <w:p>
      <w:pPr>
        <w:ind w:left="332" w:right="10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and (ii) 166,666 shares of Class A common stock underlying private placement warrants that are exercisable within 60 days of April 29, 2022.</w:t>
      </w:r>
    </w:p>
    <w:p>
      <w:pPr>
        <w:ind w:left="332" w:right="140" w:hanging="332"/>
        <w:spacing w:after="0" w:line="246"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the information set forth in a Schedule 13D/A filed with the SEC on January 19, 2022 by CMLS Holdings LLC. Includes (i) 4,500,000 shares of Class A common stock held indirectly by Corvex Management, L.P. and (ii) (x) 10,993,750 shares of Class A common stock and (y) 6,736,669 shares of Class A common stock underlying private placement warrants that are exercisable within 60 days of April 29, 2022 held indirectly by the Former Sponsor. Also consists of 11,437,500 shares of Class A common stock purchased pursuant to the PIPE Investment, consisting of (i) 7,320,000 shares of Class A common stock held by Corvex Select Equity Master Fund, L.P.,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32"/>
          </w:cols>
          <w:pgMar w:left="328" w:top="1440" w:right="339" w:bottom="1440" w:gutter="0" w:footer="0" w:header="0"/>
        </w:sectPr>
      </w:pPr>
    </w:p>
    <w:bookmarkStart w:id="157" w:name="page158"/>
    <w:bookmarkEnd w:id="157"/>
    <w:p>
      <w:pPr>
        <w:spacing w:after="0" w:line="139" w:lineRule="exact"/>
        <w:rPr>
          <w:sz w:val="20"/>
          <w:szCs w:val="20"/>
          <w:color w:val="auto"/>
        </w:rPr>
      </w:pPr>
    </w:p>
    <w:p>
      <w:pPr>
        <w:ind w:left="332" w:right="20"/>
        <w:spacing w:after="0" w:line="263" w:lineRule="auto"/>
        <w:rPr>
          <w:sz w:val="20"/>
          <w:szCs w:val="20"/>
          <w:color w:val="auto"/>
        </w:rPr>
      </w:pPr>
      <w:r>
        <w:rPr>
          <w:rFonts w:ascii="Arial" w:cs="Arial" w:eastAsia="Arial" w:hAnsi="Arial"/>
          <w:sz w:val="13"/>
          <w:szCs w:val="13"/>
          <w:color w:val="auto"/>
        </w:rPr>
        <w:t>3,557,000 shares of Class A common stock held by Corvex Master Fund, L.P. and (iii) 560,500 shares of Class A common stock held by Corvex Dynamic Equity Select Master Fund, L.P.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3" w:lineRule="exact"/>
        <w:rPr>
          <w:sz w:val="20"/>
          <w:szCs w:val="20"/>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4,952 shares of Class A common stock subject to options that are exercisable within 60 days of April 29,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4,952 shares of Class A common stock subject to options that are exercisable within 60 days of April 29,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4,952 shares of Class A common stock subject to options that are exercisable within 60 days of April 29,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204,310 shares of Class A common stock subject to options that are exercisable within 60 days of April 29, 2022.</w:t>
      </w:r>
    </w:p>
    <w:p>
      <w:pPr>
        <w:spacing w:after="0" w:line="1" w:lineRule="exact"/>
        <w:rPr>
          <w:rFonts w:ascii="Arial" w:cs="Arial" w:eastAsia="Arial" w:hAnsi="Arial"/>
          <w:sz w:val="14"/>
          <w:szCs w:val="14"/>
          <w:color w:val="auto"/>
        </w:rPr>
      </w:pPr>
    </w:p>
    <w:p>
      <w:pPr>
        <w:jc w:val="both"/>
        <w:ind w:left="332" w:hanging="332"/>
        <w:spacing w:after="0" w:line="244"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29,707,240 shares of Class A common stock held directly and indirectly by all current directors and executive officers of the Company as a group, (ii) 74,883 shares of Class A common stock issuable pursuant to RSUs held directly by all current directors and executive officers of the Company as a group and that will be vested within 60 days of April 29, 2022, (iii) 12,630,612 shares of Class A common stock subject to options held directly by all current directors and executive officers of the Company as a group and that are exercisable within 60 days of April 29, 2022, and (iii) 6,903,335 shares of Class A common stock underlying private placement warrants held directly and indirectly by all current directors and executive officers of the Company as a group and that are exercisable within 60 days of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72"/>
          </w:cols>
          <w:pgMar w:left="328" w:top="1440" w:right="399" w:bottom="1440" w:gutter="0" w:footer="0" w:header="0"/>
        </w:sectPr>
      </w:pPr>
    </w:p>
    <w:bookmarkStart w:id="158" w:name="page159"/>
    <w:bookmarkEnd w:id="15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summary sets forth certain material terms and provisions of our securities that are registered under Section 12 of the Securities Exchange Act of 1934, as amended (the “Exchange Act”). This description also summarizes relevant provisions of the General Corporation Law of Delaware (the “DGCL”). The following description is a summary and does not purport to be a complete description of the rights and preferences of our securities. It is subject to, and qualified in its entirety by reference to, the applicable provisions of the DGCL and our third amended and restated certificate of incorporation, as amended (our “Certificate of Incorporation”), and our restated bylaws (our “Bylaws”), each of which is filed as an exhibit hereto. We encourage you to read our Amended and Certificate of Incorporation, our Bylaws, and the applicable provisions of the DGCL for additional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Certificate of Incorporation authorizes the issuance of 1,000,000,000 shares of Class A common stock, $0.0001 par value per share. The outstanding shares of our Class A common stock are duly authorized, validly issued, fully paid and non-assessable. As of April 29, 2022, there were 377,249,186 shares of our Class A common stock outstanding, no shares of preferred stock outstanding and 21,994,972 warrants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Certificate of Incorporation provides that each share of our Class A common stock has the same relative rights and is identical in all respects to each other share of our Class A common stock. The rights, preferences and privileges of holders of our Class A common stock are subject to the rights, preferences and privileges of the holders of shares of any series of preferred stock that we have issued or may issue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Except as otherwise required by law or as otherwise provided in any certificate of designation for any series of preferred stock, or under our Certificate of Incorporation, the holders of common stock possess all voting power for the election of our directors and all other matters requiring stockholder action and are entitled to one vote per share on matters to be voted on by stockholders. The holders of common stock shall at all times vote together as one class on all matters submitted to a vote of the holders of common stock under our Certificate of Incorporation.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Subject to the rights, if any of the holders of any outstanding shares of preferred stock, under our Certificate of Incorporation, holders of common stock are entitled to receive such dividends and other distributions, if any, as may be declared from time to time by our board of directors (the “Board”) in its discretion out of funds legally available therefor and shall share equally on a per share basis in such dividends and distributions.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the voluntary or involuntary liquidation, dissolution or winding-up of the Company our Certificate of Incorporation, the holders of common stock will be entitled to receive all the remaining assets of the Company available for distribution to stockholders, ratably in proportion to the number of shares of common stock held by them, after the rights of the holders of the preferred stock have been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our Certificate of Incorporation, our stockholders have no preemptive or other subscription rights and there are no sinking fund or redemption provisions applicable to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our Certificate of Incorporation, the term of the Class I Directors in place at such time will expire at our first annual meeting of the stockholders of the following the effectiveness of our Certificate of Incorporation; the term of the Class II Directors in place at such time will expire at our second annual meeting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following the effectiveness of our Certificate of Incorporation; and the term of the Class III Directors in place at such time will expire at our third annual meeting of the stockholders following the effectiveness of our Certificate of Incorporation.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Class A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whole public warrant entitles the registered holder to purchase one share of our Class A common stock at a price of $11.50 per whole share, subject to adjustment as discussed below, at any time commencing on the later of 12 months from the closing of CMLS’s initial public offering (“IPO”) or 30 days after the completion of the Business Combination. Pursuant to the warrant agreement, a warrant holder may exercise its public warrants only for a whole number of shares of Class A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CMLS’ initial business combination, at 5:00 p.m., New York City time, or earlier upon redemption or liquidation.</w:t>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not obligated to deliver any shares of Class A common stock pursuant to the exercise of a public warrant and will have no obligation to settle such public warrant exercise unless a registration statement under the Securities Act of 1933, as amended (the “Securities Act”) with respect to the shares of Class A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Class A common stock underlying such unit.</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$18.00 </w:t>
      </w:r>
      <w:r>
        <w:rPr>
          <w:rFonts w:ascii="Arial" w:cs="Arial" w:eastAsia="Arial" w:hAnsi="Arial"/>
          <w:sz w:val="18"/>
          <w:szCs w:val="18"/>
          <w:color w:val="auto"/>
        </w:rPr>
        <w:t>- 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public warrants:</w:t>
      </w:r>
    </w:p>
    <w:p>
      <w:pPr>
        <w:spacing w:after="0" w:line="116"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and when the warrants become redeemable by us, we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$10.00 </w:t>
      </w:r>
      <w:r>
        <w:rPr>
          <w:rFonts w:ascii="Arial" w:cs="Arial" w:eastAsia="Arial" w:hAnsi="Arial"/>
          <w:sz w:val="18"/>
          <w:szCs w:val="18"/>
          <w:color w:val="auto"/>
        </w:rPr>
        <w:t>- 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116"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three trading days before we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the exercise of our public warrants. If our management takes advantage of this option, all holders of public warrants would pay the exercise price by surrendering their public warrants for that number of shares of Class A common stock equal to the quotient obtained by dividing (i) the product of the number of shares of Class A common stock underlying the public warrants, multiplied by the difference between the exercise price of the public warrants and the “fair market value” (defined below) by (ii) the fair market value. The “fair market value” shall mean the average reported last sale price of the Class A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the Business Combination. If we call our public warrants for redemption and our management does not take advantage of this option, the Former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beneficially own in excess of 9.8% (or such other amount as a holder may specify) of the shares of Class A common stock outstanding immediately after giving effect to such exercise.</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shares of Class A common stock is increased by a stock dividend payable in shares of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common stock) multiplied by (ii) one minus the quotient of (a) the price per share of Class A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if we, at any time while the public warrants are outstanding and unexpired, pay a dividend or make a distribution in cash, securities or other assets to the holders of Class A common stock on account of such shares of Class A common stock (or other shares of our capital stock into which the public warrants are convertible), other than (i) as described above; (ii) certain ordinary cash dividends; (iii) to satisfy the redemption rights of the holders of Class A common stock in connection with a proposed initial business combination; (iv) to satisfy the redemption rights of the holders of Class A common stock in connection with a stockholder vote to amend our current certificate of incorporation to modify the substance or timing of our obligation to redeem 100% of our public shares if we do not complete a business combination within 24 months from the closing of CMLS’s IPO, or (v) in connection with the redemption of our public shares upon our failure to complete the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Class A common stock immediately theretofore purchasable and receivable upon the exercise of the rights represented thereby, the kind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CMLS’s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warrant holder. As a result, warrant holders not purchasing public warrants in multiples of three warrants will not obtain value from the fractional interest that will not be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CMLS’s IPO, except that (1) the private placement warrants and the Class A common stock issuable upon the exercise of the private placement warrants will not be transferable, assignable or saleable until 30 days after the completion of the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us and exercisable by such holders on the same basis as the public warrants.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paid any cash dividends on our Class A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at such time. In addition, our Board is not currently contemplating and does not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declaring any stock dividends in the foreseeable future. Further, if we incur any indebtedness, our ability to declare dividends may be limited by restrictive covenants we may agree to in connection therewith.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transfer agent for our Class A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Certificate of Incorporation and Bylaws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of the DGCL and our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Certificate of Incorporation provide for certain other provisions that may have an anti-takeover effect:</w:t>
      </w:r>
    </w:p>
    <w:p>
      <w:pPr>
        <w:spacing w:after="0" w:line="17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is no cumulative voting with respect to the election of directors.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Board is empowered to elect a director to fill a vacancy created by the expansion of the Board or the resignation, death, or removal of a director in certain circumstances.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Board is classified into three classes of directors. As a result, in most circumstances, a person can gain control of our Board by successfully engaging in a proxy contest at two or more annual meetings.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69" w:lineRule="exact"/>
        <w:rPr>
          <w:rFonts w:ascii="Arial" w:cs="Arial" w:eastAsia="Arial" w:hAnsi="Arial"/>
          <w:sz w:val="16"/>
          <w:szCs w:val="16"/>
          <w:color w:val="auto"/>
        </w:rPr>
      </w:pPr>
    </w:p>
    <w:p>
      <w:pPr>
        <w:jc w:val="both"/>
        <w:ind w:left="660" w:hanging="328"/>
        <w:spacing w:after="0" w:line="296"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Certificate of Incorporation includes a forum selection clause. Our Certificate of Incorporation provides that, subject to limited exceptions, the Court of Chancery of the State of Delaware and federal court within the State of Delaware will be exclusive forums for any</w:t>
      </w:r>
    </w:p>
    <w:p>
      <w:pPr>
        <w:spacing w:after="0" w:line="116"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action asserting a claim against us or any of our directors, officers, stockholders, employees or agents arising pursuant to any provision of the DGCL, our Certificate of Incorporation or Bylaws or as to which the DGCL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Certificate of Incorporation or the Bylaws;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r>
        <w:rPr>
          <w:rFonts w:ascii="Arial" w:cs="Arial" w:eastAsia="Arial" w:hAnsi="Arial"/>
          <w:sz w:val="17"/>
          <w:szCs w:val="17"/>
          <w:i w:val="1"/>
          <w:iCs w:val="1"/>
          <w:color w:val="auto"/>
        </w:rPr>
        <w:t>“Risk Factors—Risks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Being a Public Company—Our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and warrants are listed on Nasdaq under the symbols “SMFR” and “SMFRW,”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Selling Stockholders may offer and sell, from time to time, any or all of the shares of Class A common stock being offered for resale by this prospectus, which consists of:</w:t>
      </w:r>
    </w:p>
    <w:p>
      <w:pPr>
        <w:spacing w:after="0" w:line="116"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 to 80,000,000 Stock Consideration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 to 30,864,198 Milestone Shares;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 to 50,000,000 PIPE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term “Selling Stockholders” includes the stockholders listed in the tables below and their permitted transferees.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as of the date of this prospectus, information regarding the beneficial ownership of our Class A common stock of each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Selling Stockholder, the number of shares of Class A common stock that may be sold by each Selling Stockholder under this prospectus and that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Selling Stockholder will beneficially own after this offering.</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Merger Agreement, we may issue an aggregate of up to 30,864,198 Milestone Shares to OPKO as consideration for the $150 million in Milestone Payments.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Because each Selling Stockholder may dispose of all, none or some portion of their securities, no estimate can be given as to the number of securities that will be beneficially owned by a Selling Stockholder upon termination of this offering. For purposes of the table below, however, we have assumed that after termination of this offering none of the securities covered by this prospectus will be beneficially owned by the Selling Stockholder and further assumed that the Selling Stockholders will not acquire beneficial ownership of any additional securities during the offering. In addition, the Selling Stockholders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tables is presented.</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amend or supplement this prospectus from time to time in the future to update or change this Selling Stockholders list and the securities that may be resold.</w:t>
      </w:r>
    </w:p>
    <w:p>
      <w:pPr>
        <w:spacing w:after="0" w:line="116"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Please see the section titled “</w:t>
      </w:r>
      <w:hyperlink w:anchor="page168">
        <w:r>
          <w:rPr>
            <w:rFonts w:ascii="Arial" w:cs="Arial" w:eastAsia="Arial" w:hAnsi="Arial"/>
            <w:sz w:val="18"/>
            <w:szCs w:val="18"/>
            <w:i w:val="1"/>
            <w:iCs w:val="1"/>
            <w:u w:val="single" w:color="auto"/>
            <w:color w:val="0000FF"/>
          </w:rPr>
          <w:t>Plan of Distribution</w:t>
        </w:r>
      </w:hyperlink>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for further information regarding the Selling Stockholders’ method of distributing these shares of Class</w:t>
      </w:r>
      <w:r>
        <w:rPr>
          <w:rFonts w:ascii="Arial" w:cs="Arial" w:eastAsia="Arial" w:hAnsi="Arial"/>
          <w:sz w:val="18"/>
          <w:szCs w:val="18"/>
          <w:color w:val="auto"/>
        </w:rPr>
        <w:t xml:space="preserve"> A common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Shares of Class A Common Stock</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Number Beneficially</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Number Registered</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Number Beneficially</w:t>
            </w:r>
          </w:p>
        </w:tc>
        <w:tc>
          <w:tcPr>
            <w:tcW w:w="16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5"/>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Owned Prior to</w:t>
            </w:r>
          </w:p>
        </w:tc>
        <w:tc>
          <w:tcPr>
            <w:tcW w:w="152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3"/>
              </w:rPr>
              <w:t xml:space="preserve">Offering </w:t>
            </w:r>
            <w:r>
              <w:rPr>
                <w:rFonts w:ascii="Arial" w:cs="Arial" w:eastAsia="Arial" w:hAnsi="Arial"/>
                <w:sz w:val="18"/>
                <w:szCs w:val="18"/>
                <w:b w:val="1"/>
                <w:bCs w:val="1"/>
                <w:color w:val="auto"/>
                <w:w w:val="93"/>
                <w:vertAlign w:val="superscript"/>
              </w:rPr>
              <w:t>(1)</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for Sale Hereby</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Owned After Offering</w:t>
            </w:r>
          </w:p>
        </w:tc>
        <w:tc>
          <w:tcPr>
            <w:tcW w:w="1640" w:type="dxa"/>
            <w:vAlign w:val="bottom"/>
          </w:tcPr>
          <w:p>
            <w:pPr>
              <w:jc w:val="right"/>
              <w:ind w:right="394"/>
              <w:spacing w:after="0" w:line="189"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OPKO Health, Inc.</w:t>
            </w:r>
            <w:r>
              <w:rPr>
                <w:rFonts w:ascii="Arial" w:cs="Arial" w:eastAsia="Arial" w:hAnsi="Arial"/>
                <w:sz w:val="23"/>
                <w:szCs w:val="23"/>
                <w:color w:val="auto"/>
                <w:vertAlign w:val="superscript"/>
              </w:rPr>
              <w:t>(3)</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110,864,198</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110,864,198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(4)</w:t>
            </w:r>
          </w:p>
        </w:tc>
        <w:tc>
          <w:tcPr>
            <w:tcW w:w="1440" w:type="dxa"/>
            <w:vAlign w:val="bottom"/>
          </w:tcPr>
          <w:p>
            <w:pPr>
              <w:jc w:val="right"/>
              <w:spacing w:after="0"/>
              <w:rPr>
                <w:sz w:val="20"/>
                <w:szCs w:val="20"/>
                <w:color w:val="auto"/>
              </w:rPr>
            </w:pPr>
            <w:r>
              <w:rPr>
                <w:rFonts w:ascii="Arial" w:cs="Arial" w:eastAsia="Arial" w:hAnsi="Arial"/>
                <w:sz w:val="18"/>
                <w:szCs w:val="18"/>
                <w:color w:val="auto"/>
              </w:rPr>
              <w:t>27,556,993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25,056,993</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16,437,500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advised by Corvex Management</w:t>
            </w:r>
            <w:r>
              <w:rPr>
                <w:rFonts w:ascii="Arial" w:cs="Arial" w:eastAsia="Arial" w:hAnsi="Arial"/>
                <w:sz w:val="23"/>
                <w:szCs w:val="23"/>
                <w:color w:val="auto"/>
                <w:vertAlign w:val="superscript"/>
              </w:rPr>
              <w:t>(6)</w:t>
            </w:r>
          </w:p>
        </w:tc>
        <w:tc>
          <w:tcPr>
            <w:tcW w:w="1440" w:type="dxa"/>
            <w:vAlign w:val="bottom"/>
          </w:tcPr>
          <w:p>
            <w:pPr>
              <w:jc w:val="right"/>
              <w:spacing w:after="0"/>
              <w:rPr>
                <w:sz w:val="20"/>
                <w:szCs w:val="20"/>
                <w:color w:val="auto"/>
              </w:rPr>
            </w:pPr>
            <w:r>
              <w:rPr>
                <w:rFonts w:ascii="Arial" w:cs="Arial" w:eastAsia="Arial" w:hAnsi="Arial"/>
                <w:sz w:val="18"/>
                <w:szCs w:val="18"/>
                <w:color w:val="auto"/>
              </w:rPr>
              <w:t>15,437,500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3"/>
                <w:szCs w:val="23"/>
                <w:color w:val="auto"/>
                <w:vertAlign w:val="superscript"/>
              </w:rPr>
              <w:t>(7)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18,848,488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13,848,488</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3"/>
                <w:szCs w:val="23"/>
                <w:color w:val="auto"/>
                <w:vertAlign w:val="superscript"/>
              </w:rPr>
              <w:t>(8)</w:t>
            </w:r>
          </w:p>
        </w:tc>
        <w:tc>
          <w:tcPr>
            <w:tcW w:w="1440" w:type="dxa"/>
            <w:vAlign w:val="bottom"/>
          </w:tcPr>
          <w:p>
            <w:pPr>
              <w:jc w:val="right"/>
              <w:spacing w:after="0"/>
              <w:rPr>
                <w:sz w:val="20"/>
                <w:szCs w:val="20"/>
                <w:color w:val="auto"/>
              </w:rPr>
            </w:pPr>
            <w:r>
              <w:rPr>
                <w:rFonts w:ascii="Arial" w:cs="Arial" w:eastAsia="Arial" w:hAnsi="Arial"/>
                <w:sz w:val="18"/>
                <w:szCs w:val="18"/>
                <w:color w:val="auto"/>
              </w:rPr>
              <w:t>94,605,472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88,355,472</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3"/>
                <w:szCs w:val="23"/>
                <w:color w:val="auto"/>
                <w:vertAlign w:val="superscript"/>
              </w:rPr>
              <w:t>(9)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Pfizer Inc.</w:t>
            </w:r>
            <w:r>
              <w:rPr>
                <w:rFonts w:ascii="Arial" w:cs="Arial" w:eastAsia="Arial" w:hAnsi="Arial"/>
                <w:sz w:val="23"/>
                <w:szCs w:val="23"/>
                <w:color w:val="auto"/>
                <w:vertAlign w:val="superscript"/>
              </w:rPr>
              <w:t>(10)</w:t>
            </w:r>
          </w:p>
        </w:tc>
        <w:tc>
          <w:tcPr>
            <w:tcW w:w="144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Shares of Class A Common Stock</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Number Beneficially</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Number Registered</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Number Beneficially</w:t>
            </w:r>
          </w:p>
        </w:tc>
        <w:tc>
          <w:tcPr>
            <w:tcW w:w="16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5"/>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Owned Prior to</w:t>
            </w:r>
          </w:p>
        </w:tc>
        <w:tc>
          <w:tcPr>
            <w:tcW w:w="152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3"/>
              </w:rPr>
              <w:t xml:space="preserve">Offering </w:t>
            </w:r>
            <w:r>
              <w:rPr>
                <w:rFonts w:ascii="Arial" w:cs="Arial" w:eastAsia="Arial" w:hAnsi="Arial"/>
                <w:sz w:val="18"/>
                <w:szCs w:val="18"/>
                <w:b w:val="1"/>
                <w:bCs w:val="1"/>
                <w:color w:val="auto"/>
                <w:w w:val="93"/>
                <w:vertAlign w:val="superscript"/>
              </w:rPr>
              <w:t>(1)</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for Sale Hereby</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Owned After Offering</w:t>
            </w:r>
          </w:p>
        </w:tc>
        <w:tc>
          <w:tcPr>
            <w:tcW w:w="1640" w:type="dxa"/>
            <w:vAlign w:val="bottom"/>
          </w:tcPr>
          <w:p>
            <w:pPr>
              <w:jc w:val="right"/>
              <w:ind w:right="396"/>
              <w:spacing w:after="0" w:line="189"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Vaal Investment Partners Q9 LP</w:t>
            </w:r>
            <w:r>
              <w:rPr>
                <w:rFonts w:ascii="Arial" w:cs="Arial" w:eastAsia="Arial" w:hAnsi="Arial"/>
                <w:sz w:val="23"/>
                <w:szCs w:val="23"/>
                <w:color w:val="auto"/>
                <w:vertAlign w:val="superscript"/>
              </w:rPr>
              <w:t>(11)</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Section 32 Fund 2, L.P.</w:t>
            </w:r>
            <w:r>
              <w:rPr>
                <w:rFonts w:ascii="Arial" w:cs="Arial" w:eastAsia="Arial" w:hAnsi="Arial"/>
                <w:sz w:val="23"/>
                <w:szCs w:val="23"/>
                <w:color w:val="auto"/>
                <w:vertAlign w:val="superscript"/>
              </w:rPr>
              <w:t>(12)</w:t>
            </w:r>
          </w:p>
        </w:tc>
        <w:tc>
          <w:tcPr>
            <w:tcW w:w="1440" w:type="dxa"/>
            <w:vAlign w:val="bottom"/>
          </w:tcPr>
          <w:p>
            <w:pPr>
              <w:jc w:val="right"/>
              <w:spacing w:after="0"/>
              <w:rPr>
                <w:sz w:val="20"/>
                <w:szCs w:val="20"/>
                <w:color w:val="auto"/>
              </w:rPr>
            </w:pPr>
            <w:r>
              <w:rPr>
                <w:rFonts w:ascii="Arial" w:cs="Arial" w:eastAsia="Arial" w:hAnsi="Arial"/>
                <w:sz w:val="18"/>
                <w:szCs w:val="18"/>
                <w:color w:val="auto"/>
              </w:rPr>
              <w:t>8,699,227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7,449,227</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Third Point Loan LLC</w:t>
            </w:r>
            <w:r>
              <w:rPr>
                <w:rFonts w:ascii="Arial" w:cs="Arial" w:eastAsia="Arial" w:hAnsi="Arial"/>
                <w:sz w:val="23"/>
                <w:szCs w:val="23"/>
                <w:color w:val="auto"/>
                <w:vertAlign w:val="superscript"/>
              </w:rPr>
              <w:t>(13)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304,574,378</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160,864,198</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143,710,180</w:t>
            </w:r>
          </w:p>
        </w:tc>
        <w:tc>
          <w:tcPr>
            <w:tcW w:w="8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table includes Stock Consideration Shares, Milestone Shares (including both shares beneficially owned as determined in accordance with Rule 13d-3 of the Exchange Act and additional shares the holder has the contingent right receive) and PIPE Shares (collectively, the “Resale Securities”). We do not know when or in what amounts the Selling Stockholders will offer the Resale Securities for sale, if at all.</w:t>
      </w:r>
    </w:p>
    <w:p>
      <w:pPr>
        <w:spacing w:after="0" w:line="1" w:lineRule="exact"/>
        <w:rPr>
          <w:rFonts w:ascii="Arial" w:cs="Arial" w:eastAsia="Arial" w:hAnsi="Arial"/>
          <w:sz w:val="14"/>
          <w:szCs w:val="14"/>
          <w:color w:val="auto"/>
        </w:rPr>
      </w:pPr>
    </w:p>
    <w:p>
      <w:pPr>
        <w:ind w:left="340" w:right="36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percentage of shares to be beneficially owned after completion of the offering is calculated on the basis of 377,249,186 shares of Class A common stock outstanding, assuming the issuance of 30,864,198 Milestone Shares, and the sale of all Resale Securities by the Selling Stockholders.</w:t>
      </w: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(i) 80,000,000 Stock Consideration Shares and (ii) 30,864,198 Milestone Shares held by OPKO.</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(i) 2,434,863 PIPE Shares held by BTO Sema4 Holdings L.P., (ii) 50,402 PIPE Shares held by Blackstone Tactical Opportunities Fund - FD L.P., and (iii) 14,735 PIPE Shares held by Blackstone Family Tactical Opportunities Investment Partnership III ESC L.P.</w:t>
      </w:r>
    </w:p>
    <w:p>
      <w:pPr>
        <w:ind w:left="340" w:right="40" w:hanging="332"/>
        <w:spacing w:after="0" w:line="281" w:lineRule="auto"/>
        <w:tabs>
          <w:tab w:leader="none" w:pos="332" w:val="left"/>
        </w:tabs>
        <w:numPr>
          <w:ilvl w:val="0"/>
          <w:numId w:val="87"/>
        </w:numPr>
        <w:rPr>
          <w:rFonts w:ascii="Arial" w:cs="Arial" w:eastAsia="Arial" w:hAnsi="Arial"/>
          <w:sz w:val="12"/>
          <w:szCs w:val="12"/>
          <w:color w:val="auto"/>
        </w:rPr>
      </w:pPr>
      <w:r>
        <w:rPr>
          <w:rFonts w:ascii="Arial" w:cs="Arial" w:eastAsia="Arial" w:hAnsi="Arial"/>
          <w:sz w:val="12"/>
          <w:szCs w:val="12"/>
          <w:color w:val="auto"/>
        </w:rPr>
        <w:t>Shares hereby offered consist of 11,437,500 PIPE Shares held by Casdin Partners Master Fund, L.P.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Common Stock held directly by Casdin Partners Master Fund, LP. Mr. Casdin is member of Sema4 Holdings’ board of directors. The business address of Casdin Partners Master Fund L.P. and Mr. Casdin is c/o Casdin Capital, LLC, 1350 Avenue of the Americas, Suite 2600, New York, NY 10019.</w:t>
      </w:r>
    </w:p>
    <w:p>
      <w:pPr>
        <w:spacing w:after="0" w:line="1" w:lineRule="exact"/>
        <w:rPr>
          <w:rFonts w:ascii="Arial" w:cs="Arial" w:eastAsia="Arial" w:hAnsi="Arial"/>
          <w:sz w:val="12"/>
          <w:szCs w:val="12"/>
          <w:color w:val="auto"/>
        </w:rPr>
      </w:pPr>
    </w:p>
    <w:p>
      <w:pPr>
        <w:ind w:left="340" w:right="6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f (i) 7,320,000 PIPE Shares held by Corvex Select Equity Master Fund, L.P., (ii) 3,557,000 PIPE Shares held by Corvex Master Fund, L.P. and (iii) 560,500 PIPE Shares held by Corvex Dynamic Equity Select Master Fund, L.P. Since January 2022, Keith Meister, Managing Partner and Chief Investment Officer of Corvex Management LP, has served as a director on the Board and as Chairman of the Audit Committee.</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(i) 3,125,000 PIPE Shares held by Deerfield Private Design Fund V., L.P. and (ii) 1,875,000 PIPE Shares held by Deerfield Partners, L.P. Deerfield Mgmt,III, L.P. is the general partner of Deerfield Private Design Fund V, L.P. Deerfield Mgmt, L.P. is the general partner of Deerfield Partners, L.P. Deerfield Management Company, L.P. is the investment manager of each of Deerfield Private Design Fund V, L.P. and Deerfield Partners, L.P. Mr. James E. Flynn is the sole member of the general partner of each of Deerfield Private Design Fund V, L.P., Deerfield Partners, L.P. and Deerfield Management Company, L.P. Deerfield Mgmt,III, L.P. may be deemed to beneficially own the securities held by Deerfield Private Design Fund V, L.P.. Deerfield Mgmt, L.P. may be deemed to beneficially own the securities held by Deerfield Partners, L.P. Each of Deerfield Management Company, L.P. and Mr. Flynn may be deemed to beneficially own the securities held by each of Deerfield Private Design Fund V, L.P. and Deerfield Partners, L.P. The address for the foregoing entities and individual is 345 Park Avenue South, 12th Floor, New York, NY 10010.</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6,250,000 PIPE Shares held by ISMMS.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2,500,000 PIPE Shares held by Perceptive Life Sciences Master Fund, Ltd.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6,250,000 PIPE Shares held by Pfizer Inc.</w:t>
      </w:r>
    </w:p>
    <w:p>
      <w:pPr>
        <w:spacing w:after="0" w:line="1" w:lineRule="exact"/>
        <w:rPr>
          <w:rFonts w:ascii="Arial" w:cs="Arial" w:eastAsia="Arial" w:hAnsi="Arial"/>
          <w:sz w:val="14"/>
          <w:szCs w:val="14"/>
          <w:color w:val="auto"/>
        </w:rPr>
      </w:pPr>
    </w:p>
    <w:p>
      <w:pPr>
        <w:ind w:left="340" w:right="200" w:hanging="332"/>
        <w:spacing w:after="0" w:line="241" w:lineRule="auto"/>
        <w:tabs>
          <w:tab w:leader="none" w:pos="331"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(i) 1,632,963 PIPE Shares held by Vaal Investment Partners Q9 LP, (ii) 329,665 PIPE Shares held by RUGU2 LLC and (iii) 162,372 PIPE Shares held by Kariba LLC. These entities are affiliated with Joshua Ruch, a member of our Board.</w:t>
      </w: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1,250,000 PIPE Shares held by Section 32 Fund 2, L.P. Section32 is an affiliate of Michael Pellini, a member of our Board.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1,250,000 PIPE Shares held by Third Point Loan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RESTRICTIONS ON RESALE OF OUR SECURITIES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Rule 144 under the Securities Act (“Rule 144”), a person who has beneficially owned shares of our Class A common stock or warrants that were acquired from us in an unregistered, private sale (“restricted securities”) for at least six months would be entitled to sell their securities provided that</w:t>
      </w:r>
    </w:p>
    <w:p>
      <w:pPr>
        <w:jc w:val="both"/>
        <w:ind w:firstLine="8"/>
        <w:spacing w:after="0" w:line="277" w:lineRule="auto"/>
        <w:tabs>
          <w:tab w:leader="none" w:pos="216"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such person is not deemed to have been an affiliate of ours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Persons who have beneficially owned restricted securities for at least six months but who are affiliates of ours at the time of, or at any time during the three months preceding, a sale, or who otherwise beneficially own shares of our Class A common stock or warrants (“control securities”), would be subject to additional restrictions, by which such person would be entitled to sell within any three-month period only a number of securities that does not exceed the greater of:</w:t>
      </w:r>
    </w:p>
    <w:p>
      <w:pPr>
        <w:spacing w:after="0" w:line="133"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 of the total number of shares or other units of the class then outstanding;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average weekly reported trading volume of such securities during the four calendar weeks preceding the filing of a notice on Form 144 with respect to the sale.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0"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our affiliates will be able to sell their shares of common stock and warrants, and any shares of common stock received upon exercise of the warrants, as applicable, pursuant to Rule 144 without registration one year after the filing of our “Super” Form 8-K with Form 10 type information, which was filed on July 28, 2021. Absent registration under the Securities Act, our affiliates will not be permitted to sell their control securities under Rule 144 earlier than one year after the filing of the “Super” Form 8-K.</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 longer a shell company, and as a result, once the conditions set forth in the exceptions listed above are satisfied, Rule 144 will become available for the resale of restricted securities and control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Stockholders, which as used herein includes donees, pledgees, transferees, distributees or other successors-in-interest selling shares of our Class A common stock or interests in our Class A common stock received after the date of this prospectus from the Selling Stockholders as a gift, pledge, partnership distribution or other transfer, may, from time to time, sell, transfer, distribute or otherwise dispose of certain of their shares of Class A common stock or interests in our Class A common stock on any stock exchange, market or trading facility on which shares of our Class A common stock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Selling Stockholders may use any one or more of the following methods when disposing of their shares of Class A common stock or interests therein:</w:t>
      </w:r>
    </w:p>
    <w:p>
      <w:pPr>
        <w:spacing w:after="0" w:line="194"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block trades (which may involve crosses) in which the broker-dealer will attempt to sell the shares of Class A common stock as agent, but may position and resell a portion of the block as principal to facilitate the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exchange distribution and/or secondary distribution in accordance with the rules of the applicable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to their employees, partners, members or stockholders;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short sales (including short sales “against the box”) effected after the date of the registration statement of which this prospectus is a part is declared effective by the SEC;</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the writing or settlement of standardized or over-the-counter options or other hedging transactions, whether through an options exchange or otherwise;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market transactions, including transactions on a national securities exchange or quotations service or over-the-counter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pledge to secure debts and other obligation;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directly to purchasers, including our affiliates and stockholders, in a rights offering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of Class A common stock at a stipulated price per share;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applicable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effect the distribution of our Class A common stock from time to time in one or more transactions either:</w:t>
      </w:r>
    </w:p>
    <w:p>
      <w:pPr>
        <w:spacing w:after="0" w:line="171"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prices relating to the prevailing market prices;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4"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Selling Stockholders may, from time to time, pledge or grant a security interest in some shares of our Class A common stock owned by them and, if a Selling Stockholder defaults in the performance of its secured obligations, the pledgees or secured parties may offer and sell such shares of Class A common stock from time to time, under this prospectus, or under an amendment or supplement to this prospectus under Rule 424(b)(3) or other applicable provision of the Securities Act amending the list of the Selling Stockholders to include the pledgee, transferee or other successors in interest as the Selling Stockholders under this prospectus. The Selling Stockholders also may transfer shares of our Class A common stock in other circumstances, in which case the transferees, pledgees or other successors in interest will be the selling beneficial owners for purposes of this prospectus.</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and the Selling Stockholders may agree to indemnify an underwriter, broker-dealer or agent against certain liabilities related to the sale of our Class A common stock, including liabilities under the Securities Act. The Selling Stockholders have advised us that they have not entered into any agreements, understandings or arrangements with any underwriters or broker-dealers regarding the sale of their Class A common stock. Upon our notification by a Selling Stockholder that any material arrangement has been entered into with an underwriter or broker-dealer for the sale of Class A common stock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110"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name of the Selling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shares of Class A common stock being offered;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names of the participating underwriters, broker-dealers or agents;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discounts, commissions or other compensation paid to underwriters or broker-dealers and any discounts, commissions or concessions allowed or reallowed or paid by any underwriters to dealers;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estimated net proceeds to us from the sale of the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delayed delivery arrangements;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material terms of the offering.</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upon being notified by a Selling Stockholder that a donee, pledgee, transferee or other successor-in-interest intends to sell Class A common stock, we will, to the extent required, promptly file a supplement to this prospectus to name specifically such person as a Selling Stockholder.</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Agents, broker-dealers and underwriters or their affiliates may engage in transactions with, or perform services for, the Selling Stockholders (or their affiliates) in the ordinary course of business. The Selling Stockholders may also use underwriters or other third parties with whom such Selling Stockholders have a material relationship. The Selling Stockholders (or their affiliates) will describe the nature of any such relationship in the applicable prospectus supplement.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can be no assurances that the Selling Stockholders will sell, nor are the Selling Stockholders required to sell, any or all of the Class A common stock offered under this prospectus.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sale of shares of our Class A common stock or interests therein, the Selling Stockholder may enter into hedging transactions with broker-dealers or other financial institutions, which may in turn engage in short sales of our Class A common stock in the course of hedging the positions they assume. The Selling Stockholders may also sell shares of our Class A common stock short and deliver these securities to close out their short positions, or loan or pledge shares of our Class A common stock to broker-dealers that in turn may sell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securities. The Selling Stockholders may also enter into option or other transactions with broker-dealers or other financial institutions or the creation of one or more derivative securities that require the delivery to such broker-dealer or other financial institution of shares of our Class A common stock offered by this prospectus, which shares such broker-dealer or other financial institution may resell pursuant to this prospectus (as supplemented or amended to reflect such transaction).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proceeds to the Selling Stockholders from the sale of shares of our Class A common stock offered by them will be the purchase price of such shares of our Class A common stock less discounts or commissions, if any. The Selling Stockholders reserve the right to accept and, together with their agents from time to time, to reject, in whole or in part, any proposed purchase of shares of our Class A common stock to be made directly or through agents. We will not receive any of the proceeds from any offering by the Selling Stockholders.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Selling Stockholders also may in the future resell a portion of our Class A common stock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Selling Stockholders and any underwriters, broker-dealers or agents that participate in the sale of shares of our Class A common stock or interests therein may be “underwriters” within the meaning of Section 2(11) of the Securities Act. Any discounts, commissions, concessions or profit they earn on any resale of shares of our Class A common stock may be underwriting discounts and commissions under the Securities Act. If any Selling Stockholder is an “underwriter” within the meaning of Section 2(11) of the Securities Act, then the Selling Stockholder will be subject to the prospectus delivery requirements of the Securities Act. Underwriters and their controlling persons, dealers and agents may be entitled, under agreements entered into with us and the Selling Stockholders, to indemnification against and contribution toward specific civil liabilities, including liabilities under the Securities Act.</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required, our Class A common stock to be sold, the respective purchase price and public offering price,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facilitate the offering of shares of our Class A common stock offered by the Selling Stockholders, certain persons participating in the offering may engage in transactions that stabilize, maintain or otherwise affect the price of our Class A common stock. This may include over-allotments or short sales, which involve the sale by persons participating in the offering of more shares of Class A common stock than were sold to them. In these circumstances, these persons would cover such over-allotments or short positions by making purchases in the open market or by exercising their over-allotment option, if any. In addition, these persons may stabilize or maintain the price of our Class A common stock by bidding for or purchasing shares of Class A common stock in the open market or by imposing penalty bids, whereby selling concessions allowed to dealers participating in the offering may be reclaimed if shares of Class A common stock sold by them are repurchased in connection with stabilization transactions. The effect of these transactions may be to stabilize or maintain the market price of our Class A common stock at a level above that which might otherwise prevail in the open market. These transactions may be discontinued at any time. These transactions may be effected on any exchange on which the securities are traded, in the over-the-counter market or otherwise.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Shareholder Agreements and the Subscription Agreements, we have agreed to indemnify the applicable Selling stockholders party thereto against certain liabilities that they may incur in connection with the sale of the securities registered hereunder, including liabilities under the Securities Act, and to contribute to payments that the Selling Stockholders may be required to make with respect thereto. In addition, we and the Selling Stockholders may agree to indemnify any underwriter, broker-dealer or agent against certain liabilities related to the selling of the securities, including liabilities arising under the Securities Act.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Shareholder Agreements, we have agreed to use our commercially reasonable efforts to cause the registration statement of which this prospectus forms a part to remain effective with respect to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registered hereunder pursuant to such agreement until: (i) such securities have been sold, transferred, disposed of or exchanged in accordance with such registration statement; (ii) with respect to a Selling Stockholder party to such agreement, all such securities held by such Selling Stockholder could be sold pursuant to Rule 144 without restriction on volume or manner of sale and without the requirement for us to be in compliance with the public information required under Rule 144; (iii) such securities have been otherwise transferred, new certificates for such securities not bearing a legend restricting further transfer shall have been delivered by us and subsequent public distribution of such securities shall not require registration under the Securities Act or (iv) such securities have been sold to, or through, a broker, dealer or underwriter in a public distribution or other public securities transaction. Under each Subscription Agreement, we have agreed to use commercially reasonable efforts to maintain the continuous effectiveness of the registration statement of which this prospectus forms a part with respect to any securities registered hereunder pursuant to such agreement until: (A) (i) with respect to a Selling Stockholder party to such agreement, such Selling Stockholder ceases to hold any such securities; (ii) the date all such securities held by such Selling Stockholder may be sold without restriction under Rule 144, including without limitation, any volume and manner of sale restrictions which may be applicable to affiliates under Rule 144, and without the requirement for us to be in compliance with the current public information required under Rule 144;</w:t>
      </w:r>
    </w:p>
    <w:p>
      <w:pPr>
        <w:spacing w:after="0" w:line="4" w:lineRule="exact"/>
        <w:rPr>
          <w:sz w:val="20"/>
          <w:szCs w:val="20"/>
          <w:color w:val="auto"/>
        </w:rPr>
      </w:pPr>
    </w:p>
    <w:p>
      <w:pPr>
        <w:jc w:val="both"/>
        <w:ind w:firstLine="8"/>
        <w:spacing w:after="0" w:line="271" w:lineRule="auto"/>
        <w:tabs>
          <w:tab w:leader="none" w:pos="321" w:val="left"/>
        </w:tabs>
        <w:numPr>
          <w:ilvl w:val="0"/>
          <w:numId w:val="95"/>
        </w:numPr>
        <w:rPr>
          <w:rFonts w:ascii="Arial" w:cs="Arial" w:eastAsia="Arial" w:hAnsi="Arial"/>
          <w:sz w:val="17"/>
          <w:szCs w:val="17"/>
          <w:color w:val="auto"/>
        </w:rPr>
      </w:pPr>
      <w:r>
        <w:rPr>
          <w:rFonts w:ascii="Arial" w:cs="Arial" w:eastAsia="Arial" w:hAnsi="Arial"/>
          <w:sz w:val="17"/>
          <w:szCs w:val="17"/>
          <w:color w:val="auto"/>
        </w:rPr>
        <w:t>when such securities shall have ceased to be outstanding or three years from the date of effectiveness of such registration statement; or (iv) four years from the date of effectiveness of the registration statement of which this prospectus forms a part; or (B) such shorter period upon which such Selling Stockholder has notified us that such securities have actually been sold. We have agreed to pay all expenses in connection with this offering, other than underwriting fees, discounts, selling commissions, stock transfer taxes and certain legal expenses. The Selling Stockholders will pay, on a pro rata basis, any underwriting fees, discounts, selling commissions, stock transfer taxes and certain legal expenses relating to the offering.</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Selling Stockholders may use this prospectus in connection with resales of shares of our Class A common stock. This prospectus and any accompanying prospectus supplement will identify the Selling Stockholders, the terms of our Class A common stock and any material relationships between us and the Selling Stockholders. Selling Stockholders may be deemed to be underwriters under the Securities Act in connection with shares of our Class A common stock they resell and any profits on the sales may be deemed to be underwriting discounts and commissions under the Securities Act. Unless otherwise set forth in a prospectus supplement, the Selling Stockholders will receive all the net proceeds from the resale of shares of our Class A common stock.</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Selling Stockholders that is an entity may elect to make an in-kind distribution of Class A common stock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Class A common stock pursuant to the distribution effected through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validity of the securities offered hereby has been passed upon for us by Fenwick &amp; West LLP. Any underwriters or agents will be advised about other issues relating to the offering by counsel to be named in the applicable prospectus supplement.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of Sema4 Holdings Corp. at December 31, 2021 and 2020, and for each of the three years in the period ended December 31, 2021,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combined carve-out financial statements of GeneDx, Inc and subsidiary at December 31, 2021 and 2020, and for each of the two years in the period ended December 31, 2021, appearing in this Prospectus and Registration Statement have been audited by Ernst &amp; Young LLP, independent auditors, as set forth in their report thereon appearing elsewhere herein, and are included in reliance upon such report given on the authority of such firm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hereby. This prospectus, which constitutes part of the registration statement, does not contain all of the information set forth in the registration statement and the exhibits and schedules thereto. For further information with respect to our company and our Class A common stock,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www.sema4.com, at which you may access these materials free of charge as soon as reasonably practicable after they are electronically filed with, or furnished to, the SEC. Information contained on or accessible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8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8"/>
              </w:rPr>
              <w:t>SEMA4 HOLDINGS CORP.</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2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rPr>
              <w:t>INDEX TO FINANCIAL STATEMENTS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80" w:type="dxa"/>
            <w:vAlign w:val="bottom"/>
            <w:gridSpan w:val="4"/>
            <w:vMerge w:val="restart"/>
          </w:tcPr>
          <w:p>
            <w:pPr>
              <w:spacing w:after="0"/>
              <w:rPr>
                <w:rFonts w:ascii="Arial" w:cs="Arial" w:eastAsia="Arial" w:hAnsi="Arial"/>
                <w:sz w:val="18"/>
                <w:szCs w:val="18"/>
                <w:color w:val="0000FF"/>
              </w:rPr>
            </w:pPr>
            <w:hyperlink w:anchor="page174">
              <w:r>
                <w:rPr>
                  <w:rFonts w:ascii="Arial" w:cs="Arial" w:eastAsia="Arial" w:hAnsi="Arial"/>
                  <w:sz w:val="18"/>
                  <w:szCs w:val="18"/>
                  <w:color w:val="0000FF"/>
                </w:rPr>
                <w:t>Report of Independent Registered Public Accounting Firm</w:t>
              </w:r>
            </w:hyperlink>
          </w:p>
        </w:tc>
        <w:tc>
          <w:tcPr>
            <w:tcW w:w="5820" w:type="dxa"/>
            <w:vAlign w:val="bottom"/>
            <w:gridSpan w:val="2"/>
            <w:vMerge w:val="restart"/>
          </w:tcPr>
          <w:p>
            <w:pPr>
              <w:spacing w:after="0"/>
              <w:rPr>
                <w:sz w:val="24"/>
                <w:szCs w:val="2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69"/>
        </w:trPr>
        <w:tc>
          <w:tcPr>
            <w:tcW w:w="4680" w:type="dxa"/>
            <w:vAlign w:val="bottom"/>
            <w:gridSpan w:val="4"/>
            <w:vMerge w:val="continue"/>
          </w:tcPr>
          <w:p>
            <w:pPr>
              <w:spacing w:after="0"/>
              <w:rPr>
                <w:sz w:val="14"/>
                <w:szCs w:val="14"/>
                <w:color w:val="auto"/>
              </w:rPr>
            </w:pPr>
          </w:p>
        </w:tc>
        <w:tc>
          <w:tcPr>
            <w:tcW w:w="5820" w:type="dxa"/>
            <w:vAlign w:val="bottom"/>
            <w:gridSpan w:val="2"/>
            <w:vMerge w:val="continue"/>
          </w:tcPr>
          <w:p>
            <w:pPr>
              <w:spacing w:after="0"/>
              <w:rPr>
                <w:sz w:val="14"/>
                <w:szCs w:val="14"/>
                <w:color w:val="auto"/>
              </w:rPr>
            </w:pPr>
          </w:p>
        </w:tc>
        <w:tc>
          <w:tcPr>
            <w:tcW w:w="720" w:type="dxa"/>
            <w:vAlign w:val="bottom"/>
            <w:gridSpan w:val="3"/>
          </w:tcPr>
          <w:p>
            <w:pPr>
              <w:jc w:val="center"/>
              <w:spacing w:after="0" w:line="156" w:lineRule="exact"/>
              <w:rPr>
                <w:rFonts w:ascii="Arial" w:cs="Arial" w:eastAsia="Arial" w:hAnsi="Arial"/>
                <w:sz w:val="18"/>
                <w:szCs w:val="18"/>
                <w:color w:val="0000FF"/>
                <w:w w:val="88"/>
              </w:rPr>
            </w:pPr>
            <w:hyperlink w:anchor="page174">
              <w:r>
                <w:rPr>
                  <w:rFonts w:ascii="Arial" w:cs="Arial" w:eastAsia="Arial" w:hAnsi="Arial"/>
                  <w:sz w:val="18"/>
                  <w:szCs w:val="18"/>
                  <w:color w:val="0000FF"/>
                  <w:w w:val="88"/>
                </w:rPr>
                <w:t>F-2</w:t>
              </w:r>
            </w:hyperlink>
          </w:p>
        </w:tc>
        <w:tc>
          <w:tcPr>
            <w:tcW w:w="0" w:type="dxa"/>
            <w:vAlign w:val="bottom"/>
          </w:tcPr>
          <w:p>
            <w:pPr>
              <w:spacing w:after="0"/>
              <w:rPr>
                <w:sz w:val="1"/>
                <w:szCs w:val="1"/>
                <w:color w:val="auto"/>
              </w:rPr>
            </w:pPr>
          </w:p>
        </w:tc>
      </w:tr>
      <w:tr>
        <w:trPr>
          <w:trHeight w:val="27"/>
        </w:trPr>
        <w:tc>
          <w:tcPr>
            <w:tcW w:w="2100" w:type="dxa"/>
            <w:vAlign w:val="bottom"/>
            <w:shd w:val="clear" w:color="auto" w:fill="0000FF"/>
          </w:tcPr>
          <w:p>
            <w:pPr>
              <w:spacing w:after="0"/>
              <w:rPr>
                <w:sz w:val="2"/>
                <w:szCs w:val="2"/>
                <w:color w:val="auto"/>
              </w:rPr>
            </w:pPr>
          </w:p>
        </w:tc>
        <w:tc>
          <w:tcPr>
            <w:tcW w:w="780" w:type="dxa"/>
            <w:vAlign w:val="bottom"/>
            <w:tcBorders>
              <w:left w:val="single" w:sz="8" w:color="0000FF"/>
            </w:tcBorders>
            <w:shd w:val="clear" w:color="auto" w:fill="0000FF"/>
          </w:tcPr>
          <w:p>
            <w:pPr>
              <w:spacing w:after="0"/>
              <w:rPr>
                <w:sz w:val="2"/>
                <w:szCs w:val="2"/>
                <w:color w:val="auto"/>
              </w:rPr>
            </w:pPr>
          </w:p>
        </w:tc>
        <w:tc>
          <w:tcPr>
            <w:tcW w:w="1800" w:type="dxa"/>
            <w:vAlign w:val="bottom"/>
            <w:gridSpan w:val="2"/>
            <w:shd w:val="clear" w:color="auto" w:fill="0000FF"/>
          </w:tcPr>
          <w:p>
            <w:pPr>
              <w:spacing w:after="0"/>
              <w:rPr>
                <w:sz w:val="2"/>
                <w:szCs w:val="2"/>
                <w:color w:val="auto"/>
              </w:rPr>
            </w:pPr>
          </w:p>
        </w:tc>
        <w:tc>
          <w:tcPr>
            <w:tcW w:w="2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tcPr>
          <w:p>
            <w:pPr>
              <w:spacing w:after="0"/>
              <w:rPr>
                <w:rFonts w:ascii="Arial" w:cs="Arial" w:eastAsia="Arial" w:hAnsi="Arial"/>
                <w:sz w:val="18"/>
                <w:szCs w:val="18"/>
                <w:color w:val="0000FF"/>
                <w:w w:val="87"/>
              </w:rPr>
            </w:pPr>
            <w:hyperlink w:anchor="page175">
              <w:r>
                <w:rPr>
                  <w:rFonts w:ascii="Arial" w:cs="Arial" w:eastAsia="Arial" w:hAnsi="Arial"/>
                  <w:sz w:val="18"/>
                  <w:szCs w:val="18"/>
                  <w:color w:val="0000FF"/>
                  <w:w w:val="87"/>
                </w:rPr>
                <w:t>Consolidated Balance Sheets</w:t>
              </w:r>
            </w:hyperlink>
          </w:p>
        </w:tc>
        <w:tc>
          <w:tcPr>
            <w:tcW w:w="2580" w:type="dxa"/>
            <w:vAlign w:val="bottom"/>
            <w:gridSpan w:val="3"/>
          </w:tcPr>
          <w:p>
            <w:pPr>
              <w:spacing w:after="0"/>
              <w:rPr>
                <w:sz w:val="18"/>
                <w:szCs w:val="18"/>
                <w:color w:val="auto"/>
              </w:rPr>
            </w:pPr>
          </w:p>
        </w:tc>
        <w:tc>
          <w:tcPr>
            <w:tcW w:w="5820" w:type="dxa"/>
            <w:vAlign w:val="bottom"/>
            <w:gridSpan w:val="2"/>
          </w:tcPr>
          <w:p>
            <w:pPr>
              <w:spacing w:after="0"/>
              <w:rPr>
                <w:sz w:val="18"/>
                <w:szCs w:val="18"/>
                <w:color w:val="auto"/>
              </w:rPr>
            </w:pPr>
          </w:p>
        </w:tc>
        <w:tc>
          <w:tcPr>
            <w:tcW w:w="720" w:type="dxa"/>
            <w:vAlign w:val="bottom"/>
            <w:gridSpan w:val="3"/>
          </w:tcPr>
          <w:p>
            <w:pPr>
              <w:jc w:val="center"/>
              <w:spacing w:after="0"/>
              <w:rPr>
                <w:rFonts w:ascii="Arial" w:cs="Arial" w:eastAsia="Arial" w:hAnsi="Arial"/>
                <w:sz w:val="18"/>
                <w:szCs w:val="18"/>
                <w:color w:val="0000FF"/>
                <w:w w:val="88"/>
              </w:rPr>
            </w:pPr>
            <w:hyperlink w:anchor="page175">
              <w:r>
                <w:rPr>
                  <w:rFonts w:ascii="Arial" w:cs="Arial" w:eastAsia="Arial" w:hAnsi="Arial"/>
                  <w:sz w:val="18"/>
                  <w:szCs w:val="18"/>
                  <w:color w:val="0000FF"/>
                  <w:w w:val="88"/>
                </w:rPr>
                <w:t>F-3</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6"/>
          </w:tcPr>
          <w:p>
            <w:pPr>
              <w:spacing w:after="0"/>
              <w:rPr>
                <w:rFonts w:ascii="Arial" w:cs="Arial" w:eastAsia="Arial" w:hAnsi="Arial"/>
                <w:sz w:val="18"/>
                <w:szCs w:val="18"/>
                <w:color w:val="0000FF"/>
              </w:rPr>
            </w:pPr>
            <w:hyperlink w:anchor="page177">
              <w:r>
                <w:rPr>
                  <w:rFonts w:ascii="Arial" w:cs="Arial" w:eastAsia="Arial" w:hAnsi="Arial"/>
                  <w:sz w:val="18"/>
                  <w:szCs w:val="18"/>
                  <w:color w:val="0000FF"/>
                </w:rPr>
                <w:t>Consolidated Statements of Operations and Comprehensive Loss</w:t>
              </w:r>
            </w:hyperlink>
          </w:p>
        </w:tc>
        <w:tc>
          <w:tcPr>
            <w:tcW w:w="720" w:type="dxa"/>
            <w:vAlign w:val="bottom"/>
            <w:gridSpan w:val="3"/>
          </w:tcPr>
          <w:p>
            <w:pPr>
              <w:jc w:val="center"/>
              <w:spacing w:after="0"/>
              <w:rPr>
                <w:rFonts w:ascii="Arial" w:cs="Arial" w:eastAsia="Arial" w:hAnsi="Arial"/>
                <w:sz w:val="18"/>
                <w:szCs w:val="18"/>
                <w:color w:val="0000FF"/>
                <w:w w:val="88"/>
              </w:rPr>
            </w:pPr>
            <w:hyperlink w:anchor="page177">
              <w:r>
                <w:rPr>
                  <w:rFonts w:ascii="Arial" w:cs="Arial" w:eastAsia="Arial" w:hAnsi="Arial"/>
                  <w:sz w:val="18"/>
                  <w:szCs w:val="18"/>
                  <w:color w:val="0000FF"/>
                  <w:w w:val="88"/>
                </w:rPr>
                <w:t>F-5</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6"/>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Consolidated Statement of Redeemable Convertible Preferred Stock and Stockholders’ Equity</w:t>
              </w:r>
            </w:hyperlink>
          </w:p>
        </w:tc>
        <w:tc>
          <w:tcPr>
            <w:tcW w:w="720" w:type="dxa"/>
            <w:vAlign w:val="bottom"/>
            <w:gridSpan w:val="3"/>
          </w:tcPr>
          <w:p>
            <w:pPr>
              <w:jc w:val="center"/>
              <w:spacing w:after="0"/>
              <w:rPr>
                <w:rFonts w:ascii="Arial" w:cs="Arial" w:eastAsia="Arial" w:hAnsi="Arial"/>
                <w:sz w:val="18"/>
                <w:szCs w:val="18"/>
                <w:color w:val="0000FF"/>
                <w:w w:val="88"/>
              </w:rPr>
            </w:pPr>
            <w:hyperlink w:anchor="page178">
              <w:r>
                <w:rPr>
                  <w:rFonts w:ascii="Arial" w:cs="Arial" w:eastAsia="Arial" w:hAnsi="Arial"/>
                  <w:sz w:val="18"/>
                  <w:szCs w:val="18"/>
                  <w:color w:val="0000FF"/>
                  <w:w w:val="88"/>
                </w:rPr>
                <w:t>F-6</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2"/>
          </w:tcPr>
          <w:p>
            <w:pPr>
              <w:spacing w:after="0"/>
              <w:rPr>
                <w:rFonts w:ascii="Arial" w:cs="Arial" w:eastAsia="Arial" w:hAnsi="Arial"/>
                <w:sz w:val="18"/>
                <w:szCs w:val="18"/>
                <w:color w:val="0000FF"/>
                <w:w w:val="89"/>
              </w:rPr>
            </w:pPr>
            <w:hyperlink w:anchor="page179">
              <w:r>
                <w:rPr>
                  <w:rFonts w:ascii="Arial" w:cs="Arial" w:eastAsia="Arial" w:hAnsi="Arial"/>
                  <w:sz w:val="18"/>
                  <w:szCs w:val="18"/>
                  <w:color w:val="0000FF"/>
                  <w:w w:val="89"/>
                </w:rPr>
                <w:t>Consolidated Statements of Cash Flows</w:t>
              </w:r>
            </w:hyperlink>
          </w:p>
        </w:tc>
        <w:tc>
          <w:tcPr>
            <w:tcW w:w="3900" w:type="dxa"/>
            <w:vAlign w:val="bottom"/>
            <w:gridSpan w:val="3"/>
          </w:tcPr>
          <w:p>
            <w:pPr>
              <w:spacing w:after="0"/>
              <w:rPr>
                <w:sz w:val="18"/>
                <w:szCs w:val="18"/>
                <w:color w:val="auto"/>
              </w:rPr>
            </w:pPr>
          </w:p>
        </w:tc>
        <w:tc>
          <w:tcPr>
            <w:tcW w:w="3720" w:type="dxa"/>
            <w:vAlign w:val="bottom"/>
          </w:tcPr>
          <w:p>
            <w:pPr>
              <w:spacing w:after="0"/>
              <w:rPr>
                <w:sz w:val="18"/>
                <w:szCs w:val="18"/>
                <w:color w:val="auto"/>
              </w:rPr>
            </w:pPr>
          </w:p>
        </w:tc>
        <w:tc>
          <w:tcPr>
            <w:tcW w:w="720" w:type="dxa"/>
            <w:vAlign w:val="bottom"/>
            <w:gridSpan w:val="3"/>
          </w:tcPr>
          <w:p>
            <w:pPr>
              <w:jc w:val="center"/>
              <w:spacing w:after="0"/>
              <w:rPr>
                <w:rFonts w:ascii="Arial" w:cs="Arial" w:eastAsia="Arial" w:hAnsi="Arial"/>
                <w:sz w:val="18"/>
                <w:szCs w:val="18"/>
                <w:color w:val="0000FF"/>
                <w:w w:val="88"/>
              </w:rPr>
            </w:pPr>
            <w:hyperlink w:anchor="page179">
              <w:r>
                <w:rPr>
                  <w:rFonts w:ascii="Arial" w:cs="Arial" w:eastAsia="Arial" w:hAnsi="Arial"/>
                  <w:sz w:val="18"/>
                  <w:szCs w:val="18"/>
                  <w:color w:val="0000FF"/>
                  <w:w w:val="88"/>
                </w:rPr>
                <w:t>F-7</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tcPr>
          <w:p>
            <w:pPr>
              <w:spacing w:after="0"/>
              <w:rPr>
                <w:rFonts w:ascii="Arial" w:cs="Arial" w:eastAsia="Arial" w:hAnsi="Arial"/>
                <w:sz w:val="18"/>
                <w:szCs w:val="18"/>
                <w:color w:val="0000FF"/>
                <w:w w:val="85"/>
              </w:rPr>
            </w:pPr>
            <w:hyperlink w:anchor="page181">
              <w:r>
                <w:rPr>
                  <w:rFonts w:ascii="Arial" w:cs="Arial" w:eastAsia="Arial" w:hAnsi="Arial"/>
                  <w:sz w:val="18"/>
                  <w:szCs w:val="18"/>
                  <w:color w:val="0000FF"/>
                  <w:w w:val="85"/>
                </w:rPr>
                <w:t>Notes to Financial Statements</w:t>
              </w:r>
            </w:hyperlink>
          </w:p>
        </w:tc>
        <w:tc>
          <w:tcPr>
            <w:tcW w:w="780" w:type="dxa"/>
            <w:vAlign w:val="bottom"/>
          </w:tcPr>
          <w:p>
            <w:pPr>
              <w:spacing w:after="0"/>
              <w:rPr>
                <w:sz w:val="18"/>
                <w:szCs w:val="18"/>
                <w:color w:val="auto"/>
              </w:rPr>
            </w:pPr>
          </w:p>
        </w:tc>
        <w:tc>
          <w:tcPr>
            <w:tcW w:w="7620" w:type="dxa"/>
            <w:vAlign w:val="bottom"/>
            <w:gridSpan w:val="4"/>
          </w:tcPr>
          <w:p>
            <w:pPr>
              <w:spacing w:after="0"/>
              <w:rPr>
                <w:sz w:val="18"/>
                <w:szCs w:val="18"/>
                <w:color w:val="auto"/>
              </w:rPr>
            </w:pPr>
          </w:p>
        </w:tc>
        <w:tc>
          <w:tcPr>
            <w:tcW w:w="720" w:type="dxa"/>
            <w:vAlign w:val="bottom"/>
            <w:gridSpan w:val="3"/>
          </w:tcPr>
          <w:p>
            <w:pPr>
              <w:jc w:val="center"/>
              <w:spacing w:after="0"/>
              <w:rPr>
                <w:rFonts w:ascii="Arial" w:cs="Arial" w:eastAsia="Arial" w:hAnsi="Arial"/>
                <w:sz w:val="18"/>
                <w:szCs w:val="18"/>
                <w:color w:val="0000FF"/>
                <w:w w:val="88"/>
              </w:rPr>
            </w:pPr>
            <w:hyperlink w:anchor="page181">
              <w:r>
                <w:rPr>
                  <w:rFonts w:ascii="Arial" w:cs="Arial" w:eastAsia="Arial" w:hAnsi="Arial"/>
                  <w:sz w:val="18"/>
                  <w:szCs w:val="18"/>
                  <w:color w:val="0000FF"/>
                  <w:w w:val="88"/>
                </w:rPr>
                <w:t>F-9</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174" w:name="page175"/>
    <w:bookmarkEnd w:id="174"/>
    <w:p>
      <w:pPr>
        <w:spacing w:after="0" w:line="140"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Sema4 Holdings Corp.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Sema4 Holdings Corp.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2020 and 2019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2020 and 2019 financial statements have been restated to correct a misstatement.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60"/>
        <w:spacing w:after="0"/>
        <w:tabs>
          <w:tab w:leader="none" w:pos="2260" w:val="left"/>
          <w:tab w:leader="none" w:pos="2940" w:val="left"/>
          <w:tab w:leader="none" w:pos="4240" w:val="left"/>
          <w:tab w:leader="none" w:pos="5940" w:val="left"/>
          <w:tab w:leader="none" w:pos="74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No. 42</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Ernst &amp; Young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New York, New York,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Inventory,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174,108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44,693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26,737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Due to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capital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73,442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liabilities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131,989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Earn-out contingent liability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99"/>
              </w:rPr>
              <w:t>Series A-1 redeemable convertible preferred stock, $0.00001 par value: 0 and 55,399,943 shares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8"/>
              </w:rPr>
              <w:t>authorized, issued and outstanding at December 31, 2021 and December 31, 2020, respectively;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5"/>
              </w:rPr>
              <w:t>aggregate liquidation preference of $0 and $55,000 at December 31, 2021 and December 31, 2020,</w:t>
            </w: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51,811</w:t>
            </w:r>
          </w:p>
        </w:tc>
        <w:tc>
          <w:tcPr>
            <w:tcW w:w="0" w:type="dxa"/>
            <w:vAlign w:val="bottom"/>
          </w:tcPr>
          <w:p>
            <w:pPr>
              <w:spacing w:after="0"/>
              <w:rPr>
                <w:sz w:val="1"/>
                <w:szCs w:val="1"/>
                <w:color w:val="auto"/>
              </w:rPr>
            </w:pPr>
          </w:p>
        </w:tc>
      </w:tr>
      <w:tr>
        <w:trPr>
          <w:trHeight w:val="230"/>
        </w:trPr>
        <w:tc>
          <w:tcPr>
            <w:tcW w:w="8020" w:type="dxa"/>
            <w:vAlign w:val="bottom"/>
          </w:tcPr>
          <w:p>
            <w:pPr>
              <w:ind w:left="44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Series A-2 redeemable convertible preferred stock, $0.00001 par value: 0 and 64,718,940 shares authorized</w:t>
            </w: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0"/>
              </w:rPr>
              <w:t>at December 31, 2021 and December 31, 2020, respectively; 0 and 49,700,364 shares authorized, issued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6"/>
              </w:rPr>
              <w:t>and outstanding at December 31, 2021 and December 31, 2020, respectively; aggregate liquidation</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preference of $0 and $49,342 at December 31, 2021 and December 31, 2020, 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1"/>
              </w:rPr>
              <w:t>Series B redeemable convertible preferred stock, $0.00001 par value: 0 and 41,937,960 shares authorized,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00"/>
              <w:spacing w:after="0" w:line="176" w:lineRule="exact"/>
              <w:rPr>
                <w:sz w:val="20"/>
                <w:szCs w:val="20"/>
                <w:color w:val="auto"/>
              </w:rPr>
            </w:pPr>
            <w:r>
              <w:rPr>
                <w:rFonts w:ascii="Arial" w:cs="Arial" w:eastAsia="Arial" w:hAnsi="Arial"/>
                <w:sz w:val="18"/>
                <w:szCs w:val="18"/>
                <w:color w:val="auto"/>
                <w:w w:val="99"/>
              </w:rPr>
              <w:t>issued and outstanding at December 31, 2021 and December 31, 2020, respectively; aggregate</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Arial" w:cs="Arial" w:eastAsia="Arial" w:hAnsi="Arial"/>
                <w:sz w:val="18"/>
                <w:szCs w:val="18"/>
                <w:color w:val="auto"/>
                <w:w w:val="93"/>
              </w:rPr>
              <w:t>liquidation preference of $0 and $204,302 at December 31, 2021and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Series C redeemable convertible preferred stock, $0.00001 par value: 0 and 24,497,317 shares authorized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7"/>
              </w:rPr>
              <w:t>at December 31, 2021 and December 31, 2020, respectively; 0 and 24,496,946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outstanding at December 31, 2021 and December 31, 2020, respectively; aggregate liquidation</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preference of $0 and $121,397 at December 31, 2021 and December 31, 2020, 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Redeemable convertible preferred stock</w:t>
            </w: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8"/>
              </w:rPr>
              <w:t>Preferred Stock, $0.0001 par value: 1,000,000 and 0 shares authorized at December 31, 2021 and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00"/>
              <w:spacing w:after="0" w:line="176" w:lineRule="exact"/>
              <w:rPr>
                <w:sz w:val="20"/>
                <w:szCs w:val="20"/>
                <w:color w:val="auto"/>
              </w:rPr>
            </w:pPr>
            <w:r>
              <w:rPr>
                <w:rFonts w:ascii="Arial" w:cs="Arial" w:eastAsia="Arial" w:hAnsi="Arial"/>
                <w:sz w:val="18"/>
                <w:szCs w:val="18"/>
                <w:color w:val="auto"/>
              </w:rPr>
              <w:t>December 31, 2020, respectively; 0 shares issued and outstanding at December 31, 2021 and</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Arial" w:cs="Arial" w:eastAsia="Arial" w:hAnsi="Arial"/>
                <w:sz w:val="18"/>
                <w:szCs w:val="18"/>
                <w:color w:val="auto"/>
              </w:rPr>
              <w:t>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Class A common stock, $0.0001 par value: 380,000,000 shares authorized, 242,647,604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outstanding at December 31, 2021 and $0.00001 par value: 309,584,750 shares authorized, 124 shares</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and outstanding at December 31, 2020</w:t>
            </w: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1"/>
              </w:rPr>
              <w:t>Class B convertible common stock, $0.00001 par value: 0 and 18,575,085 shares authorized at December</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00"/>
              <w:spacing w:after="0" w:line="176" w:lineRule="exact"/>
              <w:rPr>
                <w:sz w:val="20"/>
                <w:szCs w:val="20"/>
                <w:color w:val="auto"/>
              </w:rPr>
            </w:pPr>
            <w:r>
              <w:rPr>
                <w:rFonts w:ascii="Arial" w:cs="Arial" w:eastAsia="Arial" w:hAnsi="Arial"/>
                <w:sz w:val="18"/>
                <w:szCs w:val="18"/>
                <w:color w:val="auto"/>
                <w:w w:val="99"/>
              </w:rPr>
              <w:t>31, 2021 and December 31, 2020, respectively; 0 and 130,557 shares issued and outstanding at</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Arial" w:cs="Arial" w:eastAsia="Arial" w:hAnsi="Arial"/>
                <w:sz w:val="18"/>
                <w:szCs w:val="18"/>
                <w:color w:val="auto"/>
              </w:rPr>
              <w:t>December 31, 2021 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 (deficit)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51"/>
              <w:spacing w:after="0" w:line="224" w:lineRule="exact"/>
              <w:rPr>
                <w:sz w:val="20"/>
                <w:szCs w:val="20"/>
                <w:color w:val="auto"/>
              </w:rPr>
            </w:pPr>
            <w:r>
              <w:rPr>
                <w:rFonts w:ascii="Arial" w:cs="Arial" w:eastAsia="Arial" w:hAnsi="Arial"/>
                <w:sz w:val="18"/>
                <w:szCs w:val="18"/>
                <w:color w:val="auto"/>
                <w:w w:val="83"/>
              </w:rPr>
              <w:t>(Restated)</w:t>
            </w:r>
            <w:r>
              <w:rPr>
                <w:rFonts w:ascii="Arial" w:cs="Arial" w:eastAsia="Arial" w:hAnsi="Arial"/>
                <w:sz w:val="23"/>
                <w:szCs w:val="23"/>
                <w:color w:val="auto"/>
                <w:w w:val="83"/>
                <w:vertAlign w:val="superscript"/>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71"/>
              <w:spacing w:after="0" w:line="224" w:lineRule="exact"/>
              <w:rPr>
                <w:sz w:val="20"/>
                <w:szCs w:val="20"/>
                <w:color w:val="auto"/>
              </w:rPr>
            </w:pPr>
            <w:r>
              <w:rPr>
                <w:rFonts w:ascii="Arial" w:cs="Arial" w:eastAsia="Arial" w:hAnsi="Arial"/>
                <w:sz w:val="18"/>
                <w:szCs w:val="18"/>
                <w:color w:val="auto"/>
                <w:w w:val="93"/>
              </w:rPr>
              <w:t>(Restated)</w:t>
            </w:r>
            <w:r>
              <w:rPr>
                <w:rFonts w:ascii="Arial" w:cs="Arial" w:eastAsia="Arial" w:hAnsi="Arial"/>
                <w:sz w:val="23"/>
                <w:szCs w:val="23"/>
                <w:color w:val="auto"/>
                <w:w w:val="93"/>
                <w:vertAlign w:val="superscript"/>
              </w:rPr>
              <w:t>(1)</w:t>
            </w:r>
          </w:p>
        </w:tc>
        <w:tc>
          <w:tcPr>
            <w:tcW w:w="0" w:type="dxa"/>
            <w:vAlign w:val="bottom"/>
          </w:tcPr>
          <w:p>
            <w:pPr>
              <w:spacing w:after="0"/>
              <w:rPr>
                <w:sz w:val="1"/>
                <w:szCs w:val="1"/>
                <w:color w:val="auto"/>
              </w:rPr>
            </w:pPr>
          </w:p>
        </w:tc>
      </w:tr>
      <w:tr>
        <w:trPr>
          <w:trHeight w:val="175"/>
        </w:trPr>
        <w:tc>
          <w:tcPr>
            <w:tcW w:w="6340" w:type="dxa"/>
            <w:vAlign w:val="bottom"/>
          </w:tcPr>
          <w:p>
            <w:pPr>
              <w:ind w:left="220"/>
              <w:spacing w:after="0" w:line="176" w:lineRule="exact"/>
              <w:rPr>
                <w:sz w:val="20"/>
                <w:szCs w:val="20"/>
                <w:color w:val="auto"/>
              </w:rPr>
            </w:pPr>
            <w:r>
              <w:rPr>
                <w:rFonts w:ascii="Arial" w:cs="Arial" w:eastAsia="Arial" w:hAnsi="Arial"/>
                <w:sz w:val="18"/>
                <w:szCs w:val="18"/>
                <w:color w:val="auto"/>
                <w:w w:val="91"/>
              </w:rPr>
              <w:t>Diagnostic test revenue (including related party revenue of $90, $285 and $0 for the</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205,100</w:t>
            </w:r>
          </w:p>
        </w:tc>
        <w:tc>
          <w:tcPr>
            <w:tcW w:w="3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30"/>
        </w:trPr>
        <w:tc>
          <w:tcPr>
            <w:tcW w:w="6340" w:type="dxa"/>
            <w:vAlign w:val="bottom"/>
          </w:tcPr>
          <w:p>
            <w:pPr>
              <w:ind w:left="400"/>
              <w:spacing w:after="0"/>
              <w:rPr>
                <w:sz w:val="20"/>
                <w:szCs w:val="20"/>
                <w:color w:val="auto"/>
              </w:rPr>
            </w:pPr>
            <w:r>
              <w:rPr>
                <w:rFonts w:ascii="Arial" w:cs="Arial" w:eastAsia="Arial" w:hAnsi="Arial"/>
                <w:sz w:val="18"/>
                <w:szCs w:val="18"/>
                <w:color w:val="auto"/>
              </w:rPr>
              <w:t>years ended December 31, 2021, 2020, and 2019, respectively)</w:t>
            </w:r>
          </w:p>
        </w:tc>
        <w:tc>
          <w:tcPr>
            <w:tcW w:w="3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Other revenue (including related party revenue of $232, $3 and $1,180 for the years</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ended December 31, 2021, 2020, and 2019,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156"/>
        </w:trPr>
        <w:tc>
          <w:tcPr>
            <w:tcW w:w="63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Cost of services (including related party expenses of $3,975, $2,189 and $1,859 for the</w:t>
            </w:r>
          </w:p>
        </w:tc>
        <w:tc>
          <w:tcPr>
            <w:tcW w:w="3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2021, 2020, and 2019,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(loss) profit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Class A common stock</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3" w:lineRule="exact"/>
        <w:rPr>
          <w:sz w:val="20"/>
          <w:szCs w:val="20"/>
          <w:color w:val="auto"/>
        </w:rPr>
      </w:pPr>
    </w:p>
    <w:p>
      <w:pPr>
        <w:ind w:left="340" w:right="280" w:hanging="332"/>
        <w:spacing w:after="0" w:line="248" w:lineRule="auto"/>
        <w:tabs>
          <w:tab w:leader="none" w:pos="332" w:val="left"/>
        </w:tabs>
        <w:numPr>
          <w:ilvl w:val="0"/>
          <w:numId w:val="96"/>
        </w:numPr>
        <w:rPr>
          <w:rFonts w:ascii="Arial" w:cs="Arial" w:eastAsia="Arial" w:hAnsi="Arial"/>
          <w:sz w:val="14"/>
          <w:szCs w:val="14"/>
          <w:color w:val="auto"/>
        </w:rPr>
      </w:pPr>
      <w:r>
        <w:rPr>
          <w:rFonts w:ascii="Arial" w:cs="Arial" w:eastAsia="Arial" w:hAnsi="Arial"/>
          <w:sz w:val="14"/>
          <w:szCs w:val="14"/>
          <w:color w:val="auto"/>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for further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Equity (Deficit)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1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Redeemable Convertible</w:t>
            </w:r>
          </w:p>
        </w:tc>
        <w:tc>
          <w:tcPr>
            <w:tcW w:w="60" w:type="dxa"/>
            <w:vAlign w:val="bottom"/>
          </w:tcPr>
          <w:p>
            <w:pPr>
              <w:spacing w:after="0"/>
              <w:rPr>
                <w:sz w:val="14"/>
                <w:szCs w:val="14"/>
                <w:color w:val="auto"/>
              </w:rPr>
            </w:pPr>
          </w:p>
        </w:tc>
        <w:tc>
          <w:tcPr>
            <w:tcW w:w="19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Class A Common Stock</w:t>
            </w:r>
          </w:p>
        </w:tc>
        <w:tc>
          <w:tcPr>
            <w:tcW w:w="194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Class B Common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21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73"/>
              <w:spacing w:after="0" w:line="11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0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Per Value</w:t>
            </w:r>
          </w:p>
        </w:tc>
        <w:tc>
          <w:tcPr>
            <w:tcW w:w="80" w:type="dxa"/>
            <w:vAlign w:val="bottom"/>
            <w:vMerge w:val="restart"/>
          </w:tcPr>
          <w:p>
            <w:pPr>
              <w:spacing w:after="0"/>
              <w:rPr>
                <w:sz w:val="11"/>
                <w:szCs w:val="11"/>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Per Value</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21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rPr>
              <w:t>Balance at December 31,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102,039,134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Preferred Series A</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3,061,173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Capital contributions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Preferred</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Series B, net of</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costs</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December 31,</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3"/>
              </w:rPr>
              <w:t>147,038,267</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(241,340)</w:t>
            </w:r>
          </w:p>
        </w:tc>
        <w:tc>
          <w:tcPr>
            <w:tcW w:w="0" w:type="dxa"/>
            <w:vAlign w:val="bottom"/>
          </w:tcPr>
          <w:p>
            <w:pPr>
              <w:spacing w:after="0"/>
              <w:rPr>
                <w:sz w:val="1"/>
                <w:szCs w:val="1"/>
                <w:color w:val="auto"/>
              </w:rPr>
            </w:pPr>
          </w:p>
        </w:tc>
      </w:tr>
      <w:tr>
        <w:trPr>
          <w:trHeight w:val="176"/>
        </w:trPr>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Preferred Series A</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tcPr>
          <w:p>
            <w:pPr>
              <w:ind w:left="220"/>
              <w:spacing w:after="0"/>
              <w:rPr>
                <w:sz w:val="20"/>
                <w:szCs w:val="20"/>
                <w:color w:val="auto"/>
              </w:rPr>
            </w:pPr>
            <w:r>
              <w:rPr>
                <w:rFonts w:ascii="Arial" w:cs="Arial" w:eastAsia="Arial" w:hAnsi="Arial"/>
                <w:sz w:val="18"/>
                <w:szCs w:val="18"/>
                <w:color w:val="auto"/>
              </w:rPr>
              <w:t>dividend</w:t>
            </w: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contributions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24,496,946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1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December 31,</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3"/>
              </w:rPr>
              <w:t>171,535,213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5"/>
              </w:rPr>
              <w:t>(330,051)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3"/>
              </w:rPr>
              <w:t>(330,051)</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(245,390)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(245,390)</w:t>
            </w:r>
          </w:p>
        </w:tc>
        <w:tc>
          <w:tcPr>
            <w:tcW w:w="0" w:type="dxa"/>
            <w:vAlign w:val="bottom"/>
          </w:tcPr>
          <w:p>
            <w:pPr>
              <w:spacing w:after="0"/>
              <w:rPr>
                <w:sz w:val="1"/>
                <w:szCs w:val="1"/>
                <w:color w:val="auto"/>
              </w:rPr>
            </w:pP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Stock option exercises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995,526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1,253,179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Conversion of Preferred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(171,535,213)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(334,439)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148,543,062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104,532</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Conversion of Class B</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1,309,320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(1,383,736)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equity infusion from</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90,333,562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510,751</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the Business Combination</w:t>
            </w: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w w:val="89"/>
              </w:rPr>
              <w:t>Stock based compensation</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modification</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0" w:type="dxa"/>
            <w:vAlign w:val="bottom"/>
          </w:tcPr>
          <w:p>
            <w:pPr>
              <w:spacing w:after="0"/>
              <w:rPr>
                <w:sz w:val="1"/>
                <w:szCs w:val="1"/>
                <w:color w:val="auto"/>
              </w:rPr>
            </w:pP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reclassification</w:t>
            </w: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89"/>
              </w:rPr>
              <w:t>Stock based compensation</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Vested restricted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400"/>
              <w:spacing w:after="0" w:line="176" w:lineRule="exact"/>
              <w:rPr>
                <w:sz w:val="20"/>
                <w:szCs w:val="20"/>
                <w:color w:val="auto"/>
              </w:rPr>
            </w:pPr>
            <w:r>
              <w:rPr>
                <w:rFonts w:ascii="Arial" w:cs="Arial" w:eastAsia="Arial" w:hAnsi="Arial"/>
                <w:sz w:val="18"/>
                <w:szCs w:val="18"/>
                <w:color w:val="auto"/>
              </w:rPr>
              <w:t>units converted to</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1,466,010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common stock</w:t>
            </w: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December 31,</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242,647,604</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963,520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(575,441)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388,103</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11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340" w:top="1440" w:right="339" w:bottom="1440" w:gutter="0" w:footer="0" w:header="0"/>
        </w:sectPr>
      </w:pPr>
    </w:p>
    <w:bookmarkStart w:id="179" w:name="page180"/>
    <w:bookmarkEnd w:id="17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(245,390)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Change in fair value of warrant and contingent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excess and obsolete 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29"/>
        </w:trPr>
        <w:tc>
          <w:tcPr>
            <w:tcW w:w="6360" w:type="dxa"/>
            <w:vAlign w:val="bottom"/>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9"/>
        </w:trPr>
        <w:tc>
          <w:tcPr>
            <w:tcW w:w="636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(190,434)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6"/>
              </w:rPr>
              <w:t>Proceeds from issuance of Series B redeemable convertible preferred stock, net of</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Arial" w:cs="Arial" w:eastAsia="Arial" w:hAnsi="Arial"/>
                <w:sz w:val="18"/>
                <w:szCs w:val="18"/>
                <w:color w:val="auto"/>
              </w:rPr>
              <w:t>issuance costs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Proceeds from issuance of Series C redeemable convertible preferred stock, net of</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Prior PIPE issuance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equity infusion from the merger, net of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Legacy Sema4 Shareholder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Stock Appreciation Rights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long-term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contributions from ISMMS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5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principal payments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principal payments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493,729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129,056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148,012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113,828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115,006</w:t>
            </w:r>
          </w:p>
        </w:tc>
      </w:tr>
      <w:tr>
        <w:trPr>
          <w:trHeight w:val="203"/>
        </w:trPr>
        <w:tc>
          <w:tcPr>
            <w:tcW w:w="6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Cash paid for taxes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Purchases of property and equipment in accounts payable and accrued expenses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Non-cash Series A redeemable convertible preferred stock dividends declared and paid $</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Debt issuance costs incurred but unpaid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Sema4 Holdings Corp.,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outbreak of the coronavirus (“COVID-19”) pandemic. On December 15, 2021, it was announced that COVID-19 testing services would be discontinued by March 31, 2022.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22, 2021 (the “Closing Date”), CM Life Sciences, Inc. (“CMLS”) completed the acquisition of Legacy Sema4, pursuant to that certain Agreement and Plan of Merger (as amended, the “Merger Agreement”), dated February 9, 2021. On the Closing Date, S-IV Sub, Inc. (“Merger Sub”) merged with and into the Legacy Sema4, with Legacy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Company’s historical financial information includes costs of certain services historically provided by Icahn School of Medicine at Mount Sinai (“ISMMS”) pursuant to the Transition Services Agreement ("TSA") and service.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 2020 and 2019 annual statements of operations and comprehensive loss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expenses incurred that directly relate to the delivery of revenue as cost of services in its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expanded accounting resources, the Company identified the misclassification of certain expenses related to the genetic counseling department reported in cost of services that should have been reported in selling and marketing in the prior period financial statements. The Company quantified the amount and determined it necessary to restate its previously reported balances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1080" w:type="dxa"/>
            <w:vAlign w:val="bottom"/>
            <w:tcBorders>
              <w:bottom w:val="single" w:sz="8" w:color="auto"/>
            </w:tcBorders>
          </w:tcPr>
          <w:p>
            <w:pPr>
              <w:spacing w:after="0"/>
              <w:rPr>
                <w:sz w:val="16"/>
                <w:szCs w:val="16"/>
                <w:color w:val="auto"/>
              </w:rPr>
            </w:pPr>
          </w:p>
        </w:tc>
      </w:tr>
      <w:tr>
        <w:trPr>
          <w:trHeight w:val="187"/>
        </w:trPr>
        <w:tc>
          <w:tcPr>
            <w:tcW w:w="310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reported</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Misclassification</w:t>
            </w: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reported</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Misclassification</w:t>
            </w:r>
          </w:p>
        </w:tc>
        <w:tc>
          <w:tcPr>
            <w:tcW w:w="1080" w:type="dxa"/>
            <w:vAlign w:val="bottom"/>
          </w:tcPr>
          <w:p>
            <w:pPr>
              <w:jc w:val="right"/>
              <w:ind w:right="192"/>
              <w:spacing w:after="0"/>
              <w:rPr>
                <w:sz w:val="20"/>
                <w:szCs w:val="20"/>
                <w:color w:val="auto"/>
              </w:rPr>
            </w:pPr>
            <w:r>
              <w:rPr>
                <w:rFonts w:ascii="Arial" w:cs="Arial" w:eastAsia="Arial" w:hAnsi="Arial"/>
                <w:sz w:val="14"/>
                <w:szCs w:val="14"/>
                <w:b w:val="1"/>
                <w:bCs w:val="1"/>
                <w:color w:val="auto"/>
              </w:rPr>
              <w:t>Restated</w:t>
            </w:r>
          </w:p>
        </w:tc>
      </w:tr>
      <w:tr>
        <w:trPr>
          <w:trHeight w:val="224"/>
        </w:trPr>
        <w:tc>
          <w:tcPr>
            <w:tcW w:w="31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196,174</w:t>
            </w:r>
          </w:p>
        </w:tc>
      </w:tr>
      <w:tr>
        <w:trPr>
          <w:trHeight w:val="229"/>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175,296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113,389</w:t>
            </w:r>
          </w:p>
        </w:tc>
      </w:tr>
      <w:tr>
        <w:trPr>
          <w:trHeight w:val="223"/>
        </w:trPr>
        <w:tc>
          <w:tcPr>
            <w:tcW w:w="3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(loss) profit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82,785</w:t>
            </w: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72,700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34,910</w:t>
            </w: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39,352</w:t>
            </w: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100,742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29,484</w:t>
            </w: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9,452</w:t>
            </w:r>
          </w:p>
        </w:tc>
      </w:tr>
      <w:tr>
        <w:trPr>
          <w:trHeight w:val="223"/>
        </w:trPr>
        <w:tc>
          <w:tcPr>
            <w:tcW w:w="3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Loss from operations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(241,994)</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(30,413)</w:t>
            </w: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r>
      <w:tr>
        <w:trPr>
          <w:trHeight w:val="223"/>
        </w:trPr>
        <w:tc>
          <w:tcPr>
            <w:tcW w:w="3100" w:type="dxa"/>
            <w:vAlign w:val="bottom"/>
          </w:tcPr>
          <w:p>
            <w:pPr>
              <w:ind w:left="240"/>
              <w:spacing w:after="0"/>
              <w:rPr>
                <w:sz w:val="20"/>
                <w:szCs w:val="20"/>
                <w:color w:val="auto"/>
              </w:rPr>
            </w:pPr>
            <w:r>
              <w:rPr>
                <w:rFonts w:ascii="Arial" w:cs="Arial" w:eastAsia="Arial" w:hAnsi="Arial"/>
                <w:sz w:val="18"/>
                <w:szCs w:val="18"/>
                <w:color w:val="auto"/>
              </w:rPr>
              <w:t>Net loss and comprehensive loss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(241,340)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(29,704)</w:t>
            </w:r>
          </w:p>
        </w:tc>
      </w:tr>
      <w:tr>
        <w:trPr>
          <w:trHeight w:val="21"/>
        </w:trPr>
        <w:tc>
          <w:tcPr>
            <w:tcW w:w="3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misclassification did not have any impact to the Company's net loss or net loss per share as reported in the statements of operations and comprehensive loss in any interim or annual periods. Included in the misclassification amount is stock-based compensation expense of $1 million for 2020. There was no impact of misclassification for 2019 related to stock-based compensation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 2021 and 2020 interim financial statements (unaudited)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the Company has identified quarterly out of period adjustments generally related to recognition of cost of services in the quarterly periods ended March 31, 2021, June 30, 2021 and September 30, 2021. The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the misclassification and quarterly out of period adjustments identified on each of the three months periods in the year ended December 31, 2021 and 2020 are disclosed as follows (in thousands):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2021 interim statements of operations and comprehensive loss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rPr>
              <w:t>First Quarter</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700"/>
              <w:spacing w:after="0"/>
              <w:rPr>
                <w:sz w:val="20"/>
                <w:szCs w:val="20"/>
                <w:color w:val="auto"/>
              </w:rPr>
            </w:pPr>
            <w:r>
              <w:rPr>
                <w:rFonts w:ascii="Arial" w:cs="Arial" w:eastAsia="Arial" w:hAnsi="Arial"/>
                <w:sz w:val="13"/>
                <w:szCs w:val="13"/>
                <w:b w:val="1"/>
                <w:bCs w:val="1"/>
                <w:color w:val="auto"/>
              </w:rPr>
              <w:t>Second Quarter</w:t>
            </w: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As reported</w:t>
            </w: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w w:val="99"/>
              </w:rPr>
              <w:t>Misclass-ification</w:t>
            </w:r>
          </w:p>
        </w:tc>
        <w:tc>
          <w:tcPr>
            <w:tcW w:w="1460" w:type="dxa"/>
            <w:vAlign w:val="bottom"/>
            <w:gridSpan w:val="4"/>
          </w:tcPr>
          <w:p>
            <w:pPr>
              <w:ind w:left="220"/>
              <w:spacing w:after="0"/>
              <w:rPr>
                <w:sz w:val="20"/>
                <w:szCs w:val="20"/>
                <w:color w:val="auto"/>
              </w:rPr>
            </w:pPr>
            <w:r>
              <w:rPr>
                <w:rFonts w:ascii="Arial" w:cs="Arial" w:eastAsia="Arial" w:hAnsi="Arial"/>
                <w:sz w:val="13"/>
                <w:szCs w:val="13"/>
                <w:b w:val="1"/>
                <w:bCs w:val="1"/>
                <w:color w:val="auto"/>
              </w:rPr>
              <w:t>Adjustment</w:t>
            </w:r>
          </w:p>
        </w:tc>
        <w:tc>
          <w:tcPr>
            <w:tcW w:w="800" w:type="dxa"/>
            <w:vAlign w:val="bottom"/>
            <w:gridSpan w:val="3"/>
          </w:tcPr>
          <w:p>
            <w:pPr>
              <w:jc w:val="right"/>
              <w:ind w:right="237"/>
              <w:spacing w:after="0"/>
              <w:rPr>
                <w:sz w:val="20"/>
                <w:szCs w:val="20"/>
                <w:color w:val="auto"/>
              </w:rPr>
            </w:pPr>
            <w:r>
              <w:rPr>
                <w:rFonts w:ascii="Arial" w:cs="Arial" w:eastAsia="Arial" w:hAnsi="Arial"/>
                <w:sz w:val="13"/>
                <w:szCs w:val="13"/>
                <w:b w:val="1"/>
                <w:bCs w:val="1"/>
                <w:color w:val="auto"/>
                <w:w w:val="87"/>
              </w:rPr>
              <w:t>Restated</w:t>
            </w:r>
          </w:p>
        </w:tc>
        <w:tc>
          <w:tcPr>
            <w:tcW w:w="10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As reported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b w:val="1"/>
                <w:bCs w:val="1"/>
                <w:color w:val="auto"/>
                <w:w w:val="99"/>
              </w:rPr>
              <w:t>Misclass-ification</w:t>
            </w:r>
          </w:p>
        </w:tc>
        <w:tc>
          <w:tcPr>
            <w:tcW w:w="1200" w:type="dxa"/>
            <w:vAlign w:val="bottom"/>
            <w:gridSpan w:val="4"/>
          </w:tcPr>
          <w:p>
            <w:pPr>
              <w:ind w:left="240"/>
              <w:spacing w:after="0"/>
              <w:rPr>
                <w:sz w:val="20"/>
                <w:szCs w:val="20"/>
                <w:color w:val="auto"/>
              </w:rPr>
            </w:pPr>
            <w:r>
              <w:rPr>
                <w:rFonts w:ascii="Arial" w:cs="Arial" w:eastAsia="Arial" w:hAnsi="Arial"/>
                <w:sz w:val="13"/>
                <w:szCs w:val="13"/>
                <w:b w:val="1"/>
                <w:bCs w:val="1"/>
                <w:color w:val="auto"/>
              </w:rPr>
              <w:t>Adjustment</w:t>
            </w:r>
          </w:p>
        </w:tc>
        <w:tc>
          <w:tcPr>
            <w:tcW w:w="1060" w:type="dxa"/>
            <w:vAlign w:val="bottom"/>
          </w:tcPr>
          <w:p>
            <w:pPr>
              <w:jc w:val="right"/>
              <w:ind w:right="229"/>
              <w:spacing w:after="0"/>
              <w:rPr>
                <w:sz w:val="20"/>
                <w:szCs w:val="20"/>
                <w:color w:val="auto"/>
              </w:rPr>
            </w:pPr>
            <w:r>
              <w:rPr>
                <w:rFonts w:ascii="Arial" w:cs="Arial" w:eastAsia="Arial" w:hAnsi="Arial"/>
                <w:sz w:val="13"/>
                <w:szCs w:val="13"/>
                <w:b w:val="1"/>
                <w:bCs w:val="1"/>
                <w:color w:val="auto"/>
              </w:rPr>
              <w:t>Restated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64,351</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64,201</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46,865</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150</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Cost of services</w:t>
            </w:r>
          </w:p>
        </w:tc>
        <w:tc>
          <w:tcPr>
            <w:tcW w:w="1060" w:type="dxa"/>
            <w:vAlign w:val="bottom"/>
          </w:tcPr>
          <w:p>
            <w:pPr>
              <w:jc w:val="right"/>
              <w:spacing w:after="0"/>
              <w:rPr>
                <w:sz w:val="20"/>
                <w:szCs w:val="20"/>
                <w:color w:val="auto"/>
              </w:rPr>
            </w:pPr>
            <w:r>
              <w:rPr>
                <w:rFonts w:ascii="Arial" w:cs="Arial" w:eastAsia="Arial" w:hAnsi="Arial"/>
                <w:sz w:val="14"/>
                <w:szCs w:val="14"/>
                <w:color w:val="auto"/>
              </w:rPr>
              <w:t>71,812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68,524</w:t>
            </w: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49,631</w:t>
            </w:r>
          </w:p>
        </w:tc>
        <w:tc>
          <w:tcPr>
            <w:tcW w:w="1180" w:type="dxa"/>
            <w:vAlign w:val="bottom"/>
            <w:gridSpan w:val="5"/>
          </w:tcPr>
          <w:p>
            <w:pPr>
              <w:jc w:val="right"/>
              <w:ind w:right="20"/>
              <w:spacing w:after="0"/>
              <w:rPr>
                <w:sz w:val="20"/>
                <w:szCs w:val="20"/>
                <w:color w:val="auto"/>
              </w:rPr>
            </w:pPr>
            <w:r>
              <w:rPr>
                <w:rFonts w:ascii="Arial" w:cs="Arial" w:eastAsia="Arial" w:hAnsi="Arial"/>
                <w:sz w:val="14"/>
                <w:szCs w:val="14"/>
                <w:color w:val="auto"/>
              </w:rPr>
              <w:t>(2,287)</w:t>
            </w: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835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48,179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(loss) profit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(4,323)</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2,287</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(685)</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jc w:val="right"/>
              <w:spacing w:after="0"/>
              <w:rPr>
                <w:sz w:val="20"/>
                <w:szCs w:val="20"/>
                <w:color w:val="auto"/>
              </w:rPr>
            </w:pPr>
            <w:r>
              <w:rPr>
                <w:rFonts w:ascii="Arial" w:cs="Arial" w:eastAsia="Arial" w:hAnsi="Arial"/>
                <w:sz w:val="14"/>
                <w:szCs w:val="14"/>
                <w:color w:val="auto"/>
              </w:rPr>
              <w:t>53,131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53,133</w:t>
            </w:r>
          </w:p>
        </w:tc>
        <w:tc>
          <w:tcPr>
            <w:tcW w:w="10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11,954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and marketing</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35,366</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16,247</w:t>
            </w:r>
          </w:p>
        </w:tc>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2,287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jc w:val="right"/>
              <w:spacing w:after="0"/>
              <w:rPr>
                <w:sz w:val="20"/>
                <w:szCs w:val="20"/>
                <w:color w:val="auto"/>
              </w:rPr>
            </w:pPr>
            <w:r>
              <w:rPr>
                <w:rFonts w:ascii="Arial" w:cs="Arial" w:eastAsia="Arial" w:hAnsi="Arial"/>
                <w:sz w:val="14"/>
                <w:szCs w:val="14"/>
                <w:color w:val="auto"/>
              </w:rPr>
              <w:t>101,917</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102,038</w:t>
            </w: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12,794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12,870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expenses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1,797</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from operations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(195,875)</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(196,657)</w:t>
            </w:r>
          </w:p>
        </w:tc>
        <w:tc>
          <w:tcPr>
            <w:tcW w:w="10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(44,649)</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(799)</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4,882</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ind w:left="20"/>
              <w:spacing w:after="0" w:line="115" w:lineRule="exact"/>
              <w:rPr>
                <w:sz w:val="20"/>
                <w:szCs w:val="20"/>
                <w:color w:val="auto"/>
              </w:rPr>
            </w:pPr>
            <w:r>
              <w:rPr>
                <w:rFonts w:ascii="Arial" w:cs="Arial" w:eastAsia="Arial" w:hAnsi="Arial"/>
                <w:sz w:val="13"/>
                <w:szCs w:val="13"/>
                <w:color w:val="auto"/>
              </w:rPr>
              <w:t>Net (loss) income and</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(190,993)</w:t>
            </w:r>
          </w:p>
        </w:tc>
        <w:tc>
          <w:tcPr>
            <w:tcW w:w="100" w:type="dxa"/>
            <w:vAlign w:val="bottom"/>
          </w:tcPr>
          <w:p>
            <w:pPr>
              <w:spacing w:after="0"/>
              <w:rPr>
                <w:sz w:val="10"/>
                <w:szCs w:val="10"/>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(191,775)</w:t>
            </w:r>
          </w:p>
        </w:tc>
        <w:tc>
          <w:tcPr>
            <w:tcW w:w="100" w:type="dxa"/>
            <w:vAlign w:val="bottom"/>
          </w:tcPr>
          <w:p>
            <w:pPr>
              <w:spacing w:after="0"/>
              <w:rPr>
                <w:sz w:val="10"/>
                <w:szCs w:val="10"/>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(45,362)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(46,161)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comprehensive loss</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ind w:left="340"/>
              <w:spacing w:after="0"/>
              <w:rPr>
                <w:sz w:val="20"/>
                <w:szCs w:val="20"/>
                <w:color w:val="auto"/>
              </w:rPr>
            </w:pPr>
            <w:r>
              <w:rPr>
                <w:rFonts w:ascii="Arial" w:cs="Arial" w:eastAsia="Arial" w:hAnsi="Arial"/>
                <w:sz w:val="13"/>
                <w:szCs w:val="13"/>
                <w:b w:val="1"/>
                <w:bCs w:val="1"/>
                <w:color w:val="auto"/>
              </w:rPr>
              <w:t>Third Quarter</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5"/>
              </w:rPr>
              <w:t>Fourth Quarter</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3"/>
          </w:tcPr>
          <w:p>
            <w:pPr>
              <w:ind w:left="280"/>
              <w:spacing w:after="0"/>
              <w:rPr>
                <w:sz w:val="20"/>
                <w:szCs w:val="20"/>
                <w:color w:val="auto"/>
              </w:rPr>
            </w:pPr>
            <w:r>
              <w:rPr>
                <w:rFonts w:ascii="Arial" w:cs="Arial" w:eastAsia="Arial" w:hAnsi="Arial"/>
                <w:sz w:val="13"/>
                <w:szCs w:val="13"/>
                <w:b w:val="1"/>
                <w:bCs w:val="1"/>
                <w:color w:val="auto"/>
                <w:w w:val="84"/>
              </w:rPr>
              <w:t>As reported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w w:val="97"/>
              </w:rPr>
              <w:t>Misclass-ification</w:t>
            </w:r>
          </w:p>
        </w:tc>
        <w:tc>
          <w:tcPr>
            <w:tcW w:w="1280" w:type="dxa"/>
            <w:vAlign w:val="bottom"/>
            <w:gridSpan w:val="6"/>
          </w:tcPr>
          <w:p>
            <w:pPr>
              <w:ind w:left="20"/>
              <w:spacing w:after="0"/>
              <w:rPr>
                <w:sz w:val="20"/>
                <w:szCs w:val="20"/>
                <w:color w:val="auto"/>
              </w:rPr>
            </w:pPr>
            <w:r>
              <w:rPr>
                <w:rFonts w:ascii="Arial" w:cs="Arial" w:eastAsia="Arial" w:hAnsi="Arial"/>
                <w:sz w:val="13"/>
                <w:szCs w:val="13"/>
                <w:b w:val="1"/>
                <w:bCs w:val="1"/>
                <w:color w:val="auto"/>
              </w:rPr>
              <w:t>Adjustment</w:t>
            </w:r>
          </w:p>
        </w:tc>
        <w:tc>
          <w:tcPr>
            <w:tcW w:w="980" w:type="dxa"/>
            <w:vAlign w:val="bottom"/>
          </w:tcPr>
          <w:p>
            <w:pPr>
              <w:jc w:val="right"/>
              <w:ind w:right="309"/>
              <w:spacing w:after="0"/>
              <w:rPr>
                <w:sz w:val="20"/>
                <w:szCs w:val="20"/>
                <w:color w:val="auto"/>
              </w:rPr>
            </w:pPr>
            <w:r>
              <w:rPr>
                <w:rFonts w:ascii="Arial" w:cs="Arial" w:eastAsia="Arial" w:hAnsi="Arial"/>
                <w:sz w:val="13"/>
                <w:szCs w:val="13"/>
                <w:b w:val="1"/>
                <w:bCs w:val="1"/>
                <w:color w:val="auto"/>
              </w:rPr>
              <w:t>Restated</w:t>
            </w: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Arial" w:cs="Arial" w:eastAsia="Arial" w:hAnsi="Arial"/>
                <w:sz w:val="13"/>
                <w:szCs w:val="13"/>
                <w:b w:val="1"/>
                <w:bCs w:val="1"/>
                <w:color w:val="auto"/>
              </w:rPr>
              <w:t>As reported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revenue</w:t>
            </w: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43,178</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43,178</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57,801</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Cost of services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jc w:val="right"/>
              <w:spacing w:after="0"/>
              <w:rPr>
                <w:sz w:val="20"/>
                <w:szCs w:val="20"/>
                <w:color w:val="auto"/>
              </w:rPr>
            </w:pPr>
            <w:r>
              <w:rPr>
                <w:rFonts w:ascii="Arial" w:cs="Arial" w:eastAsia="Arial" w:hAnsi="Arial"/>
                <w:sz w:val="14"/>
                <w:szCs w:val="14"/>
                <w:color w:val="auto"/>
              </w:rPr>
              <w:t>58,752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51,487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(loss) profit</w:t>
            </w: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(15,574)</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6,031</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(8,309)</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color w:val="auto"/>
              </w:rPr>
              <w:t>17,831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17,831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Selling and marketing</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22,121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6,031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28,152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jc w:val="right"/>
              <w:spacing w:after="0"/>
              <w:rPr>
                <w:sz w:val="20"/>
                <w:szCs w:val="20"/>
                <w:color w:val="auto"/>
              </w:rPr>
            </w:pPr>
            <w:r>
              <w:rPr>
                <w:rFonts w:ascii="Arial" w:cs="Arial" w:eastAsia="Arial" w:hAnsi="Arial"/>
                <w:sz w:val="14"/>
                <w:szCs w:val="14"/>
                <w:color w:val="auto"/>
              </w:rPr>
              <w:t>33,230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33,125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Related party expenses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847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847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Loss from operations</w:t>
            </w: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(89,603)</w:t>
            </w:r>
          </w:p>
        </w:tc>
        <w:tc>
          <w:tcPr>
            <w:tcW w:w="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(88,264)</w:t>
            </w:r>
          </w:p>
        </w:tc>
        <w:tc>
          <w:tcPr>
            <w:tcW w:w="8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(115,780)</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net</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120,995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120,995</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75,595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gridSpan w:val="3"/>
          </w:tcPr>
          <w:p>
            <w:pPr>
              <w:spacing w:after="0"/>
              <w:rPr>
                <w:sz w:val="20"/>
                <w:szCs w:val="20"/>
                <w:color w:val="auto"/>
              </w:rPr>
            </w:pPr>
            <w:r>
              <w:rPr>
                <w:rFonts w:ascii="Arial" w:cs="Arial" w:eastAsia="Arial" w:hAnsi="Arial"/>
                <w:sz w:val="14"/>
                <w:szCs w:val="14"/>
                <w:color w:val="auto"/>
              </w:rPr>
              <w:t>Net (loss) income and comprehensive loss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31,392</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32,731</w:t>
            </w: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(40,185)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2020 interim statements of operations and comprehensive loss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First Quarter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Second Quarter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Third Quarter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Fourth Quarter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400" w:type="dxa"/>
            <w:vAlign w:val="bottom"/>
          </w:tcPr>
          <w:p>
            <w:pPr>
              <w:spacing w:after="0"/>
              <w:rPr>
                <w:sz w:val="8"/>
                <w:szCs w:val="8"/>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8"/>
              </w:rPr>
              <w:t>Misclass-</w:t>
            </w: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6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4"/>
              </w:rPr>
              <w:t>Misclass-</w:t>
            </w: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Misclass-</w:t>
            </w: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Misclass-</w:t>
            </w:r>
          </w:p>
        </w:tc>
        <w:tc>
          <w:tcPr>
            <w:tcW w:w="720" w:type="dxa"/>
            <w:vAlign w:val="bottom"/>
            <w:vMerge w:val="restart"/>
          </w:tcPr>
          <w:p>
            <w:pPr>
              <w:jc w:val="right"/>
              <w:ind w:right="102"/>
              <w:spacing w:after="0"/>
              <w:rPr>
                <w:sz w:val="20"/>
                <w:szCs w:val="20"/>
                <w:color w:val="auto"/>
              </w:rPr>
            </w:pPr>
            <w:r>
              <w:rPr>
                <w:rFonts w:ascii="Arial" w:cs="Arial" w:eastAsia="Arial" w:hAnsi="Arial"/>
                <w:sz w:val="11"/>
                <w:szCs w:val="11"/>
                <w:b w:val="1"/>
                <w:bCs w:val="1"/>
                <w:color w:val="auto"/>
              </w:rPr>
              <w:t>Restated</w:t>
            </w:r>
          </w:p>
        </w:tc>
        <w:tc>
          <w:tcPr>
            <w:tcW w:w="0" w:type="dxa"/>
            <w:vAlign w:val="bottom"/>
          </w:tcPr>
          <w:p>
            <w:pPr>
              <w:spacing w:after="0"/>
              <w:rPr>
                <w:sz w:val="1"/>
                <w:szCs w:val="1"/>
                <w:color w:val="auto"/>
              </w:rPr>
            </w:pPr>
          </w:p>
        </w:tc>
      </w:tr>
      <w:tr>
        <w:trPr>
          <w:trHeight w:val="140"/>
        </w:trPr>
        <w:tc>
          <w:tcPr>
            <w:tcW w:w="14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ification</w:t>
            </w: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ification</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ification</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ification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46,655</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46,655</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30,102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30,102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38,608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38,608</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63,957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63,957</w:t>
            </w:r>
          </w:p>
        </w:tc>
        <w:tc>
          <w:tcPr>
            <w:tcW w:w="0" w:type="dxa"/>
            <w:vAlign w:val="bottom"/>
          </w:tcPr>
          <w:p>
            <w:pPr>
              <w:spacing w:after="0"/>
              <w:rPr>
                <w:sz w:val="1"/>
                <w:szCs w:val="1"/>
                <w:color w:val="auto"/>
              </w:rPr>
            </w:pPr>
          </w:p>
        </w:tc>
      </w:tr>
      <w:tr>
        <w:trPr>
          <w:trHeight w:val="159"/>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services</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39,239</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(2,101)</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37,138</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35,985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(1,480)</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34,505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36,530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(2,508)</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34,022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72,894</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(3,263)</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69,631</w:t>
            </w:r>
          </w:p>
        </w:tc>
        <w:tc>
          <w:tcPr>
            <w:tcW w:w="0" w:type="dxa"/>
            <w:vAlign w:val="bottom"/>
          </w:tcPr>
          <w:p>
            <w:pPr>
              <w:spacing w:after="0"/>
              <w:rPr>
                <w:sz w:val="1"/>
                <w:szCs w:val="1"/>
                <w:color w:val="auto"/>
              </w:rPr>
            </w:pPr>
          </w:p>
        </w:tc>
      </w:tr>
      <w:tr>
        <w:trPr>
          <w:trHeight w:val="155"/>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(loss) profit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7,416</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9,517</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(5,883)</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2,078</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2,508</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4,586</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(8,937)</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(5,674)</w:t>
            </w:r>
          </w:p>
        </w:tc>
        <w:tc>
          <w:tcPr>
            <w:tcW w:w="0" w:type="dxa"/>
            <w:vAlign w:val="bottom"/>
          </w:tcPr>
          <w:p>
            <w:pPr>
              <w:spacing w:after="0"/>
              <w:rPr>
                <w:sz w:val="1"/>
                <w:szCs w:val="1"/>
                <w:color w:val="auto"/>
              </w:rPr>
            </w:pPr>
          </w:p>
        </w:tc>
      </w:tr>
      <w:tr>
        <w:trPr>
          <w:trHeight w:val="156"/>
        </w:trPr>
        <w:tc>
          <w:tcPr>
            <w:tcW w:w="1400" w:type="dxa"/>
            <w:vAlign w:val="bottom"/>
          </w:tcPr>
          <w:p>
            <w:pPr>
              <w:ind w:left="20"/>
              <w:spacing w:after="0"/>
              <w:rPr>
                <w:sz w:val="20"/>
                <w:szCs w:val="20"/>
                <w:color w:val="auto"/>
              </w:rPr>
            </w:pPr>
            <w:r>
              <w:rPr>
                <w:rFonts w:ascii="Arial" w:cs="Arial" w:eastAsia="Arial" w:hAnsi="Arial"/>
                <w:sz w:val="12"/>
                <w:szCs w:val="12"/>
                <w:color w:val="auto"/>
                <w:w w:val="92"/>
              </w:rPr>
              <w:t>Research and development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13,096</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13,096</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9,361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9,361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19,083</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19,083</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31,160</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31,160</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and marketing</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11,733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13,834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8,686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10,166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12,735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2,508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15,243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20,677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23,940</w:t>
            </w:r>
          </w:p>
        </w:tc>
        <w:tc>
          <w:tcPr>
            <w:tcW w:w="0" w:type="dxa"/>
            <w:vAlign w:val="bottom"/>
          </w:tcPr>
          <w:p>
            <w:pPr>
              <w:spacing w:after="0"/>
              <w:rPr>
                <w:sz w:val="1"/>
                <w:szCs w:val="1"/>
                <w:color w:val="auto"/>
              </w:rPr>
            </w:pPr>
          </w:p>
        </w:tc>
      </w:tr>
      <w:tr>
        <w:trPr>
          <w:trHeight w:val="159"/>
        </w:trPr>
        <w:tc>
          <w:tcPr>
            <w:tcW w:w="1400" w:type="dxa"/>
            <w:vAlign w:val="bottom"/>
          </w:tcPr>
          <w:p>
            <w:pPr>
              <w:ind w:left="20"/>
              <w:spacing w:after="0"/>
              <w:rPr>
                <w:sz w:val="20"/>
                <w:szCs w:val="20"/>
                <w:color w:val="auto"/>
              </w:rPr>
            </w:pPr>
            <w:r>
              <w:rPr>
                <w:rFonts w:ascii="Arial" w:cs="Arial" w:eastAsia="Arial" w:hAnsi="Arial"/>
                <w:sz w:val="12"/>
                <w:szCs w:val="12"/>
                <w:color w:val="auto"/>
                <w:w w:val="94"/>
              </w:rPr>
              <w:t>General and administrative</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7,164</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7,164</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8,121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8,121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24,342</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24,342</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61,115</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61,115</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Related party expenses</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2,195</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2,195</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2,111</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2,111</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1,933</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1,933</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3,156</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3,156</w:t>
            </w:r>
          </w:p>
        </w:tc>
        <w:tc>
          <w:tcPr>
            <w:tcW w:w="0" w:type="dxa"/>
            <w:vAlign w:val="bottom"/>
          </w:tcPr>
          <w:p>
            <w:pPr>
              <w:spacing w:after="0"/>
              <w:rPr>
                <w:sz w:val="1"/>
                <w:szCs w:val="1"/>
                <w:color w:val="auto"/>
              </w:rPr>
            </w:pPr>
          </w:p>
        </w:tc>
      </w:tr>
      <w:tr>
        <w:trPr>
          <w:trHeight w:val="156"/>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Loss from operations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(26,772)</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(26,772)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(34,162)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(34,162)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(56,015)</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(56,015)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(125,045)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(125,045)</w:t>
            </w:r>
          </w:p>
        </w:tc>
        <w:tc>
          <w:tcPr>
            <w:tcW w:w="0" w:type="dxa"/>
            <w:vAlign w:val="bottom"/>
          </w:tcPr>
          <w:p>
            <w:pPr>
              <w:spacing w:after="0"/>
              <w:rPr>
                <w:sz w:val="1"/>
                <w:szCs w:val="1"/>
                <w:color w:val="auto"/>
              </w:rPr>
            </w:pPr>
          </w:p>
        </w:tc>
      </w:tr>
      <w:tr>
        <w:trPr>
          <w:trHeight w:val="159"/>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income, net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2,110</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02"/>
        </w:trPr>
        <w:tc>
          <w:tcPr>
            <w:tcW w:w="1400" w:type="dxa"/>
            <w:vAlign w:val="bottom"/>
          </w:tcPr>
          <w:p>
            <w:pPr>
              <w:ind w:left="20"/>
              <w:spacing w:after="0" w:line="102" w:lineRule="exact"/>
              <w:rPr>
                <w:sz w:val="20"/>
                <w:szCs w:val="20"/>
                <w:color w:val="auto"/>
              </w:rPr>
            </w:pPr>
            <w:r>
              <w:rPr>
                <w:rFonts w:ascii="Arial" w:cs="Arial" w:eastAsia="Arial" w:hAnsi="Arial"/>
                <w:sz w:val="11"/>
                <w:szCs w:val="11"/>
                <w:color w:val="auto"/>
                <w:w w:val="97"/>
              </w:rPr>
              <w:t>Net loss and comprehensive</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(26,990)</w:t>
            </w:r>
          </w:p>
        </w:tc>
        <w:tc>
          <w:tcPr>
            <w:tcW w:w="100" w:type="dxa"/>
            <w:vAlign w:val="bottom"/>
          </w:tcPr>
          <w:p>
            <w:pPr>
              <w:spacing w:after="0"/>
              <w:rPr>
                <w:sz w:val="8"/>
                <w:szCs w:val="8"/>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(26,990)</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(32,052)</w:t>
            </w:r>
          </w:p>
        </w:tc>
        <w:tc>
          <w:tcPr>
            <w:tcW w:w="80" w:type="dxa"/>
            <w:vAlign w:val="bottom"/>
          </w:tcPr>
          <w:p>
            <w:pPr>
              <w:spacing w:after="0"/>
              <w:rPr>
                <w:sz w:val="8"/>
                <w:szCs w:val="8"/>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(32,052)</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(56,615)</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(56,615)</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0" w:type="dxa"/>
            <w:vAlign w:val="bottom"/>
          </w:tcPr>
          <w:p>
            <w:pPr>
              <w:spacing w:after="0"/>
              <w:rPr>
                <w:sz w:val="1"/>
                <w:szCs w:val="1"/>
                <w:color w:val="auto"/>
              </w:rPr>
            </w:pPr>
          </w:p>
        </w:tc>
      </w:tr>
      <w:tr>
        <w:trPr>
          <w:trHeight w:val="121"/>
        </w:trPr>
        <w:tc>
          <w:tcPr>
            <w:tcW w:w="1400" w:type="dxa"/>
            <w:vAlign w:val="bottom"/>
          </w:tcPr>
          <w:p>
            <w:pPr>
              <w:ind w:left="20"/>
              <w:spacing w:after="0" w:line="122" w:lineRule="exact"/>
              <w:rPr>
                <w:sz w:val="20"/>
                <w:szCs w:val="20"/>
                <w:color w:val="auto"/>
              </w:rPr>
            </w:pPr>
            <w:r>
              <w:rPr>
                <w:rFonts w:ascii="Arial" w:cs="Arial" w:eastAsia="Arial" w:hAnsi="Arial"/>
                <w:sz w:val="12"/>
                <w:szCs w:val="12"/>
                <w:color w:val="auto"/>
              </w:rPr>
              <w:t>loss</w:t>
            </w: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adjustments also affected certain current asset and liability accounts previously reported in the condensed balance sheets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condensed consolidated balance sheets as of September 30, 2021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March 31, 2021</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5"/>
              </w:rPr>
              <w:t>June 30, 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85"/>
              </w:rPr>
              <w:t>September 30,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As reported</w:t>
            </w: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Adjust-ment</w:t>
            </w:r>
          </w:p>
        </w:tc>
        <w:tc>
          <w:tcPr>
            <w:tcW w:w="820" w:type="dxa"/>
            <w:vAlign w:val="bottom"/>
          </w:tcPr>
          <w:p>
            <w:pPr>
              <w:jc w:val="right"/>
              <w:ind w:right="108"/>
              <w:spacing w:after="0"/>
              <w:rPr>
                <w:sz w:val="20"/>
                <w:szCs w:val="20"/>
                <w:color w:val="auto"/>
              </w:rPr>
            </w:pPr>
            <w:r>
              <w:rPr>
                <w:rFonts w:ascii="Arial" w:cs="Arial" w:eastAsia="Arial" w:hAnsi="Arial"/>
                <w:sz w:val="13"/>
                <w:szCs w:val="13"/>
                <w:b w:val="1"/>
                <w:bCs w:val="1"/>
                <w:color w:val="auto"/>
              </w:rPr>
              <w:t>Restated</w:t>
            </w:r>
          </w:p>
        </w:tc>
        <w:tc>
          <w:tcPr>
            <w:tcW w:w="14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As reported</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Adjust-ment</w:t>
            </w:r>
          </w:p>
        </w:tc>
        <w:tc>
          <w:tcPr>
            <w:tcW w:w="860" w:type="dxa"/>
            <w:vAlign w:val="bottom"/>
          </w:tcPr>
          <w:p>
            <w:pPr>
              <w:jc w:val="right"/>
              <w:ind w:right="128"/>
              <w:spacing w:after="0"/>
              <w:rPr>
                <w:sz w:val="20"/>
                <w:szCs w:val="20"/>
                <w:color w:val="auto"/>
              </w:rPr>
            </w:pPr>
            <w:r>
              <w:rPr>
                <w:rFonts w:ascii="Arial" w:cs="Arial" w:eastAsia="Arial" w:hAnsi="Arial"/>
                <w:sz w:val="13"/>
                <w:szCs w:val="13"/>
                <w:b w:val="1"/>
                <w:bCs w:val="1"/>
                <w:color w:val="auto"/>
              </w:rPr>
              <w:t>Restated</w:t>
            </w:r>
          </w:p>
        </w:tc>
        <w:tc>
          <w:tcPr>
            <w:tcW w:w="1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3"/>
                <w:szCs w:val="13"/>
                <w:b w:val="1"/>
                <w:bCs w:val="1"/>
                <w:color w:val="auto"/>
                <w:w w:val="98"/>
              </w:rPr>
              <w:t>As reported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Adjust-ment</w:t>
            </w:r>
          </w:p>
        </w:tc>
        <w:tc>
          <w:tcPr>
            <w:tcW w:w="740" w:type="dxa"/>
            <w:vAlign w:val="bottom"/>
          </w:tcPr>
          <w:p>
            <w:pPr>
              <w:jc w:val="right"/>
              <w:ind w:right="128"/>
              <w:spacing w:after="0"/>
              <w:rPr>
                <w:sz w:val="20"/>
                <w:szCs w:val="20"/>
                <w:color w:val="auto"/>
              </w:rPr>
            </w:pPr>
            <w:r>
              <w:rPr>
                <w:rFonts w:ascii="Arial" w:cs="Arial" w:eastAsia="Arial" w:hAnsi="Arial"/>
                <w:sz w:val="13"/>
                <w:szCs w:val="13"/>
                <w:b w:val="1"/>
                <w:bCs w:val="1"/>
                <w:color w:val="auto"/>
                <w:w w:val="94"/>
              </w:rPr>
              <w:t>Restated</w:t>
            </w:r>
          </w:p>
        </w:tc>
        <w:tc>
          <w:tcPr>
            <w:tcW w:w="0" w:type="dxa"/>
            <w:vAlign w:val="bottom"/>
          </w:tcPr>
          <w:p>
            <w:pPr>
              <w:spacing w:after="0"/>
              <w:rPr>
                <w:sz w:val="1"/>
                <w:szCs w:val="1"/>
                <w:color w:val="auto"/>
              </w:rPr>
            </w:pPr>
          </w:p>
        </w:tc>
      </w:tr>
      <w:tr>
        <w:trPr>
          <w:trHeight w:val="175"/>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58,652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26,501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461,276</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840" w:type="dxa"/>
            <w:vAlign w:val="bottom"/>
          </w:tcPr>
          <w:p>
            <w:pPr>
              <w:jc w:val="right"/>
              <w:spacing w:after="0"/>
              <w:rPr>
                <w:sz w:val="20"/>
                <w:szCs w:val="20"/>
                <w:color w:val="auto"/>
              </w:rPr>
            </w:pPr>
            <w:r>
              <w:rPr>
                <w:rFonts w:ascii="Arial" w:cs="Arial" w:eastAsia="Arial" w:hAnsi="Arial"/>
                <w:sz w:val="14"/>
                <w:szCs w:val="14"/>
                <w:color w:val="auto"/>
              </w:rPr>
              <w:t>33,490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33,340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24,568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24,568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21,257</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from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840" w:type="dxa"/>
            <w:vAlign w:val="bottom"/>
          </w:tcPr>
          <w:p>
            <w:pPr>
              <w:jc w:val="right"/>
              <w:spacing w:after="0"/>
              <w:rPr>
                <w:sz w:val="20"/>
                <w:szCs w:val="20"/>
                <w:color w:val="auto"/>
              </w:rPr>
            </w:pPr>
            <w:r>
              <w:rPr>
                <w:rFonts w:ascii="Arial" w:cs="Arial" w:eastAsia="Arial" w:hAnsi="Arial"/>
                <w:sz w:val="14"/>
                <w:szCs w:val="14"/>
                <w:color w:val="auto"/>
              </w:rPr>
              <w:t>32,969</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32,969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29,128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31,174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31,174</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14,931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24,391</w:t>
            </w:r>
          </w:p>
        </w:tc>
        <w:tc>
          <w:tcPr>
            <w:tcW w:w="0" w:type="dxa"/>
            <w:vAlign w:val="bottom"/>
          </w:tcPr>
          <w:p>
            <w:pPr>
              <w:spacing w:after="0"/>
              <w:rPr>
                <w:sz w:val="1"/>
                <w:szCs w:val="1"/>
                <w:color w:val="auto"/>
              </w:rPr>
            </w:pPr>
          </w:p>
        </w:tc>
      </w:tr>
      <w:tr>
        <w:trPr>
          <w:trHeight w:val="181"/>
        </w:trPr>
        <w:tc>
          <w:tcPr>
            <w:tcW w:w="286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140,530</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140,241</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99,012</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99,012</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538,511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538,511</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64,632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64,632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62,097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62,097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60,333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60,333</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84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3,613</w:t>
            </w:r>
          </w:p>
        </w:tc>
        <w:tc>
          <w:tcPr>
            <w:tcW w:w="0" w:type="dxa"/>
            <w:vAlign w:val="bottom"/>
          </w:tcPr>
          <w:p>
            <w:pPr>
              <w:spacing w:after="0"/>
              <w:rPr>
                <w:sz w:val="1"/>
                <w:szCs w:val="1"/>
                <w:color w:val="auto"/>
              </w:rPr>
            </w:pPr>
          </w:p>
        </w:tc>
      </w:tr>
      <w:tr>
        <w:trPr>
          <w:trHeight w:val="183"/>
        </w:trPr>
        <w:tc>
          <w:tcPr>
            <w:tcW w:w="2860" w:type="dxa"/>
            <w:vAlign w:val="bottom"/>
          </w:tcPr>
          <w:p>
            <w:pPr>
              <w:ind w:left="460"/>
              <w:spacing w:after="0"/>
              <w:rPr>
                <w:sz w:val="20"/>
                <w:szCs w:val="20"/>
                <w:color w:val="auto"/>
              </w:rPr>
            </w:pPr>
            <w:r>
              <w:rPr>
                <w:rFonts w:ascii="Arial" w:cs="Arial" w:eastAsia="Arial" w:hAnsi="Arial"/>
                <w:sz w:val="14"/>
                <w:szCs w:val="14"/>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219,586</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219,297</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603,357</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700" w:type="dxa"/>
            <w:vAlign w:val="bottom"/>
            <w:tcBorders>
              <w:top w:val="single" w:sz="8" w:color="CCEEFF"/>
            </w:tcBorders>
            <w:gridSpan w:val="7"/>
          </w:tcPr>
          <w:p>
            <w:pPr>
              <w:ind w:left="20"/>
              <w:spacing w:after="0"/>
              <w:rPr>
                <w:sz w:val="20"/>
                <w:szCs w:val="20"/>
                <w:color w:val="auto"/>
              </w:rPr>
            </w:pPr>
            <w:r>
              <w:rPr>
                <w:rFonts w:ascii="Arial" w:cs="Arial" w:eastAsia="Arial" w:hAnsi="Arial"/>
                <w:sz w:val="14"/>
                <w:szCs w:val="14"/>
                <w:b w:val="1"/>
                <w:bCs w:val="1"/>
                <w:color w:val="auto"/>
                <w:w w:val="98"/>
              </w:rPr>
              <w:t>Liabilities, Redeemable Convertible Preferred Stock and Stockholders’ Equity (Deficit)</w:t>
            </w: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Accounts payable and accrued expenses</w:t>
            </w:r>
          </w:p>
        </w:tc>
        <w:tc>
          <w:tcPr>
            <w:tcW w:w="840" w:type="dxa"/>
            <w:vAlign w:val="bottom"/>
          </w:tcPr>
          <w:p>
            <w:pPr>
              <w:jc w:val="right"/>
              <w:spacing w:after="0"/>
              <w:rPr>
                <w:sz w:val="20"/>
                <w:szCs w:val="20"/>
                <w:color w:val="auto"/>
              </w:rPr>
            </w:pPr>
            <w:r>
              <w:rPr>
                <w:rFonts w:ascii="Arial" w:cs="Arial" w:eastAsia="Arial" w:hAnsi="Arial"/>
                <w:sz w:val="14"/>
                <w:szCs w:val="14"/>
                <w:color w:val="auto"/>
              </w:rPr>
              <w:t>41,609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42,102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43,650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45,231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43,079</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43,321</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to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Current contract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2,810</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2,810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1,341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493</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22,991</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22,991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24,764</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24,764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26,369</w:t>
            </w:r>
          </w:p>
        </w:tc>
        <w:tc>
          <w:tcPr>
            <w:tcW w:w="0" w:type="dxa"/>
            <w:vAlign w:val="bottom"/>
          </w:tcPr>
          <w:p>
            <w:pPr>
              <w:spacing w:after="0"/>
              <w:rPr>
                <w:sz w:val="1"/>
                <w:szCs w:val="1"/>
                <w:color w:val="auto"/>
              </w:rPr>
            </w:pPr>
          </w:p>
        </w:tc>
      </w:tr>
      <w:tr>
        <w:trPr>
          <w:trHeight w:val="181"/>
        </w:trPr>
        <w:tc>
          <w:tcPr>
            <w:tcW w:w="286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68,207</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68,700</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71,033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72,614</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71,366</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71,608</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18,502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11,000</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Stock-based compensation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296,952</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296,952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295,049</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295,049</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46,629</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Earn-out contingent liability</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61,400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61,400</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22,530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21,907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21,699</w:t>
            </w:r>
          </w:p>
        </w:tc>
        <w:tc>
          <w:tcPr>
            <w:tcW w:w="0" w:type="dxa"/>
            <w:vAlign w:val="bottom"/>
          </w:tcPr>
          <w:p>
            <w:pPr>
              <w:spacing w:after="0"/>
              <w:rPr>
                <w:sz w:val="1"/>
                <w:szCs w:val="1"/>
                <w:color w:val="auto"/>
              </w:rPr>
            </w:pPr>
          </w:p>
        </w:tc>
      </w:tr>
      <w:tr>
        <w:trPr>
          <w:trHeight w:val="183"/>
        </w:trPr>
        <w:tc>
          <w:tcPr>
            <w:tcW w:w="2860" w:type="dxa"/>
            <w:vAlign w:val="bottom"/>
          </w:tcPr>
          <w:p>
            <w:pPr>
              <w:ind w:left="460"/>
              <w:spacing w:after="0"/>
              <w:rPr>
                <w:sz w:val="20"/>
                <w:szCs w:val="20"/>
                <w:color w:val="auto"/>
              </w:rPr>
            </w:pPr>
            <w:r>
              <w:rPr>
                <w:rFonts w:ascii="Arial" w:cs="Arial" w:eastAsia="Arial" w:hAnsi="Arial"/>
                <w:sz w:val="14"/>
                <w:szCs w:val="14"/>
                <w:color w:val="auto"/>
              </w:rPr>
              <w:t>Total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406,191</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406,684</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406,017</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407,598</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212,094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212,336</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8"/>
              </w:rPr>
              <w:t>Series A-1 redeemable convertible preferred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w w:val="98"/>
              </w:rPr>
              <w:t>Series A-2 redeemable convertible preferred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46,480</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860" w:type="dxa"/>
            <w:vAlign w:val="bottom"/>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Series B redeemable convertible preferred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rPr>
              <w:t>Series C redeemable convertible preferred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117,324</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860" w:type="dxa"/>
            <w:vAlign w:val="bottom"/>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B convertible common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1,483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926,253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926,253</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(521,826)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(567,987)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(535,014)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(535,256)</w:t>
            </w:r>
          </w:p>
        </w:tc>
        <w:tc>
          <w:tcPr>
            <w:tcW w:w="0" w:type="dxa"/>
            <w:vAlign w:val="bottom"/>
          </w:tcPr>
          <w:p>
            <w:pPr>
              <w:spacing w:after="0"/>
              <w:rPr>
                <w:sz w:val="1"/>
                <w:szCs w:val="1"/>
                <w:color w:val="auto"/>
              </w:rPr>
            </w:pPr>
          </w:p>
        </w:tc>
      </w:tr>
      <w:tr>
        <w:trPr>
          <w:trHeight w:val="181"/>
        </w:trPr>
        <w:tc>
          <w:tcPr>
            <w:tcW w:w="2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stockholders’ (deficit)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(521,044)</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(521,826)</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(564,923)</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(566,504)</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391,263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391,021</w:t>
            </w:r>
          </w:p>
        </w:tc>
        <w:tc>
          <w:tcPr>
            <w:tcW w:w="0" w:type="dxa"/>
            <w:vAlign w:val="bottom"/>
          </w:tcPr>
          <w:p>
            <w:pPr>
              <w:spacing w:after="0"/>
              <w:rPr>
                <w:sz w:val="1"/>
                <w:szCs w:val="1"/>
                <w:color w:val="auto"/>
              </w:rPr>
            </w:pPr>
          </w:p>
        </w:tc>
      </w:tr>
      <w:tr>
        <w:trPr>
          <w:trHeight w:val="116"/>
        </w:trPr>
        <w:tc>
          <w:tcPr>
            <w:tcW w:w="2860" w:type="dxa"/>
            <w:vAlign w:val="bottom"/>
            <w:shd w:val="clear" w:color="auto" w:fill="CCEEFF"/>
          </w:tcPr>
          <w:p>
            <w:pPr>
              <w:ind w:left="140"/>
              <w:spacing w:after="0" w:line="116" w:lineRule="exact"/>
              <w:rPr>
                <w:sz w:val="20"/>
                <w:szCs w:val="20"/>
                <w:color w:val="auto"/>
              </w:rPr>
            </w:pPr>
            <w:r>
              <w:rPr>
                <w:rFonts w:ascii="Arial" w:cs="Arial" w:eastAsia="Arial" w:hAnsi="Arial"/>
                <w:sz w:val="13"/>
                <w:szCs w:val="13"/>
                <w:color w:val="auto"/>
              </w:rPr>
              <w:t>Total liabilities, redeemable convertible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219,586</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219,297</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603,357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stock and stockholders’ equity</w:t>
            </w: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adjustments did not have any impact on the net cash used in operating or investing activities, or net cash used or provided by financing activities previously reported in the condensed statements of cash flows. However, certain line items within the operating section of the condensed statements of cash flows would change by immaterial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consolidated financial statements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RSUs. Actual results could differ materially from those estimates, judgments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2021 and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For each significant payor, revenue as a percentage of total revenues and accounts receivable as a percentage of total accounts receivable are as 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Accounts Receivable</w:t>
            </w:r>
          </w:p>
        </w:tc>
      </w:tr>
      <w:tr>
        <w:trPr>
          <w:trHeight w:val="187"/>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83"/>
        </w:trPr>
        <w:tc>
          <w:tcPr>
            <w:tcW w:w="4260" w:type="dxa"/>
            <w:vAlign w:val="bottom"/>
          </w:tcPr>
          <w:p>
            <w:pPr>
              <w:spacing w:after="0"/>
              <w:rPr>
                <w:sz w:val="15"/>
                <w:szCs w:val="15"/>
                <w:color w:val="auto"/>
              </w:rPr>
            </w:pPr>
          </w:p>
        </w:tc>
        <w:tc>
          <w:tcPr>
            <w:tcW w:w="1040" w:type="dxa"/>
            <w:vAlign w:val="bottom"/>
          </w:tcPr>
          <w:p>
            <w:pPr>
              <w:jc w:val="center"/>
              <w:ind w:left="174"/>
              <w:spacing w:after="0"/>
              <w:rPr>
                <w:sz w:val="20"/>
                <w:szCs w:val="20"/>
                <w:color w:val="auto"/>
              </w:rPr>
            </w:pPr>
            <w:r>
              <w:rPr>
                <w:rFonts w:ascii="Arial" w:cs="Arial" w:eastAsia="Arial" w:hAnsi="Arial"/>
                <w:sz w:val="14"/>
                <w:szCs w:val="14"/>
                <w:b w:val="1"/>
                <w:bCs w:val="1"/>
                <w:color w:val="auto"/>
                <w:w w:val="96"/>
              </w:rPr>
              <w:t>2021</w:t>
            </w:r>
          </w:p>
        </w:tc>
        <w:tc>
          <w:tcPr>
            <w:tcW w:w="168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Payor A</w:t>
            </w:r>
          </w:p>
        </w:tc>
        <w:tc>
          <w:tcPr>
            <w:tcW w:w="1040" w:type="dxa"/>
            <w:vAlign w:val="bottom"/>
            <w:tcBorders>
              <w:top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94"/>
              </w:rPr>
              <w:t>22%</w:t>
            </w:r>
          </w:p>
        </w:tc>
        <w:tc>
          <w:tcPr>
            <w:tcW w:w="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94"/>
              <w:spacing w:after="0"/>
              <w:rPr>
                <w:sz w:val="20"/>
                <w:szCs w:val="20"/>
                <w:color w:val="auto"/>
              </w:rPr>
            </w:pPr>
            <w:r>
              <w:rPr>
                <w:rFonts w:ascii="Arial" w:cs="Arial" w:eastAsia="Arial" w:hAnsi="Arial"/>
                <w:sz w:val="18"/>
                <w:szCs w:val="18"/>
                <w:color w:val="auto"/>
                <w:w w:val="88"/>
              </w:rPr>
              <w:t>36%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74"/>
              <w:spacing w:after="0"/>
              <w:rPr>
                <w:sz w:val="20"/>
                <w:szCs w:val="20"/>
                <w:color w:val="auto"/>
              </w:rPr>
            </w:pPr>
            <w:r>
              <w:rPr>
                <w:rFonts w:ascii="Arial" w:cs="Arial" w:eastAsia="Arial" w:hAnsi="Arial"/>
                <w:sz w:val="18"/>
                <w:szCs w:val="18"/>
                <w:color w:val="auto"/>
                <w:w w:val="94"/>
              </w:rPr>
              <w:t>13%</w:t>
            </w:r>
          </w:p>
        </w:tc>
        <w:tc>
          <w:tcPr>
            <w:tcW w:w="1680" w:type="dxa"/>
            <w:vAlign w:val="bottom"/>
            <w:gridSpan w:val="3"/>
          </w:tcPr>
          <w:p>
            <w:pPr>
              <w:jc w:val="center"/>
              <w:ind w:left="257"/>
              <w:spacing w:after="0"/>
              <w:rPr>
                <w:sz w:val="20"/>
                <w:szCs w:val="20"/>
                <w:color w:val="auto"/>
              </w:rPr>
            </w:pPr>
            <w:r>
              <w:rPr>
                <w:rFonts w:ascii="Arial" w:cs="Arial" w:eastAsia="Arial" w:hAnsi="Arial"/>
                <w:sz w:val="18"/>
                <w:szCs w:val="18"/>
                <w:color w:val="auto"/>
                <w:w w:val="94"/>
              </w:rPr>
              <w:t>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center"/>
              <w:ind w:left="25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74"/>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center"/>
              <w:ind w:left="25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4"/>
              <w:spacing w:after="0"/>
              <w:rPr>
                <w:sz w:val="20"/>
                <w:szCs w:val="20"/>
                <w:color w:val="auto"/>
              </w:rPr>
            </w:pPr>
            <w:r>
              <w:rPr>
                <w:rFonts w:ascii="Arial" w:cs="Arial" w:eastAsia="Arial" w:hAnsi="Arial"/>
                <w:sz w:val="18"/>
                <w:szCs w:val="18"/>
                <w:color w:val="auto"/>
                <w:w w:val="88"/>
              </w:rPr>
              <w:t>24%</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7%, 11% and 15% for the years ended December 31, 2021, 2020 and 2019, respectively. Another supplier accounted for approximately 11%, 10% and 12% for the years ended December 31, 2021, 2020 and 2019, respectively. This risk is managed by maintaining a target quantity of surplus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World Health Organization declared the COVID-19 outbreak a global pandemic. The ongoing COVID-19 pandemic has had, and continues to have, an extensive impact on global health and economic conditions. Many jurisdictions, including those in which the Company has current operations, have implemented measures to combat the spread and resurgence of COVID-19, such as travel restrictions and shelter in place orders. In addition, the healthcare sector generally experienced a decline in discretionary care services at the onset of the pandemic.</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Beginning in April 2020, the Company’s diagnostic test volumes decreased significantly as compared to the prior year as a result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December 31, 2020 and December 31, 2021.</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2021, the Company received an additional $5.6 million during 2021 under the PRF distribution, which was recognized in other income (expense), net in the consolidated statements of operations and comprehensive loss.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under the CARES Act, the Company deferred payment of U.S. social security taxes in 2020 . As a result, $3.8 million of employer payroll tax payments were deferred as of December 31, 2020 with $1.9 million paid in December 2021 and the remaining $1.9 million payment will be made in December 2022. As of December 31, 2021, the remaining payable is recorded in other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December 15, 2021, it was announced that COVID-19 testing services would be discontinued by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5"/>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10,828</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as of December 31, 2021 consists of money market deposit accounts that secure an irrevocable standby letter of credit that serve as collateral for security deposits for operating leases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consists of amounts due from customers and third party payors for services performed and reflect the consideration to which the Company expects to be entitled in exchange for providing those services. Accounts receivable are estimated and recorded in the period the related revenue is recorded. During the years ended December 31, 2021 and 2020, the Company did not record provisions for doubtful accounts. The Company did not write off any accounts receivable balances for the year ended December 31, 2021 and $0.2 million of accounts receivable was written off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Inventory, net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The Company recorded a reserve for excess and obsolete inventory of $2.1 million as of December 31, 2021. There was no reserve recorded as of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net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capitalize certain costs incurred related to the development of our software applications for internal use during the application development state.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hierarchy lists three levels of fair value based on the extent to which inputs used in measuring fair value are observable in the market:</w:t>
      </w:r>
    </w:p>
    <w:p>
      <w:pPr>
        <w:spacing w:after="0" w:line="17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16"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significant to the measurement of fair value but are supported by little to no market data.</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capital leases are classified within level 1 of the fair value hierarchy because such agreements bear interest at rates for instruments with similar characteristics; accordingly, the carrying value of these liabilities approximate their fair values.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loan from the Connecticut Department of Economic and Community Development is classified within level 2 of the fair value hierarchy. As of December 31, 2021, the long-term debt is recorded at its carrying value of $11.0 million in the consolidated balance sheet. The fair value is $10.2 million, which is estimated based on discounted cash flows using the yields of similar debt instruments of other companies with similar credit profiles.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the consummation of the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$18.00 as described below:</w:t>
      </w:r>
    </w:p>
    <w:p>
      <w:pPr>
        <w:spacing w:after="0" w:line="116"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redeem the outstanding public warrants if the price per share of the common stock equals or exceeds $10.00 as described below:</w:t>
      </w:r>
    </w:p>
    <w:p>
      <w:pPr>
        <w:spacing w:after="0" w:line="183"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ind w:left="660" w:hanging="328"/>
        <w:spacing w:after="0" w:line="308" w:lineRule="auto"/>
        <w:tabs>
          <w:tab w:leader="none" w:pos="6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determined the fair value of the earn-out shares issued to the Legacy Sema4 stockholders as of December 31, 2021 was $10.2 million.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$0.2 million in relation to the earn-out RSU for the year ended December 31, 2021.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earn-out is determined using a Monte Carlo valuation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 of the stock on the grant date. The Company uses the Black-Scholes option-pricing model to estimate the fair value of its stock option awards.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upon share option exercise and vesting of a restricted share unit. Forfeitures of stock-based compensation are recognized as they occur.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Any lease incentives reduce rent expense the Company records on a straight-line basis over the term of the lease. The Company recognizes rent expense beginning on the date it obtains the legal right to use and control the leased space.</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adopted Accounting Standards Codification (“ASC”) Topic 606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January 1, 2019 using the modified retrospective method applied to contracts which 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enters into both short-term and long-term project-based collaboration and service agreements with customers.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consideration generally includes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consolidated financial statements as the Company is not currently a participant in any such collaborative arrangements.</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adopted ASU 2018-15, Intangibles – Goodwill and Other – Internal-Use Software (Subtopic 350-40): Customer’s Accounting for Implementation Costs Incurred in a Cloud Computing Arrangement That Is a Service Contract (“ASU 2018-15”) for the annual period ended December 31, 2021. ASU 2018-15 aligns the accounting for costs incurred to implement a cloud computing arrangement that is a service arrangement with the guidance on capitalizing costs associated with developing or obtaining internal-use software. The Company adopted and applied this update prospectively to all implementation costs incurred during the year ended December 31, 2021, $2.3 million of implementation costs are capitalized and recorded in other current and non-current assets. 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ASU 2019-12, Income Taxes (Topic 740): Simplifying the Accounting for Income Taxes (“ASU 2019-12”). ASU 2019-12 updates specific areas of ASC 740, Income Taxes, to reduce complexity while maintaining or improving the usefulness of the information provided to users of financial statements. The Company has adopted the new standard in the fourth quarter of 2021 and upon adoption we did not have a material impact on our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2016, the FASB issued ASU 2016-02, Leases (“Topic 842”), which requires lessees to recognize right-of-use assets and lease liabilities for most leases on their balance sheets. Expense recognition for lessees under Topic 842 is similar to current lease accounting and once adopted, it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Company elected to adopt the Topic 842 under the extended transition period available to entities in the “all other” category, which would be effective for the annual period beginning on January 1, 2022 and all interim periods within the year ended December 31, 2023. Early adoption is permitted. The Company has selected an information system application to centralize the tracking and accounting for the Company’s leases and is currently in the process of completing implementation of that application. The Company plans to adopt the Topic 842 using the modified retrospective transition method and will not restate comparative periods. The modified retrospective transition method requires the cumulative effect, if any, of initially applying the guidance to be recognized as an adjustment to our accumulated deficit as of that adoption date. The Company plans to elect the package of practical expedients permitted under the transition guidance within the Topic 842, which allows the Company to carry forward prior conclusions about lease identification, classification and initial direct costs for leases entered into prior to adoption of the Topic 842. Additionally, the Company plans to not separate lease and non-lease components of the leases. For leases with a term of 12 months or less, the Company plans to elect the short-term lease exemption, which allows it to not recognize right-of-use assets or lease liabilities for qualifying leases existing at transition and new leases we may enter into in the future. The Company is currently in the process of quantifying the impact, but is currently unable to estimate the impact on the consolidated financial statements.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xml:space="preserve"> (“ASU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 Company does not expect the impact of adopting this new accounting guidance to have a material effect on its consolidated financial statements and related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1, on July 22, 2021, the Company consummated the Business Combination and received net cash proceeds of $510.0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71" w:lineRule="exact"/>
        <w:rPr>
          <w:sz w:val="20"/>
          <w:szCs w:val="20"/>
          <w:color w:val="auto"/>
        </w:rPr>
      </w:pPr>
    </w:p>
    <w:p>
      <w:pPr>
        <w:ind w:left="66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Holders of 10,188 shares of CMLS’s Class A common stock sold in its initial public offering (the “public shares”) exercised their right to have such shares redeemed for a full pro rata portion of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holding the proceeds from CMLS’s initial public offering (the “IPO”), which was approximately $10.00 per share, or $101,880 in aggregate.</w:t>
      </w:r>
    </w:p>
    <w:p>
      <w:pPr>
        <w:spacing w:after="0" w:line="183"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spacing w:after="0" w:line="111"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disaggregated revenue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169,576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138,153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169,538</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 consideration estimated quarterly. Our assessment performed at year-end did not result in material adjustments to the Company’s previously reported revenue or accounts receivable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Due to the long-term nature of the collaboration service agreement, the Company’s obligations pursuant to such agreements represent partially unsatisfied performance obligations as of December 31, 2021. The revenues under existing service agreements with original expected durations of more than one year are estimated to be approximately $10.2 million. The Company expects to recognize the majority of this revenue over the next 3.3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balances of contract assets and contract liabilities is shown in the table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Contract Assets</w:t>
            </w:r>
          </w:p>
        </w:tc>
        <w:tc>
          <w:tcPr>
            <w:tcW w:w="140" w:type="dxa"/>
            <w:vAlign w:val="bottom"/>
          </w:tcPr>
          <w:p>
            <w:pPr>
              <w:spacing w:after="0"/>
              <w:rPr>
                <w:sz w:val="16"/>
                <w:szCs w:val="16"/>
                <w:color w:val="auto"/>
              </w:rPr>
            </w:pPr>
          </w:p>
        </w:tc>
        <w:tc>
          <w:tcPr>
            <w:tcW w:w="142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Contract Liabilities</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contract assets as of December 31, 2021 is primarily due to the execution of a service agreement with a customer during the year. The Company presents contracts assets and contract liabilities arising from this customer contract on a net basis on its balance sheets. As of December 31, 2021 and December 31, 2020, $0.5 million and $1.8 million are recorded as current contract liabilities,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and 2020, the Company had outstanding deferred costs to fulfill contracts of $1.8 million and $3.0 million, respectively. At each period, all outstanding deferred costs were recorded as other current assets.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of deferred costs was $1.4 million, $0.9 million and $0.7 million for the years ended December 31, 2021, 2020 and 2019, respectively. The amortization of these costs is recorded in cost of services of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11"/>
        </w:trPr>
        <w:tc>
          <w:tcPr>
            <w:tcW w:w="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Pr>
          <w:p>
            <w:pPr>
              <w:spacing w:after="0"/>
              <w:rPr>
                <w:sz w:val="21"/>
                <w:szCs w:val="21"/>
                <w:color w:val="auto"/>
              </w:rPr>
            </w:pPr>
          </w:p>
        </w:tc>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Public warrant liability</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Earn-out contingent liability</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10,244</w:t>
            </w:r>
          </w:p>
        </w:tc>
      </w:tr>
      <w:tr>
        <w:trPr>
          <w:trHeight w:val="248"/>
        </w:trPr>
        <w:tc>
          <w:tcPr>
            <w:tcW w:w="20" w:type="dxa"/>
            <w:vAlign w:val="bottom"/>
          </w:tcPr>
          <w:p>
            <w:pPr>
              <w:spacing w:after="0"/>
              <w:rPr>
                <w:sz w:val="21"/>
                <w:szCs w:val="21"/>
                <w:color w:val="auto"/>
              </w:rPr>
            </w:pPr>
          </w:p>
        </w:tc>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$400.6 million cash and cash equivalents presented on the consolidated balance sheets, $385.4 million is in money market funds and is classified within Level 1 of the fair value hierarchy as the fair value is based on quoted prices in active markets.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As of December 31,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contingent obligation to issue earn-out shares for Legacy Sema4 stockholders is accounted for as a liability and required remeasurement at each reporting date. The estimated fair value of the total earn-out shares as of December 31,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metrics. The key assumptions utilized in determining the valuation as of December 31, 2021 and Closing Date were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2021</w:t>
            </w:r>
          </w:p>
        </w:tc>
        <w:tc>
          <w:tcPr>
            <w:tcW w:w="1560" w:type="dxa"/>
            <w:vAlign w:val="bottom"/>
          </w:tcPr>
          <w:p>
            <w:pPr>
              <w:ind w:left="380"/>
              <w:spacing w:after="0"/>
              <w:rPr>
                <w:sz w:val="20"/>
                <w:szCs w:val="20"/>
                <w:color w:val="auto"/>
              </w:rPr>
            </w:pPr>
            <w:r>
              <w:rPr>
                <w:rFonts w:ascii="Arial" w:cs="Arial" w:eastAsia="Arial" w:hAnsi="Arial"/>
                <w:sz w:val="14"/>
                <w:szCs w:val="14"/>
                <w:b w:val="1"/>
                <w:bCs w:val="1"/>
                <w:color w:val="auto"/>
              </w:rPr>
              <w:t>Closing Date</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$11.60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70.0%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0.58%</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0.20%</w:t>
            </w: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earn-out contingent liability is categorized as Level 3 of the fair value hierarchy as the Company utilizes unobservable inputs in estimating volatility rate. Initial fair value determined and recorded at the Closing Date was $143.1 million and a gain of $132.9 million was recorded in the change in fair market value of warrant and earn-out contingent liability in the consolidated statements of operations and comprehensive loss based on re-measurement performed as of December 31, 2021.</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20,743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14,631</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2020 and 2019, depreciation and amortization expense was $21.8 million, $11.7 million and $6.4 million, respectively, which included software amortization expense of $5.6 million, $3.0 million and $1.2 million for the years ended December 31, 2021, 2020 and 2019, respectively. Depreciation and amortization expense is included within the statements of operations and comprehensive loss as follows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years ended December 31, 2021, 2020 and 2019, the Company incurred certain costs with ISMMS. Expenses recognized under the TSA totaled $1.4 million, $7.2 million and $7.8 million for the years ended December 31, 2021, 2020 and 2019, respectively, and are presented within related party expenses in the consolidated statements of operations and comprehensive loss. The Company had TSA payables due to ISMMS of $0 and $0.6 million as of December 31, 2021 and 2020, respectively. These amounts are included within due to related parties on the Company’s consolidated balance sheets.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Expenses recognized pursuant to other service arrangements with ISMMS totaled $7.0 million, $4.4 million and $3.5 million for the years ended December 31, 2021, 2020 and 2019,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$2.6 million and $0.8 million as of December 30, 2021 and 2020, respectively. These amounts are included within due to related parties on the Company’s consolidated balance sheets.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Company incurred $1.3 million in purchases of diagnostic testing kits and materials for the year ended December 31, 2021 from an affiliate of a member of the Board of Directors who has served in the role since July 2021. The prices paid represent market rates. Payables due were $0.1 million as of December 31, 2021.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consolidated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under the SVB Agreement are secured by a first priority perfected security interest in substantially all of the Company’s assets except for</w:t>
      </w:r>
    </w:p>
    <w:p>
      <w:pPr>
        <w:spacing w:after="0" w:line="46" w:lineRule="exact"/>
        <w:rPr>
          <w:sz w:val="20"/>
          <w:szCs w:val="20"/>
          <w:color w:val="auto"/>
        </w:rPr>
      </w:pPr>
    </w:p>
    <w:p>
      <w:pPr>
        <w:jc w:val="both"/>
        <w:ind w:firstLine="8"/>
        <w:spacing w:after="0" w:line="255" w:lineRule="auto"/>
        <w:tabs>
          <w:tab w:leader="none" w:pos="2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No amounts have been drawn under the SVB Agreement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and continues to guarantee’s obligation to repay the DECD. 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116" w:lineRule="exact"/>
        <w:rPr>
          <w:sz w:val="20"/>
          <w:szCs w:val="20"/>
          <w:color w:val="auto"/>
        </w:rPr>
      </w:pPr>
    </w:p>
    <w:p>
      <w:pPr>
        <w:ind w:left="660" w:hanging="324"/>
        <w:spacing w:after="0" w:line="308" w:lineRule="auto"/>
        <w:rPr>
          <w:sz w:val="20"/>
          <w:szCs w:val="20"/>
          <w:color w:val="auto"/>
        </w:rPr>
      </w:pPr>
      <w:r>
        <w:rPr>
          <w:rFonts w:ascii="Arial" w:cs="Arial" w:eastAsia="Arial" w:hAnsi="Arial"/>
          <w:sz w:val="17"/>
          <w:szCs w:val="17"/>
          <w:color w:val="auto"/>
        </w:rPr>
        <w:t>– $4.5 million of Phase 1 funding ($5.0 million) was forgiven in September 2018 based on creating and maintaining 35 new full-time positions in Connecticut, with a combined annual average compensation of $70,000 for a period of 24 continuous months by December 31, 2017;</w:t>
      </w:r>
    </w:p>
    <w:p>
      <w:pPr>
        <w:spacing w:after="0" w:line="92"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$2.8 million of Phase 2 funding ($4.5 million) will be forgiven based on creating 228 new full-time positions in Connecticut, with a combined annual average compensation of $83,000, and maintaining an average of 269 full-time positions for a period of 24 continuous months by December 31, 2021;</w:t>
      </w:r>
    </w:p>
    <w:p>
      <w:pPr>
        <w:spacing w:after="0" w:line="129"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$3.0 million of Phase 3 funding ($6.0 million)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4"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The outstanding loan balance from the DECD was $11.0 million at December 31, 2021 and 2020.</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Arial" w:cs="Arial" w:eastAsia="Arial" w:hAnsi="Arial"/>
                <w:sz w:val="18"/>
                <w:szCs w:val="18"/>
                <w:color w:val="auto"/>
              </w:rPr>
              <w:t>As of December 31, 2021, long-term debt matures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provides a security for the payment and performance of meeting the Company’s obligations to the DECD until the obligations have been fully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the $6.3 million proceeds as restricted cash on the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net in the consolidated statements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the $3.6 million proceeds as restricted cash on the consolidated balance sheets at December 31, 2020. The outstanding loan balance was $3.6 million at December 31, 2020. In July 2021,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terminated the Master Lease Agreement by paying off the full amount, including $3.3 million principal and interest and early payment penalties of $0.2 million assessed pursuant to the terms of the agreement which is included in other income, net in the consolidated statements of operations and comprehensive loss.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The third-party sub-lease agreement required the Company to deliver a letter of credit from a financial institution equal to the amount of the security deposit on the office space. Accordingly, in February 2020, a financial institution issued an irrevocable standby letter of credit to the third party for $0.9 million, which is recorded as restricted cash on the consolidated balance sheets as of December 31, 2021.</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capital lease and the land as an operating lease.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2020, the Company entered into a lease agreement which expanded our existing laboratory facility in Branford, Connecticut. The lease commenced in February 2020 with a 10 year term. The lease includes escalating rent fees over the lease term.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w w:val="99"/>
              </w:rPr>
              <w:t>Future minimum payments under non-cancelable operating leases as of December 31, 2021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Rent expense is recognized on a straight-line basis over the lease term and the Company recorded rent expense related to non-cancelable operating leases of $5.7 million, $5.3 million and $0.8 million for the years ended December 31, 2021, 2020 and 2019, respectively. Rent expense related to month-to-month operating leases was $1.2 million, $3.2 million, and $2.8 million for the years ended December 31, 2021, 2020 and 2019,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3.7% to 12.0% The leases are secured by the underlying equipment. Interest rate for the Stamford Lease is 13.1%.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under capital leases was $27.7 million and $27.0 million as of December 31, 2021 and 2020, respectively. Accumulated amortization on capital lease assets was $13.6 million and $9.7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consolidated balance sheets in accordance with repayment terms. Future payments under capital leases at December 31, 2021,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49,883</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(43,728)</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21,846</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Assets acquired under capital leases was $0.6 million, $7.5 million and $9.8 million for the years ended December 31, 2021, 2020 and 2019, respectively. Interest expense related to capital leases was $2.3 million, $2.2 million and $0.7 million for the years ended December 31,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purchase obligations as of December 31, 2021 with a remaining term of at least one year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Total Commitments</w:t>
            </w: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Materials, services and reagents provider</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Software provider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7,252</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229"/>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Equipment provider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48"/>
        </w:trPr>
        <w:tc>
          <w:tcPr>
            <w:tcW w:w="5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enters into contracts with suppliers to purchase materials needed for diagnostic testing. These contracts generally do not require multiple-year purchase commitments.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financial condition or results of operations.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not a party to any material legal proceedings as of December 31, 2021, nor is it a party to any legal proceedings as of the date of issuance of these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$8 million, $5.5 million and $4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03" w:lineRule="exact"/>
        <w:rPr>
          <w:sz w:val="20"/>
          <w:szCs w:val="20"/>
          <w:color w:val="auto"/>
        </w:rPr>
      </w:pPr>
    </w:p>
    <w:p>
      <w:pPr>
        <w:ind w:right="780"/>
        <w:spacing w:after="0" w:line="438" w:lineRule="auto"/>
        <w:rPr>
          <w:sz w:val="20"/>
          <w:szCs w:val="20"/>
          <w:color w:val="auto"/>
        </w:rPr>
      </w:pPr>
      <w:r>
        <w:rPr>
          <w:rFonts w:ascii="Arial" w:cs="Arial" w:eastAsia="Arial" w:hAnsi="Arial"/>
          <w:sz w:val="18"/>
          <w:szCs w:val="18"/>
          <w:color w:val="auto"/>
        </w:rPr>
        <w:t xml:space="preserve">As of December 31, 2021, there was an aggregate of 15,467,838 shares available for grants of stock options or other awards under the 2021 Plan. </w:t>
      </w:r>
      <w:r>
        <w:rPr>
          <w:rFonts w:ascii="Arial" w:cs="Arial" w:eastAsia="Arial" w:hAnsi="Arial"/>
          <w:sz w:val="18"/>
          <w:szCs w:val="18"/>
          <w:b w:val="1"/>
          <w:bCs w:val="1"/>
          <w:i w:val="1"/>
          <w:iCs w:val="1"/>
          <w:color w:val="auto"/>
        </w:rPr>
        <w:t>Employee Stock Purchase Plan</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 financial statements as of July 22, 2021. An incremental expense of $0.4 million resulting from the modification event was recorded in the year ended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1"/>
                <w:szCs w:val="11"/>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6"/>
                <w:szCs w:val="16"/>
                <w:color w:val="auto"/>
              </w:rPr>
            </w:pPr>
          </w:p>
        </w:tc>
        <w:tc>
          <w:tcPr>
            <w:tcW w:w="1340" w:type="dxa"/>
            <w:vAlign w:val="bottom"/>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32,339,970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159,899</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3,474,905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forfeited and 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(2,660,627)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30,905,543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109,887</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Options exercisable at December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22,930,309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92,974</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Nonvested options outstanding at the end of the year was 7,975,234 with weighted average grant-date fair value of $8.38.</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weighted-average grant-date fair value of options granted and total fair value of the options with tranches vested was $4.97 and $44.6 million for the year ended December 31, 2021, respectively. The weighted-average grant-date fair value of options forfeited and canceled was $10.52 for the year ended December 31, 2021. The aggregate intrinsic value of exercised options was $17.1 million, $0.6 million and $0.0 million in the years ended December 31, 2021, 2020 and 2019, respectively, and is calculated based on the difference between the exercise price and the fair value of the Company’s common stock as of the exercise date. The total payments for share-based liabilities were $0.1 million, $0.3 million and $1.0 million in the years ended December 31, 2021, 2020 and 2019, respectively.</w:t>
      </w:r>
    </w:p>
    <w:p>
      <w:pPr>
        <w:spacing w:after="0" w:line="1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Due to the historical accounting under the liability awards and modification accounting applied upon consummation of the Business Combination, as described above, the Company used the fair value determined on the modification date when calculating the grant-date and total fair value disclosed.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stock option awards for the period ended December 31, 2021, and as of December 31, 2020, and 2019 were estimated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49.60%-67.70%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expected volatility</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66.15%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60.00%</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5.00-6.06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0.50–1.49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3.00–5.00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0.71%-1.26%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1.40%–1.43%</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Fair value of Class A common stock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$7.62-$11.60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$5.49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$0.77</w:t>
            </w: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estimated a volatility factor for the Company’s options based on analysis of historical share prices of a peer group of public companies. We did not rely on the volatility of the Company’s common stock because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during the three months ended December 31, 2021, which were vesting beginning 12 months from the grant date and vesting immediately on the grant date. The following table summarizes the activity related to the Company's time-based RSUs: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Restricted Stock Units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Restricted Stock Units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14,250,909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Stock Units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Restricted Stock Units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12,589,558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Nonvested RSUs outstanding at the end of the year was 12,589,558 with weighted average grant-date fair value of $7.64. The total fair value of RSUs vested for the year ended December 31, 2021 was $9.9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grant date fair value determined for Triggering Event I, II and III was $1.82, $1.39 and $0.94 per unit, respectively. Any re-allocated RSUs due to the Sema4 Legacy option holders’ forfeiture activities were accounted for as new grants and the fair value determined for Triggering Event I, II and III was $0.86, $0.61 and $0.41 per unit, respectively. Based on the grant date fair value, the Company expects to record total expense related to the Earn-out RSU Awards of $3.5 million. The Company expects to recognize the stock-compensation cost over the longer of the derived service period or service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year ended December 31, 2021. There were no outstanding SARs as of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is included within the consolidated statements of operations and comprehensive loss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3"/>
              <w:spacing w:after="0" w:line="224" w:lineRule="exact"/>
              <w:rPr>
                <w:sz w:val="20"/>
                <w:szCs w:val="20"/>
                <w:color w:val="auto"/>
              </w:rPr>
            </w:pPr>
            <w:r>
              <w:rPr>
                <w:rFonts w:ascii="Arial" w:cs="Arial" w:eastAsia="Arial" w:hAnsi="Arial"/>
                <w:sz w:val="18"/>
                <w:szCs w:val="18"/>
                <w:color w:val="auto"/>
                <w:w w:val="85"/>
              </w:rPr>
              <w:t>(Restated)</w:t>
            </w:r>
            <w:r>
              <w:rPr>
                <w:rFonts w:ascii="Arial" w:cs="Arial" w:eastAsia="Arial" w:hAnsi="Arial"/>
                <w:sz w:val="23"/>
                <w:szCs w:val="23"/>
                <w:color w:val="auto"/>
                <w:w w:val="85"/>
                <w:vertAlign w:val="superscript"/>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3"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Refer to Note 2, “Summary of Significant Accounting Policies.” for further details and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unrecognized stock-based compensation cost related to the unvested portion of the Company’s stock options was $29.7 million, which is expected to be recognized on a graded-vesting basis over a weighted-average period of 1.6 years. As of December 31, 2021, unrecognized stock-based compensation cost related to the Company’s RSUs was $78.4 million, which is expected to be recognized on a graded-vesting basis over a weighted-average period of 1.7 years.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of Redeemable Convertible Preferred Stock outstanding as of December 31, 2021. Redeemable Convertible Preferred Stock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consisted of the following (in thousands, except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28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40" w:type="dxa"/>
            <w:vAlign w:val="bottom"/>
          </w:tcPr>
          <w:p>
            <w:pPr>
              <w:jc w:val="right"/>
              <w:spacing w:after="0"/>
              <w:rPr>
                <w:sz w:val="20"/>
                <w:szCs w:val="20"/>
                <w:color w:val="auto"/>
              </w:rPr>
            </w:pPr>
            <w:r>
              <w:rPr>
                <w:rFonts w:ascii="Arial" w:cs="Arial" w:eastAsia="Arial" w:hAnsi="Arial"/>
                <w:sz w:val="18"/>
                <w:szCs w:val="18"/>
                <w:color w:val="auto"/>
              </w:rPr>
              <w:t>64,718,940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49,700,364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24,497,317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24,496,946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186,554,160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171,535,213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242,647,604 shares of Sema4 Holdings Class A common stock and 124 shares of Legacy Sema4 Class A common stock issued and outstanding as of December 31, 2021 and 2020, respectively. There were 0 and 130,557 shares of Class B common stock issued and outstanding as of December 31,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incomes taxes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w w:val="96"/>
              </w:rPr>
              <w:t>Year Ended December 31,</w:t>
            </w: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r>
      <w:tr>
        <w:trPr>
          <w:trHeight w:val="21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Foreign</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w:t>
            </w:r>
          </w:p>
        </w:tc>
        <w:tc>
          <w:tcPr>
            <w:tcW w:w="112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6"/>
        </w:trPr>
        <w:tc>
          <w:tcPr>
            <w:tcW w:w="6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Foreign</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Deferred</w:t>
            </w:r>
          </w:p>
        </w:tc>
        <w:tc>
          <w:tcPr>
            <w:tcW w:w="112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Tax Expense</w:t>
            </w:r>
          </w:p>
        </w:tc>
        <w:tc>
          <w:tcPr>
            <w:tcW w:w="112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1"/>
        </w:trPr>
        <w:tc>
          <w:tcPr>
            <w:tcW w:w="6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2020 and 2019, the Company did not have a current or deferred income tax expense or (benefit). Accordingly, the effective tax rate for the Company for the years ended December 31, 2021, 2020 and 2019 was zero percent. A reconciliation of the anticipated income tax expense/(benefit) computed by applying the statutory federal income tax rate of 21% to income before taxes to the amount reported in the statement of operations and comprehensive loss is as follows (in thousands):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Year Ended December 31,</w:t>
            </w:r>
          </w:p>
        </w:tc>
        <w:tc>
          <w:tcPr>
            <w:tcW w:w="1560" w:type="dxa"/>
            <w:vAlign w:val="bottom"/>
            <w:tcBorders>
              <w:bottom w:val="single" w:sz="8" w:color="auto"/>
            </w:tcBorders>
          </w:tcPr>
          <w:p>
            <w:pPr>
              <w:spacing w:after="0"/>
              <w:rPr>
                <w:sz w:val="16"/>
                <w:szCs w:val="16"/>
                <w:color w:val="auto"/>
              </w:rPr>
            </w:pPr>
          </w:p>
        </w:tc>
      </w:tr>
      <w:tr>
        <w:trPr>
          <w:trHeight w:val="187"/>
        </w:trPr>
        <w:tc>
          <w:tcPr>
            <w:tcW w:w="62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70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700" w:type="dxa"/>
            <w:vAlign w:val="bottom"/>
            <w:gridSpan w:val="2"/>
          </w:tcPr>
          <w:p>
            <w:pPr>
              <w:jc w:val="center"/>
              <w:ind w:left="36"/>
              <w:spacing w:after="0"/>
              <w:rPr>
                <w:sz w:val="20"/>
                <w:szCs w:val="20"/>
                <w:color w:val="auto"/>
              </w:rPr>
            </w:pPr>
            <w:r>
              <w:rPr>
                <w:rFonts w:ascii="Arial" w:cs="Arial" w:eastAsia="Arial" w:hAnsi="Arial"/>
                <w:sz w:val="18"/>
                <w:szCs w:val="18"/>
                <w:color w:val="auto"/>
                <w:w w:val="87"/>
              </w:rPr>
              <w:t>2.1</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3.5</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700" w:type="dxa"/>
            <w:vAlign w:val="bottom"/>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87"/>
              </w:rPr>
              <w:t>0.6</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(11.3)</w:t>
            </w:r>
          </w:p>
        </w:tc>
        <w:tc>
          <w:tcPr>
            <w:tcW w:w="1700" w:type="dxa"/>
            <w:vAlign w:val="bottom"/>
            <w:gridSpan w:val="2"/>
          </w:tcPr>
          <w:p>
            <w:pPr>
              <w:jc w:val="center"/>
              <w:ind w:left="36"/>
              <w:spacing w:after="0"/>
              <w:rPr>
                <w:sz w:val="20"/>
                <w:szCs w:val="20"/>
                <w:color w:val="auto"/>
              </w:rPr>
            </w:pPr>
            <w:r>
              <w:rPr>
                <w:rFonts w:ascii="Arial" w:cs="Arial" w:eastAsia="Arial" w:hAnsi="Arial"/>
                <w:sz w:val="18"/>
                <w:szCs w:val="18"/>
                <w:color w:val="auto"/>
                <w:w w:val="91"/>
              </w:rPr>
              <w:t>(7.8)</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162(m) Limitation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(0.5)</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fair market value gain on warrants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17.0</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(32.0)</w:t>
            </w:r>
          </w:p>
        </w:tc>
        <w:tc>
          <w:tcPr>
            <w:tcW w:w="1700" w:type="dxa"/>
            <w:vAlign w:val="bottom"/>
            <w:gridSpan w:val="2"/>
          </w:tcPr>
          <w:p>
            <w:pPr>
              <w:jc w:val="center"/>
              <w:ind w:left="36"/>
              <w:spacing w:after="0"/>
              <w:rPr>
                <w:sz w:val="20"/>
                <w:szCs w:val="20"/>
                <w:color w:val="auto"/>
              </w:rPr>
            </w:pPr>
            <w:r>
              <w:rPr>
                <w:rFonts w:ascii="Arial" w:cs="Arial" w:eastAsia="Arial" w:hAnsi="Arial"/>
                <w:sz w:val="18"/>
                <w:szCs w:val="18"/>
                <w:color w:val="auto"/>
                <w:w w:val="89"/>
              </w:rPr>
              <w:t>(15.9)</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(24.1)</w:t>
            </w:r>
          </w:p>
        </w:tc>
      </w:tr>
      <w:tr>
        <w:trPr>
          <w:trHeight w:val="25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132,075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44,583</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2,337</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4,667</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employer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Obsolete inventory reserve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160,463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the following tax net operating loss carryforwards available to reduce future federal and state taxable income, and tax credit carryforwards available to offset future federal and Connecticut income taxes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period</w:t>
            </w: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2036-2037</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tcPr>
          <w:p>
            <w:pPr>
              <w:jc w:val="right"/>
              <w:spacing w:after="0"/>
              <w:rPr>
                <w:sz w:val="20"/>
                <w:szCs w:val="20"/>
                <w:color w:val="auto"/>
              </w:rPr>
            </w:pPr>
            <w:r>
              <w:rPr>
                <w:rFonts w:ascii="Arial" w:cs="Arial" w:eastAsia="Arial" w:hAnsi="Arial"/>
                <w:sz w:val="18"/>
                <w:szCs w:val="18"/>
                <w:color w:val="auto"/>
              </w:rPr>
              <w:t>589,584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2028-2042</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2038-2040</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2034-2035</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deferred tax valuation allowance balances (in thousands):</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242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Balance at the Beginning of Period</w:t>
            </w:r>
          </w:p>
        </w:tc>
        <w:tc>
          <w:tcPr>
            <w:tcW w:w="2440" w:type="dxa"/>
            <w:vAlign w:val="bottom"/>
            <w:gridSpan w:val="2"/>
          </w:tcPr>
          <w:p>
            <w:pPr>
              <w:ind w:left="860"/>
              <w:spacing w:after="0"/>
              <w:rPr>
                <w:sz w:val="20"/>
                <w:szCs w:val="20"/>
                <w:color w:val="auto"/>
              </w:rPr>
            </w:pPr>
            <w:r>
              <w:rPr>
                <w:rFonts w:ascii="Arial" w:cs="Arial" w:eastAsia="Arial" w:hAnsi="Arial"/>
                <w:sz w:val="14"/>
                <w:szCs w:val="14"/>
                <w:b w:val="1"/>
                <w:bCs w:val="1"/>
                <w:color w:val="auto"/>
              </w:rPr>
              <w:t>Additions</w:t>
            </w:r>
          </w:p>
        </w:tc>
        <w:tc>
          <w:tcPr>
            <w:tcW w:w="2420" w:type="dxa"/>
            <w:vAlign w:val="bottom"/>
            <w:gridSpan w:val="2"/>
          </w:tcPr>
          <w:p>
            <w:pPr>
              <w:ind w:left="600"/>
              <w:spacing w:after="0"/>
              <w:rPr>
                <w:sz w:val="20"/>
                <w:szCs w:val="20"/>
                <w:color w:val="auto"/>
              </w:rPr>
            </w:pPr>
            <w:r>
              <w:rPr>
                <w:rFonts w:ascii="Arial" w:cs="Arial" w:eastAsia="Arial" w:hAnsi="Arial"/>
                <w:sz w:val="14"/>
                <w:szCs w:val="14"/>
                <w:b w:val="1"/>
                <w:bCs w:val="1"/>
                <w:color w:val="auto"/>
              </w:rPr>
              <w:t>Write-Offs/Other</w:t>
            </w:r>
          </w:p>
        </w:tc>
        <w:tc>
          <w:tcPr>
            <w:tcW w:w="200" w:type="dxa"/>
            <w:vAlign w:val="bottom"/>
          </w:tcPr>
          <w:p>
            <w:pPr>
              <w:spacing w:after="0"/>
              <w:rPr>
                <w:sz w:val="16"/>
                <w:szCs w:val="16"/>
                <w:color w:val="auto"/>
              </w:rPr>
            </w:pPr>
          </w:p>
        </w:tc>
        <w:tc>
          <w:tcPr>
            <w:tcW w:w="218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Balance at the End of Period</w:t>
            </w:r>
          </w:p>
        </w:tc>
      </w:tr>
      <w:tr>
        <w:trPr>
          <w:trHeight w:val="229"/>
        </w:trPr>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97,404</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r>
      <w:tr>
        <w:trPr>
          <w:trHeight w:val="229"/>
        </w:trPr>
        <w:tc>
          <w:tcPr>
            <w:tcW w:w="13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9"/>
                <w:szCs w:val="19"/>
                <w:color w:val="auto"/>
              </w:rPr>
            </w:pP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20,082</w:t>
            </w:r>
          </w:p>
        </w:tc>
        <w:tc>
          <w:tcPr>
            <w:tcW w:w="1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38,182</w:t>
            </w:r>
          </w:p>
        </w:tc>
        <w:tc>
          <w:tcPr>
            <w:tcW w:w="120" w:type="dxa"/>
            <w:vAlign w:val="bottom"/>
          </w:tcPr>
          <w:p>
            <w:pPr>
              <w:spacing w:after="0"/>
              <w:rPr>
                <w:sz w:val="19"/>
                <w:szCs w:val="19"/>
                <w:color w:val="auto"/>
              </w:rPr>
            </w:pPr>
          </w:p>
        </w:tc>
        <w:tc>
          <w:tcPr>
            <w:tcW w:w="242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58,264</w:t>
            </w:r>
          </w:p>
        </w:tc>
      </w:tr>
      <w:tr>
        <w:trPr>
          <w:trHeight w:val="229"/>
        </w:trPr>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Future realization of the tax benefits of existing temporary differences and carryforwards ultimately depends on the existence of sufficient taxable income within the carryforward period. As of December 31, 2021 and 2020,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2021, 2020 and 2019. The valuation allowance increased by $97.4 million in 2021, $38.1 million in 2020 and $7.1 million in 2019 primarily due to the increase in net operating loss carryforwards, research and development tax credits, accrued compensation expenses, stock-based compensation and deferred rent expense.</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amounts of unrecognized tax benefits for the years ended December 31, 2021, 2020 and 2019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6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636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106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6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2021, 2020 and 2019, the Company has not accrued interest or penalties related to uncertain tax positions.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7"/>
              </w:rPr>
              <w:t>Denominator for basic and diluted earnings per share-weighted-average common</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and RSUs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32,339,971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22,491,757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Outstanding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21,994,972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earn-out shares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Outstanding earn-out RSUs</w:t>
            </w:r>
          </w:p>
        </w:tc>
        <w:tc>
          <w:tcPr>
            <w:tcW w:w="1560" w:type="dxa"/>
            <w:vAlign w:val="bottom"/>
          </w:tcPr>
          <w:p>
            <w:pPr>
              <w:jc w:val="right"/>
              <w:spacing w:after="0"/>
              <w:rPr>
                <w:sz w:val="20"/>
                <w:szCs w:val="20"/>
                <w:color w:val="auto"/>
              </w:rPr>
            </w:pPr>
            <w:r>
              <w:rPr>
                <w:rFonts w:ascii="Arial" w:cs="Arial" w:eastAsia="Arial" w:hAnsi="Arial"/>
                <w:sz w:val="18"/>
                <w:szCs w:val="18"/>
                <w:color w:val="auto"/>
              </w:rPr>
              <w:t>2,669,679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157,618,388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121,298,525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76,536,415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189,958,359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143,790,282</w:t>
            </w:r>
          </w:p>
        </w:tc>
        <w:tc>
          <w:tcPr>
            <w:tcW w:w="0" w:type="dxa"/>
            <w:vAlign w:val="bottom"/>
          </w:tcPr>
          <w:p>
            <w:pPr>
              <w:spacing w:after="0"/>
              <w:rPr>
                <w:sz w:val="1"/>
                <w:szCs w:val="1"/>
                <w:color w:val="auto"/>
              </w:rPr>
            </w:pPr>
          </w:p>
        </w:tc>
      </w:tr>
      <w:tr>
        <w:trPr>
          <w:trHeight w:val="21"/>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15. Supplemental Financial Information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bonus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Accrued payroll</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benefits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Accrued commissions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other liabilities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Acquisition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14, 2022, the Company entered into an Agreement and Plan of Merger and Reorganization (the “Merger Agreement”) with GeneDx, Inc., a New Jersey corporation (“GeneDx”) and a wholly-owned subsidiary of OPKO Health, inc, and the other parties thereto.</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the terms and conditions of the Merger Agreement, the Company agreed to pay to OPKO Health Inc., of (i) $150 million in cash at the closing of the acquisition (the “Closing”), subject to certain adjustments as provided in the Merger Agreement, (ii) 80 million shares of the Company’s Class A common stock,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acquisition is expected to close in the first half of 2022, subject to the receipt of the required approval by the Company’s stockholders and the satisfaction of the closing conditions set forth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 and PIPE Investment (Private Placement)</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January 14, 2022, concurrently with the execution of the Merger Agreement, the Company entered into subscription agreements for a private placement financing to issue and sell $200 million in Class A common stock at a price of $4.00 per share to a syndicate of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60" w:type="dxa"/>
            <w:vAlign w:val="bottom"/>
          </w:tcPr>
          <w:p>
            <w:pPr>
              <w:jc w:val="center"/>
              <w:ind w:right="3330"/>
              <w:spacing w:after="0"/>
              <w:rPr>
                <w:sz w:val="20"/>
                <w:szCs w:val="20"/>
                <w:color w:val="auto"/>
              </w:rPr>
            </w:pPr>
            <w:r>
              <w:rPr>
                <w:rFonts w:ascii="Arial" w:cs="Arial" w:eastAsia="Arial" w:hAnsi="Arial"/>
                <w:sz w:val="18"/>
                <w:szCs w:val="18"/>
                <w:b w:val="1"/>
                <w:bCs w:val="1"/>
                <w:color w:val="auto"/>
                <w:w w:val="99"/>
              </w:rPr>
              <w:t>GENEDX, INC. AND SUBSIDIARY</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0" w:type="dxa"/>
            <w:vAlign w:val="bottom"/>
            <w:gridSpan w:val="4"/>
          </w:tcPr>
          <w:p>
            <w:pPr>
              <w:jc w:val="center"/>
              <w:ind w:right="2310"/>
              <w:spacing w:after="0"/>
              <w:rPr>
                <w:sz w:val="20"/>
                <w:szCs w:val="20"/>
                <w:color w:val="auto"/>
              </w:rPr>
            </w:pPr>
            <w:r>
              <w:rPr>
                <w:rFonts w:ascii="Arial" w:cs="Arial" w:eastAsia="Arial" w:hAnsi="Arial"/>
                <w:sz w:val="18"/>
                <w:szCs w:val="18"/>
                <w:b w:val="1"/>
                <w:bCs w:val="1"/>
                <w:color w:val="auto"/>
              </w:rPr>
              <w:t>COMBINED CARVE OUT FINANCIAL STATEMENTS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3"/>
          </w:tcPr>
          <w:p>
            <w:pPr>
              <w:jc w:val="center"/>
              <w:ind w:right="2650"/>
              <w:spacing w:after="0"/>
              <w:rPr>
                <w:sz w:val="20"/>
                <w:szCs w:val="20"/>
                <w:color w:val="auto"/>
              </w:rPr>
            </w:pPr>
            <w:r>
              <w:rPr>
                <w:rFonts w:ascii="Arial" w:cs="Arial" w:eastAsia="Arial" w:hAnsi="Arial"/>
                <w:sz w:val="18"/>
                <w:szCs w:val="18"/>
                <w:b w:val="1"/>
                <w:bCs w:val="1"/>
                <w:color w:val="auto"/>
                <w:w w:val="95"/>
              </w:rPr>
              <w:t>YEARS ENDED DECEMBER 31, 2021 and 2020</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00" w:type="dxa"/>
            <w:vAlign w:val="bottom"/>
            <w:vMerge w:val="restart"/>
          </w:tcPr>
          <w:p>
            <w:pPr>
              <w:spacing w:after="0"/>
              <w:rPr>
                <w:rFonts w:ascii="Arial" w:cs="Arial" w:eastAsia="Arial" w:hAnsi="Arial"/>
                <w:sz w:val="18"/>
                <w:szCs w:val="18"/>
                <w:color w:val="0000FF"/>
                <w:w w:val="91"/>
              </w:rPr>
            </w:pPr>
            <w:hyperlink w:anchor="page214">
              <w:r>
                <w:rPr>
                  <w:rFonts w:ascii="Arial" w:cs="Arial" w:eastAsia="Arial" w:hAnsi="Arial"/>
                  <w:sz w:val="18"/>
                  <w:szCs w:val="18"/>
                  <w:color w:val="0000FF"/>
                  <w:w w:val="91"/>
                </w:rPr>
                <w:t>Report of Independent Auditors</w:t>
              </w:r>
            </w:hyperlink>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3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spacing w:after="0" w:line="169" w:lineRule="exact"/>
              <w:rPr>
                <w:rFonts w:ascii="Arial" w:cs="Arial" w:eastAsia="Arial" w:hAnsi="Arial"/>
                <w:sz w:val="18"/>
                <w:szCs w:val="18"/>
                <w:color w:val="0000FF"/>
                <w:w w:val="91"/>
              </w:rPr>
            </w:pPr>
            <w:r>
              <w:rPr>
                <w:rFonts w:ascii="Arial" w:cs="Arial" w:eastAsia="Arial" w:hAnsi="Arial"/>
                <w:sz w:val="18"/>
                <w:szCs w:val="18"/>
                <w:color w:val="0000FF"/>
                <w:w w:val="91"/>
              </w:rPr>
              <w:t>F-</w:t>
            </w:r>
            <w:hyperlink w:anchor="page214">
              <w:r>
                <w:rPr>
                  <w:rFonts w:ascii="Arial" w:cs="Arial" w:eastAsia="Arial" w:hAnsi="Arial"/>
                  <w:sz w:val="18"/>
                  <w:szCs w:val="18"/>
                  <w:color w:val="0000FF"/>
                  <w:w w:val="91"/>
                </w:rPr>
                <w:t>42</w:t>
              </w:r>
            </w:hyperlink>
          </w:p>
        </w:tc>
        <w:tc>
          <w:tcPr>
            <w:tcW w:w="0" w:type="dxa"/>
            <w:vAlign w:val="bottom"/>
          </w:tcPr>
          <w:p>
            <w:pPr>
              <w:spacing w:after="0"/>
              <w:rPr>
                <w:sz w:val="1"/>
                <w:szCs w:val="1"/>
                <w:color w:val="auto"/>
              </w:rPr>
            </w:pPr>
          </w:p>
        </w:tc>
      </w:tr>
      <w:tr>
        <w:trPr>
          <w:trHeight w:val="27"/>
        </w:trPr>
        <w:tc>
          <w:tcPr>
            <w:tcW w:w="268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500" w:type="dxa"/>
            <w:vAlign w:val="bottom"/>
            <w:gridSpan w:val="7"/>
          </w:tcPr>
          <w:p>
            <w:pPr>
              <w:spacing w:after="0"/>
              <w:rPr>
                <w:rFonts w:ascii="Arial" w:cs="Arial" w:eastAsia="Arial" w:hAnsi="Arial"/>
                <w:sz w:val="18"/>
                <w:szCs w:val="18"/>
                <w:color w:val="0000FF"/>
              </w:rPr>
            </w:pPr>
            <w:hyperlink w:anchor="page216">
              <w:r>
                <w:rPr>
                  <w:rFonts w:ascii="Arial" w:cs="Arial" w:eastAsia="Arial" w:hAnsi="Arial"/>
                  <w:sz w:val="18"/>
                  <w:szCs w:val="18"/>
                  <w:color w:val="0000FF"/>
                </w:rPr>
                <w:t>Combined Carve Out Balance Sheets</w:t>
              </w:r>
            </w:hyperlink>
          </w:p>
        </w:tc>
        <w:tc>
          <w:tcPr>
            <w:tcW w:w="720" w:type="dxa"/>
            <w:vAlign w:val="bottom"/>
            <w:gridSpan w:val="3"/>
          </w:tcPr>
          <w:p>
            <w:pPr>
              <w:ind w:left="360"/>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6">
              <w:r>
                <w:rPr>
                  <w:rFonts w:ascii="Arial" w:cs="Arial" w:eastAsia="Arial" w:hAnsi="Arial"/>
                  <w:sz w:val="18"/>
                  <w:szCs w:val="18"/>
                  <w:color w:val="0000FF"/>
                  <w:w w:val="91"/>
                </w:rPr>
                <w:t>44</w:t>
              </w:r>
            </w:hyperlink>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6"/>
          </w:tcPr>
          <w:p>
            <w:pPr>
              <w:spacing w:after="0"/>
              <w:rPr>
                <w:rFonts w:ascii="Arial" w:cs="Arial" w:eastAsia="Arial" w:hAnsi="Arial"/>
                <w:sz w:val="18"/>
                <w:szCs w:val="18"/>
                <w:color w:val="0000FF"/>
                <w:w w:val="89"/>
              </w:rPr>
            </w:pPr>
            <w:hyperlink w:anchor="page217">
              <w:r>
                <w:rPr>
                  <w:rFonts w:ascii="Arial" w:cs="Arial" w:eastAsia="Arial" w:hAnsi="Arial"/>
                  <w:sz w:val="18"/>
                  <w:szCs w:val="18"/>
                  <w:color w:val="0000FF"/>
                  <w:w w:val="89"/>
                </w:rPr>
                <w:t>Combined Carve Out Statements of Comprehensive Loss</w:t>
              </w:r>
            </w:hyperlink>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7">
              <w:r>
                <w:rPr>
                  <w:rFonts w:ascii="Arial" w:cs="Arial" w:eastAsia="Arial" w:hAnsi="Arial"/>
                  <w:sz w:val="18"/>
                  <w:szCs w:val="18"/>
                  <w:color w:val="0000FF"/>
                  <w:w w:val="91"/>
                </w:rPr>
                <w:t>45</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00" w:type="dxa"/>
            <w:vAlign w:val="bottom"/>
            <w:gridSpan w:val="3"/>
          </w:tcPr>
          <w:p>
            <w:pPr>
              <w:spacing w:after="0"/>
              <w:rPr>
                <w:rFonts w:ascii="Arial" w:cs="Arial" w:eastAsia="Arial" w:hAnsi="Arial"/>
                <w:sz w:val="18"/>
                <w:szCs w:val="18"/>
                <w:color w:val="0000FF"/>
                <w:w w:val="90"/>
              </w:rPr>
            </w:pPr>
            <w:hyperlink w:anchor="page218">
              <w:r>
                <w:rPr>
                  <w:rFonts w:ascii="Arial" w:cs="Arial" w:eastAsia="Arial" w:hAnsi="Arial"/>
                  <w:sz w:val="18"/>
                  <w:szCs w:val="18"/>
                  <w:color w:val="0000FF"/>
                  <w:w w:val="90"/>
                </w:rPr>
                <w:t>Combined Carve Out Statements of Equity</w:t>
              </w:r>
            </w:hyperlink>
          </w:p>
        </w:tc>
        <w:tc>
          <w:tcPr>
            <w:tcW w:w="1040" w:type="dxa"/>
            <w:vAlign w:val="bottom"/>
            <w:gridSpan w:val="3"/>
          </w:tcPr>
          <w:p>
            <w:pPr>
              <w:spacing w:after="0"/>
              <w:rPr>
                <w:sz w:val="18"/>
                <w:szCs w:val="18"/>
                <w:color w:val="auto"/>
              </w:rPr>
            </w:pPr>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8">
              <w:r>
                <w:rPr>
                  <w:rFonts w:ascii="Arial" w:cs="Arial" w:eastAsia="Arial" w:hAnsi="Arial"/>
                  <w:sz w:val="18"/>
                  <w:szCs w:val="18"/>
                  <w:color w:val="0000FF"/>
                  <w:w w:val="91"/>
                </w:rPr>
                <w:t>46</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7"/>
          </w:tcPr>
          <w:p>
            <w:pPr>
              <w:spacing w:after="0"/>
              <w:rPr>
                <w:rFonts w:ascii="Arial" w:cs="Arial" w:eastAsia="Arial" w:hAnsi="Arial"/>
                <w:sz w:val="18"/>
                <w:szCs w:val="18"/>
                <w:color w:val="0000FF"/>
              </w:rPr>
            </w:pPr>
            <w:hyperlink w:anchor="page219">
              <w:r>
                <w:rPr>
                  <w:rFonts w:ascii="Arial" w:cs="Arial" w:eastAsia="Arial" w:hAnsi="Arial"/>
                  <w:sz w:val="18"/>
                  <w:szCs w:val="18"/>
                  <w:color w:val="0000FF"/>
                </w:rPr>
                <w:t>Combined Carve Out Statements of Cash Flows</w:t>
              </w:r>
            </w:hyperlink>
          </w:p>
        </w:tc>
        <w:tc>
          <w:tcPr>
            <w:tcW w:w="720" w:type="dxa"/>
            <w:vAlign w:val="bottom"/>
            <w:gridSpan w:val="3"/>
          </w:tcPr>
          <w:p>
            <w:pPr>
              <w:ind w:left="360"/>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9">
              <w:r>
                <w:rPr>
                  <w:rFonts w:ascii="Arial" w:cs="Arial" w:eastAsia="Arial" w:hAnsi="Arial"/>
                  <w:sz w:val="18"/>
                  <w:szCs w:val="18"/>
                  <w:color w:val="0000FF"/>
                  <w:w w:val="91"/>
                </w:rPr>
                <w:t>47</w:t>
              </w:r>
            </w:hyperlink>
          </w:p>
        </w:tc>
        <w:tc>
          <w:tcPr>
            <w:tcW w:w="0" w:type="dxa"/>
            <w:vAlign w:val="bottom"/>
          </w:tcPr>
          <w:p>
            <w:pPr>
              <w:spacing w:after="0"/>
              <w:rPr>
                <w:sz w:val="1"/>
                <w:szCs w:val="1"/>
                <w:color w:val="auto"/>
              </w:rPr>
            </w:pPr>
          </w:p>
        </w:tc>
      </w:tr>
      <w:tr>
        <w:trPr>
          <w:trHeight w:val="20"/>
        </w:trPr>
        <w:tc>
          <w:tcPr>
            <w:tcW w:w="34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7"/>
          </w:tcPr>
          <w:p>
            <w:pPr>
              <w:spacing w:after="0"/>
              <w:rPr>
                <w:rFonts w:ascii="Arial" w:cs="Arial" w:eastAsia="Arial" w:hAnsi="Arial"/>
                <w:sz w:val="18"/>
                <w:szCs w:val="18"/>
                <w:color w:val="0000FF"/>
              </w:rPr>
            </w:pPr>
            <w:hyperlink w:anchor="page220">
              <w:r>
                <w:rPr>
                  <w:rFonts w:ascii="Arial" w:cs="Arial" w:eastAsia="Arial" w:hAnsi="Arial"/>
                  <w:sz w:val="18"/>
                  <w:szCs w:val="18"/>
                  <w:color w:val="0000FF"/>
                </w:rPr>
                <w:t>Notes to Combined Carve Out Financial Statements</w:t>
              </w:r>
            </w:hyperlink>
          </w:p>
        </w:tc>
        <w:tc>
          <w:tcPr>
            <w:tcW w:w="720" w:type="dxa"/>
            <w:vAlign w:val="bottom"/>
            <w:gridSpan w:val="3"/>
          </w:tcPr>
          <w:p>
            <w:pPr>
              <w:ind w:left="360"/>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20">
              <w:r>
                <w:rPr>
                  <w:rFonts w:ascii="Arial" w:cs="Arial" w:eastAsia="Arial" w:hAnsi="Arial"/>
                  <w:sz w:val="18"/>
                  <w:szCs w:val="18"/>
                  <w:color w:val="0000FF"/>
                  <w:w w:val="91"/>
                </w:rPr>
                <w:t>48</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20"/>
          </w:cols>
          <w:pgMar w:left="340" w:top="1440" w:right="339" w:bottom="1440" w:gutter="0" w:footer="0" w:header="0"/>
        </w:sectPr>
      </w:pPr>
    </w:p>
    <w:bookmarkStart w:id="214" w:name="page215"/>
    <w:bookmarkEnd w:id="214"/>
    <w:p>
      <w:pPr>
        <w:spacing w:after="0" w:line="14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Report of Independent Auditors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GeneDx, Inc. and Subsidiary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audited the combined carve-out financial statements of GeneDx, Inc. and subsidiary (the Company), which comprise the combined carve out balance sheets as of December 31, 2021 and 2020, and the related combined carve out statements of comprehensive loss, equity and cash flows for the years then ended, and the related notes (collectively referred to as the “combined financial statements”).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accompanying financial statements present fairly, in all material respects, the financial position of the Company at December 31, 2021 and 2020, and the results of its operations and its cash flows for the years then ended in accordance with accounting principles generally accepted in the United States of America.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for the Financial Statements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 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 for the Audit of the Financial Statements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 performing an audit in accordance with GAAS, we:</w:t>
      </w:r>
    </w:p>
    <w:p>
      <w:pPr>
        <w:spacing w:after="0" w:line="171"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 w:lineRule="exact"/>
        <w:rPr>
          <w:rFonts w:ascii="Arial" w:cs="Arial" w:eastAsia="Arial" w:hAnsi="Arial"/>
          <w:sz w:val="16"/>
          <w:szCs w:val="16"/>
          <w:color w:val="auto"/>
        </w:rPr>
      </w:pPr>
    </w:p>
    <w:p>
      <w:pPr>
        <w:ind w:left="660" w:right="20" w:hanging="328"/>
        <w:spacing w:after="0" w:line="260"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ind w:left="66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Miami, FL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Investment in related companies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183,702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Due from Parent and its subsidiaries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long-term liabilities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66,541</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Common Stock - $0.01 par value per share, 100 shares authorized; 100 shares issued and outstanding at</w:t>
            </w: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2021 and 2020, respectively</w:t>
            </w: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660,506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622,752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460,206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74,367</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41,583</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16,813</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(46,853)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(46,940)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(34,903)</w:t>
            </w: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gridSpan w:val="6"/>
          </w:tcPr>
          <w:p>
            <w:pPr>
              <w:jc w:val="center"/>
              <w:ind w:left="139"/>
              <w:spacing w:after="0"/>
              <w:rPr>
                <w:sz w:val="20"/>
                <w:szCs w:val="20"/>
                <w:color w:val="auto"/>
              </w:rPr>
            </w:pPr>
            <w:r>
              <w:rPr>
                <w:rFonts w:ascii="Arial" w:cs="Arial" w:eastAsia="Arial" w:hAnsi="Arial"/>
                <w:sz w:val="18"/>
                <w:szCs w:val="18"/>
                <w:b w:val="1"/>
                <w:bCs w:val="1"/>
                <w:color w:val="auto"/>
                <w:w w:val="91"/>
              </w:rPr>
              <w:t>GeneDx, Inc. and Subsidiary</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8500" w:type="dxa"/>
            <w:vAlign w:val="bottom"/>
            <w:gridSpan w:val="15"/>
          </w:tcPr>
          <w:p>
            <w:pPr>
              <w:jc w:val="center"/>
              <w:ind w:left="2670"/>
              <w:spacing w:after="0"/>
              <w:rPr>
                <w:sz w:val="20"/>
                <w:szCs w:val="20"/>
                <w:color w:val="auto"/>
              </w:rPr>
            </w:pPr>
            <w:r>
              <w:rPr>
                <w:rFonts w:ascii="Arial" w:cs="Arial" w:eastAsia="Arial" w:hAnsi="Arial"/>
                <w:sz w:val="18"/>
                <w:szCs w:val="18"/>
                <w:b w:val="1"/>
                <w:bCs w:val="1"/>
                <w:color w:val="auto"/>
              </w:rPr>
              <w:t>COMBINED CARVE OUT STATEMENTS OF EQUITY</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88"/>
              </w:rPr>
              <w:t>(in thousands, except share data)</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7520" w:type="dxa"/>
            <w:vAlign w:val="bottom"/>
            <w:gridSpan w:val="13"/>
          </w:tcPr>
          <w:p>
            <w:pPr>
              <w:jc w:val="center"/>
              <w:ind w:left="3630"/>
              <w:spacing w:after="0"/>
              <w:rPr>
                <w:sz w:val="20"/>
                <w:szCs w:val="20"/>
                <w:color w:val="auto"/>
              </w:rPr>
            </w:pPr>
            <w:r>
              <w:rPr>
                <w:rFonts w:ascii="Arial" w:cs="Arial" w:eastAsia="Arial" w:hAnsi="Arial"/>
                <w:sz w:val="18"/>
                <w:szCs w:val="18"/>
                <w:b w:val="1"/>
                <w:bCs w:val="1"/>
                <w:color w:val="auto"/>
                <w:w w:val="89"/>
              </w:rPr>
              <w:t>For the years ended December 31, 2021 and 2020</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2"/>
        </w:trPr>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6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2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473,557</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21,321</w:t>
            </w: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Genome dissolution entries</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auto"/>
            </w:tcBorders>
            <w:gridSpan w:val="2"/>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r>
      <w:tr>
        <w:trPr>
          <w:trHeight w:val="223"/>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Balance at December 31, 2020</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622,752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460,206</w:t>
            </w:r>
          </w:p>
        </w:tc>
      </w:tr>
      <w:tr>
        <w:trPr>
          <w:trHeight w:val="21"/>
        </w:trPr>
        <w:tc>
          <w:tcPr>
            <w:tcW w:w="4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41"/>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2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4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20"/>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460,206</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35,932</w:t>
            </w: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29"/>
        </w:trPr>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r>
      <w:tr>
        <w:trPr>
          <w:trHeight w:val="243"/>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461,068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(34,903)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Dissolution of Gnome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bad debts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equipment and other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 related companies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Proceeds from the sale of property, plant, and equipment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Cash flows from financing activity: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Subsidiary financing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contributions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w:t>
            </w: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paid,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CARVE OUT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and Organization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GeneDx, Inc., a New Jersey corporation (including its subsidiaries as described below, “GeneDx”, we, our or us), is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GeneDx, Inc. is a wholly owned subsidiary of BioReference Laboratories, Inc. (“BioReference”). BioReference and its subsidiaries, including GeneDx, are wholly owned subsidiaries of OPKO Health, Inc. (“OPKO” or “Parent”). MyGeneTeam and MyGeneTeam Canada are wholly owned subsidiaries of OPKO. GeneDx, MyGeneTeam, and MyGeneTeam Canada comprise the Combined Carve Out Financial Statements and are collectively referred to as GeneDx or the “Company”. All assets and liabilities directly attributable to entities outside GeneDx have been excluded. The accompanying Combined Carve Out Financials Statements present the combined financial results of GeneDx as of and for the years ended December 31, 2021 and 2020 and are being prepared in connection with the definitive agreement between Sema4 Holdings Corp (“Sema4”) and OPKO announced in January 2022 pursuant to which Sema4 has agreed to acquire GeneDx. If Sema4 does not acquire GeneDx, OPKO has committed to support the capital requirements of GeneDx necessary to meet our obligations through March 16,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2020, we dissolved the operations of Genome Diagnostics, a wholly owned subsidiary of GeneDx.</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corporate office and laboratory, which is our only physical location, is located at 207 Perry Parkway, Gaithersburg, Maryland 20877, which is a leased space.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Impact of COVID-19</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disease caused by SARS-CoV-2, a strain of coronavirus, COVID-19 continues to spread and severely impact the economy of the United States, we are committed to being a part of the coordinated public and private sector response to this unprecedented challenge. During the outbreak of the pandemic, the facility space and certain human resources and supplies of GeneDx were deployed to perform COVID-19 RT-PCR testing on behalf of our parent company BioReference. From 2020 through 2021, GeneDx resulted approximately 1.6 million COVID-19 RT-PCR tests. All COVID-19 testing operations of GeneDx ceased in June 2021. None of the revenue or associated costs with the COVID-19 operations run at the GeneDx facility are included in the GeneDx Combined Financial Statements.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in response to the outbreak of the COVID-19 pandemic, the Coronavirus Aid, Relief, and Economic Security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payroll tax credits associated with the retention of employees.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have received a number of benefits under the CARES Act including, but not limited to:</w:t>
      </w:r>
    </w:p>
    <w:p>
      <w:pPr>
        <w:spacing w:after="0" w:line="171" w:lineRule="exact"/>
        <w:rPr>
          <w:sz w:val="20"/>
          <w:szCs w:val="20"/>
          <w:color w:val="auto"/>
        </w:rPr>
      </w:pPr>
    </w:p>
    <w:p>
      <w:pPr>
        <w:ind w:left="66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eligible to defer depositing the employer’s share of Social Security taxes for payments due from March 27, 2020, through December 31, 2020, interest-free and penalty-free;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received approximately $0.3 million during the year ended December 31, 2020 from the funds that were distributed to healthcare providers for related expenses or lost revenues that are attributable to the COVID-19 pandemic;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4" w:lineRule="exact"/>
        <w:rPr>
          <w:sz w:val="20"/>
          <w:szCs w:val="20"/>
          <w:color w:val="auto"/>
        </w:rPr>
      </w:pPr>
    </w:p>
    <w:p>
      <w:pPr>
        <w:jc w:val="both"/>
        <w:ind w:left="660" w:hanging="328"/>
        <w:spacing w:after="0" w:line="263"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Clinical laboratories are provided with a one-year reprieve from the reporting requirements under the Protecting Access to Medicare Act as well as a one-year delay of reimbursement rate reductions for clinical laboratory services provided under Medicare that were scheduled to take place in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Combined Carve Out Financial Statements have been prepared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(US GAAP).</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accompanying Combined Carve Out Financial Statements include the accounts of GeneDx and of our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MyGeneTeam and MyGeneTeam Canada and were derived from the Consolidated Financial Statements and accounting records of the Parent as if GeneDx were operated on a standalone basis during the periods presented and were prepared in accordance with US GAAP. All intercompany accounts and transactions were eliminated in consolidation.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Combined Carve Out Statements of Operations of GeneDx reflect general corporate and operating expenses provided by both the Parent and BioReference to GeneDx, including, but not limited to, executive management, finance, legal, information technology, employee benefits administration, treasury, procurement, and other shared services. Actual costs that may have been incurred had GeneDx been a standalone company would have depended on a number of factors, including the chosen organizational structure, outsourced functions versus those performed by employees, and strategic decisions made in areas such as information technology and infrastructure.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Combined Carve Out Balance Sheets (the “Combined Carve Out Balance Sheets”) of GeneDx include Parent and BioReference assets and liabilities that were specifically identifiable or otherwise attributable to GeneDx, including subsidiaries and affiliates in which the Parent has a controlling financial interest or is the primary beneficiary. All cash inflows and outflows obtained and used from operations were swept to BioReference’s centralized account. GeneDx reflects transfers of cash to and from BioReference’s cash management system as a component of Total Shareholder’s Equity in the Combined Carve Out Balance Sheets.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Carve Out Financial Statements include GeneDx’s net assets and statement of comprehensive loss as described above. All intercompany transactions and accounts within the combined businesses of GeneDx have been eliminated.</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GAAP requires management to make estimates and assumptions that affect</w:t>
      </w:r>
      <w:r>
        <w:rPr>
          <w:rFonts w:ascii="Arial" w:cs="Arial" w:eastAsia="Arial" w:hAnsi="Arial"/>
          <w:sz w:val="17"/>
          <w:szCs w:val="17"/>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Actual results could differ significantly from these estimates.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include short-term, interest-bearing instruments with original maturities of 90 days or less at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purchase. We also consider all highly liquid investments with original maturities at the date of purchase of 90 days or less as cash equivalents. These investments include money markets and bank deposits.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is valued at the lower of cost and net realizable value. Cost is determined by the first-in, first-out method. We consider such factors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inventory on hand, estimated time required to sell such inventory, remaining shelf-life, quality assessments and current market conditions to determine whether inventory is stated at the lower of cost and net realizable value. Inventory consists primarily of purchased laboratory supplies, which are used in our testing laboratory. GeneDx relies on a limited number of suppliers for certain laboratory reagents, as well as sequencers and other equipment and materials that it uses in its laboratory operations. GeneDx does not have short- or long-term agreements with all of its suppliers, and its suppliers could cease supplying these materials and equipment at any time, or fail to provide it with sufficient quantities of materials or materials that meet its specifications.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represents the difference between the purchase price and the estimated fair value of net assets acquired as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acquisition method of accounting. We recognized goodwill and intangible assets as a result of applying pushdown accounting in connection with OPKO’s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BioReference in 2015. We determined the fair value of our intangible assets using the “income method.”</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Goodwill and indefinite lived intangible assets are tested at least annually as of October 1 for impairment, or when events or changes in circumstances indicate that the carrying amount of such assets may not be recoverable, by assessing qualitative factors, and performing a quantitative analysis if and when required, in determining whether it is more likely than not that its fair value exceeds the carrying value. Intangible assets are tested for impairment whenever events or changes in circumstances indicate that the carrying amount of such assets may not be recoverable.</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was $282.0 million as of both December 31, 2021 and 2020. Estimating the fair value of a reporting unit for goodwill impairment is highly sensitive to changes in projections and assumptions and changes in assumptions could potentially lead to impairment. We perform sensitivity analyses around our assumptions in order to assess the reasonableness of the assumptions and the results of our testing. Ultimately, potential changes in these assumptions may impact the estimated fair value of a reporting unit and result in an impairment if the fair value of such reporting unit is less than its carrying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Net intangible assets other than goodwill were $166.9 million and $183.7 million, respectively, as of December 31, 2021 and 2020.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estimates and assumptions are reasonable and otherwise consistent with assumptions that marketplace participants would use in their estimates of fair value. However, if future results are not consistent with our estimates and assumptions, including as a result of the COVID-19 pandemic, then we may be exposed to an impairment charge, which could be material. We have one reporting segment and have reached a cumulative goodwill impairment loss of $170.6 million prior to January 1, 2019. No goodwill or intangible asset impairment was recorded for the years ended December 31, 2021 and 2020 as a result of our testing.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amortize intangible assets with definite lives on a straight-line basis over their estimated useful lives, ranging from 3 to 20 years. We use the straight-line method of amortization as there is no reliably determinable pattern in which the economic benefits of our intangible assets are consumed or otherwise used up. Amortization expense was $16.8 million for each of the years ended December 2021 and 2020. Amortization expense from operations for our intangible assets is expected to be $16.8 million, $15.2 million, $12.3 million, $12.0 million, and $11.5 million for the years ended December 31, 2022, 2023, 2024, 2025 and 2026, respectively.</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carrying amounts of our cash and cash equivalents, accounts receivable and accounts payable approximate their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short-term maturities of these instruments and accounts. The fair value of the due to/due from Parent and its subsidiaries is not practical to estimate due to the uncertainty regarding the timing of future payments.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color w:val="auto"/>
        </w:rPr>
        <w:t>Property, plant and equipment are recorded at cost. Depreciation is provided using the straight-line method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useful lives of the assets and includes amortization expense for assets capitalized under capital leases. The estimated useful lives by asset class are as follows: software - 3 years, computer equipment - 5 years, machinery, medical and other equipment - 8 years, furniture and fixtures - 12 years, leasehold improvements - the lesser of 10 years or the lease term and automobiles - lease term. Expenditures for repairs and maintenance are charged to expense as incurred. Depreciation expense was $5.1 million and $4.1 million for the years ended December 31, 2021 and 2020, respectively.</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Long-lived assets, such as property and equipment, are reviewed for impairment whenever events or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then an impairment charge is recognized for the amount by which the carrying amount of the asset exceeds the fair value of the asset. No impairment charges were recorded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Impairment of Equity Method Investments. </w:t>
      </w:r>
      <w:r>
        <w:rPr>
          <w:rFonts w:ascii="Arial" w:cs="Arial" w:eastAsia="Arial" w:hAnsi="Arial"/>
          <w:sz w:val="18"/>
          <w:szCs w:val="18"/>
          <w:color w:val="auto"/>
        </w:rPr>
        <w:t>Equity method investments are assessed for impairment annually or when events or circumstances suggest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of the investment may be impaired. An impairment charge is recorded in earnings when the decline in value below the carrying amount of its equity method investment is determined to be other-than-temporary.</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OPKO grants stock options to certain employees of GeneDx and the annual contribution of non-cash employee stock compensation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in operating expenses in the accompanying Combined Carve Out Statements of Comprehensive Loss with a corresponding contribution to additional paid in capital. Stock compensation for the years ended December 31, 2021 and and December 31, 2020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are determined as if we filed tax returns on a standalone basis utilizing the Separate Return Method. We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federal income tax return filed by OPKO.</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 respective tax bases and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We periodically evaluate the realizability of our net deferred tax assets. Our tax accruals are analyzed periodically and adjustments are made as events occur to warrant such adjustment. Valuation allowances on certain U.S. deferred tax assets and non-U.S. deferred tax assets may be established because realization of these tax benefits does not meet the more-likely-than-not threshold.</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revenue when a customer obtains control of promised goods or services in accordance with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amount of revenue that is recorded reflects the consideration that we expect to receive in exchange for those goods or services. We apply the following five-step model in order to determine this amount: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apply the five-step model to contracts when it is probable that we will collect the consideration we are entitled to in exchange for the goods or services we transfer to the customer. At contract inception, once the contract is determined to be within the scope of Topic 606, we review the contract to determine which performance obligations we must deliver and which of these performance obligations are distinct. We recognize as revenue the amount of the transaction price that is allocated to the respective performance obligation when the performance obligation is satisfied or as it is satisfied.</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laboratory services is recognized at the time test results are reported, which approximates when services are provided and the performance obligations are satisfied. Services are provided to patients covered by various third-party payer programs, including various managed care organizations, as well as the Medicare and Medicaid programs. For the years ended December 31, 2021 and 2020, approximately 8.6% and 6.2%, respectively, of our revenues were derived directly from the Medicare and Medicaid programs. Billings for services under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party payer programs are included in revenue net of allowances for contractual discounts, allowances for differences between the amounts billed and estimated program payment amounts and implicit price concessions provided to uninsured patients which are all elements of variable consideration.</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complexities and ambiguities of billing, reimbursement regulations and claims processing, as well as issues unique to Medicare and Medicaid programs, require us to estimate the potential for retroactive adjustments in the recognition of revenue in the period the related services are rendered. Adjustments to the estimated payment amounts are recorded upon settlement as an adjustment to revenue.</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Concentration of credit risk and allowance for doubtful accounts</w:t>
      </w:r>
      <w:r>
        <w:rPr>
          <w:rFonts w:ascii="Arial" w:cs="Arial" w:eastAsia="Arial" w:hAnsi="Arial"/>
          <w:sz w:val="17"/>
          <w:szCs w:val="17"/>
          <w:color w:val="auto"/>
        </w:rPr>
        <w:t>. Financial instruments that potentially subject us to concentrations of credit risk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accounts receivable. Substantially all of our accounts receivable are with either companies in the health care industry or patients. However, credit risk is limited due to the number of our clients as well as their distribution across many different geographic regions.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receivables due from federal and state governmental agencies, we do not believe that such receivables represent a credit risk because the related health care programs are funded by federal and state governments, and payment is primarily dependent upon submitting appropriate documentation. As of December 31, 2021 and 2020, receivable balances (net of explicit price concessions) from Medicare and Medicaid were 3.7% and 6.9%, respectively, of our Accounts receivable, net.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portion of our accounts receivable due from individual patients comprises the largest portion of credit risk. As of December 31, 2021 and 2020, receivables due from patients represented approximately 2.0% and 3.0%, respectively, of our Accounts receivable, net.</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assess the collectability of accounts receivable balances by considering factors such as historical collection experience, customer credit worthiness, the age of accounts receivable balances, regulatory changes and current economic conditions and trends that may affect a customer’s ability to pay. Actual results could differ from those estimates. Our reported net loss is directly affected by our estimate of the collectability of accounts receivable.</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Due to/from Parent and its subsidiaries. </w:t>
      </w:r>
      <w:r>
        <w:rPr>
          <w:rFonts w:ascii="Arial" w:cs="Arial" w:eastAsia="Arial" w:hAnsi="Arial"/>
          <w:sz w:val="18"/>
          <w:szCs w:val="18"/>
          <w:color w:val="auto"/>
        </w:rPr>
        <w:t>Due to/from Parent and its subsidiaries primarily represents operations between GeneDx and subsidiaries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The Company uses a centralized approach to cash management and financing of its operations. The fair value of the due from/to Parent and its subsidiaries is not practical to estimate due to the uncertainty regarding the timing of future payments.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We do not charge customers for shipping and handling costs. Shipping and handling costs are classified as Cost of revenues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Combined Carve Out Statements of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The adoption of ASU 2016-13 on January 1, 2020, did not have a significant impact on our Combined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accounting pronouncements.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August 2020, the FASB issued ASU No. 2020-06, “Debt – Debt with Conversion and Other Options (Subtopic 470-20) and Derivatives and Hedging – Contracts in Entity’s Own Equity (Subtopic 815-40).” ASU 2020-06 will simplify the accounting for convertible instruments by reducing the number of accounting models for convertible debt instruments and convertible preferred stock. The ASU is effective for public entities for fiscal years beginning after December 15, 2021, with early adoption permitted. We are currently evaluating the impact of this new guidance on our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Cost Allocations from BioReference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historical costs and expenses reflected in our Combined Carve Out Financial Statements include an allocation for certain corporate and shared service functions provided by BioReference, including, but not limited to accounting, legal, human resources, information technology and other shared services. These expenses have been allocated to us on the basis of direct usage when identifiable, with the remainder allocated based on estimates to reasonably reflect the historical utilization of these services.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the assumptions underlying our Combined Carve Out Financial Statements, including the assumptions regarding the allocation of general corporate expenses from BioReference, are reasonable. Nevertheless, our Combined Carve Out Financial Statements may not include all of the actual expenses that would have been incurred had we operated as a standalone company during the periods presented and may not reflect our combined results of operations, financial position and cash flows had we operated as a standalone company during the periods presented. Actual costs that would have been incurred if we had operated as a standalone company would have depended on multiple factors, including organizational structure and strategic decisions made in various areas.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GeneDx announced that it had entered into an operating agreement with Pediatrix Medical Group (“Pediatrix”), a provider of maternal-fetal, and pediatric medical and surgical subspecialty physician services, to offer genomic sequencing to support clinical diagnosis in neonatal intensive care units staffed by Pediatrix’s affiliated neonatologists (the “Operating Agreement”). The offering had planned to include whole exome and whole genome sequencing and genomic support services under the brand Detect Genomix (the “Joint Venture”).</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initial capital investment in the Joint Venture was $245,000, for which we received a 49% ownership interest the Joint Venture. Beyong the initial investment, we have not made any other investments in or loans in the Joint Venture through December 31, 2021.</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determine the primary beneficiary of the Joint Venture, we evaluated our investment to identify if we had the power to direct the activities that most significantly impact the economic performance of the Joint Venture. Based on the capital structure, governing documents and overall business operations of the Joint Venture, we determined that, while a variable interest entity (VIE), we do not have the power to direct the activities that most significantly impact the Joint Venture’s economic performance. We determined, however, that we can significantly influence control of the Joint Venture through our board representation and voting power. Therefore, we have the ability to exercise significant influence over the Joint Venture’s operations and account for our investment the Joint Venture under the equity method.</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2022, GeneDx and Pediatrix reached a mutual agreement to withdraw as members of the Joint Venture, release each party’s restrictions and obligations under the Operating Agreement, cooperate to effect the winding down and dissolution of the Joint Venture, and effect other customary release and discharges related to the Joint Venture. We determined an other-than-temporary impairment on our equity method investment as a result of the termination and adjusted the carrying value of the investment as of December 31, 2021 to our recovery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proportionate share of cash on hand at the Joint Venture was returned to GeneDx in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Composition of Certain Combined </w:t>
      </w:r>
      <w:r>
        <w:rPr>
          <w:rFonts w:ascii="Arial" w:cs="Arial" w:eastAsia="Arial" w:hAnsi="Arial"/>
          <w:sz w:val="18"/>
          <w:szCs w:val="18"/>
          <w:color w:val="auto"/>
        </w:rPr>
        <w:t>Carve Out</w:t>
      </w:r>
      <w:r>
        <w:rPr>
          <w:rFonts w:ascii="Arial" w:cs="Arial" w:eastAsia="Arial" w:hAnsi="Arial"/>
          <w:sz w:val="18"/>
          <w:szCs w:val="18"/>
          <w:b w:val="1"/>
          <w:bCs w:val="1"/>
          <w:color w:val="auto"/>
        </w:rPr>
        <w:t xml:space="preserve"> Financial Statement Captions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Prepaid supplies, insurance and maintenance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 recoverable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receivables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Machinery, medical and other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(24,044)</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237,725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237,725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Covenants not to compete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(93,523)</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183,702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Social Security employer deferral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authorized capital stock consists of 100 shares of common stock, $0.01 par value per share. As of December 31, 2021 and 2020, all shares of our common stock were issued and outstanding and held by BioReference.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Guarantee</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5, 2015, BioReference and certain of its subsidiaries, including GeneDx, entered into a credit agreement with JPMorgan Chase Bank, N.A. (“CB”),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BioReference and its domestic subsidiaries including GeneDx. The A&amp;R Credit Agreement is also secured by substantially all assets of BioReference and its domestic subsidiaries, including GeneDx. Availability under the A&amp;R Credit Agreement is based on a borrowing base composed of BioReference’s eligible accounts receivables, which includes GeneDx, as specified therein. As of December 31, 2021, there was no outstanding balance and as of December 31, 2020, $7.1 million was outstanding under the A&amp;R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BioReference’s option, borrowings under the A&amp;R Credit Agreement (other than swingline loans) will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spacing w:after="0" w:line="110" w:lineRule="exact"/>
        <w:rPr>
          <w:sz w:val="20"/>
          <w:szCs w:val="20"/>
          <w:color w:val="auto"/>
        </w:rPr>
      </w:pPr>
    </w:p>
    <w:p>
      <w:pPr>
        <w:ind w:right="2100"/>
        <w:spacing w:after="0" w:line="438" w:lineRule="auto"/>
        <w:rPr>
          <w:sz w:val="20"/>
          <w:szCs w:val="20"/>
          <w:color w:val="auto"/>
        </w:rPr>
      </w:pPr>
      <w:r>
        <w:rPr>
          <w:rFonts w:ascii="Arial" w:cs="Arial" w:eastAsia="Arial" w:hAnsi="Arial"/>
          <w:sz w:val="18"/>
          <w:szCs w:val="18"/>
          <w:color w:val="auto"/>
        </w:rPr>
        <w:t xml:space="preserve">As of December 31, 2021, $64.8 million remained available to BioReference for borrowing under the A&amp;R Credit Agreement. </w:t>
      </w:r>
      <w:r>
        <w:rPr>
          <w:rFonts w:ascii="Arial" w:cs="Arial" w:eastAsia="Arial" w:hAnsi="Arial"/>
          <w:sz w:val="18"/>
          <w:szCs w:val="18"/>
          <w:b w:val="1"/>
          <w:bCs w:val="1"/>
          <w:color w:val="auto"/>
        </w:rPr>
        <w:t>Note 9 Income Taxes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Carve Out Financial Statements and related disclosures apply the Separate Return Method and recognize the current and deferred income tax consequences that result from our activities during the current and preceding periods pursuant to the provisions of Accounting Standards Codification Topic 740, Income Taxes (ASC 740), as if we were a separate taxpayer rather than a member of OPKO’s consolidated income tax return. In 2021 and 2020, the difference between our separate company income tax benefit and cash flows attributable to income taxes have been recognized as capital contributions from BioReference.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operate and are required to file tax returns in the United States and Canada, as well as with various U.S.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benefit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149"/>
        </w:trPr>
        <w:tc>
          <w:tcPr>
            <w:tcW w:w="20" w:type="dxa"/>
            <w:vAlign w:val="bottom"/>
          </w:tcPr>
          <w:p>
            <w:pPr>
              <w:spacing w:after="0"/>
              <w:rPr>
                <w:sz w:val="12"/>
                <w:szCs w:val="12"/>
                <w:color w:val="auto"/>
              </w:rPr>
            </w:pPr>
          </w:p>
        </w:tc>
        <w:tc>
          <w:tcPr>
            <w:tcW w:w="8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20" w:type="dxa"/>
            <w:vAlign w:val="bottom"/>
          </w:tcPr>
          <w:p>
            <w:pPr>
              <w:jc w:val="right"/>
              <w:ind w:right="554"/>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r>
      <w:tr>
        <w:trPr>
          <w:trHeight w:val="223"/>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r>
      <w:tr>
        <w:trPr>
          <w:trHeight w:val="223"/>
        </w:trPr>
        <w:tc>
          <w:tcPr>
            <w:tcW w:w="20" w:type="dxa"/>
            <w:vAlign w:val="bottom"/>
          </w:tcPr>
          <w:p>
            <w:pPr>
              <w:spacing w:after="0"/>
              <w:rPr>
                <w:sz w:val="19"/>
                <w:szCs w:val="19"/>
                <w:color w:val="auto"/>
              </w:rPr>
            </w:pPr>
          </w:p>
        </w:tc>
        <w:tc>
          <w:tcPr>
            <w:tcW w:w="8000" w:type="dxa"/>
            <w:vAlign w:val="bottom"/>
            <w:gridSpan w:val="2"/>
          </w:tcPr>
          <w:p>
            <w:pPr>
              <w:ind w:left="240"/>
              <w:spacing w:after="0"/>
              <w:rPr>
                <w:sz w:val="20"/>
                <w:szCs w:val="20"/>
                <w:color w:val="auto"/>
              </w:rPr>
            </w:pPr>
            <w:r>
              <w:rPr>
                <w:rFonts w:ascii="Arial" w:cs="Arial" w:eastAsia="Arial" w:hAnsi="Arial"/>
                <w:sz w:val="18"/>
                <w:szCs w:val="18"/>
                <w:color w:val="auto"/>
              </w:rPr>
              <w:t>Total income tax benefit,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 and liabilities as of December 31, 2021 and 2020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For the year ended December 31,</w:t>
            </w:r>
          </w:p>
        </w:tc>
      </w:tr>
      <w:tr>
        <w:trPr>
          <w:trHeight w:val="148"/>
        </w:trPr>
        <w:tc>
          <w:tcPr>
            <w:tcW w:w="20" w:type="dxa"/>
            <w:vAlign w:val="bottom"/>
          </w:tcPr>
          <w:p>
            <w:pPr>
              <w:spacing w:after="0"/>
              <w:rPr>
                <w:sz w:val="12"/>
                <w:szCs w:val="12"/>
                <w:color w:val="auto"/>
              </w:rPr>
            </w:pPr>
          </w:p>
        </w:tc>
        <w:tc>
          <w:tcPr>
            <w:tcW w:w="8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2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1"/>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Accruals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net operating losses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State net operating losses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11,721</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(45,319)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Lease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3"/>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we had tax-effected federal and state net operating loss carryforwards of approximately $14.2 million and $3.4 million respectively, which expire in varying amounts and various dates through 2041 unless indefinite in nature. While the Company on a separate return method has net operating losses, these net operating losses have been absorbed by OPKO. As of each reporting date, we evaluated the realization of our U.S. and Canadian deferred tax assets and have determined that all deferred tax assets will more likely than not be realized and no valuation allowance is required. We file federal income tax returns in the U.S. and Canada, as well as with various U.S. states. We are subject to routine tax audits in all jurisdictions for which we file tax returns. Tax audits by their very nature are often complex and can require several years to complete.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Federal: Under the tax statute of limitations applicable to the Internal Revenue Code, we are no longer subject to U.S. federal income tax examinations by the Internal Revenue Service for tax years before 2018.</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 Under the statutes of limitation applicable to most state income tax laws, we are no longer subject to state income tax examinations by tax authorities for years before 2017 in states in which we have filed income tax returns. Certain states may take the position that we are subject to income tax in such states even though we have not filed income tax returns in such states and, depending on the varying state income tax statutes and administrative practices, the statutes of limitations in such states may extend to years before 2017.</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Under the statutes of limitations applicable to our operations in Canada, we are generally no longer subject to tax examination for years before 2018 in jurisdictions where we have filed income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Tax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elements contributing to the difference between the federal statutory tax rate and the effective tax rate are as follows:</w:t>
      </w:r>
    </w:p>
    <w:p>
      <w:pPr>
        <w:spacing w:after="0" w:line="203"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For the 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change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Permanent differences</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refunds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2017 Tax Cuts and Jobs Act (the “Tax Act”) was enacted into law and the new legislation contained several key tax provisions, including a reduction of the corporate income tax rate from 35% to 21% effective January 1, 2018. We were required to recognize the effect of the tax law changes in the period of enactment, such as remeasuring our U.S. deferred tax assets and liabilities, as well as reassessing the net realizability of our deferred tax assets and liabilities.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enactment of the Tax Act, we regularly determined the undistributed earnings in Canada to be indefinitely reinvested outside the United States. Our intent is to permanently reinvest these funds outside the U.S. and our current plans do not demonstrate a need to repatriate the cash to fund U.S. operations. However, if these funds were repatriated, we would be required to accrue and pay applicable U.S. taxes (if any) and withholding taxes payable to foreign tax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Roger Medel, a director of OPKO as of December 18, 2020, is the former Chief Executive Officer of Pediatrix. Dr. Medel continues to serve on the board of Pediatrix.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Effective January 1, 2017, employees of GeneDx were eligible for participation in the OPKO Health Savings and Retirement Plan (the “Plan”). The Plan permits employees to contribute up to 100% of qualified pre-tax annual compensation up to annual statutory limitations. The discretionary company match for employee contributions to the Plan is 100% up to the first 4% of the participant’s earnings contributed to the Plan. Our matching contributions to our plans, including our predecessor plans, was $1.9 million for the year ended December 31, 2021 and $1.7 million for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11, 2019, GeneDx received a letter from the Centers for Medicare and Medicaid Services (“CMS”), notifying GeneDx of CMS’s determination to suspend Medicare payments to GeneDx, which suspension became effective on September 27, 2019. CMS advised that it suspended payments due to possible overpayments to GeneDx in connection with reimbursement claims for genetic testing services based on a diagnosis of family history of cancer, which testing CMS has alleged is not covered by Medicare under the applicable provisions of the Social Security Act on the basis that such testing is not reasonable and necessary for the diagnosis or treatment of illness or injury. CMS lifted the suspension on February 3, 2020 and issued an extrapolated overpayment finding of approximately $576,332, which GeneDx paid.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2018, GeneDx received two document request letters from Cigna’s Special Investigations Unit in connection with claims submitted for laboratory services performed on Cigna members by GeneDx. Cigna requested records and other documentation for 100 individual members for which GeneDx had submitted claims.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negotiated a final settlement agreement in January 2021 that included a $500,000 payment from GeneDx to Cigna without any admission of error or liability and a mutual release of any and all claims prior to the execution of the settlement agreement.</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accrue a liability for legal contingencies when we believe that it is both probable that a liability has been incurred and that we can reasonably estimate the amount of the loss.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For the matters referenced in the paragraph below, the amount of liability is not probable, or the amount cannot be reasonably estimated; and, therefore, accruals have not been made. In addition, in accordance with the relevant authoritative guidance, for matters which the likelihood of material loss is at least reasonably possible, we provide disclosure of the possible loss or range of loss; however, if a reasonable estimate cannot be made, we will provide disclosure to that effect.</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time to time, we may receive inquiries, document requests, Civil Investigative Demands (“CIDs”) or subpoenas from the Department of Justice, the Office of Inspector General and Office for Civil Rights (“OCR”) of the Department of Health and Human Services, the Centers for Medicare and Medicaid Services, various payors and fiscal intermediaries, and other state and federal regulators regarding investigations, audits and reviews. In addition to the matters discussed in this note, we are currently responding to CIDs, subpoenas or document requests for various matters relating to our laboratory operations. Some pending or threatened proceedings against us may involve potentially substantial amounts as well as the possibility of civil, criminal, or administrative fines, penalties, or other sanctions, which could be material. Settlements of suits involving the types of issues that we routinely confront may require monetary payments as well as corporate integrity agreements. Additionally, qui tam or “whistleblower” actions initiated under the civil False Claims Act may be pending but placed under seal by the court to comply with the False Claims Act’s requirements for filing such suits. Also, from time to time, we may detect issues of non-compliance with federal healthcare laws pertaining to claims submission and reimbursement practices and/or financial relationships with physicians, among other things. We may avail ourselves of various mechanisms to address these issues, including participation in voluntary disclosure protocols. Participating in voluntary disclosure protocols can have the potential for significant settlement obligations or even enforcement action. The Company generally has cooperated, and intends to continue to cooperate, with appropriate regulatory authorities as and when investigations, audits and inquiries arise.</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party to other litigation in the ordinary course of business. While we cannot predict the ultimate outcome of legal matters, we accrue a liability for legal contingencies when we believe that it is both probable that a liability has been incurred and that we can reasonably estimate the amount of the loss. It is reasonably possible the ultimate liability could exceed amounts currently estimated and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Because of the high degree of judgment involved in establishing loss estimates, the ultimate outcome of such matters could be material to our business, financial condition, results of operations, and cash flows.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employment agreements with certain executives that provide for compensation and certain other benefits and for severance payments under certain circumstances. During the years ended December 31, 2021 and 2020, we recognized $0.3 million and $0.2 million, respectively, of severance costs pursuant to employment agreements with former executives as a component of selling, general and administrative expense.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2021, we were committed to make future purchases for inventory and other items in 2022 that occur in the ordinary course of business under various purchase arrangements with fixed purchase provisions aggregating $14.5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maintain medical malpractice insurance coverage at a level in excess of historical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Recognition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laboratory services is recognized at the time test results are reported, which approximates when services are provided, and the performance obligations are satisfied. Services are provided to patients covered by various third-party payor programs including various managed care organizations, as well as Medicare and Medicaid programs. Billings for services are included in revenue net of allowances for explicit price concessions, and implicit price concessions provided to uninsured patients which are all elements of variable consideration.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descriptions of our payors for laboratory services: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Healthcare Insurers. </w:t>
      </w:r>
      <w:r>
        <w:rPr>
          <w:rFonts w:ascii="Arial" w:cs="Arial" w:eastAsia="Arial" w:hAnsi="Arial"/>
          <w:sz w:val="17"/>
          <w:szCs w:val="17"/>
          <w:color w:val="auto"/>
        </w:rPr>
        <w:t>Reimbursements from healthcare insurers are based on negotiated fee-for-service schedules. Revenues consist of amounts billed, net</w:t>
      </w:r>
      <w:r>
        <w:rPr>
          <w:rFonts w:ascii="Arial" w:cs="Arial" w:eastAsia="Arial" w:hAnsi="Arial"/>
          <w:sz w:val="17"/>
          <w:szCs w:val="17"/>
          <w:i w:val="1"/>
          <w:iCs w:val="1"/>
          <w:color w:val="auto"/>
        </w:rPr>
        <w:t xml:space="preserve"> </w:t>
      </w:r>
      <w:r>
        <w:rPr>
          <w:rFonts w:ascii="Arial" w:cs="Arial" w:eastAsia="Arial" w:hAnsi="Arial"/>
          <w:sz w:val="17"/>
          <w:szCs w:val="17"/>
          <w:color w:val="auto"/>
        </w:rPr>
        <w:t>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third-party payors, are recorded upon settlement.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Government Payors. </w:t>
      </w:r>
      <w:r>
        <w:rPr>
          <w:rFonts w:ascii="Arial" w:cs="Arial" w:eastAsia="Arial" w:hAnsi="Arial"/>
          <w:sz w:val="16"/>
          <w:szCs w:val="16"/>
          <w:color w:val="auto"/>
        </w:rPr>
        <w:t>Reimbursements from government payors are based on fee-for-service schedules set by governmental authorities, including traditional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Medicare and Medicaid. Revenues consist of amounts billed, 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government payors, are recorded upon settlement.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Client Payors. </w:t>
      </w:r>
      <w:r>
        <w:rPr>
          <w:rFonts w:ascii="Arial" w:cs="Arial" w:eastAsia="Arial" w:hAnsi="Arial"/>
          <w:sz w:val="18"/>
          <w:szCs w:val="18"/>
          <w:color w:val="auto"/>
        </w:rPr>
        <w:t>Client payors include physicians, hospitals, employers, and other institutions for which services are performed on a wholesale basis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billed and recognized as revenue based on negotiated fee schedules.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Patients. </w:t>
      </w:r>
      <w:r>
        <w:rPr>
          <w:rFonts w:ascii="Arial" w:cs="Arial" w:eastAsia="Arial" w:hAnsi="Arial"/>
          <w:sz w:val="16"/>
          <w:szCs w:val="16"/>
          <w:color w:val="auto"/>
        </w:rPr>
        <w:t>Uninsured patients are billed based on established patient fee schedules or fees negotiated with physicians on behalf of their patients. Insured</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(including amounts for coinsurance and deductible responsibilities) are billed based on fees negotiated with healthcare insurers. Collection of billings from patients is subject to credit risk and ability of the patients to pay. Revenues consist of amounts billed net of discounts provided to uninsured patients in accordance with our policies and implicit price concessions. Implicit price concessions represent differences between amounts billed and the estimated consideration that we expect to receive from patients, which considers historical collection experience and other factors including current market conditions. Adjustments to the estimated allowances, based on actual receipts from the patients, are recorded upon settlement.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complexities and ambiguities of billing, reimbursement regulations and claims processing, as well as issues unique to Medicare and Medicaid programs, require us to estimate the potential for retroactive adjustments as an element of variable consideration in the recognition of revenue in the period the related services are rendered. Actual amounts are adjusted for the period in which those adjustments become known. For the years ended December 31, 2021 and 2020, revenue reductions due to changes in estimates of implicit price concessions for performance obligations satisfied in prior periods of $4.2 million and $5.0 million, respectively, were recognized.</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Third-party payors, including government programs, may decide to deny payment or recoup payments for testing they contend were improperly billed or not medically necessary, against their coverage determinations, or for which they believe they have otherwise overpaid (including as a result of their own error), and we may be required to refund payments already received. Our revenues may be subject to retroactive adjustment as a result of these factors among others, including without limitation, differing interpretations of billing and coding guidance and changes by government agencies and payors in interpretations, requirements, and “conditions of participation” in various programs. We have processed requests for recoupment from third-party payors in the ordinary course of our business, and it is likely that we will continue to do so in the future. If a third-party payer denies payment for testing or recoups money from us in a later period, reimbursement revenue for our testing could decline.</w:t>
      </w:r>
    </w:p>
    <w:p>
      <w:pPr>
        <w:spacing w:after="0" w:line="1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an integral part of our billing compliance program, we periodically assess our billing and coding practices, respond to payor audits on a routine basis, and investigate reported failures or suspected failures to comply with federal and state healthcare reimbursement requirements, as well as overpayment claims which may arise from time to time without fault on the part of the Company. We may have an obligation to reimburse Medicare, Medicaid,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third-party payors for overpayments regardless of fault. We have periodically identified and reported overpayments, reimbursed payors for overpayments and taken appropriate corrective action.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Settlements with third-party payors for retroactive adjustments due to audits, reviews or investigations are also considered variable consideration and are included in the determination of the estimated transaction price for providing services. These settlements are estimated based on the terms of the payment agreement with the payor, correspondence from the payor and our historical settlement activity, including an assessment of the probability a significant reversal of cumulative revenue recognized will occur when the uncertainty is subsequently resolved. Estimated settlements are adjusted in future periods as adjustments become known (that is, new information becomes available), or as years are settled or are no longer subject to such audits, reviews, and investigations. As of December 31, 2021 and 2020, we had liabilities of $0.0 million and $1.5 million, respectively, within Accrued expenses related to reimbursements for payor overpayments.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Revenue by payor for the years ended December 31, 2021 and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 insurers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Government payors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Client payors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an operating lease for office space and laboratory operations. We determine if a contract contains a lease at inception or modification of a contract. Our lease does not provide an implicit interest rate, and we therefore use our incremental borrowing rate as the discount rate when measuring operating lease liability. The incremental borrowing rate represents an estimate of the interest rate we would incur, calculated at the Parent level, at lease commencement to borrow an amount equal to the lease payments on a collateralized basis over the term of the lease within a particular currency environment. We used the incremental borrowing rate as of January 1, 2019 for this operating lease. We factored into our determination of the lease payments any rental escalation, renewal options, and/or termination options as appropriate. Variable lease payment amounts that cannot be determined at the commencement of the lease are not included in the right-to-use assets or liabilities.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elected the use of permitted practical expedients of not recording leases on our Combined Balance Sheet when the leases have terms of 12 months or less, and we elected not to separate nonlease components from lease components and instead account for each separate lease component and the nonlease components associated with that lease component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 balances within the Combined Balance Sheet as of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Classification on the Balance Sheet</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1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6,858</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Current</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Current maturities of operating leases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Long-term</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Operating lease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7,340</w:t>
            </w:r>
          </w:p>
        </w:tc>
      </w:tr>
      <w:tr>
        <w:trPr>
          <w:trHeight w:val="256"/>
        </w:trPr>
        <w:tc>
          <w:tcPr>
            <w:tcW w:w="42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800"/>
              <w:spacing w:after="0"/>
              <w:rPr>
                <w:sz w:val="20"/>
                <w:szCs w:val="20"/>
                <w:color w:val="auto"/>
              </w:rPr>
            </w:pPr>
            <w:r>
              <w:rPr>
                <w:rFonts w:ascii="Arial" w:cs="Arial" w:eastAsia="Arial" w:hAnsi="Arial"/>
                <w:sz w:val="18"/>
                <w:szCs w:val="18"/>
                <w:color w:val="auto"/>
              </w:rPr>
              <w:t>10 years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 years</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7.2 %</w:t>
            </w:r>
          </w:p>
        </w:tc>
      </w:tr>
    </w:tbl>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reconciles the undiscounted future minimum lease payments (displayed by year and in the aggregate) under noncancelable operating leases with terms of more than one year to the total operating lease liabilities recognized on our Combined Balance Sheet as of December 31,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9,116</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future minimum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Difference between lease payments and discounted lease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minimum lease payments above include tenant improvement payments of $2.0 million and $0.6 million for the years ended 2022 and 2023, respectively. We conduct certain of our operations under operating lease agreements. Rent expense under operating leases was approximately $1.3 million for the year ended December 31, 2021 and $0.9 million for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 flows from operating leases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1"/>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Selected Quarterly Financial Data (Unaudited)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For the 2021 Quarters Ended</w:t>
            </w:r>
          </w:p>
        </w:tc>
        <w:tc>
          <w:tcPr>
            <w:tcW w:w="1480" w:type="dxa"/>
            <w:vAlign w:val="bottom"/>
            <w:tcBorders>
              <w:bottom w:val="single" w:sz="8" w:color="auto"/>
            </w:tcBorders>
          </w:tcPr>
          <w:p>
            <w:pPr>
              <w:spacing w:after="0"/>
              <w:rPr>
                <w:sz w:val="16"/>
                <w:szCs w:val="16"/>
                <w:color w:val="auto"/>
              </w:rPr>
            </w:pPr>
          </w:p>
        </w:tc>
      </w:t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ind w:left="420"/>
              <w:spacing w:after="0"/>
              <w:rPr>
                <w:sz w:val="20"/>
                <w:szCs w:val="20"/>
                <w:color w:val="auto"/>
              </w:rPr>
            </w:pPr>
            <w:r>
              <w:rPr>
                <w:rFonts w:ascii="Arial" w:cs="Arial" w:eastAsia="Arial" w:hAnsi="Arial"/>
                <w:sz w:val="14"/>
                <w:szCs w:val="14"/>
                <w:b w:val="1"/>
                <w:bCs w:val="1"/>
                <w:color w:val="auto"/>
              </w:rPr>
              <w:t>March 31</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June 30</w:t>
            </w: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Pr>
          <w:p>
            <w:pPr>
              <w:ind w:left="360"/>
              <w:spacing w:after="0"/>
              <w:rPr>
                <w:sz w:val="20"/>
                <w:szCs w:val="20"/>
                <w:color w:val="auto"/>
              </w:rPr>
            </w:pPr>
            <w:r>
              <w:rPr>
                <w:rFonts w:ascii="Arial" w:cs="Arial" w:eastAsia="Arial" w:hAnsi="Arial"/>
                <w:sz w:val="14"/>
                <w:szCs w:val="14"/>
                <w:b w:val="1"/>
                <w:bCs w:val="1"/>
                <w:color w:val="auto"/>
              </w:rPr>
              <w:t>December 31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33,098</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46,582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r>
      <w:tr>
        <w:trPr>
          <w:trHeight w:val="453"/>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For the 2020 Quarters Ended</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29,080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reviewed all subsequent events and transactions that occurred after the date of our December 31, 2021 Combined Carve Out Balance Sheet date up through March 15, 2022, which is the date that the Combined Financial Statements were available to be issued, noting no items that required adjustment or disclosures in the Combined Carve Out Financial Statements, except for, the January 2022 announcement by Sema4 Holdings Corp. (“Sema4”) and OPKO that they had signed a definitive agreement pursuant to which Sema4 has agreed to acquire GeneDx, subject to the satisfaction of customary closing conditions (the “GeneDx Transaction”). The GeneDx Transaction is expected to close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lvl w:ilvl="1">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1)"/>
      <w:numFmt w:val="lowerLetter"/>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1."/>
      <w:numFmt w:val="decimal"/>
      <w:start w:val="1"/>
    </w:lvl>
  </w:abstractNum>
  <w:abstractNum w:abstractNumId="31">
    <w:nsid w:val="799D0247"/>
    <w:multiLevelType w:val="hybridMultilevel"/>
    <w:lvl w:ilvl="0">
      <w:lvlJc w:val="left"/>
      <w:lvlText w:val="%1."/>
      <w:numFmt w:val="decimal"/>
      <w:start w:val="2"/>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decimal"/>
      <w:start w:val="3"/>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1)"/>
      <w:numFmt w:val="lowerLetter"/>
      <w:start w:val="2"/>
    </w:lvl>
  </w:abstractNum>
  <w:abstractNum w:abstractNumId="37">
    <w:nsid w:val="5DC79EA8"/>
    <w:multiLevelType w:val="hybridMultilevel"/>
    <w:lvl w:ilvl="0">
      <w:lvlJc w:val="left"/>
      <w:lvlText w:val="%1)"/>
      <w:numFmt w:val="lowerLetter"/>
      <w:start w:val="6"/>
    </w:lvl>
  </w:abstractNum>
  <w:abstractNum w:abstractNumId="38">
    <w:nsid w:val="540A471C"/>
    <w:multiLevelType w:val="hybridMultilevel"/>
    <w:lvl w:ilvl="0">
      <w:lvlJc w:val="left"/>
      <w:lvlText w:val="%1)"/>
      <w:numFmt w:val="lowerLetter"/>
      <w:start w:val="7"/>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1)"/>
      <w:numFmt w:val="decimal"/>
      <w:start w:val="1"/>
    </w:lvl>
  </w:abstractNum>
  <w:abstractNum w:abstractNumId="41">
    <w:nsid w:val="613EFDC5"/>
    <w:multiLevelType w:val="hybridMultilevel"/>
    <w:lvl w:ilvl="0">
      <w:lvlJc w:val="left"/>
      <w:lvlText w:val="(%1)"/>
      <w:numFmt w:val="decimal"/>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1)"/>
      <w:numFmt w:val="decimal"/>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1)"/>
      <w:numFmt w:val="decimal"/>
      <w:start w:val="1"/>
    </w:lvl>
  </w:abstractNum>
  <w:abstractNum w:abstractNumId="61">
    <w:nsid w:val="94211F2"/>
    <w:multiLevelType w:val="hybridMultilevel"/>
    <w:lvl w:ilvl="0">
      <w:lvlJc w:val="left"/>
      <w:lvlText w:val="(%1)"/>
      <w:numFmt w:val="decimal"/>
      <w:start w:val="9"/>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decimal"/>
      <w:start w:val="1"/>
    </w:lvl>
  </w:abstractNum>
  <w:abstractNum w:abstractNumId="69">
    <w:nsid w:val="68EBC550"/>
    <w:multiLevelType w:val="hybridMultilevel"/>
    <w:lvl w:ilvl="0">
      <w:lvlJc w:val="left"/>
      <w:lvlText w:val="(%1)"/>
      <w:numFmt w:val="lowerLetter"/>
      <w:start w:val="1"/>
    </w:lvl>
  </w:abstractNum>
  <w:abstractNum w:abstractNumId="70">
    <w:nsid w:val="2DF6D648"/>
    <w:multiLevelType w:val="hybridMultilevel"/>
    <w:lvl w:ilvl="0">
      <w:lvlJc w:val="left"/>
      <w:lvlText w:val="(%1)"/>
      <w:numFmt w:val="lowerLetter"/>
      <w:start w:val="3"/>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1)"/>
      <w:numFmt w:val="decimal"/>
      <w:start w:val="1"/>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1)"/>
      <w:numFmt w:val="decimal"/>
      <w:start w:val="1"/>
    </w:lvl>
  </w:abstractNum>
  <w:abstractNum w:abstractNumId="76">
    <w:nsid w:val="43F18422"/>
    <w:multiLevelType w:val="hybridMultilevel"/>
    <w:lvl w:ilvl="0">
      <w:lvlJc w:val="left"/>
      <w:lvlText w:val="%1"/>
      <w:numFmt w:val="decimal"/>
      <w:start w:val="1"/>
    </w:lvl>
    <w:lvl w:ilvl="1">
      <w:lvlJc w:val="left"/>
      <w:lvlText w:val="(%2)"/>
      <w:numFmt w:val="lowerRoman"/>
      <w:start w:val="4"/>
    </w:lvl>
  </w:abstractNum>
  <w:abstractNum w:abstractNumId="77">
    <w:nsid w:val="60EF0119"/>
    <w:multiLevelType w:val="hybridMultilevel"/>
    <w:lvl w:ilvl="0">
      <w:lvlJc w:val="left"/>
      <w:lvlText w:val="%1"/>
      <w:numFmt w:val="decimal"/>
      <w:start w:val="1"/>
    </w:lvl>
    <w:lvl w:ilvl="1">
      <w:lvlJc w:val="left"/>
      <w:lvlText w:val="(%2)"/>
      <w:numFmt w:val="lowerRoman"/>
      <w:start w:val="3"/>
    </w:lvl>
  </w:abstractNum>
  <w:abstractNum w:abstractNumId="78">
    <w:nsid w:val="26F324BA"/>
    <w:multiLevelType w:val="hybridMultilevel"/>
    <w:lvl w:ilvl="0">
      <w:lvlJc w:val="left"/>
      <w:lvlText w:val="(%1)"/>
      <w:numFmt w:val="decimal"/>
      <w:start w:val="2"/>
    </w:lvl>
    <w:lvl w:ilvl="1">
      <w:lvlJc w:val="left"/>
      <w:lvlText w:val="%2"/>
      <w:numFmt w:val="lowerRoman"/>
      <w:start w:val="1"/>
    </w:lvl>
  </w:abstractNum>
  <w:abstractNum w:abstractNumId="79">
    <w:nsid w:val="7F01579B"/>
    <w:multiLevelType w:val="hybridMultilevel"/>
    <w:lvl w:ilvl="0">
      <w:lvlJc w:val="left"/>
      <w:lvlText w:val="(%1)"/>
      <w:numFmt w:val="decimal"/>
      <w:start w:val="1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1)"/>
      <w:numFmt w:val="decimal"/>
      <w:start w:val="1"/>
    </w:lvl>
  </w:abstractNum>
  <w:abstractNum w:abstractNumId="87">
    <w:nsid w:val="7672BD23"/>
    <w:multiLevelType w:val="hybridMultilevel"/>
    <w:lvl w:ilvl="0">
      <w:lvlJc w:val="left"/>
      <w:lvlText w:val="(%1)"/>
      <w:numFmt w:val="lowerRoman"/>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
      <w:numFmt w:val="bullet"/>
      <w:start w:val="1"/>
    </w:lvl>
  </w:abstractNum>
  <w:abstractNum w:abstractNumId="90">
    <w:nsid w:val="7D5E18F8"/>
    <w:multiLevelType w:val="hybridMultilevel"/>
    <w:lvl w:ilvl="0">
      <w:lvlJc w:val="left"/>
      <w:lvlText w:val="•"/>
      <w:numFmt w:val="bullet"/>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
      <w:numFmt w:val="bullet"/>
      <w:start w:val="1"/>
    </w:lvl>
  </w:abstractNum>
  <w:abstractNum w:abstractNumId="94">
    <w:nsid w:val="555C55B5"/>
    <w:multiLevelType w:val="hybridMultilevel"/>
    <w:lvl w:ilvl="0">
      <w:lvlJc w:val="left"/>
      <w:lvlText w:val="(%1)"/>
      <w:numFmt w:val="lowerRoman"/>
      <w:start w:val="3"/>
    </w:lvl>
  </w:abstractNum>
  <w:abstractNum w:abstractNumId="95">
    <w:nsid w:val="3FA62ACA"/>
    <w:multiLevelType w:val="hybridMultilevel"/>
    <w:lvl w:ilvl="0">
      <w:lvlJc w:val="left"/>
      <w:lvlText w:val="(%1)"/>
      <w:numFmt w:val="decimal"/>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
      <w:numFmt w:val="bullet"/>
      <w:start w:val="1"/>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1)"/>
      <w:numFmt w:val="lowerRoman"/>
      <w:start w:val="1"/>
    </w:lvl>
  </w:abstractNum>
  <w:abstractNum w:abstractNumId="103">
    <w:nsid w:val="1D545C4D"/>
    <w:multiLevelType w:val="hybridMultilevel"/>
    <w:lvl w:ilvl="0">
      <w:lvlJc w:val="left"/>
      <w:lvlText w:val="\endash "/>
      <w:numFmt w:val="bullet"/>
      <w:start w:val="1"/>
    </w:lvl>
  </w:abstractNum>
  <w:abstractNum w:abstractNumId="104">
    <w:nsid w:val="59ADEA3D"/>
    <w:multiLevelType w:val="hybridMultilevel"/>
    <w:lvl w:ilvl="0">
      <w:lvlJc w:val="left"/>
      <w:lvlText w:val="\endash "/>
      <w:numFmt w:val="bullet"/>
      <w:start w:val="1"/>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
      <w:numFmt w:val="bullet"/>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2022-05-11T16:13:47Z</dcterms:created>
  <dcterms:modified xsi:type="dcterms:W3CDTF">2022-05-11T16:13:47Z</dcterms:modified>
</cp:coreProperties>
</file>