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5, 2025</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333-267112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313055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441325</wp:posOffset>
            </wp:positionV>
            <wp:extent cx="2468880" cy="848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48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GeneDx Holdings Corp.</w:t>
      </w:r>
    </w:p>
    <w:p>
      <w:pPr>
        <w:spacing w:after="0" w:line="5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321945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780" w:type="dxa"/>
        <w:tblCellMar>
          <w:top w:w="0" w:type="dxa"/>
          <w:left w:w="0" w:type="dxa"/>
          <w:bottom w:w="0" w:type="dxa"/>
          <w:right w:w="0" w:type="dxa"/>
        </w:tblCellMar>
      </w:tblPr>
      <w:tr>
        <w:trPr>
          <w:trHeight w:val="190"/>
        </w:trPr>
        <w:tc>
          <w:tcPr>
            <w:tcW w:w="388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85-1966622</w:t>
            </w:r>
          </w:p>
        </w:tc>
      </w:tr>
      <w:tr>
        <w:trPr>
          <w:trHeight w:val="201"/>
        </w:trPr>
        <w:tc>
          <w:tcPr>
            <w:tcW w:w="388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2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333 Ludlow Street, North Tower; 6th Floor</w:t>
      </w:r>
    </w:p>
    <w:p>
      <w:pPr>
        <w:spacing w:after="0" w:line="2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Stamford, Connecticut 06902</w:t>
      </w:r>
    </w:p>
    <w:p>
      <w:pPr>
        <w:spacing w:after="0" w:line="1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(888) 729-1206</w:t>
      </w:r>
    </w:p>
    <w:p>
      <w:pPr>
        <w:spacing w:after="0" w:line="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10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Katherine Stueland</w:t>
      </w:r>
    </w:p>
    <w:p>
      <w:pPr>
        <w:spacing w:after="0" w:line="2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333 Ludlow Street, North Tower, 6th Floor</w:t>
      </w:r>
    </w:p>
    <w:p>
      <w:pPr>
        <w:spacing w:after="0" w:line="1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Stamford, Connecticut 06902</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(888) 729-1206</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332740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 w:name="page2"/>
    <w:bookmarkEnd w:id="1"/>
    <w:p>
      <w:pPr>
        <w:spacing w:after="0" w:line="298"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288"/>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Ethan Skerry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Kevin Feeley</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Per B. Chilstrom</w:t>
            </w:r>
          </w:p>
        </w:tc>
        <w:tc>
          <w:tcPr>
            <w:tcW w:w="52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Fenwick &amp; West LLP</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902 Broadway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333 Ludlow Street, North Tower, 6th Floor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New York, New York 10010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Stamford, Connecticut 06902</w:t>
            </w:r>
          </w:p>
        </w:tc>
      </w:tr>
      <w:tr>
        <w:trPr>
          <w:trHeight w:val="26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(212) 430-2600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(888) 729-1206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Not applicable.</w:t>
      </w:r>
    </w:p>
    <w:p>
      <w:pPr>
        <w:spacing w:after="0" w:line="10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54" w:lineRule="exact"/>
        <w:rPr>
          <w:sz w:val="20"/>
          <w:szCs w:val="20"/>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74" w:lineRule="exact"/>
        <w:rPr>
          <w:sz w:val="20"/>
          <w:szCs w:val="20"/>
          <w:color w:val="auto"/>
        </w:rPr>
      </w:pPr>
    </w:p>
    <w:p>
      <w:pPr>
        <w:ind w:right="480"/>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0"/>
          <w:szCs w:val="20"/>
          <w:color w:val="auto"/>
        </w:rPr>
      </w:pPr>
    </w:p>
    <w:p>
      <w:pPr>
        <w:ind w:right="100"/>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0"/>
          <w:szCs w:val="20"/>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74" w:lineRule="exact"/>
        <w:rPr>
          <w:sz w:val="20"/>
          <w:szCs w:val="20"/>
          <w:color w:val="auto"/>
        </w:rPr>
      </w:pPr>
    </w:p>
    <w:p>
      <w:pPr>
        <w:ind w:right="80"/>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1"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4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68" w:lineRule="exact"/>
        <w:rPr>
          <w:sz w:val="20"/>
          <w:szCs w:val="20"/>
          <w:color w:val="auto"/>
        </w:r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Securities Act.</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Form S-3 relates to the Registration Statement on Form S-3 (333-267112), filed with the Securities and Exchange Commission on August 26, 2022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by GeneDx Holdings Corp., a Delaware corporation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The Registration Statement registered the sale of up to $300,000,000 of the Registrant’s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third anniversary of the initial effective date of the Registration Statement, the Registrant had offered and sold $225,064,750 of the Registrant’s securities pursuant to the Registration Statement, with $74,935,250 of the Registrant’s securities (the “</w:t>
      </w:r>
      <w:r>
        <w:rPr>
          <w:rFonts w:ascii="Times New Roman" w:cs="Times New Roman" w:eastAsia="Times New Roman" w:hAnsi="Times New Roman"/>
          <w:sz w:val="18"/>
          <w:szCs w:val="18"/>
          <w:u w:val="single" w:color="auto"/>
          <w:color w:val="auto"/>
        </w:rPr>
        <w:t>Remaining Unsold Securities</w:t>
      </w:r>
      <w:r>
        <w:rPr>
          <w:rFonts w:ascii="Times New Roman" w:cs="Times New Roman" w:eastAsia="Times New Roman" w:hAnsi="Times New Roman"/>
          <w:sz w:val="18"/>
          <w:szCs w:val="18"/>
          <w:color w:val="auto"/>
        </w:rPr>
        <w:t>”) remaining unsold as of such anniversary. In accordance with an undertaking made by the Registrant in the Registration Statement to remove from registration, by means of a post-effective amendment, any of the securities that had been registered for issuance that remain unsold at the termination of the offering, the Registrant hereby removes from registration the Remaining Unsold Securities registered under the Registration Statement as of the date hereof.</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No.1 to the Registration Statement to be signed on its behalf by the undersigned, thereunto duly authorized, in the city of Stamford, State of Connecticut, on the 5th day of September, 2025.</w:t>
      </w:r>
    </w:p>
    <w:p>
      <w:pPr>
        <w:spacing w:after="0" w:line="200" w:lineRule="exact"/>
        <w:rPr>
          <w:sz w:val="20"/>
          <w:szCs w:val="20"/>
          <w:color w:val="auto"/>
        </w:rPr>
      </w:pPr>
    </w:p>
    <w:p>
      <w:pPr>
        <w:spacing w:after="0" w:line="3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241"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18415</wp:posOffset>
            </wp:positionV>
            <wp:extent cx="121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9"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Katherine Stueland</w:t>
      </w:r>
    </w:p>
    <w:p>
      <w:pPr>
        <w:spacing w:after="0" w:line="36"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1000"/>
      </w:cols>
      <w:pgMar w:left="320" w:top="141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2025-09-05T06:07:02Z</dcterms:created>
  <dcterms:modified xsi:type="dcterms:W3CDTF">2025-09-05T06:07:02Z</dcterms:modified>
</cp:coreProperties>
</file>