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657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17"/>
        <w:spacing w:after="0"/>
        <w:rPr>
          <w:sz w:val="20"/>
          <w:szCs w:val="20"/>
          <w:color w:val="auto"/>
        </w:rPr>
      </w:pPr>
      <w:r>
        <w:rPr>
          <w:rFonts w:ascii="Arial" w:cs="Arial" w:eastAsia="Arial" w:hAnsi="Arial"/>
          <w:sz w:val="17"/>
          <w:szCs w:val="17"/>
          <w:color w:val="0000FF"/>
        </w:rPr>
        <w:t>Chief Business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62,875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62,875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62,875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00" w:firstLine="2"/>
        <w:spacing w:after="0" w:line="286"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8"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4" w:lineRule="exact"/>
        <w:rPr>
          <w:rFonts w:ascii="Arial" w:cs="Arial" w:eastAsia="Arial" w:hAnsi="Arial"/>
          <w:sz w:val="13"/>
          <w:szCs w:val="13"/>
          <w:color w:val="008000"/>
        </w:rPr>
      </w:pPr>
    </w:p>
    <w:p>
      <w:pPr>
        <w:ind w:left="40" w:right="14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11,790 of the RSUs, and will be satisfied with respect to the remainder of the RSUs over 13 quarterly periods, subject to the Reporting Person's continued service to the Issuer on each service-based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2021-12-13T18:22:10Z</dcterms:created>
  <dcterms:modified xsi:type="dcterms:W3CDTF">2021-12-13T18:22:10Z</dcterms:modified>
</cp:coreProperties>
</file>