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264795</wp:posOffset>
            </wp:positionV>
            <wp:extent cx="6680200" cy="76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80200" cy="7620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Washington, D.C. 20549</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116" w:lineRule="exact"/>
        <w:rPr>
          <w:sz w:val="24"/>
          <w:szCs w:val="24"/>
          <w:color w:val="auto"/>
        </w:rPr>
      </w:pPr>
    </w:p>
    <w:p>
      <w:pPr>
        <w:ind w:left="2140" w:hanging="1013"/>
        <w:spacing w:after="0"/>
        <w:tabs>
          <w:tab w:leader="none" w:pos="21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ANNUAL REPORT PURSUANT TO SECTION 13 OR 15(d) OF THE</w:t>
      </w:r>
    </w:p>
    <w:p>
      <w:pPr>
        <w:spacing w:after="0" w:line="37" w:lineRule="exact"/>
        <w:rPr>
          <w:rFonts w:ascii="Wingdings" w:cs="Wingdings" w:eastAsia="Wingdings" w:hAnsi="Wingdings"/>
          <w:sz w:val="18"/>
          <w:szCs w:val="18"/>
          <w:b w:val="1"/>
          <w:bCs w:val="1"/>
          <w:color w:val="auto"/>
        </w:rPr>
      </w:pPr>
    </w:p>
    <w:p>
      <w:pPr>
        <w:ind w:left="3460"/>
        <w:spacing w:after="0"/>
        <w:rPr>
          <w:rFonts w:ascii="Wingdings" w:cs="Wingdings" w:eastAsia="Wingdings" w:hAnsi="Wingdings"/>
          <w:sz w:val="18"/>
          <w:szCs w:val="18"/>
          <w:b w:val="1"/>
          <w:bCs w:val="1"/>
          <w:color w:val="auto"/>
        </w:rPr>
      </w:pPr>
      <w:r>
        <w:rPr>
          <w:rFonts w:ascii="Times New Roman" w:cs="Times New Roman" w:eastAsia="Times New Roman" w:hAnsi="Times New Roman"/>
          <w:sz w:val="22"/>
          <w:szCs w:val="22"/>
          <w:b w:val="1"/>
          <w:bCs w:val="1"/>
          <w:color w:val="auto"/>
        </w:rPr>
        <w:t>SECURITIES EXCHANGE ACT OF 1934</w:t>
      </w:r>
    </w:p>
    <w:p>
      <w:pPr>
        <w:spacing w:after="0" w:line="18" w:lineRule="exact"/>
        <w:rPr>
          <w:rFonts w:ascii="Wingdings" w:cs="Wingdings" w:eastAsia="Wingdings" w:hAnsi="Wingdings"/>
          <w:sz w:val="18"/>
          <w:szCs w:val="18"/>
          <w:b w:val="1"/>
          <w:bCs w:val="1"/>
          <w:color w:val="auto"/>
        </w:rPr>
      </w:pPr>
    </w:p>
    <w:p>
      <w:pPr>
        <w:ind w:left="3580"/>
        <w:spacing w:after="0"/>
        <w:rPr>
          <w:rFonts w:ascii="Wingdings" w:cs="Wingdings" w:eastAsia="Wingdings" w:hAnsi="Wingdings"/>
          <w:sz w:val="18"/>
          <w:szCs w:val="18"/>
          <w:b w:val="1"/>
          <w:bCs w:val="1"/>
          <w:color w:val="auto"/>
        </w:rPr>
      </w:pPr>
      <w:r>
        <w:rPr>
          <w:rFonts w:ascii="Times New Roman" w:cs="Times New Roman" w:eastAsia="Times New Roman" w:hAnsi="Times New Roman"/>
          <w:sz w:val="20"/>
          <w:szCs w:val="20"/>
          <w:b w:val="1"/>
          <w:bCs w:val="1"/>
          <w:color w:val="auto"/>
        </w:rPr>
        <w:t>For the fiscal year ended December 31, 2024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16" w:lineRule="exact"/>
        <w:rPr>
          <w:sz w:val="24"/>
          <w:szCs w:val="24"/>
          <w:color w:val="auto"/>
        </w:rPr>
      </w:pPr>
    </w:p>
    <w:p>
      <w:pPr>
        <w:ind w:left="1900" w:hanging="767"/>
        <w:spacing w:after="0"/>
        <w:tabs>
          <w:tab w:leader="none" w:pos="1900" w:val="left"/>
        </w:tabs>
        <w:numPr>
          <w:ilvl w:val="0"/>
          <w:numId w:val="2"/>
        </w:numPr>
        <w:rPr>
          <w:rFonts w:ascii="Wingdings" w:cs="Wingdings" w:eastAsia="Wingdings" w:hAnsi="Wingdings"/>
          <w:sz w:val="19"/>
          <w:szCs w:val="19"/>
          <w:b w:val="1"/>
          <w:bCs w:val="1"/>
          <w:color w:val="auto"/>
        </w:rPr>
      </w:pPr>
      <w:r>
        <w:rPr>
          <w:rFonts w:ascii="Times New Roman" w:cs="Times New Roman" w:eastAsia="Times New Roman" w:hAnsi="Times New Roman"/>
          <w:sz w:val="21"/>
          <w:szCs w:val="21"/>
          <w:b w:val="1"/>
          <w:bCs w:val="1"/>
          <w:color w:val="auto"/>
        </w:rPr>
        <w:t>TRANSITION REPORT PURSUANT TO SECTION 13 OR 15(d) OF THE</w:t>
      </w:r>
    </w:p>
    <w:p>
      <w:pPr>
        <w:spacing w:after="0" w:line="48" w:lineRule="exact"/>
        <w:rPr>
          <w:rFonts w:ascii="Wingdings" w:cs="Wingdings" w:eastAsia="Wingdings" w:hAnsi="Wingdings"/>
          <w:sz w:val="19"/>
          <w:szCs w:val="19"/>
          <w:b w:val="1"/>
          <w:bCs w:val="1"/>
          <w:color w:val="auto"/>
        </w:rPr>
      </w:pPr>
    </w:p>
    <w:p>
      <w:pPr>
        <w:ind w:left="3460"/>
        <w:spacing w:after="0"/>
        <w:rPr>
          <w:rFonts w:ascii="Wingdings" w:cs="Wingdings" w:eastAsia="Wingdings" w:hAnsi="Wingdings"/>
          <w:sz w:val="19"/>
          <w:szCs w:val="19"/>
          <w:b w:val="1"/>
          <w:bCs w:val="1"/>
          <w:color w:val="auto"/>
        </w:rPr>
      </w:pPr>
      <w:r>
        <w:rPr>
          <w:rFonts w:ascii="Times New Roman" w:cs="Times New Roman" w:eastAsia="Times New Roman" w:hAnsi="Times New Roman"/>
          <w:sz w:val="22"/>
          <w:szCs w:val="22"/>
          <w:b w:val="1"/>
          <w:bCs w:val="1"/>
          <w:color w:val="auto"/>
        </w:rPr>
        <w:t>SECURITIES EXCHANGE ACT OF 1934</w:t>
      </w:r>
    </w:p>
    <w:p>
      <w:pPr>
        <w:spacing w:after="0" w:line="18"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_______ to _______</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2514600</wp:posOffset>
            </wp:positionH>
            <wp:positionV relativeFrom="paragraph">
              <wp:posOffset>50165</wp:posOffset>
            </wp:positionV>
            <wp:extent cx="1600200" cy="554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200" cy="554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GeneDx Holdings Corp.</w:t>
      </w:r>
    </w:p>
    <w:p>
      <w:pPr>
        <w:spacing w:after="0" w:line="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35" w:lineRule="exact"/>
        <w:rPr>
          <w:sz w:val="24"/>
          <w:szCs w:val="24"/>
          <w:color w:val="auto"/>
        </w:rPr>
      </w:pPr>
    </w:p>
    <w:p>
      <w:pPr>
        <w:ind w:left="2340"/>
        <w:spacing w:after="0"/>
        <w:tabs>
          <w:tab w:leader="none" w:pos="7200" w:val="left"/>
        </w:tabs>
        <w:rPr>
          <w:sz w:val="20"/>
          <w:szCs w:val="20"/>
          <w:color w:val="auto"/>
        </w:rPr>
      </w:pPr>
      <w:r>
        <w:rPr>
          <w:rFonts w:ascii="Times New Roman" w:cs="Times New Roman" w:eastAsia="Times New Roman" w:hAnsi="Times New Roman"/>
          <w:sz w:val="20"/>
          <w:szCs w:val="20"/>
          <w:b w:val="1"/>
          <w:bCs w:val="1"/>
          <w:color w:val="auto"/>
        </w:rPr>
        <w:t>Delaware</w:t>
      </w:r>
      <w:r>
        <w:rPr>
          <w:sz w:val="20"/>
          <w:szCs w:val="20"/>
          <w:color w:val="auto"/>
        </w:rPr>
        <w:tab/>
      </w:r>
      <w:r>
        <w:rPr>
          <w:rFonts w:ascii="Times New Roman" w:cs="Times New Roman" w:eastAsia="Times New Roman" w:hAnsi="Times New Roman"/>
          <w:sz w:val="20"/>
          <w:szCs w:val="20"/>
          <w:b w:val="1"/>
          <w:bCs w:val="1"/>
          <w:color w:val="auto"/>
        </w:rPr>
        <w:t>85-1966622</w:t>
      </w:r>
    </w:p>
    <w:p>
      <w:pPr>
        <w:sectPr>
          <w:pgSz w:w="12240" w:h="15840" w:orient="portrait"/>
          <w:cols w:equalWidth="0" w:num="1">
            <w:col w:w="10440"/>
          </w:cols>
          <w:pgMar w:left="900" w:top="298" w:right="900" w:bottom="521" w:gutter="0" w:footer="0" w:header="0"/>
        </w:sectPr>
      </w:pPr>
    </w:p>
    <w:p>
      <w:pPr>
        <w:spacing w:after="0" w:line="6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9"/>
          <w:szCs w:val="19"/>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134" w:lineRule="exact"/>
        <w:rPr>
          <w:sz w:val="24"/>
          <w:szCs w:val="24"/>
          <w:color w:val="auto"/>
        </w:rPr>
      </w:pPr>
    </w:p>
    <w:p>
      <w:pPr>
        <w:sectPr>
          <w:pgSz w:w="12240" w:h="15840" w:orient="portrait"/>
          <w:cols w:equalWidth="0" w:num="2">
            <w:col w:w="5540" w:space="720"/>
            <w:col w:w="4180"/>
          </w:cols>
          <w:pgMar w:left="900" w:top="298" w:right="900" w:bottom="521" w:gutter="0" w:footer="0" w:header="0"/>
          <w:type w:val="continuous"/>
        </w:sectPr>
      </w:pPr>
    </w:p>
    <w:p>
      <w:pPr>
        <w:jc w:val="center"/>
        <w:spacing w:after="0"/>
        <w:rPr>
          <w:sz w:val="20"/>
          <w:szCs w:val="20"/>
          <w:color w:val="auto"/>
        </w:rPr>
      </w:pPr>
      <w:r>
        <w:rPr>
          <w:rFonts w:ascii="Times New Roman" w:cs="Times New Roman" w:eastAsia="Times New Roman" w:hAnsi="Times New Roman"/>
          <w:sz w:val="20"/>
          <w:szCs w:val="20"/>
          <w:b w:val="1"/>
          <w:bCs w:val="1"/>
          <w:color w:val="auto"/>
        </w:rPr>
        <w:t>333 Ludlow Street, North Tower, 6th Floor</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Stamford, Connecticut 06902</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218"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(888) 729-1206</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64"/>
        </w:trPr>
        <w:tc>
          <w:tcPr>
            <w:tcW w:w="4900" w:type="dxa"/>
            <w:vAlign w:val="bottom"/>
          </w:tcPr>
          <w:p>
            <w:pPr>
              <w:ind w:left="1700"/>
              <w:spacing w:after="0"/>
              <w:rPr>
                <w:sz w:val="20"/>
                <w:szCs w:val="20"/>
                <w:color w:val="auto"/>
              </w:rPr>
            </w:pPr>
            <w:r>
              <w:rPr>
                <w:rFonts w:ascii="Times New Roman" w:cs="Times New Roman" w:eastAsia="Times New Roman" w:hAnsi="Times New Roman"/>
                <w:sz w:val="20"/>
                <w:szCs w:val="20"/>
                <w:b w:val="1"/>
                <w:bCs w:val="1"/>
                <w:color w:val="auto"/>
              </w:rPr>
              <w:t>Title of each class</w:t>
            </w:r>
          </w:p>
        </w:tc>
        <w:tc>
          <w:tcPr>
            <w:tcW w:w="6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Trading Symbol</w:t>
            </w:r>
          </w:p>
        </w:tc>
        <w:tc>
          <w:tcPr>
            <w:tcW w:w="60" w:type="dxa"/>
            <w:vAlign w:val="bottom"/>
          </w:tcPr>
          <w:p>
            <w:pPr>
              <w:spacing w:after="0"/>
              <w:rPr>
                <w:sz w:val="22"/>
                <w:szCs w:val="22"/>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Name of each exchange on which registered</w:t>
            </w:r>
          </w:p>
        </w:tc>
      </w:tr>
      <w:tr>
        <w:trPr>
          <w:trHeight w:val="27"/>
        </w:trPr>
        <w:tc>
          <w:tcPr>
            <w:tcW w:w="4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60"/>
        </w:trPr>
        <w:tc>
          <w:tcPr>
            <w:tcW w:w="4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Class A common stock, par value $0.0001 per share</w:t>
            </w:r>
          </w:p>
        </w:tc>
        <w:tc>
          <w:tcPr>
            <w:tcW w:w="6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WGS</w:t>
            </w:r>
          </w:p>
        </w:tc>
        <w:tc>
          <w:tcPr>
            <w:tcW w:w="60" w:type="dxa"/>
            <w:vAlign w:val="bottom"/>
          </w:tcPr>
          <w:p>
            <w:pPr>
              <w:spacing w:after="0"/>
              <w:rPr>
                <w:sz w:val="22"/>
                <w:szCs w:val="22"/>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The Nasdaq Stock Market LLC</w:t>
            </w:r>
          </w:p>
        </w:tc>
      </w:tr>
      <w:tr>
        <w:trPr>
          <w:trHeight w:val="206"/>
        </w:trPr>
        <w:tc>
          <w:tcPr>
            <w:tcW w:w="4900" w:type="dxa"/>
            <w:vAlign w:val="bottom"/>
          </w:tcPr>
          <w:p>
            <w:pPr>
              <w:ind w:left="60"/>
              <w:spacing w:after="0" w:line="206" w:lineRule="exact"/>
              <w:rPr>
                <w:sz w:val="20"/>
                <w:szCs w:val="20"/>
                <w:color w:val="auto"/>
              </w:rPr>
            </w:pPr>
            <w:r>
              <w:rPr>
                <w:rFonts w:ascii="Times New Roman" w:cs="Times New Roman" w:eastAsia="Times New Roman" w:hAnsi="Times New Roman"/>
                <w:sz w:val="20"/>
                <w:szCs w:val="20"/>
                <w:color w:val="auto"/>
              </w:rPr>
              <w:t>Warrants to purchase one share of Class A common stock,</w:t>
            </w:r>
          </w:p>
        </w:tc>
        <w:tc>
          <w:tcPr>
            <w:tcW w:w="60" w:type="dxa"/>
            <w:vAlign w:val="bottom"/>
          </w:tcPr>
          <w:p>
            <w:pPr>
              <w:spacing w:after="0"/>
              <w:rPr>
                <w:sz w:val="17"/>
                <w:szCs w:val="17"/>
                <w:color w:val="auto"/>
              </w:rPr>
            </w:pPr>
          </w:p>
        </w:tc>
        <w:tc>
          <w:tcPr>
            <w:tcW w:w="1520" w:type="dxa"/>
            <w:vAlign w:val="bottom"/>
          </w:tcPr>
          <w:p>
            <w:pPr>
              <w:jc w:val="center"/>
              <w:spacing w:after="0" w:line="206" w:lineRule="exact"/>
              <w:rPr>
                <w:sz w:val="20"/>
                <w:szCs w:val="20"/>
                <w:color w:val="auto"/>
              </w:rPr>
            </w:pPr>
            <w:r>
              <w:rPr>
                <w:rFonts w:ascii="Times New Roman" w:cs="Times New Roman" w:eastAsia="Times New Roman" w:hAnsi="Times New Roman"/>
                <w:sz w:val="20"/>
                <w:szCs w:val="20"/>
                <w:color w:val="auto"/>
                <w:w w:val="99"/>
              </w:rPr>
              <w:t>WGSWW</w:t>
            </w:r>
          </w:p>
        </w:tc>
        <w:tc>
          <w:tcPr>
            <w:tcW w:w="60" w:type="dxa"/>
            <w:vAlign w:val="bottom"/>
          </w:tcPr>
          <w:p>
            <w:pPr>
              <w:spacing w:after="0"/>
              <w:rPr>
                <w:sz w:val="17"/>
                <w:szCs w:val="17"/>
                <w:color w:val="auto"/>
              </w:rPr>
            </w:pPr>
          </w:p>
        </w:tc>
        <w:tc>
          <w:tcPr>
            <w:tcW w:w="3900" w:type="dxa"/>
            <w:vAlign w:val="bottom"/>
          </w:tcPr>
          <w:p>
            <w:pPr>
              <w:jc w:val="center"/>
              <w:spacing w:after="0" w:line="206" w:lineRule="exact"/>
              <w:rPr>
                <w:sz w:val="20"/>
                <w:szCs w:val="20"/>
                <w:color w:val="auto"/>
              </w:rPr>
            </w:pPr>
            <w:r>
              <w:rPr>
                <w:rFonts w:ascii="Times New Roman" w:cs="Times New Roman" w:eastAsia="Times New Roman" w:hAnsi="Times New Roman"/>
                <w:sz w:val="20"/>
                <w:szCs w:val="20"/>
                <w:color w:val="auto"/>
                <w:w w:val="99"/>
              </w:rPr>
              <w:t>The Nasdaq Stock Market LLC</w:t>
            </w:r>
          </w:p>
        </w:tc>
      </w:tr>
      <w:tr>
        <w:trPr>
          <w:trHeight w:val="260"/>
        </w:trPr>
        <w:tc>
          <w:tcPr>
            <w:tcW w:w="4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each at an exercise price of $379.50 per share</w:t>
            </w:r>
          </w:p>
        </w:tc>
        <w:tc>
          <w:tcPr>
            <w:tcW w:w="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900" w:type="dxa"/>
            <w:vAlign w:val="bottom"/>
          </w:tcPr>
          <w:p>
            <w:pPr>
              <w:spacing w:after="0"/>
              <w:rPr>
                <w:sz w:val="22"/>
                <w:szCs w:val="22"/>
                <w:color w:val="auto"/>
              </w:rPr>
            </w:pPr>
          </w:p>
        </w:tc>
      </w:tr>
    </w:tbl>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Securities registered pursuant to section 12(g) of the Act: </w:t>
      </w:r>
      <w:r>
        <w:rPr>
          <w:rFonts w:ascii="Times New Roman" w:cs="Times New Roman" w:eastAsia="Times New Roman" w:hAnsi="Times New Roman"/>
          <w:sz w:val="20"/>
          <w:szCs w:val="20"/>
          <w:b w:val="1"/>
          <w:bCs w:val="1"/>
          <w:color w:val="auto"/>
        </w:rPr>
        <w:t>None</w:t>
      </w:r>
    </w:p>
    <w:p>
      <w:pPr>
        <w:spacing w:after="0" w:line="149" w:lineRule="exact"/>
        <w:rPr>
          <w:sz w:val="24"/>
          <w:szCs w:val="24"/>
          <w:color w:val="auto"/>
        </w:rPr>
      </w:pPr>
    </w:p>
    <w:p>
      <w:pPr>
        <w:jc w:val="both"/>
        <w:ind w:right="120"/>
        <w:spacing w:after="0" w:line="261"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00"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46"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o</w:t>
      </w:r>
    </w:p>
    <w:p>
      <w:pPr>
        <w:spacing w:after="0" w:line="112"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o</w:t>
      </w:r>
    </w:p>
    <w:p>
      <w:pPr>
        <w:sectPr>
          <w:pgSz w:w="12240" w:h="15840" w:orient="portrait"/>
          <w:cols w:equalWidth="0" w:num="1">
            <w:col w:w="10440"/>
          </w:cols>
          <w:pgMar w:left="900" w:top="298" w:right="900" w:bottom="521"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Large accelerated filer</w:t>
            </w:r>
          </w:p>
        </w:tc>
        <w:tc>
          <w:tcPr>
            <w:tcW w:w="1800" w:type="dxa"/>
            <w:vAlign w:val="bottom"/>
          </w:tcPr>
          <w:p>
            <w:pPr>
              <w:ind w:left="600"/>
              <w:spacing w:after="0"/>
              <w:rPr>
                <w:sz w:val="20"/>
                <w:szCs w:val="20"/>
                <w:color w:val="auto"/>
              </w:rPr>
            </w:pPr>
            <w:r>
              <w:rPr>
                <w:rFonts w:ascii="Wingdings" w:cs="Wingdings" w:eastAsia="Wingdings" w:hAnsi="Wingdings"/>
                <w:sz w:val="20"/>
                <w:szCs w:val="20"/>
                <w:b w:val="1"/>
                <w:bCs w:val="1"/>
                <w:color w:val="auto"/>
              </w:rPr>
              <w:t>o</w:t>
            </w:r>
          </w:p>
        </w:tc>
        <w:tc>
          <w:tcPr>
            <w:tcW w:w="360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Accelerated filer</w:t>
            </w:r>
          </w:p>
        </w:tc>
        <w:tc>
          <w:tcPr>
            <w:tcW w:w="620" w:type="dxa"/>
            <w:vAlign w:val="bottom"/>
          </w:tcPr>
          <w:p>
            <w:pPr>
              <w:ind w:left="420"/>
              <w:spacing w:after="0"/>
              <w:rPr>
                <w:sz w:val="20"/>
                <w:szCs w:val="20"/>
                <w:color w:val="auto"/>
              </w:rPr>
            </w:pPr>
            <w:r>
              <w:rPr>
                <w:rFonts w:ascii="Wingdings" w:cs="Wingdings" w:eastAsia="Wingdings" w:hAnsi="Wingdings"/>
                <w:sz w:val="20"/>
                <w:szCs w:val="20"/>
                <w:b w:val="1"/>
                <w:bCs w:val="1"/>
                <w:color w:val="auto"/>
                <w:w w:val="84"/>
              </w:rPr>
              <w:t>x</w:t>
            </w:r>
          </w:p>
        </w:tc>
      </w:t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Non-accelerated filer</w:t>
            </w:r>
          </w:p>
        </w:tc>
        <w:tc>
          <w:tcPr>
            <w:tcW w:w="1800" w:type="dxa"/>
            <w:vAlign w:val="bottom"/>
          </w:tcPr>
          <w:p>
            <w:pPr>
              <w:ind w:left="600"/>
              <w:spacing w:after="0"/>
              <w:rPr>
                <w:sz w:val="20"/>
                <w:szCs w:val="20"/>
                <w:color w:val="auto"/>
              </w:rPr>
            </w:pPr>
            <w:r>
              <w:rPr>
                <w:rFonts w:ascii="Wingdings" w:cs="Wingdings" w:eastAsia="Wingdings" w:hAnsi="Wingdings"/>
                <w:sz w:val="18"/>
                <w:szCs w:val="18"/>
                <w:b w:val="1"/>
                <w:bCs w:val="1"/>
                <w:color w:val="auto"/>
              </w:rPr>
              <w:t>o</w:t>
            </w:r>
          </w:p>
        </w:tc>
        <w:tc>
          <w:tcPr>
            <w:tcW w:w="360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Smaller reporting company</w:t>
            </w:r>
          </w:p>
        </w:tc>
        <w:tc>
          <w:tcPr>
            <w:tcW w:w="620" w:type="dxa"/>
            <w:vAlign w:val="bottom"/>
          </w:tcPr>
          <w:p>
            <w:pPr>
              <w:ind w:left="420"/>
              <w:spacing w:after="0"/>
              <w:rPr>
                <w:sz w:val="20"/>
                <w:szCs w:val="20"/>
                <w:color w:val="auto"/>
              </w:rPr>
            </w:pPr>
            <w:r>
              <w:rPr>
                <w:rFonts w:ascii="Wingdings" w:cs="Wingdings" w:eastAsia="Wingdings" w:hAnsi="Wingdings"/>
                <w:sz w:val="18"/>
                <w:szCs w:val="18"/>
                <w:b w:val="1"/>
                <w:bCs w:val="1"/>
                <w:color w:val="auto"/>
                <w:w w:val="94"/>
              </w:rPr>
              <w:t>x</w:t>
            </w:r>
          </w:p>
        </w:tc>
      </w:tr>
      <w:tr>
        <w:trPr>
          <w:trHeight w:val="270"/>
        </w:trPr>
        <w:tc>
          <w:tcPr>
            <w:tcW w:w="24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60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Emerging growth company</w:t>
            </w:r>
          </w:p>
        </w:tc>
        <w:tc>
          <w:tcPr>
            <w:tcW w:w="620" w:type="dxa"/>
            <w:vAlign w:val="bottom"/>
          </w:tcPr>
          <w:p>
            <w:pPr>
              <w:ind w:left="42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7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20"/>
          <w:szCs w:val="20"/>
          <w:b w:val="1"/>
          <w:bCs w:val="1"/>
          <w:color w:val="auto"/>
        </w:rPr>
        <w:t>o</w:t>
      </w:r>
    </w:p>
    <w:p>
      <w:pPr>
        <w:spacing w:after="0" w:line="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 7252(b)) by the registered public accounting firm that prepared or issued its audit report. </w:t>
      </w:r>
      <w:r>
        <w:rPr>
          <w:rFonts w:ascii="Wingdings" w:cs="Wingdings" w:eastAsia="Wingdings" w:hAnsi="Wingdings"/>
          <w:sz w:val="20"/>
          <w:szCs w:val="20"/>
          <w:b w:val="1"/>
          <w:bCs w:val="1"/>
          <w:color w:val="auto"/>
        </w:rPr>
        <w:t>o</w:t>
      </w:r>
    </w:p>
    <w:p>
      <w:pPr>
        <w:spacing w:after="0" w:line="52" w:lineRule="exact"/>
        <w:rPr>
          <w:sz w:val="20"/>
          <w:szCs w:val="20"/>
          <w:color w:val="auto"/>
        </w:rPr>
      </w:pPr>
    </w:p>
    <w:p>
      <w:pPr>
        <w:jc w:val="both"/>
        <w:spacing w:after="0" w:line="259" w:lineRule="exact"/>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20"/>
          <w:szCs w:val="20"/>
          <w:b w:val="1"/>
          <w:bCs w:val="1"/>
          <w:color w:val="auto"/>
        </w:rPr>
        <w:t>☐</w:t>
      </w:r>
    </w:p>
    <w:p>
      <w:pPr>
        <w:spacing w:after="0" w:line="143" w:lineRule="exact"/>
        <w:rPr>
          <w:sz w:val="20"/>
          <w:szCs w:val="20"/>
          <w:color w:val="auto"/>
        </w:rPr>
      </w:pPr>
    </w:p>
    <w:p>
      <w:pPr>
        <w:jc w:val="both"/>
        <w:spacing w:after="0" w:line="253" w:lineRule="exact"/>
        <w:rPr>
          <w:sz w:val="20"/>
          <w:szCs w:val="20"/>
          <w:color w:val="auto"/>
        </w:rPr>
      </w:pPr>
      <w:r>
        <w:rPr>
          <w:rFonts w:ascii="Times New Roman" w:cs="Times New Roman" w:eastAsia="Times New Roman" w:hAnsi="Times New Roman"/>
          <w:sz w:val="20"/>
          <w:szCs w:val="20"/>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20"/>
          <w:szCs w:val="20"/>
          <w:b w:val="1"/>
          <w:bCs w:val="1"/>
          <w:color w:val="auto"/>
        </w:rPr>
        <w:t>ﬃ</w:t>
      </w:r>
      <w:r>
        <w:rPr>
          <w:rFonts w:ascii="Times New Roman" w:cs="Times New Roman" w:eastAsia="Times New Roman" w:hAnsi="Times New Roman"/>
          <w:sz w:val="20"/>
          <w:szCs w:val="20"/>
          <w:color w:val="auto"/>
        </w:rPr>
        <w:t xml:space="preserve">cers during the relevant recovery period pursuant to §240.10D-1(b). </w:t>
      </w:r>
      <w:r>
        <w:rPr>
          <w:rFonts w:ascii="Arial Unicode MS" w:cs="Arial Unicode MS" w:eastAsia="Arial Unicode MS" w:hAnsi="Arial Unicode MS"/>
          <w:sz w:val="20"/>
          <w:szCs w:val="20"/>
          <w:b w:val="1"/>
          <w:bCs w:val="1"/>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Indicate by check mark whether the registrant is a shell company (as defined in Rule 12b-2 of the Act). Yes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aggregate market value of voting common stock held by non-affiliates of the registrant (assuming for purposes of this calculation, without conceding, that all executive officers and directors are “affiliates”) was approximately $432 million as of June 28, 2024 (the last business day of the registrant’s most recently completed second fiscal quarter), based on the closing sale price of such stock as reported on the Nasdaq Global Select Market.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registrant had outstanding 28,068,274 shares of Class A common stock as of February 14, 2025.</w:t>
      </w:r>
    </w:p>
    <w:p>
      <w:pPr>
        <w:spacing w:after="0" w:line="18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Part III incorporates information by reference from the registrant’s definitive proxy statement to be filed with the Securities and Exchange Commission pursuant to Regulation 14A, not later than 120 days after the end of the fiscal year covered by this Annual Report on Form 10-K, in connection with the registrant’s 2025 Annual Meeting of Stockholders (the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153670</wp:posOffset>
            </wp:positionV>
            <wp:extent cx="6680200" cy="76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0200" cy="76200"/>
                    </a:xfrm>
                    <a:prstGeom prst="rect">
                      <a:avLst/>
                    </a:prstGeom>
                    <a:noFill/>
                  </pic:spPr>
                </pic:pic>
              </a:graphicData>
            </a:graphic>
          </wp:anchor>
        </w:drawing>
      </w:r>
    </w:p>
    <w:p>
      <w:pPr>
        <w:sectPr>
          <w:pgSz w:w="12240" w:h="15840" w:orient="portrait"/>
          <w:cols w:equalWidth="0" w:num="1">
            <w:col w:w="10440"/>
          </w:cols>
          <w:pgMar w:left="900" w:top="298" w:right="90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9220" w:type="dxa"/>
            <w:vAlign w:val="bottom"/>
            <w:gridSpan w:val="29"/>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0"/>
        </w:trPr>
        <w:tc>
          <w:tcPr>
            <w:tcW w:w="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80" w:type="dxa"/>
            <w:vAlign w:val="bottom"/>
            <w:gridSpan w:val="12"/>
          </w:tcPr>
          <w:p>
            <w:pPr>
              <w:ind w:left="7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ind w:left="760"/>
              <w:spacing w:after="0"/>
              <w:rPr>
                <w:sz w:val="20"/>
                <w:szCs w:val="20"/>
                <w:color w:val="auto"/>
              </w:rPr>
            </w:pPr>
            <w:r>
              <w:rPr>
                <w:rFonts w:ascii="Times New Roman" w:cs="Times New Roman" w:eastAsia="Times New Roman" w:hAnsi="Times New Roman"/>
                <w:sz w:val="20"/>
                <w:szCs w:val="20"/>
                <w:b w:val="1"/>
                <w:bCs w:val="1"/>
                <w:color w:val="auto"/>
                <w:w w:val="92"/>
              </w:rPr>
              <w:t>Page</w:t>
            </w: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916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Cautionary Note Regarding Forward Looking Statements</w:t>
            </w:r>
          </w:p>
        </w:tc>
        <w:tc>
          <w:tcPr>
            <w:tcW w:w="1160" w:type="dxa"/>
            <w:vAlign w:val="bottom"/>
          </w:tcPr>
          <w:p>
            <w:pPr>
              <w:jc w:val="center"/>
              <w:ind w:left="640"/>
              <w:spacing w:after="0"/>
              <w:rPr>
                <w:sz w:val="20"/>
                <w:szCs w:val="20"/>
                <w:color w:val="auto"/>
              </w:rPr>
            </w:pPr>
            <w:r>
              <w:rPr>
                <w:rFonts w:ascii="Times New Roman" w:cs="Times New Roman" w:eastAsia="Times New Roman" w:hAnsi="Times New Roman"/>
                <w:sz w:val="20"/>
                <w:szCs w:val="20"/>
                <w:color w:val="auto"/>
                <w:w w:val="99"/>
              </w:rPr>
              <w:t>4</w:t>
            </w:r>
          </w:p>
        </w:tc>
        <w:tc>
          <w:tcPr>
            <w:tcW w:w="0" w:type="dxa"/>
            <w:vAlign w:val="bottom"/>
          </w:tcPr>
          <w:p>
            <w:pPr>
              <w:spacing w:after="0"/>
              <w:rPr>
                <w:sz w:val="1"/>
                <w:szCs w:val="1"/>
                <w:color w:val="auto"/>
              </w:rPr>
            </w:pPr>
          </w:p>
        </w:tc>
      </w:tr>
      <w:tr>
        <w:trPr>
          <w:trHeight w:val="593"/>
        </w:trPr>
        <w:tc>
          <w:tcPr>
            <w:tcW w:w="60" w:type="dxa"/>
            <w:vAlign w:val="bottom"/>
          </w:tcPr>
          <w:p>
            <w:pPr>
              <w:spacing w:after="0"/>
              <w:rPr>
                <w:sz w:val="24"/>
                <w:szCs w:val="24"/>
                <w:color w:val="auto"/>
              </w:rPr>
            </w:pPr>
          </w:p>
        </w:tc>
        <w:tc>
          <w:tcPr>
            <w:tcW w:w="45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4580" w:type="dxa"/>
            <w:vAlign w:val="bottom"/>
            <w:gridSpan w:val="9"/>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Borders>
              <w:bottom w:val="single" w:sz="8" w:color="0000FF"/>
            </w:tcBorders>
            <w:gridSpan w:val="4"/>
          </w:tcPr>
          <w:p>
            <w:pPr>
              <w:spacing w:after="0" w:line="201" w:lineRule="exact"/>
              <w:rPr>
                <w:sz w:val="20"/>
                <w:szCs w:val="20"/>
                <w:color w:val="auto"/>
              </w:rPr>
            </w:pPr>
            <w:r>
              <w:rPr>
                <w:rFonts w:ascii="Times New Roman" w:cs="Times New Roman" w:eastAsia="Times New Roman" w:hAnsi="Times New Roman"/>
                <w:sz w:val="20"/>
                <w:szCs w:val="20"/>
                <w:color w:val="0000FF"/>
                <w:w w:val="97"/>
              </w:rPr>
              <w:t>Item 1. Business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jc w:val="center"/>
              <w:ind w:left="640"/>
              <w:spacing w:after="0" w:line="221" w:lineRule="exact"/>
              <w:rPr>
                <w:sz w:val="20"/>
                <w:szCs w:val="20"/>
                <w:color w:val="auto"/>
              </w:rPr>
            </w:pPr>
            <w:r>
              <w:rPr>
                <w:rFonts w:ascii="Times New Roman" w:cs="Times New Roman" w:eastAsia="Times New Roman" w:hAnsi="Times New Roman"/>
                <w:sz w:val="20"/>
                <w:szCs w:val="20"/>
                <w:color w:val="auto"/>
                <w:w w:val="99"/>
              </w:rPr>
              <w:t>5</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Item 1A. Risk Factors</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jc w:val="center"/>
              <w:ind w:left="660"/>
              <w:spacing w:after="0"/>
              <w:rPr>
                <w:sz w:val="20"/>
                <w:szCs w:val="20"/>
                <w:color w:val="auto"/>
              </w:rPr>
            </w:pPr>
            <w:r>
              <w:rPr>
                <w:rFonts w:ascii="Times New Roman" w:cs="Times New Roman" w:eastAsia="Times New Roman" w:hAnsi="Times New Roman"/>
                <w:sz w:val="20"/>
                <w:szCs w:val="20"/>
                <w:color w:val="auto"/>
                <w:w w:val="99"/>
              </w:rPr>
              <w:t>19</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w w:val="99"/>
              </w:rPr>
              <w:t>Item 1B. Unresolved Staff Comments</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jc w:val="center"/>
              <w:ind w:left="660"/>
              <w:spacing w:after="0"/>
              <w:rPr>
                <w:sz w:val="20"/>
                <w:szCs w:val="20"/>
                <w:color w:val="auto"/>
              </w:rPr>
            </w:pPr>
            <w:r>
              <w:rPr>
                <w:rFonts w:ascii="Times New Roman" w:cs="Times New Roman" w:eastAsia="Times New Roman" w:hAnsi="Times New Roman"/>
                <w:sz w:val="20"/>
                <w:szCs w:val="20"/>
                <w:color w:val="auto"/>
                <w:w w:val="99"/>
              </w:rPr>
              <w:t>53</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8"/>
              </w:rPr>
              <w:t>Item 1C. Cybersecurity</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jc w:val="center"/>
              <w:ind w:left="660"/>
              <w:spacing w:after="0"/>
              <w:rPr>
                <w:sz w:val="20"/>
                <w:szCs w:val="20"/>
                <w:color w:val="auto"/>
              </w:rPr>
            </w:pPr>
            <w:r>
              <w:rPr>
                <w:rFonts w:ascii="Times New Roman" w:cs="Times New Roman" w:eastAsia="Times New Roman" w:hAnsi="Times New Roman"/>
                <w:sz w:val="20"/>
                <w:szCs w:val="20"/>
                <w:color w:val="auto"/>
                <w:w w:val="99"/>
              </w:rPr>
              <w:t>53</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Item 2. Properties</w:t>
            </w:r>
          </w:p>
        </w:tc>
        <w:tc>
          <w:tcPr>
            <w:tcW w:w="68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jc w:val="center"/>
              <w:ind w:left="660"/>
              <w:spacing w:after="0"/>
              <w:rPr>
                <w:sz w:val="20"/>
                <w:szCs w:val="20"/>
                <w:color w:val="auto"/>
              </w:rPr>
            </w:pPr>
            <w:r>
              <w:rPr>
                <w:rFonts w:ascii="Times New Roman" w:cs="Times New Roman" w:eastAsia="Times New Roman" w:hAnsi="Times New Roman"/>
                <w:sz w:val="20"/>
                <w:szCs w:val="20"/>
                <w:color w:val="auto"/>
                <w:w w:val="99"/>
              </w:rPr>
              <w:t>54</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9"/>
              </w:rPr>
              <w:t>Item 3. Legal Proceedings</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jc w:val="center"/>
              <w:ind w:left="660"/>
              <w:spacing w:after="0"/>
              <w:rPr>
                <w:sz w:val="20"/>
                <w:szCs w:val="20"/>
                <w:color w:val="auto"/>
              </w:rPr>
            </w:pPr>
            <w:r>
              <w:rPr>
                <w:rFonts w:ascii="Times New Roman" w:cs="Times New Roman" w:eastAsia="Times New Roman" w:hAnsi="Times New Roman"/>
                <w:sz w:val="20"/>
                <w:szCs w:val="20"/>
                <w:color w:val="auto"/>
                <w:w w:val="99"/>
              </w:rPr>
              <w:t>55</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w w:val="99"/>
              </w:rPr>
              <w:t>Item 4. Mine Safety Disclosures</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jc w:val="center"/>
              <w:ind w:left="660"/>
              <w:spacing w:after="0"/>
              <w:rPr>
                <w:sz w:val="20"/>
                <w:szCs w:val="20"/>
                <w:color w:val="auto"/>
              </w:rPr>
            </w:pPr>
            <w:r>
              <w:rPr>
                <w:rFonts w:ascii="Times New Roman" w:cs="Times New Roman" w:eastAsia="Times New Roman" w:hAnsi="Times New Roman"/>
                <w:sz w:val="20"/>
                <w:szCs w:val="20"/>
                <w:color w:val="auto"/>
                <w:w w:val="99"/>
              </w:rPr>
              <w:t>55</w:t>
            </w:r>
          </w:p>
        </w:tc>
        <w:tc>
          <w:tcPr>
            <w:tcW w:w="0" w:type="dxa"/>
            <w:vAlign w:val="bottom"/>
          </w:tcPr>
          <w:p>
            <w:pPr>
              <w:spacing w:after="0"/>
              <w:rPr>
                <w:sz w:val="1"/>
                <w:szCs w:val="1"/>
                <w:color w:val="auto"/>
              </w:rPr>
            </w:pPr>
          </w:p>
        </w:tc>
      </w:tr>
      <w:tr>
        <w:trPr>
          <w:trHeight w:val="614"/>
        </w:trPr>
        <w:tc>
          <w:tcPr>
            <w:tcW w:w="60" w:type="dxa"/>
            <w:vAlign w:val="bottom"/>
          </w:tcPr>
          <w:p>
            <w:pPr>
              <w:spacing w:after="0"/>
              <w:rPr>
                <w:sz w:val="24"/>
                <w:szCs w:val="24"/>
                <w:color w:val="auto"/>
              </w:rPr>
            </w:pPr>
          </w:p>
        </w:tc>
        <w:tc>
          <w:tcPr>
            <w:tcW w:w="9160" w:type="dxa"/>
            <w:vAlign w:val="bottom"/>
            <w:gridSpan w:val="28"/>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0" w:type="dxa"/>
            <w:vAlign w:val="bottom"/>
            <w:gridSpan w:val="27"/>
          </w:tcPr>
          <w:p>
            <w:pPr>
              <w:spacing w:after="0" w:line="221" w:lineRule="exact"/>
              <w:rPr>
                <w:sz w:val="20"/>
                <w:szCs w:val="20"/>
                <w:color w:val="auto"/>
              </w:rPr>
            </w:pPr>
            <w:r>
              <w:rPr>
                <w:rFonts w:ascii="Times New Roman" w:cs="Times New Roman" w:eastAsia="Times New Roman" w:hAnsi="Times New Roman"/>
                <w:sz w:val="20"/>
                <w:szCs w:val="20"/>
                <w:color w:val="0000FF"/>
              </w:rPr>
              <w:t>Item 5. Market for Registrant's Common Equity, Related Stockholder Matters and Issuer Purchases of Equity</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Borders>
              <w:top w:val="single" w:sz="8" w:color="0000FF"/>
              <w:bottom w:val="single" w:sz="8" w:color="0000FF"/>
            </w:tcBorders>
          </w:tcPr>
          <w:p>
            <w:pPr>
              <w:spacing w:after="0" w:line="194" w:lineRule="exact"/>
              <w:rPr>
                <w:sz w:val="20"/>
                <w:szCs w:val="20"/>
                <w:color w:val="auto"/>
              </w:rPr>
            </w:pPr>
            <w:r>
              <w:rPr>
                <w:rFonts w:ascii="Times New Roman" w:cs="Times New Roman" w:eastAsia="Times New Roman" w:hAnsi="Times New Roman"/>
                <w:sz w:val="20"/>
                <w:szCs w:val="20"/>
                <w:color w:val="0000FF"/>
                <w:w w:val="96"/>
              </w:rPr>
              <w:t>Securities</w:t>
            </w:r>
          </w:p>
        </w:tc>
        <w:tc>
          <w:tcPr>
            <w:tcW w:w="60" w:type="dxa"/>
            <w:vAlign w:val="bottom"/>
            <w:tcBorders>
              <w:top w:val="single" w:sz="8" w:color="0000FF"/>
              <w:bottom w:val="single" w:sz="8" w:color="0000FF"/>
            </w:tcBorders>
          </w:tcPr>
          <w:p>
            <w:pPr>
              <w:spacing w:after="0"/>
              <w:rPr>
                <w:sz w:val="17"/>
                <w:szCs w:val="17"/>
                <w:color w:val="auto"/>
              </w:rPr>
            </w:pPr>
          </w:p>
        </w:tc>
        <w:tc>
          <w:tcPr>
            <w:tcW w:w="180" w:type="dxa"/>
            <w:vAlign w:val="bottom"/>
            <w:tcBorders>
              <w:top w:val="single" w:sz="8" w:color="0000FF"/>
              <w:bottom w:val="single" w:sz="8" w:color="0000FF"/>
            </w:tcBorders>
          </w:tcPr>
          <w:p>
            <w:pPr>
              <w:spacing w:after="0"/>
              <w:rPr>
                <w:sz w:val="17"/>
                <w:szCs w:val="17"/>
                <w:color w:val="auto"/>
              </w:rPr>
            </w:pPr>
          </w:p>
        </w:tc>
        <w:tc>
          <w:tcPr>
            <w:tcW w:w="340" w:type="dxa"/>
            <w:vAlign w:val="bottom"/>
            <w:tcBorders>
              <w:top w:val="single" w:sz="8" w:color="0000FF"/>
              <w:bottom w:val="single" w:sz="8" w:color="0000FF"/>
            </w:tcBorders>
            <w:gridSpan w:val="2"/>
          </w:tcPr>
          <w:p>
            <w:pPr>
              <w:spacing w:after="0"/>
              <w:rPr>
                <w:sz w:val="17"/>
                <w:szCs w:val="17"/>
                <w:color w:val="auto"/>
              </w:rPr>
            </w:pPr>
          </w:p>
        </w:tc>
        <w:tc>
          <w:tcPr>
            <w:tcW w:w="840" w:type="dxa"/>
            <w:vAlign w:val="bottom"/>
            <w:tcBorders>
              <w:top w:val="single" w:sz="8" w:color="0000FF"/>
              <w:bottom w:val="single" w:sz="8" w:color="0000FF"/>
            </w:tcBorders>
            <w:gridSpan w:val="5"/>
            <w:vMerge w:val="restart"/>
          </w:tcPr>
          <w:p>
            <w:pPr>
              <w:spacing w:after="0"/>
              <w:rPr>
                <w:sz w:val="17"/>
                <w:szCs w:val="17"/>
                <w:color w:val="auto"/>
              </w:rPr>
            </w:pPr>
          </w:p>
        </w:tc>
        <w:tc>
          <w:tcPr>
            <w:tcW w:w="240" w:type="dxa"/>
            <w:vAlign w:val="bottom"/>
            <w:tcBorders>
              <w:top w:val="single" w:sz="8" w:color="0000FF"/>
              <w:bottom w:val="single" w:sz="8" w:color="0000FF"/>
            </w:tcBorders>
            <w:vMerge w:val="restart"/>
          </w:tcPr>
          <w:p>
            <w:pPr>
              <w:spacing w:after="0"/>
              <w:rPr>
                <w:sz w:val="17"/>
                <w:szCs w:val="17"/>
                <w:color w:val="auto"/>
              </w:rPr>
            </w:pPr>
          </w:p>
        </w:tc>
        <w:tc>
          <w:tcPr>
            <w:tcW w:w="280" w:type="dxa"/>
            <w:vAlign w:val="bottom"/>
            <w:tcBorders>
              <w:top w:val="single" w:sz="8" w:color="0000FF"/>
              <w:bottom w:val="single" w:sz="8" w:color="0000FF"/>
            </w:tcBorders>
            <w:gridSpan w:val="2"/>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1160" w:type="dxa"/>
            <w:vAlign w:val="bottom"/>
            <w:tcBorders>
              <w:top w:val="single" w:sz="8" w:color="0000FF"/>
              <w:bottom w:val="single" w:sz="8" w:color="0000FF"/>
            </w:tcBorders>
            <w:gridSpan w:val="2"/>
            <w:vMerge w:val="restart"/>
          </w:tcPr>
          <w:p>
            <w:pPr>
              <w:spacing w:after="0"/>
              <w:rPr>
                <w:sz w:val="17"/>
                <w:szCs w:val="17"/>
                <w:color w:val="auto"/>
              </w:rPr>
            </w:pP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380" w:type="dxa"/>
            <w:vAlign w:val="bottom"/>
            <w:tcBorders>
              <w:top w:val="single" w:sz="8" w:color="0000FF"/>
              <w:bottom w:val="single" w:sz="8" w:color="0000FF"/>
            </w:tcBorders>
            <w:gridSpan w:val="2"/>
            <w:vMerge w:val="restart"/>
          </w:tcPr>
          <w:p>
            <w:pPr>
              <w:spacing w:after="0"/>
              <w:rPr>
                <w:sz w:val="17"/>
                <w:szCs w:val="17"/>
                <w:color w:val="auto"/>
              </w:rPr>
            </w:pPr>
          </w:p>
        </w:tc>
        <w:tc>
          <w:tcPr>
            <w:tcW w:w="960" w:type="dxa"/>
            <w:vAlign w:val="bottom"/>
            <w:tcBorders>
              <w:top w:val="single" w:sz="8" w:color="0000FF"/>
              <w:bottom w:val="single" w:sz="8" w:color="0000FF"/>
            </w:tcBorders>
            <w:vMerge w:val="restart"/>
          </w:tcPr>
          <w:p>
            <w:pPr>
              <w:spacing w:after="0"/>
              <w:rPr>
                <w:sz w:val="17"/>
                <w:szCs w:val="17"/>
                <w:color w:val="auto"/>
              </w:rPr>
            </w:pPr>
          </w:p>
        </w:tc>
        <w:tc>
          <w:tcPr>
            <w:tcW w:w="340" w:type="dxa"/>
            <w:vAlign w:val="bottom"/>
            <w:tcBorders>
              <w:top w:val="single" w:sz="8" w:color="0000FF"/>
              <w:bottom w:val="single" w:sz="8" w:color="0000FF"/>
            </w:tcBorders>
            <w:vMerge w:val="restart"/>
          </w:tcPr>
          <w:p>
            <w:pPr>
              <w:spacing w:after="0"/>
              <w:rPr>
                <w:sz w:val="17"/>
                <w:szCs w:val="17"/>
                <w:color w:val="auto"/>
              </w:rPr>
            </w:pPr>
          </w:p>
        </w:tc>
        <w:tc>
          <w:tcPr>
            <w:tcW w:w="580" w:type="dxa"/>
            <w:vAlign w:val="bottom"/>
            <w:tcBorders>
              <w:top w:val="single" w:sz="8" w:color="0000FF"/>
              <w:bottom w:val="single" w:sz="8" w:color="0000FF"/>
            </w:tcBorders>
            <w:vMerge w:val="restart"/>
          </w:tcPr>
          <w:p>
            <w:pPr>
              <w:spacing w:after="0"/>
              <w:rPr>
                <w:sz w:val="17"/>
                <w:szCs w:val="17"/>
                <w:color w:val="auto"/>
              </w:rPr>
            </w:pPr>
          </w:p>
        </w:tc>
        <w:tc>
          <w:tcPr>
            <w:tcW w:w="580" w:type="dxa"/>
            <w:vAlign w:val="bottom"/>
            <w:tcBorders>
              <w:top w:val="single" w:sz="8" w:color="0000FF"/>
              <w:bottom w:val="single" w:sz="8" w:color="0000FF"/>
            </w:tcBorders>
            <w:vMerge w:val="restart"/>
          </w:tcPr>
          <w:p>
            <w:pPr>
              <w:spacing w:after="0"/>
              <w:rPr>
                <w:sz w:val="17"/>
                <w:szCs w:val="17"/>
                <w:color w:val="auto"/>
              </w:rPr>
            </w:pPr>
          </w:p>
        </w:tc>
        <w:tc>
          <w:tcPr>
            <w:tcW w:w="1000" w:type="dxa"/>
            <w:vAlign w:val="bottom"/>
            <w:tcBorders>
              <w:top w:val="single" w:sz="8" w:color="0000FF"/>
              <w:bottom w:val="single" w:sz="8" w:color="0000FF"/>
            </w:tcBorders>
            <w:vMerge w:val="restart"/>
          </w:tcPr>
          <w:p>
            <w:pPr>
              <w:spacing w:after="0"/>
              <w:rPr>
                <w:sz w:val="17"/>
                <w:szCs w:val="17"/>
                <w:color w:val="auto"/>
              </w:rPr>
            </w:pPr>
          </w:p>
        </w:tc>
        <w:tc>
          <w:tcPr>
            <w:tcW w:w="160" w:type="dxa"/>
            <w:vAlign w:val="bottom"/>
            <w:tcBorders>
              <w:top w:val="single" w:sz="8" w:color="0000FF"/>
              <w:bottom w:val="single" w:sz="8" w:color="0000FF"/>
            </w:tcBorders>
            <w:vMerge w:val="restart"/>
          </w:tcPr>
          <w:p>
            <w:pPr>
              <w:spacing w:after="0"/>
              <w:rPr>
                <w:sz w:val="17"/>
                <w:szCs w:val="17"/>
                <w:color w:val="auto"/>
              </w:rPr>
            </w:pPr>
          </w:p>
        </w:tc>
        <w:tc>
          <w:tcPr>
            <w:tcW w:w="860" w:type="dxa"/>
            <w:vAlign w:val="bottom"/>
            <w:tcBorders>
              <w:top w:val="single" w:sz="8" w:color="0000FF"/>
              <w:bottom w:val="single" w:sz="8" w:color="0000FF"/>
            </w:tcBorders>
            <w:vMerge w:val="restart"/>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vMerge w:val="restart"/>
          </w:tcPr>
          <w:p>
            <w:pPr>
              <w:jc w:val="center"/>
              <w:ind w:left="660"/>
              <w:spacing w:after="0"/>
              <w:rPr>
                <w:sz w:val="20"/>
                <w:szCs w:val="20"/>
                <w:color w:val="auto"/>
              </w:rPr>
            </w:pPr>
            <w:r>
              <w:rPr>
                <w:rFonts w:ascii="Times New Roman" w:cs="Times New Roman" w:eastAsia="Times New Roman" w:hAnsi="Times New Roman"/>
                <w:sz w:val="20"/>
                <w:szCs w:val="20"/>
                <w:color w:val="auto"/>
                <w:w w:val="99"/>
              </w:rPr>
              <w:t>56</w:t>
            </w:r>
          </w:p>
        </w:tc>
        <w:tc>
          <w:tcPr>
            <w:tcW w:w="0" w:type="dxa"/>
            <w:vAlign w:val="bottom"/>
          </w:tcPr>
          <w:p>
            <w:pPr>
              <w:spacing w:after="0"/>
              <w:rPr>
                <w:sz w:val="1"/>
                <w:szCs w:val="1"/>
                <w:color w:val="auto"/>
              </w:rPr>
            </w:pPr>
          </w:p>
        </w:tc>
      </w:tr>
      <w:tr>
        <w:trPr>
          <w:trHeight w:val="60"/>
        </w:trPr>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6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0000FF"/>
                <w:w w:val="98"/>
              </w:rPr>
              <w:t>Item 6. Reserved</w:t>
            </w:r>
          </w:p>
        </w:tc>
        <w:tc>
          <w:tcPr>
            <w:tcW w:w="840" w:type="dxa"/>
            <w:vAlign w:val="bottom"/>
            <w:gridSpan w:val="5"/>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Borders>
              <w:bottom w:val="single" w:sz="8" w:color="0000FF"/>
            </w:tcBorders>
            <w:gridSpan w:val="5"/>
            <w:vMerge w:val="continue"/>
          </w:tcPr>
          <w:p>
            <w:pPr>
              <w:spacing w:after="0"/>
              <w:rPr>
                <w:sz w:val="19"/>
                <w:szCs w:val="19"/>
                <w:color w:val="auto"/>
              </w:rPr>
            </w:pPr>
          </w:p>
        </w:tc>
        <w:tc>
          <w:tcPr>
            <w:tcW w:w="840" w:type="dxa"/>
            <w:vAlign w:val="bottom"/>
            <w:gridSpan w:val="5"/>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1160" w:type="dxa"/>
            <w:vAlign w:val="bottom"/>
          </w:tcPr>
          <w:p>
            <w:pPr>
              <w:jc w:val="center"/>
              <w:ind w:left="660"/>
              <w:spacing w:after="0" w:line="221" w:lineRule="exact"/>
              <w:rPr>
                <w:sz w:val="20"/>
                <w:szCs w:val="20"/>
                <w:color w:val="auto"/>
              </w:rPr>
            </w:pPr>
            <w:r>
              <w:rPr>
                <w:rFonts w:ascii="Times New Roman" w:cs="Times New Roman" w:eastAsia="Times New Roman" w:hAnsi="Times New Roman"/>
                <w:sz w:val="20"/>
                <w:szCs w:val="20"/>
                <w:color w:val="auto"/>
                <w:w w:val="99"/>
              </w:rPr>
              <w:t>56</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7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w w:val="99"/>
              </w:rPr>
              <w:t>Item 7. Management's Discussion and Analysis of Financial Condition and Results of Operations</w:t>
            </w:r>
          </w:p>
        </w:tc>
        <w:tc>
          <w:tcPr>
            <w:tcW w:w="160" w:type="dxa"/>
            <w:vAlign w:val="bottom"/>
          </w:tcPr>
          <w:p>
            <w:pPr>
              <w:spacing w:after="0"/>
              <w:rPr>
                <w:sz w:val="23"/>
                <w:szCs w:val="23"/>
                <w:color w:val="auto"/>
              </w:rPr>
            </w:pPr>
          </w:p>
        </w:tc>
        <w:tc>
          <w:tcPr>
            <w:tcW w:w="880" w:type="dxa"/>
            <w:vAlign w:val="bottom"/>
            <w:gridSpan w:val="2"/>
          </w:tcPr>
          <w:p>
            <w:pPr>
              <w:spacing w:after="0"/>
              <w:rPr>
                <w:sz w:val="23"/>
                <w:szCs w:val="23"/>
                <w:color w:val="auto"/>
              </w:rPr>
            </w:pPr>
          </w:p>
        </w:tc>
        <w:tc>
          <w:tcPr>
            <w:tcW w:w="1160" w:type="dxa"/>
            <w:vAlign w:val="bottom"/>
          </w:tcPr>
          <w:p>
            <w:pPr>
              <w:jc w:val="center"/>
              <w:ind w:left="660"/>
              <w:spacing w:after="0"/>
              <w:rPr>
                <w:sz w:val="20"/>
                <w:szCs w:val="20"/>
                <w:color w:val="auto"/>
              </w:rPr>
            </w:pPr>
            <w:r>
              <w:rPr>
                <w:rFonts w:ascii="Times New Roman" w:cs="Times New Roman" w:eastAsia="Times New Roman" w:hAnsi="Times New Roman"/>
                <w:sz w:val="20"/>
                <w:szCs w:val="20"/>
                <w:color w:val="auto"/>
                <w:w w:val="99"/>
              </w:rPr>
              <w:t>57</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w w:val="99"/>
              </w:rPr>
              <w:t>Item 7A. Quantitative and Qualitative Disclosures About Market Risk</w:t>
            </w: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gridSpan w:val="2"/>
          </w:tcPr>
          <w:p>
            <w:pPr>
              <w:spacing w:after="0"/>
              <w:rPr>
                <w:sz w:val="23"/>
                <w:szCs w:val="23"/>
                <w:color w:val="auto"/>
              </w:rPr>
            </w:pPr>
          </w:p>
        </w:tc>
        <w:tc>
          <w:tcPr>
            <w:tcW w:w="880" w:type="dxa"/>
            <w:vAlign w:val="bottom"/>
            <w:gridSpan w:val="2"/>
          </w:tcPr>
          <w:p>
            <w:pPr>
              <w:spacing w:after="0"/>
              <w:rPr>
                <w:sz w:val="23"/>
                <w:szCs w:val="23"/>
                <w:color w:val="auto"/>
              </w:rPr>
            </w:pPr>
          </w:p>
        </w:tc>
        <w:tc>
          <w:tcPr>
            <w:tcW w:w="1160" w:type="dxa"/>
            <w:vAlign w:val="bottom"/>
          </w:tcPr>
          <w:p>
            <w:pPr>
              <w:jc w:val="center"/>
              <w:ind w:left="660"/>
              <w:spacing w:after="0"/>
              <w:rPr>
                <w:sz w:val="20"/>
                <w:szCs w:val="20"/>
                <w:color w:val="auto"/>
              </w:rPr>
            </w:pPr>
            <w:r>
              <w:rPr>
                <w:rFonts w:ascii="Times New Roman" w:cs="Times New Roman" w:eastAsia="Times New Roman" w:hAnsi="Times New Roman"/>
                <w:sz w:val="20"/>
                <w:szCs w:val="20"/>
                <w:color w:val="auto"/>
                <w:w w:val="99"/>
              </w:rPr>
              <w:t>66</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3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w w:val="99"/>
              </w:rPr>
              <w:t>Item 8. Financial Statements and Supplementary Data</w:t>
            </w:r>
          </w:p>
        </w:tc>
        <w:tc>
          <w:tcPr>
            <w:tcW w:w="960" w:type="dxa"/>
            <w:vAlign w:val="bottom"/>
          </w:tcPr>
          <w:p>
            <w:pPr>
              <w:spacing w:after="0"/>
              <w:rPr>
                <w:sz w:val="23"/>
                <w:szCs w:val="23"/>
                <w:color w:val="auto"/>
              </w:rPr>
            </w:pPr>
          </w:p>
        </w:tc>
        <w:tc>
          <w:tcPr>
            <w:tcW w:w="920" w:type="dxa"/>
            <w:vAlign w:val="bottom"/>
            <w:gridSpan w:val="2"/>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gridSpan w:val="2"/>
          </w:tcPr>
          <w:p>
            <w:pPr>
              <w:spacing w:after="0"/>
              <w:rPr>
                <w:sz w:val="23"/>
                <w:szCs w:val="23"/>
                <w:color w:val="auto"/>
              </w:rPr>
            </w:pPr>
          </w:p>
        </w:tc>
        <w:tc>
          <w:tcPr>
            <w:tcW w:w="880" w:type="dxa"/>
            <w:vAlign w:val="bottom"/>
            <w:gridSpan w:val="2"/>
          </w:tcPr>
          <w:p>
            <w:pPr>
              <w:spacing w:after="0"/>
              <w:rPr>
                <w:sz w:val="23"/>
                <w:szCs w:val="23"/>
                <w:color w:val="auto"/>
              </w:rPr>
            </w:pPr>
          </w:p>
        </w:tc>
        <w:tc>
          <w:tcPr>
            <w:tcW w:w="1160" w:type="dxa"/>
            <w:vAlign w:val="bottom"/>
          </w:tcPr>
          <w:p>
            <w:pPr>
              <w:jc w:val="center"/>
              <w:ind w:left="660"/>
              <w:spacing w:after="0"/>
              <w:rPr>
                <w:sz w:val="20"/>
                <w:szCs w:val="20"/>
                <w:color w:val="auto"/>
              </w:rPr>
            </w:pPr>
            <w:r>
              <w:rPr>
                <w:rFonts w:ascii="Times New Roman" w:cs="Times New Roman" w:eastAsia="Times New Roman" w:hAnsi="Times New Roman"/>
                <w:sz w:val="20"/>
                <w:szCs w:val="20"/>
                <w:color w:val="auto"/>
                <w:w w:val="99"/>
              </w:rPr>
              <w:t>66</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9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w w:val="99"/>
              </w:rPr>
              <w:t>Item 9. Changes in and Disagreements With Accountants on Accounting and Financial Disclosures</w:t>
            </w:r>
          </w:p>
        </w:tc>
        <w:tc>
          <w:tcPr>
            <w:tcW w:w="880" w:type="dxa"/>
            <w:vAlign w:val="bottom"/>
            <w:gridSpan w:val="2"/>
          </w:tcPr>
          <w:p>
            <w:pPr>
              <w:spacing w:after="0"/>
              <w:rPr>
                <w:sz w:val="23"/>
                <w:szCs w:val="23"/>
                <w:color w:val="auto"/>
              </w:rPr>
            </w:pPr>
          </w:p>
        </w:tc>
        <w:tc>
          <w:tcPr>
            <w:tcW w:w="1160" w:type="dxa"/>
            <w:vAlign w:val="bottom"/>
          </w:tcPr>
          <w:p>
            <w:pPr>
              <w:jc w:val="center"/>
              <w:ind w:left="660"/>
              <w:spacing w:after="0"/>
              <w:rPr>
                <w:sz w:val="20"/>
                <w:szCs w:val="20"/>
                <w:color w:val="auto"/>
              </w:rPr>
            </w:pPr>
            <w:r>
              <w:rPr>
                <w:rFonts w:ascii="Times New Roman" w:cs="Times New Roman" w:eastAsia="Times New Roman" w:hAnsi="Times New Roman"/>
                <w:sz w:val="20"/>
                <w:szCs w:val="20"/>
                <w:color w:val="auto"/>
                <w:w w:val="99"/>
              </w:rPr>
              <w:t>97</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7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9"/>
              </w:rPr>
              <w:t>Item 9A. Controls and Procedures</w:t>
            </w:r>
          </w:p>
        </w:tc>
        <w:tc>
          <w:tcPr>
            <w:tcW w:w="11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spacing w:after="0"/>
              <w:rPr>
                <w:sz w:val="23"/>
                <w:szCs w:val="23"/>
                <w:color w:val="auto"/>
              </w:rPr>
            </w:pPr>
          </w:p>
        </w:tc>
        <w:tc>
          <w:tcPr>
            <w:tcW w:w="920" w:type="dxa"/>
            <w:vAlign w:val="bottom"/>
            <w:gridSpan w:val="2"/>
          </w:tcPr>
          <w:p>
            <w:pPr>
              <w:spacing w:after="0"/>
              <w:rPr>
                <w:sz w:val="23"/>
                <w:szCs w:val="23"/>
                <w:color w:val="auto"/>
              </w:rPr>
            </w:pPr>
          </w:p>
        </w:tc>
        <w:tc>
          <w:tcPr>
            <w:tcW w:w="580" w:type="dxa"/>
            <w:vAlign w:val="bottom"/>
          </w:tcPr>
          <w:p>
            <w:pPr>
              <w:spacing w:after="0"/>
              <w:rPr>
                <w:sz w:val="23"/>
                <w:szCs w:val="23"/>
                <w:color w:val="auto"/>
              </w:rPr>
            </w:pPr>
          </w:p>
        </w:tc>
        <w:tc>
          <w:tcPr>
            <w:tcW w:w="2040" w:type="dxa"/>
            <w:vAlign w:val="bottom"/>
            <w:gridSpan w:val="4"/>
          </w:tcPr>
          <w:p>
            <w:pPr>
              <w:spacing w:after="0"/>
              <w:rPr>
                <w:sz w:val="23"/>
                <w:szCs w:val="23"/>
                <w:color w:val="auto"/>
              </w:rPr>
            </w:pPr>
          </w:p>
        </w:tc>
        <w:tc>
          <w:tcPr>
            <w:tcW w:w="1160" w:type="dxa"/>
            <w:vAlign w:val="bottom"/>
          </w:tcPr>
          <w:p>
            <w:pPr>
              <w:jc w:val="center"/>
              <w:ind w:left="660"/>
              <w:spacing w:after="0"/>
              <w:rPr>
                <w:sz w:val="20"/>
                <w:szCs w:val="20"/>
                <w:color w:val="auto"/>
              </w:rPr>
            </w:pPr>
            <w:r>
              <w:rPr>
                <w:rFonts w:ascii="Times New Roman" w:cs="Times New Roman" w:eastAsia="Times New Roman" w:hAnsi="Times New Roman"/>
                <w:sz w:val="20"/>
                <w:szCs w:val="20"/>
                <w:color w:val="auto"/>
                <w:w w:val="99"/>
              </w:rPr>
              <w:t>97</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8"/>
              </w:rPr>
              <w:t>Item 9B. Other Information</w:t>
            </w:r>
          </w:p>
        </w:tc>
        <w:tc>
          <w:tcPr>
            <w:tcW w:w="240" w:type="dxa"/>
            <w:vAlign w:val="bottom"/>
          </w:tcPr>
          <w:p>
            <w:pPr>
              <w:spacing w:after="0"/>
              <w:rPr>
                <w:sz w:val="23"/>
                <w:szCs w:val="23"/>
                <w:color w:val="auto"/>
              </w:rPr>
            </w:pPr>
          </w:p>
        </w:tc>
        <w:tc>
          <w:tcPr>
            <w:tcW w:w="280" w:type="dxa"/>
            <w:vAlign w:val="bottom"/>
            <w:gridSpan w:val="2"/>
          </w:tcPr>
          <w:p>
            <w:pPr>
              <w:spacing w:after="0"/>
              <w:rPr>
                <w:sz w:val="23"/>
                <w:szCs w:val="23"/>
                <w:color w:val="auto"/>
              </w:rPr>
            </w:pPr>
          </w:p>
        </w:tc>
        <w:tc>
          <w:tcPr>
            <w:tcW w:w="1180" w:type="dxa"/>
            <w:vAlign w:val="bottom"/>
            <w:gridSpan w:val="3"/>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spacing w:after="0"/>
              <w:rPr>
                <w:sz w:val="23"/>
                <w:szCs w:val="23"/>
                <w:color w:val="auto"/>
              </w:rPr>
            </w:pPr>
          </w:p>
        </w:tc>
        <w:tc>
          <w:tcPr>
            <w:tcW w:w="920" w:type="dxa"/>
            <w:vAlign w:val="bottom"/>
            <w:gridSpan w:val="2"/>
          </w:tcPr>
          <w:p>
            <w:pPr>
              <w:spacing w:after="0"/>
              <w:rPr>
                <w:sz w:val="23"/>
                <w:szCs w:val="23"/>
                <w:color w:val="auto"/>
              </w:rPr>
            </w:pPr>
          </w:p>
        </w:tc>
        <w:tc>
          <w:tcPr>
            <w:tcW w:w="580" w:type="dxa"/>
            <w:vAlign w:val="bottom"/>
          </w:tcPr>
          <w:p>
            <w:pPr>
              <w:spacing w:after="0"/>
              <w:rPr>
                <w:sz w:val="23"/>
                <w:szCs w:val="23"/>
                <w:color w:val="auto"/>
              </w:rPr>
            </w:pPr>
          </w:p>
        </w:tc>
        <w:tc>
          <w:tcPr>
            <w:tcW w:w="2040" w:type="dxa"/>
            <w:vAlign w:val="bottom"/>
            <w:gridSpan w:val="4"/>
          </w:tcPr>
          <w:p>
            <w:pPr>
              <w:spacing w:after="0"/>
              <w:rPr>
                <w:sz w:val="23"/>
                <w:szCs w:val="23"/>
                <w:color w:val="auto"/>
              </w:rPr>
            </w:pPr>
          </w:p>
        </w:tc>
        <w:tc>
          <w:tcPr>
            <w:tcW w:w="1160" w:type="dxa"/>
            <w:vAlign w:val="bottom"/>
          </w:tcPr>
          <w:p>
            <w:pPr>
              <w:jc w:val="center"/>
              <w:ind w:left="660"/>
              <w:spacing w:after="0"/>
              <w:rPr>
                <w:sz w:val="20"/>
                <w:szCs w:val="20"/>
                <w:color w:val="auto"/>
              </w:rPr>
            </w:pPr>
            <w:r>
              <w:rPr>
                <w:rFonts w:ascii="Times New Roman" w:cs="Times New Roman" w:eastAsia="Times New Roman" w:hAnsi="Times New Roman"/>
                <w:sz w:val="20"/>
                <w:szCs w:val="20"/>
                <w:color w:val="auto"/>
                <w:w w:val="99"/>
              </w:rPr>
              <w:t>98</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1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w w:val="99"/>
              </w:rPr>
              <w:t>Item 9C. Disclosure Regarding Foreign Jurisdictions that Prevent Inspections</w:t>
            </w:r>
          </w:p>
        </w:tc>
        <w:tc>
          <w:tcPr>
            <w:tcW w:w="580" w:type="dxa"/>
            <w:vAlign w:val="bottom"/>
          </w:tcPr>
          <w:p>
            <w:pPr>
              <w:spacing w:after="0"/>
              <w:rPr>
                <w:sz w:val="23"/>
                <w:szCs w:val="23"/>
                <w:color w:val="auto"/>
              </w:rPr>
            </w:pPr>
          </w:p>
        </w:tc>
        <w:tc>
          <w:tcPr>
            <w:tcW w:w="2040" w:type="dxa"/>
            <w:vAlign w:val="bottom"/>
            <w:gridSpan w:val="4"/>
          </w:tcPr>
          <w:p>
            <w:pPr>
              <w:spacing w:after="0"/>
              <w:rPr>
                <w:sz w:val="23"/>
                <w:szCs w:val="23"/>
                <w:color w:val="auto"/>
              </w:rPr>
            </w:pPr>
          </w:p>
        </w:tc>
        <w:tc>
          <w:tcPr>
            <w:tcW w:w="1160" w:type="dxa"/>
            <w:vAlign w:val="bottom"/>
          </w:tcPr>
          <w:p>
            <w:pPr>
              <w:jc w:val="center"/>
              <w:ind w:left="660"/>
              <w:spacing w:after="0"/>
              <w:rPr>
                <w:sz w:val="20"/>
                <w:szCs w:val="20"/>
                <w:color w:val="auto"/>
              </w:rPr>
            </w:pPr>
            <w:r>
              <w:rPr>
                <w:rFonts w:ascii="Times New Roman" w:cs="Times New Roman" w:eastAsia="Times New Roman" w:hAnsi="Times New Roman"/>
                <w:sz w:val="20"/>
                <w:szCs w:val="20"/>
                <w:color w:val="auto"/>
                <w:w w:val="99"/>
              </w:rPr>
              <w:t>98</w:t>
            </w:r>
          </w:p>
        </w:tc>
        <w:tc>
          <w:tcPr>
            <w:tcW w:w="0" w:type="dxa"/>
            <w:vAlign w:val="bottom"/>
          </w:tcPr>
          <w:p>
            <w:pPr>
              <w:spacing w:after="0"/>
              <w:rPr>
                <w:sz w:val="1"/>
                <w:szCs w:val="1"/>
                <w:color w:val="auto"/>
              </w:rPr>
            </w:pPr>
          </w:p>
        </w:tc>
      </w:tr>
      <w:tr>
        <w:trPr>
          <w:trHeight w:val="614"/>
        </w:trPr>
        <w:tc>
          <w:tcPr>
            <w:tcW w:w="60" w:type="dxa"/>
            <w:vAlign w:val="bottom"/>
          </w:tcPr>
          <w:p>
            <w:pPr>
              <w:spacing w:after="0"/>
              <w:rPr>
                <w:sz w:val="24"/>
                <w:szCs w:val="24"/>
                <w:color w:val="auto"/>
              </w:rPr>
            </w:pPr>
          </w:p>
        </w:tc>
        <w:tc>
          <w:tcPr>
            <w:tcW w:w="9160" w:type="dxa"/>
            <w:vAlign w:val="bottom"/>
            <w:gridSpan w:val="28"/>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60" w:type="dxa"/>
            <w:vAlign w:val="bottom"/>
            <w:tcBorders>
              <w:bottom w:val="single" w:sz="8" w:color="0000FF"/>
            </w:tcBorders>
            <w:gridSpan w:val="20"/>
          </w:tcPr>
          <w:p>
            <w:pPr>
              <w:spacing w:after="0" w:line="201" w:lineRule="exact"/>
              <w:rPr>
                <w:sz w:val="20"/>
                <w:szCs w:val="20"/>
                <w:color w:val="auto"/>
              </w:rPr>
            </w:pPr>
            <w:r>
              <w:rPr>
                <w:rFonts w:ascii="Times New Roman" w:cs="Times New Roman" w:eastAsia="Times New Roman" w:hAnsi="Times New Roman"/>
                <w:sz w:val="20"/>
                <w:szCs w:val="20"/>
                <w:color w:val="0000FF"/>
                <w:w w:val="99"/>
              </w:rPr>
              <w:t>Item 10. Directors, Executive Officers and Corporate Governance</w:t>
            </w:r>
          </w:p>
        </w:tc>
        <w:tc>
          <w:tcPr>
            <w:tcW w:w="1500" w:type="dxa"/>
            <w:vAlign w:val="bottom"/>
            <w:gridSpan w:val="3"/>
          </w:tcPr>
          <w:p>
            <w:pPr>
              <w:spacing w:after="0"/>
              <w:rPr>
                <w:sz w:val="19"/>
                <w:szCs w:val="19"/>
                <w:color w:val="auto"/>
              </w:rPr>
            </w:pPr>
          </w:p>
        </w:tc>
        <w:tc>
          <w:tcPr>
            <w:tcW w:w="2040" w:type="dxa"/>
            <w:vAlign w:val="bottom"/>
            <w:gridSpan w:val="4"/>
          </w:tcPr>
          <w:p>
            <w:pPr>
              <w:spacing w:after="0"/>
              <w:rPr>
                <w:sz w:val="19"/>
                <w:szCs w:val="19"/>
                <w:color w:val="auto"/>
              </w:rPr>
            </w:pPr>
          </w:p>
        </w:tc>
        <w:tc>
          <w:tcPr>
            <w:tcW w:w="1160" w:type="dxa"/>
            <w:vAlign w:val="bottom"/>
          </w:tcPr>
          <w:p>
            <w:pPr>
              <w:jc w:val="center"/>
              <w:ind w:left="660"/>
              <w:spacing w:after="0" w:line="221" w:lineRule="exact"/>
              <w:rPr>
                <w:sz w:val="20"/>
                <w:szCs w:val="20"/>
                <w:color w:val="auto"/>
              </w:rPr>
            </w:pPr>
            <w:r>
              <w:rPr>
                <w:rFonts w:ascii="Times New Roman" w:cs="Times New Roman" w:eastAsia="Times New Roman" w:hAnsi="Times New Roman"/>
                <w:sz w:val="20"/>
                <w:szCs w:val="20"/>
                <w:color w:val="auto"/>
                <w:w w:val="99"/>
              </w:rPr>
              <w:t>99</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7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9"/>
              </w:rPr>
              <w:t>Item 11. Executive Compensation</w:t>
            </w:r>
          </w:p>
        </w:tc>
        <w:tc>
          <w:tcPr>
            <w:tcW w:w="1180" w:type="dxa"/>
            <w:vAlign w:val="bottom"/>
            <w:gridSpan w:val="3"/>
          </w:tcPr>
          <w:p>
            <w:pPr>
              <w:spacing w:after="0"/>
              <w:rPr>
                <w:sz w:val="23"/>
                <w:szCs w:val="23"/>
                <w:color w:val="auto"/>
              </w:rPr>
            </w:pPr>
          </w:p>
        </w:tc>
        <w:tc>
          <w:tcPr>
            <w:tcW w:w="20" w:type="dxa"/>
            <w:vAlign w:val="bottom"/>
          </w:tcPr>
          <w:p>
            <w:pPr>
              <w:spacing w:after="0"/>
              <w:rPr>
                <w:sz w:val="23"/>
                <w:szCs w:val="23"/>
                <w:color w:val="auto"/>
              </w:rPr>
            </w:pPr>
          </w:p>
        </w:tc>
        <w:tc>
          <w:tcPr>
            <w:tcW w:w="2840" w:type="dxa"/>
            <w:vAlign w:val="bottom"/>
            <w:gridSpan w:val="6"/>
          </w:tcPr>
          <w:p>
            <w:pPr>
              <w:spacing w:after="0"/>
              <w:rPr>
                <w:sz w:val="23"/>
                <w:szCs w:val="23"/>
                <w:color w:val="auto"/>
              </w:rPr>
            </w:pPr>
          </w:p>
        </w:tc>
        <w:tc>
          <w:tcPr>
            <w:tcW w:w="2040" w:type="dxa"/>
            <w:vAlign w:val="bottom"/>
            <w:gridSpan w:val="4"/>
          </w:tcPr>
          <w:p>
            <w:pPr>
              <w:spacing w:after="0"/>
              <w:rPr>
                <w:sz w:val="23"/>
                <w:szCs w:val="23"/>
                <w:color w:val="auto"/>
              </w:rPr>
            </w:pPr>
          </w:p>
        </w:tc>
        <w:tc>
          <w:tcPr>
            <w:tcW w:w="1160" w:type="dxa"/>
            <w:vAlign w:val="bottom"/>
          </w:tcPr>
          <w:p>
            <w:pPr>
              <w:jc w:val="center"/>
              <w:ind w:left="660"/>
              <w:spacing w:after="0"/>
              <w:rPr>
                <w:sz w:val="20"/>
                <w:szCs w:val="20"/>
                <w:color w:val="auto"/>
              </w:rPr>
            </w:pPr>
            <w:r>
              <w:rPr>
                <w:rFonts w:ascii="Times New Roman" w:cs="Times New Roman" w:eastAsia="Times New Roman" w:hAnsi="Times New Roman"/>
                <w:sz w:val="20"/>
                <w:szCs w:val="20"/>
                <w:color w:val="auto"/>
                <w:w w:val="99"/>
              </w:rPr>
              <w:t>99</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20"/>
                <w:szCs w:val="20"/>
                <w:color w:val="0000FF"/>
                <w:w w:val="99"/>
              </w:rPr>
              <w:t>Item 12. Security Ownership of Certain Beneficial Owners and Management and Related Stockholder Matters</w:t>
            </w:r>
          </w:p>
        </w:tc>
        <w:tc>
          <w:tcPr>
            <w:tcW w:w="1160" w:type="dxa"/>
            <w:vAlign w:val="bottom"/>
          </w:tcPr>
          <w:p>
            <w:pPr>
              <w:jc w:val="center"/>
              <w:ind w:left="660"/>
              <w:spacing w:after="0"/>
              <w:rPr>
                <w:sz w:val="20"/>
                <w:szCs w:val="20"/>
                <w:color w:val="auto"/>
              </w:rPr>
            </w:pPr>
            <w:r>
              <w:rPr>
                <w:rFonts w:ascii="Times New Roman" w:cs="Times New Roman" w:eastAsia="Times New Roman" w:hAnsi="Times New Roman"/>
                <w:sz w:val="20"/>
                <w:szCs w:val="20"/>
                <w:color w:val="auto"/>
                <w:w w:val="99"/>
              </w:rPr>
              <w:t>99</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7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20"/>
                <w:szCs w:val="20"/>
                <w:color w:val="0000FF"/>
                <w:w w:val="99"/>
              </w:rPr>
              <w:t>Item 13. Certain Relationships and Related Transactions, and Director Independence</w:t>
            </w:r>
          </w:p>
        </w:tc>
        <w:tc>
          <w:tcPr>
            <w:tcW w:w="2040" w:type="dxa"/>
            <w:vAlign w:val="bottom"/>
            <w:gridSpan w:val="4"/>
          </w:tcPr>
          <w:p>
            <w:pPr>
              <w:spacing w:after="0"/>
              <w:rPr>
                <w:sz w:val="23"/>
                <w:szCs w:val="23"/>
                <w:color w:val="auto"/>
              </w:rPr>
            </w:pPr>
          </w:p>
        </w:tc>
        <w:tc>
          <w:tcPr>
            <w:tcW w:w="1160" w:type="dxa"/>
            <w:vAlign w:val="bottom"/>
          </w:tcPr>
          <w:p>
            <w:pPr>
              <w:jc w:val="center"/>
              <w:ind w:left="660"/>
              <w:spacing w:after="0"/>
              <w:rPr>
                <w:sz w:val="20"/>
                <w:szCs w:val="20"/>
                <w:color w:val="auto"/>
              </w:rPr>
            </w:pPr>
            <w:r>
              <w:rPr>
                <w:rFonts w:ascii="Times New Roman" w:cs="Times New Roman" w:eastAsia="Times New Roman" w:hAnsi="Times New Roman"/>
                <w:sz w:val="20"/>
                <w:szCs w:val="20"/>
                <w:color w:val="auto"/>
                <w:w w:val="99"/>
              </w:rPr>
              <w:t>99</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9"/>
              </w:rPr>
              <w:t>Item 14. Principal Accounting Fees and Services</w:t>
            </w:r>
          </w:p>
        </w:tc>
        <w:tc>
          <w:tcPr>
            <w:tcW w:w="20" w:type="dxa"/>
            <w:vAlign w:val="bottom"/>
          </w:tcPr>
          <w:p>
            <w:pPr>
              <w:spacing w:after="0"/>
              <w:rPr>
                <w:sz w:val="23"/>
                <w:szCs w:val="23"/>
                <w:color w:val="auto"/>
              </w:rPr>
            </w:pPr>
          </w:p>
        </w:tc>
        <w:tc>
          <w:tcPr>
            <w:tcW w:w="4880" w:type="dxa"/>
            <w:vAlign w:val="bottom"/>
            <w:gridSpan w:val="10"/>
          </w:tcPr>
          <w:p>
            <w:pPr>
              <w:spacing w:after="0"/>
              <w:rPr>
                <w:sz w:val="23"/>
                <w:szCs w:val="23"/>
                <w:color w:val="auto"/>
              </w:rPr>
            </w:pPr>
          </w:p>
        </w:tc>
        <w:tc>
          <w:tcPr>
            <w:tcW w:w="1160" w:type="dxa"/>
            <w:vAlign w:val="bottom"/>
          </w:tcPr>
          <w:p>
            <w:pPr>
              <w:jc w:val="center"/>
              <w:ind w:left="660"/>
              <w:spacing w:after="0"/>
              <w:rPr>
                <w:sz w:val="20"/>
                <w:szCs w:val="20"/>
                <w:color w:val="auto"/>
              </w:rPr>
            </w:pPr>
            <w:r>
              <w:rPr>
                <w:rFonts w:ascii="Times New Roman" w:cs="Times New Roman" w:eastAsia="Times New Roman" w:hAnsi="Times New Roman"/>
                <w:sz w:val="20"/>
                <w:szCs w:val="20"/>
                <w:color w:val="auto"/>
                <w:w w:val="99"/>
              </w:rPr>
              <w:t>99</w:t>
            </w:r>
          </w:p>
        </w:tc>
        <w:tc>
          <w:tcPr>
            <w:tcW w:w="0" w:type="dxa"/>
            <w:vAlign w:val="bottom"/>
          </w:tcPr>
          <w:p>
            <w:pPr>
              <w:spacing w:after="0"/>
              <w:rPr>
                <w:sz w:val="1"/>
                <w:szCs w:val="1"/>
                <w:color w:val="auto"/>
              </w:rPr>
            </w:pPr>
          </w:p>
        </w:tc>
      </w:tr>
      <w:tr>
        <w:trPr>
          <w:trHeight w:val="614"/>
        </w:trPr>
        <w:tc>
          <w:tcPr>
            <w:tcW w:w="60" w:type="dxa"/>
            <w:vAlign w:val="bottom"/>
          </w:tcPr>
          <w:p>
            <w:pPr>
              <w:spacing w:after="0"/>
              <w:rPr>
                <w:sz w:val="24"/>
                <w:szCs w:val="24"/>
                <w:color w:val="auto"/>
              </w:rPr>
            </w:pPr>
          </w:p>
        </w:tc>
        <w:tc>
          <w:tcPr>
            <w:tcW w:w="9160" w:type="dxa"/>
            <w:vAlign w:val="bottom"/>
            <w:gridSpan w:val="28"/>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20" w:type="dxa"/>
            <w:vAlign w:val="bottom"/>
            <w:tcBorders>
              <w:bottom w:val="single" w:sz="8" w:color="0000FF"/>
            </w:tcBorders>
            <w:gridSpan w:val="17"/>
          </w:tcPr>
          <w:p>
            <w:pPr>
              <w:spacing w:after="0" w:line="201" w:lineRule="exact"/>
              <w:rPr>
                <w:sz w:val="20"/>
                <w:szCs w:val="20"/>
                <w:color w:val="auto"/>
              </w:rPr>
            </w:pPr>
            <w:r>
              <w:rPr>
                <w:rFonts w:ascii="Times New Roman" w:cs="Times New Roman" w:eastAsia="Times New Roman" w:hAnsi="Times New Roman"/>
                <w:sz w:val="20"/>
                <w:szCs w:val="20"/>
                <w:color w:val="0000FF"/>
                <w:w w:val="99"/>
              </w:rPr>
              <w:t>Item 15. Exhibits, Financial Statement Schedules</w:t>
            </w:r>
          </w:p>
        </w:tc>
        <w:tc>
          <w:tcPr>
            <w:tcW w:w="4880" w:type="dxa"/>
            <w:vAlign w:val="bottom"/>
            <w:gridSpan w:val="10"/>
          </w:tcPr>
          <w:p>
            <w:pPr>
              <w:spacing w:after="0"/>
              <w:rPr>
                <w:sz w:val="19"/>
                <w:szCs w:val="19"/>
                <w:color w:val="auto"/>
              </w:rPr>
            </w:pPr>
          </w:p>
        </w:tc>
        <w:tc>
          <w:tcPr>
            <w:tcW w:w="1160" w:type="dxa"/>
            <w:vAlign w:val="bottom"/>
          </w:tcPr>
          <w:p>
            <w:pPr>
              <w:jc w:val="center"/>
              <w:ind w:left="640"/>
              <w:spacing w:after="0" w:line="221" w:lineRule="exact"/>
              <w:rPr>
                <w:sz w:val="20"/>
                <w:szCs w:val="20"/>
                <w:color w:val="auto"/>
              </w:rPr>
            </w:pPr>
            <w:r>
              <w:rPr>
                <w:rFonts w:ascii="Times New Roman" w:cs="Times New Roman" w:eastAsia="Times New Roman" w:hAnsi="Times New Roman"/>
                <w:sz w:val="20"/>
                <w:szCs w:val="20"/>
                <w:color w:val="auto"/>
                <w:w w:val="99"/>
              </w:rPr>
              <w:t>100</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w w:val="99"/>
              </w:rPr>
              <w:t>Item 16. Form 10-K Summary</w:t>
            </w:r>
          </w:p>
        </w:tc>
        <w:tc>
          <w:tcPr>
            <w:tcW w:w="6360" w:type="dxa"/>
            <w:vAlign w:val="bottom"/>
            <w:gridSpan w:val="16"/>
          </w:tcPr>
          <w:p>
            <w:pPr>
              <w:spacing w:after="0"/>
              <w:rPr>
                <w:sz w:val="23"/>
                <w:szCs w:val="23"/>
                <w:color w:val="auto"/>
              </w:rPr>
            </w:pPr>
          </w:p>
        </w:tc>
        <w:tc>
          <w:tcPr>
            <w:tcW w:w="1160" w:type="dxa"/>
            <w:vAlign w:val="bottom"/>
          </w:tcPr>
          <w:p>
            <w:pPr>
              <w:jc w:val="center"/>
              <w:ind w:left="640"/>
              <w:spacing w:after="0"/>
              <w:rPr>
                <w:sz w:val="20"/>
                <w:szCs w:val="20"/>
                <w:color w:val="auto"/>
              </w:rPr>
            </w:pPr>
            <w:r>
              <w:rPr>
                <w:rFonts w:ascii="Times New Roman" w:cs="Times New Roman" w:eastAsia="Times New Roman" w:hAnsi="Times New Roman"/>
                <w:sz w:val="20"/>
                <w:szCs w:val="20"/>
                <w:color w:val="auto"/>
                <w:w w:val="99"/>
              </w:rPr>
              <w:t>102</w:t>
            </w: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Signatures</w:t>
            </w:r>
          </w:p>
        </w:tc>
        <w:tc>
          <w:tcPr>
            <w:tcW w:w="180" w:type="dxa"/>
            <w:vAlign w:val="bottom"/>
          </w:tcPr>
          <w:p>
            <w:pPr>
              <w:spacing w:after="0"/>
              <w:rPr>
                <w:sz w:val="23"/>
                <w:szCs w:val="23"/>
                <w:color w:val="auto"/>
              </w:rPr>
            </w:pPr>
          </w:p>
        </w:tc>
        <w:tc>
          <w:tcPr>
            <w:tcW w:w="7780" w:type="dxa"/>
            <w:vAlign w:val="bottom"/>
            <w:gridSpan w:val="24"/>
          </w:tcPr>
          <w:p>
            <w:pPr>
              <w:spacing w:after="0"/>
              <w:rPr>
                <w:sz w:val="23"/>
                <w:szCs w:val="23"/>
                <w:color w:val="auto"/>
              </w:rPr>
            </w:pPr>
          </w:p>
        </w:tc>
        <w:tc>
          <w:tcPr>
            <w:tcW w:w="1160" w:type="dxa"/>
            <w:vAlign w:val="bottom"/>
          </w:tcPr>
          <w:p>
            <w:pPr>
              <w:jc w:val="center"/>
              <w:ind w:left="640"/>
              <w:spacing w:after="0"/>
              <w:rPr>
                <w:sz w:val="20"/>
                <w:szCs w:val="20"/>
                <w:color w:val="auto"/>
              </w:rPr>
            </w:pPr>
            <w:r>
              <w:rPr>
                <w:rFonts w:ascii="Times New Roman" w:cs="Times New Roman" w:eastAsia="Times New Roman" w:hAnsi="Times New Roman"/>
                <w:sz w:val="20"/>
                <w:szCs w:val="20"/>
                <w:color w:val="auto"/>
                <w:w w:val="99"/>
              </w:rPr>
              <w:t>103</w:t>
            </w:r>
          </w:p>
        </w:tc>
        <w:tc>
          <w:tcPr>
            <w:tcW w:w="0" w:type="dxa"/>
            <w:vAlign w:val="bottom"/>
          </w:tcPr>
          <w:p>
            <w:pPr>
              <w:spacing w:after="0"/>
              <w:rPr>
                <w:sz w:val="1"/>
                <w:szCs w:val="1"/>
                <w:color w:val="auto"/>
              </w:rPr>
            </w:pPr>
          </w:p>
        </w:tc>
      </w:tr>
    </w:tbl>
    <w:p>
      <w:pPr>
        <w:sectPr>
          <w:pgSz w:w="12240" w:h="15840" w:orient="portrait"/>
          <w:cols w:equalWidth="0" w:num="1">
            <w:col w:w="10380"/>
          </w:cols>
          <w:pgMar w:left="900" w:top="285" w:right="96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48" w:lineRule="exact"/>
        <w:rPr>
          <w:sz w:val="20"/>
          <w:szCs w:val="20"/>
          <w:color w:val="auto"/>
        </w:rPr>
      </w:pPr>
    </w:p>
    <w:p>
      <w:pPr>
        <w:ind w:left="720" w:hanging="360"/>
        <w:spacing w:after="0" w:line="26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of the sufficiency of our existing capital resources combined with future anticipated cash flows and future capital requirements to finance our operating requirements, and capital expenditures;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for generating revenue, incurring losses, and becoming profitable on a sustained basis;</w:t>
      </w:r>
    </w:p>
    <w:p>
      <w:pPr>
        <w:spacing w:after="0" w:line="10"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circumstances or other disruptions to normal business operations arising from general economic and political conditions such as recessions, fluctuating inflation, interest rates and tariff rates, supply chain interruptions and manufacturing constraints, public health emergencies, natural disasters, acts of terrorism or other uncontrollable events;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our ability to scale to profitability, our plans to pursue a new strategic direction, and the cost savings and impact on our gross margins from exiting our reproductive and women’s business and our somatic tumor testing business;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implement our business strategy;</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or ability to enter into service, collaboration and other partnership agreements;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or ability to build our own commercial infrastructure to scale, market and sell our products;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or authorizations by the U.S. Food and Drug Administration (“FDA”), or other regulatory authorities;</w:t>
      </w:r>
    </w:p>
    <w:p>
      <w:pPr>
        <w:spacing w:after="0" w:line="10"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governmental regulation and other legal obligations, including privacy, data protection, information security, consumer protection, and anti-corruption and anti-bribery;</w:t>
      </w: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and maintain intellectual property protection for our product candidates;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against existing and emerging technologies;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third-party payor reimbursement and coverage decisions, negotiations and settlements;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reliance on third-party service providers for our data programs;</w:t>
      </w:r>
    </w:p>
    <w:p>
      <w:pPr>
        <w:spacing w:after="0" w:line="10"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accounting estimates and judgments, including our expectations regarding the adequacy of our reserves for third party payor claims;</w:t>
      </w: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stock price and its volatility; and</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key personnel.</w:t>
      </w:r>
    </w:p>
    <w:p>
      <w:pPr>
        <w:spacing w:after="0" w:line="17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440"/>
          </w:cols>
          <w:pgMar w:left="900" w:top="298" w:right="90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Unless otherwise stated in this Annual Report or the context otherwise requires, references to:</w:t>
      </w:r>
    </w:p>
    <w:p>
      <w:pPr>
        <w:spacing w:after="0" w:line="190" w:lineRule="exact"/>
        <w:rPr>
          <w:sz w:val="20"/>
          <w:szCs w:val="20"/>
          <w:color w:val="auto"/>
        </w:rPr>
      </w:pPr>
    </w:p>
    <w:p>
      <w:pPr>
        <w:ind w:left="360" w:hanging="360"/>
        <w:spacing w:after="0"/>
        <w:tabs>
          <w:tab w:leader="none" w:pos="3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“GeneDx Holdings” refer to GeneDx Holdings Corp., a Delaware corporation;</w:t>
      </w:r>
    </w:p>
    <w:p>
      <w:pPr>
        <w:spacing w:after="0" w:line="30" w:lineRule="exact"/>
        <w:rPr>
          <w:rFonts w:ascii="Times New Roman" w:cs="Times New Roman" w:eastAsia="Times New Roman" w:hAnsi="Times New Roman"/>
          <w:sz w:val="20"/>
          <w:szCs w:val="20"/>
          <w:color w:val="auto"/>
        </w:rPr>
      </w:pPr>
    </w:p>
    <w:p>
      <w:pPr>
        <w:ind w:left="360" w:hanging="360"/>
        <w:spacing w:after="0" w:line="250" w:lineRule="auto"/>
        <w:tabs>
          <w:tab w:leader="none" w:pos="3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“Legacy GeneDx” refer to GeneDx, LLC, a Delaware limited liability company, which we acquired on April 29, 2022 (the “Acquisition”);</w:t>
      </w:r>
    </w:p>
    <w:p>
      <w:pPr>
        <w:ind w:left="360" w:hanging="360"/>
        <w:spacing w:after="0" w:line="250" w:lineRule="auto"/>
        <w:tabs>
          <w:tab w:leader="none" w:pos="3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“Legacy Sema4” refer to Sema4 OpCo Inc., a Delaware corporation, which consummated the business combination with CM Life Sciences, Inc. (“CMLS”) on July 22, 2021 (the “Business Combination”); and</w:t>
      </w:r>
    </w:p>
    <w:p>
      <w:pPr>
        <w:ind w:left="360" w:hanging="360"/>
        <w:spacing w:after="0" w:line="260" w:lineRule="auto"/>
        <w:tabs>
          <w:tab w:leader="none" w:pos="3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“us” and “our,” the “Company” and “GeneDx” refer, as the context requires, to GeneDx Holdings and its consolidated subsidiaries.</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Company’s Class A common stock and public warrants are listed on the Nasdaq Global Select Market under the symbols “WGS” and “WGSWW,”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At GeneDx, we believe that everyone deserves personalized, targeted medical care—and that it all begins with a genetic diagnosis. Fueled by one of the world’s largest rare disease data sets, our industry-leading exome and genome tests translate complex genomic data into clinical answers that unlock personalized health plans, accelerate drug discovery, and improve health system efficiencies. We operate with conviction that what is best for patients must be embedded in every aspect of our work. In support of these beliefs, we value equitability, simplicity and transparency.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GeneDx was founded in 2000 by scientists from the National Institutes of Health whose mission was making genetic testing accessible for patients with rare diseases. The company quickly became a leader in genomics, creating the foundation for how to provide genomic information at scale and pioneering exome and genome sequencing for rare and ultra-rare genetic pediatric disorders. 25 years later, we have amassed one of the world’s largest rare disease datasets and remain a leader in genomics.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Today, we are powered by our industry-leading genomic interpretation platform, and we believe exome and genome testing will become the standard for diagnosis of genetic disease, with the potential to transform healthcare and improve patients’ quality of life.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Background</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Targeted genetic tests and panel testing make up the vast majority of diagnostics tests ordered today. While panel testing can be useful, it has an increasing limitation as we move towards genetic-based healthcare. Panels only allow you to test for insights that physicians predefine based on symptoms, which can lead to inconclusive results and an inefficient process. It is hypothesis-based medicine based on symptoms that may overlap across diseases. We firmly believe that an affordable, scalable and actionable genome is the future of medicine. The barrier to having actionable information from a genomic sequence is significant—and not just due to costs, which are coming down. The less-discussed barrier to having actionable information lies in the ability to process a genome’s worth of information—quickly and scalably—and to deliver both a result that a clinician can easily act upon to help a patient and a robust dataset that enables clinicians to drive precise diagnosis and personalized health plans, and researchers to develop and advance therapeutics.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Most companies in today’s genetics industry are taking a test-by-test approach to cross the chasm from genetics early adopters to genome-guided healthcare in the mainstream market. We believe that driving clinician and patient awareness and influencing policy decisions may facilitate uptake within the industry. In addition, making genetics part of mainstream medicine requires advancing the technology to provide personalized and actionable health insights. It also requires having a robust, well-characterized dataset that can maximize answers and minimize unknowns to drive a new era of discovery.</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Exome and whole genome sequencing provide the broadest view into the genomic variant—we are looking comprehensively into over 20,000 genes, while panels look at anywhere from two to a few hundred genes. While most of the industry has focused on panels, we have focused on exome and whole genome developing structured gene-disease knowledge curated by our team of experts to power automated interpretation and reporting.</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440"/>
          </w:cols>
          <w:pgMar w:left="900" w:top="298" w:right="90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One Test</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genome is composed of 3 billion “letters”, or base pairs, of DNA. The exome is a portion of the genome that encodes proteins, which are involved in many different types of cellular functions. Changes in a genome or exome can change the way proteins are formed or utilized by the cell, potentially causing disease.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When patients present with complex issues, a genetic diagnosis may be available, but a traditional genetic panel test may be too narrow to identify the cause. Some genetic disorders present with very specific symptoms, so tests that read the “letters” of a single gene or a small panel of genes, may make sense for physicians to use in diagnosis. But for many other genetic diseases, patients can present with overlapping symptoms so finding the correct diagnosis is not always straightforward and may require multiple tests, costly evaluations, invasive procedures, and long hospital stays. Exome and genome sequencing can find different genetic alterations, or variants, that more targeted tests miss and are especially useful when the timing is critical to directing or altering medical management.</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With 25 years of operation, GeneDx has a proven track record of expertise in genetic testing. We launched the industry’s first commercially available next generation sequencing panels in 2008, pioneered exome sequencing in 2012 and have sequenced over 750,000 exomes and genomes to date. We have performed over one million genetic tests and worked tirelessly to develop:</w:t>
      </w:r>
    </w:p>
    <w:p>
      <w:pPr>
        <w:spacing w:after="0" w:line="135" w:lineRule="exact"/>
        <w:rPr>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curated database of disease-associated genomic variants;</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Proprietary bioinformatics and variant interpretation pipelines; and</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Rapid exome and whole genome sequencing testing options.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status quo of genetic testing requires repeated and fragmented testing which, in many cases, is conducted too late for physicians to use in treatment of patients. Targeted genetic tests and panels have been largely commoditized leaving physicians, healthcare partners and patients searching for deeper answers and enhanced utility. The scalable exome and whole genome interpretation that we can deliver at speed do not require a long, complex, expensive, expert-guided search and may make most other genetic tests obsolete. In addition, using whole genome testing is incredibly simple: it’s designed to be Just One Test.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Advanced Technology with a Human Touch</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Our team includes over 200 genetic counselors, physicians, scientists, and clinical and molecular genomics specialists. We believe we are one of the industry’s leading genetic testing experts. We share the same goal as healthcare providers, patients, and families: to provide personalized and actionable health insights.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years of exome and genome sequencing experience have provided us with a substantial dataset, including over 6 million structured phenotypes with approximately 60% of all exomes/genomes to date processed as parent-child trios. We have invested resources over time to annotate the phenotypes and sequence the parents of patients, because their genetic sequences can often provide additional diagnostic information, potentially improving the precision of genetic analysis. Importantly, we have served the Medicaid population for nearly a decade ahead of the first state to enact health coverage for exome/genome and as such, our data set is highly diversified matching the demographic dispersion of the United States. In addition, the data from more families allows us to continually improve interpretation of genetic code and variants that may cause disease. We believe we have more expertly annotated disease-causing variants than the largest public archive.</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Internally developed with over one million sequenced specimens, our database is designed to lead to increasingly reliable diagnostic test results. The structured gene-disease knowledge curated by our team of experts is powering automated interpretation and reporting built to handle genomic data at scale. Combined with our proprietary, state-of-the-art variant identification software, our ability to deliver highly accurate test results makes finding definitive diagnoses, even in complex cases, possible. Implemented with expert oversight, our advanced interpretation methods incorporate automation, bioinformatics, and cloud-based machine learning, enabling efficient discovery of genetic differences at previously undetectable levels.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As the number of new patients we test grows, so does our database, and the new data increases the potential for greater insights. As we capture more genomic and phenotypic data, we hope to fuel a positive feedback cycle of discovery that continuously delivers more value for patients, providers and healthcare partners.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Opportunity</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primary growth engine in the short term will be expanding our current market-leading exome and genome sequencing capabilities in the outpatient setting, including geneticists, pediatric development specialists, and other pediatric specialists, as well as the neonatal in-patient setting, also referred to as Neonatal Intensive Care Units (“NICU”). Over time we fully expect more and more use cases and reimbursement pathways for exome and genome to open up across a wide spectrum of pediatric and adult diseases, conditions and disorders. As we plan for longer-term growth, we aim to bring whole genome newborn screening to</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440"/>
          </w:cols>
          <w:pgMar w:left="900" w:top="298" w:right="90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market, supported with the launch of a new customer experience platform for non-geneticists, patients and caregivers, and evidence generation to establish the clinical and economic benefits of screening. Also, as we plan for longer-term growth, we believe there is a large data partnership opportunity with biopharmaceutical (“biopharma”) companies, international testing opportunities, as well as a market to provide interpretation and information services for customers that sequence locally but look to GeneDx for analysis and interpretation.</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believe we are particularly well-suited for helping rare disease and pediatric developmental disorder patients, their care teams and biopharma companies today. This is a large market with immense unmet medical need. There are over 7,000 individual diseases affecting nearly 10% of the total population in the United States, of which 50% are children. As a result, there are over 700 medicines in development for these diseases, with a regulatory pathway facilitated by the Orphan Drug Act of 1983. By providing the precise genetic diagnosis of patients with rare disease, our expertise and technology may provide researchers and biopharma companies with the information needed to develop and commercialize a new treatment for the disease.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By unlocking the value of the products, our knowledge base, network of relationships, and expertise, our team is well positioned to lead what we believe is a nearly a $25 billion global market opportunity in pediatric and rare disease and a nearly $20 billion global market opportunity for adult disease and disorders.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believe that the span and depth of our experience and dataset allows us to return more positive findings and thus clinical utility, both immediately and over time through reanalysis, than other sources. Importantly, we believe that we return fewer uncertain findings compared to public datasets, which makes our analysis easier to interpret outside of the medical genetics community.</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At the same time, we have improved quality and speed to delivery of exome and genome tests and have significantly lowered the associated sequencing costs since initial launch in 2013. Much of this decline was driven by reduced sequencing costs shared across the industry; however, we have reduced wet labor and processing costs and in the interpretation layer through accumulating data and experience, and we expect further decline in costs going forward.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Leveraging these capabilities, we aim to be the global market leader in the development and delivery of reliable, actionable, scalable exome and genome sequencing and interpretation and information services. Our strategy focuses on the following objectives:</w:t>
      </w:r>
    </w:p>
    <w:p>
      <w:pPr>
        <w:spacing w:after="0" w:line="135" w:lineRule="exact"/>
        <w:rPr>
          <w:sz w:val="20"/>
          <w:szCs w:val="20"/>
          <w:color w:val="auto"/>
        </w:rPr>
      </w:pPr>
    </w:p>
    <w:p>
      <w:pPr>
        <w:ind w:left="720" w:hanging="360"/>
        <w:spacing w:after="0" w:line="260"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 the utilization of exome and genome sequencing as the first- or second-tier test over most other genetically targeted tests by leveraging decades of earned trust amongst expert geneticists; and</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3"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 the utilization of industry-leading exome and genome sequencing beyond the genetic experts into the non-expert setting, potentially creating a new standard of care which enables faster diagnoses, reduces suffering, and helps healthcare systems save money. In the near term, our principal target markets will be settings with the most vulnerable patients who can benefit the most including, but not limited to, NICU and patients with pediatric developmental disorders (“Pediatric Developmental Disorders”).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achieve these objectives, we:</w:t>
      </w:r>
    </w:p>
    <w:p>
      <w:pPr>
        <w:spacing w:after="0" w:line="190" w:lineRule="exact"/>
        <w:rPr>
          <w:sz w:val="20"/>
          <w:szCs w:val="20"/>
          <w:color w:val="auto"/>
        </w:rPr>
      </w:pPr>
    </w:p>
    <w:p>
      <w:pPr>
        <w:jc w:val="both"/>
        <w:ind w:left="720" w:hanging="360"/>
        <w:spacing w:after="0" w:line="257"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Deploy our team of approximately 70 field-based sales representatives and medical science liaisons, and plan to construct an industry-leading brand, product, marketing, communications and market access platform by leveraging decades of earned trust across the genetics community.</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Partner with leaders across health systems, manufacturers, commercial and governmental payors and advocacy groups. We aim to collaborate on programs to establish definitive clinical and economic case for broad use of genomic-guided medicine. Such programs will focus on:</w:t>
      </w:r>
    </w:p>
    <w:p>
      <w:pPr>
        <w:spacing w:after="0" w:line="1" w:lineRule="exact"/>
        <w:rPr>
          <w:rFonts w:ascii="Times New Roman" w:cs="Times New Roman" w:eastAsia="Times New Roman" w:hAnsi="Times New Roman"/>
          <w:sz w:val="20"/>
          <w:szCs w:val="20"/>
          <w:color w:val="auto"/>
        </w:rPr>
      </w:pPr>
    </w:p>
    <w:p>
      <w:pPr>
        <w:ind w:left="1440" w:hanging="360"/>
        <w:spacing w:after="0"/>
        <w:tabs>
          <w:tab w:leader="none" w:pos="14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 for rapid whole genome sequencing in the NICU and Pediatric Developmental Disorder settings;</w:t>
      </w:r>
    </w:p>
    <w:p>
      <w:pPr>
        <w:spacing w:after="0" w:line="10" w:lineRule="exact"/>
        <w:rPr>
          <w:rFonts w:ascii="Times New Roman" w:cs="Times New Roman" w:eastAsia="Times New Roman" w:hAnsi="Times New Roman"/>
          <w:sz w:val="20"/>
          <w:szCs w:val="20"/>
          <w:color w:val="auto"/>
        </w:rPr>
      </w:pPr>
    </w:p>
    <w:p>
      <w:pPr>
        <w:ind w:left="1440" w:hanging="360"/>
        <w:spacing w:after="0"/>
        <w:tabs>
          <w:tab w:leader="none" w:pos="14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diagnosis of disease and prevention of chronic conditions in adults; and</w:t>
      </w:r>
    </w:p>
    <w:p>
      <w:pPr>
        <w:spacing w:after="0" w:line="10" w:lineRule="exact"/>
        <w:rPr>
          <w:rFonts w:ascii="Times New Roman" w:cs="Times New Roman" w:eastAsia="Times New Roman" w:hAnsi="Times New Roman"/>
          <w:sz w:val="20"/>
          <w:szCs w:val="20"/>
          <w:color w:val="auto"/>
        </w:rPr>
      </w:pPr>
    </w:p>
    <w:p>
      <w:pPr>
        <w:ind w:left="1440" w:hanging="360"/>
        <w:spacing w:after="0"/>
        <w:tabs>
          <w:tab w:leader="none" w:pos="14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of rapid whole genome sequencing for broad newborn screening.</w:t>
      </w:r>
    </w:p>
    <w:p>
      <w:pPr>
        <w:spacing w:after="0" w:line="10"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 to open new markets and geographies and unlock the value of our dataset with independently scalable cloud-based interpretation and information service offerings. This will enable healthcare partners to incorporate genetics into clinical care by accessing our analysis and interpretation capabilities remotely while sequencing locally to reduce complexity, logistics cost and wait times, and align to local restrictions where applicable.</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3"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 to launch a new provider and patient experience with the eventual goal of providing lifelong access and portability of genomic information. At initial sequence, rapid results provide clinicians simple, actionable, easy to understand results for non-geneticists and tailored resources for patients and caregivers. On an ongoing basis, reanalysis unlocks a renewable source of insight, replacing any future germline screening. We will sequence once, and analyze for life.</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440"/>
          </w:cols>
          <w:pgMar w:left="900" w:top="298" w:right="90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ind w:left="720" w:hanging="360"/>
        <w:spacing w:after="0" w:line="260"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 to optimize our services to become a solutions provider of choice for biopharma companies. Such solutions will focus on value-added services such as:</w:t>
      </w:r>
    </w:p>
    <w:p>
      <w:pPr>
        <w:spacing w:after="0" w:line="1" w:lineRule="exact"/>
        <w:rPr>
          <w:rFonts w:ascii="Times New Roman" w:cs="Times New Roman" w:eastAsia="Times New Roman" w:hAnsi="Times New Roman"/>
          <w:sz w:val="20"/>
          <w:szCs w:val="20"/>
          <w:color w:val="auto"/>
        </w:rPr>
      </w:pPr>
    </w:p>
    <w:p>
      <w:pPr>
        <w:ind w:left="1440" w:hanging="360"/>
        <w:spacing w:after="0"/>
        <w:tabs>
          <w:tab w:leader="none" w:pos="14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Finding rare disease patients for clinical trial recruitment and/or delivery of targeted therapeutics.</w:t>
      </w:r>
    </w:p>
    <w:p>
      <w:pPr>
        <w:spacing w:after="0" w:line="10" w:lineRule="exact"/>
        <w:rPr>
          <w:rFonts w:ascii="Times New Roman" w:cs="Times New Roman" w:eastAsia="Times New Roman" w:hAnsi="Times New Roman"/>
          <w:sz w:val="20"/>
          <w:szCs w:val="20"/>
          <w:color w:val="auto"/>
        </w:rPr>
      </w:pPr>
    </w:p>
    <w:p>
      <w:pPr>
        <w:ind w:left="1440" w:hanging="360"/>
        <w:spacing w:after="0" w:line="250" w:lineRule="auto"/>
        <w:tabs>
          <w:tab w:leader="none" w:pos="14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Supporting research and development for targeted therapies with analytic reports leveraging clinicogenomics data across multiple therapeutic areas with an initial emphasis in rare disease.</w:t>
      </w:r>
    </w:p>
    <w:p>
      <w:pPr>
        <w:ind w:left="1440" w:hanging="360"/>
        <w:spacing w:after="0" w:line="260" w:lineRule="auto"/>
        <w:tabs>
          <w:tab w:leader="none" w:pos="14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 therapeutic area agnostic platform to access to data, patients and insights for real world evidence and data to support end-to-end drug discovery pipeline.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research and development activities include information technology, product development, customer experience, medical affairs, collaborations and research, including health economic and outcomes research (“HEOR”). These activities are principally focused on our efforts to develop and improve the software we use to analyze data, process genomic test orders, deliver reports, and improve customer experience.</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also participating in certain collaborative studies aimed to provide evidence of the clinical and economic benefit for exome and whole genome sequencing. Two such studies currently underway include the SeqFirst study—in collaboration with Seattle Children’s Hospital and University of Washington—which is designed to demonstrate the broad utility of rapid whole genome sequencing for critically ill newborns and, the Genomic Uniform-Screening Against Rare Diseases In All Newborns (“GUARDIAN”) study—in collaboration with New York-Presbyterian, Columbia University, New York State Department of Health and Illumina, Inc.—which is designed to assess whole genome sequencing to screen newborns for more conditions than those currently included in standard newborn screening in the United States. The goals of these studies are to drive earlier diagnosis and treatment to improve the health of the newborns who participate in such studies, generate evidence to support the expansion of newborn screening through genomic sequencing, and characterize the prevalence and natural history of rare genetic conditions.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competitors include companies that offer molecular genetic testing and consulting services, including specialty and reference laboratories that offer traditional single- and multi-gene tests and biopharma companies. In addition, there are a large number of new entrants into the market for genetic information ranging from informatics and analysis pipeline developers to focused, integrated providers of genetic tools and services for health and wellness, including Illumina, Inc., which is also one of our suppliers.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 Principal competitors include companies such as Baylor Genetics, Exact Sciences Corp. (via Prevention), Rady Children’s Hospital and Tempus (via Ambry Genetics) as well as other commercial and academic labs.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 and Seasonality</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receive payment for our products and services from third-party payors, patients, business-to-business clients, and from other healthcare partners. Substantially all of our revenue for the year ended December 31, 2024 has been primarily derived from diagnostic test reports and we expect this trend to continue in the near-term. We expect over time to achieve a mix of revenue from diagnostic tests, data and information solutions, newborn screening products and information and interpretation services.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Approximately 2% of our revenues today are derived from referral sources outside of the United States. We expect over time to increase rest of world revenue as knowledge and understanding of the benefits of exome and whole genome sequencing continue to expand.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typically experience higher revenue in our fourth quarter and lower revenue in the first quarter due in part to seasonal demand of our tests from patients who have met their annual insurance deductible. However, changes in our product and payor mix might cause these seasonal patterns to be different than future patterns of our revenue or financial performance.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For information regarding our customer concentration in relation to certain of the Company’s third-party payors, see Note 2, “</w:t>
      </w:r>
      <w:r>
        <w:rPr>
          <w:rFonts w:ascii="Times New Roman" w:cs="Times New Roman" w:eastAsia="Times New Roman" w:hAnsi="Times New Roman"/>
          <w:sz w:val="20"/>
          <w:szCs w:val="20"/>
          <w:b w:val="1"/>
          <w:bCs w:val="1"/>
          <w:i w:val="1"/>
          <w:iCs w:val="1"/>
          <w:color w:val="auto"/>
        </w:rPr>
        <w:t>Summary of Significant Accounting Policies</w:t>
      </w:r>
      <w:r>
        <w:rPr>
          <w:rFonts w:ascii="Times New Roman" w:cs="Times New Roman" w:eastAsia="Times New Roman" w:hAnsi="Times New Roman"/>
          <w:sz w:val="20"/>
          <w:szCs w:val="20"/>
          <w:color w:val="auto"/>
        </w:rPr>
        <w:t>” in the notes to our consolidated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Raw Materials and Suppliers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rely on a limited number of suppliers, including Illumina, Inc., Integrated DNA Technologies Incorporated, Agilent Technologies, Roche Holdings Ltd., QIAGEN, Inc. and Twist Biosciences, for certain laboratory reagents, as well as sequencers and other equipment and materials, which we use in our laboratory operations. Our operations could be interrupted if we</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440"/>
          </w:cols>
          <w:pgMar w:left="900" w:top="298" w:right="90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encounter delays or difficulties in securing reagents, sequencers or other equipment or materials, and if we cannot obtain an acceptable substitute. Any such interruption could significantly affect our business, financial condition, results of operations and reputation. We believe that there are only a few other manufacturers that are currently capable of supplying and servicing the equipment necessary for our operations, including sequencers and various associated reagents and enzymes. The use of equipment or materials provided by these replacement suppliers would require us to alter our operations. Transitioning to a new supplier would be time consuming and expensive, may result in interruptions in operations, could affect the performance specifications of our laboratory operations or could require that we revalidate our tests. We cannot be certain that we will be able to secure alternative equipment, reagents and other materials, or bring such equipment, reagents and materials online and revalidate them without experiencing interruptions in our workflow. If we encounter delays or difficulties in securing, reconfiguring or revalidating equipment and materials, our business and reputation could be adversely affected.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rely on a combination of intellectual property rights, including trade secrets, copyrights, trademarks, customary contractual protections to protect our core technology and intellectual property.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fields of genomic and health information analysis present limited opportunities for patent protection, based on current legal precedents. Our patent protection strategy has focused on seeking protection for certain of our non-gene specific technology and our specific biomarkers. In this regard, we have three pending U.S. non-provisional utility patent applications and seven U.S. provisional patent applications. The utility patent applications include a U.S. patent application related to generating a cancer determination from electronic health records using a cancer determination analysis system, a U.S. patent application related to providing a homologous recombination DNA repair deficiency score for a cancer patient, and a U.S. patent application related to therapeutic treatment for subjects having certain polymorphic markers associated with specific human leukocyte antigen alleles. If patents are issued from the currently pending applications, the earliest patents will begin expiring in the early 2040s, subject to potential extensions of the patent term that will be calculated based on the length of the patent examination process. The claim scope of any potentially issued patents stemming from the present applications may be narrower than included in the initial filings due to any amendments that may arise throughout their prosecution.</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do not presently have any patents directed to the sequences of specific genes or variants of such genes, nor do we currently rely on any in-licensed gene patent rights of any third party. We may, in time, seek additional patent protection to protect technology that is not gene-specific and that provides us with a potential competitive advantage as we focus on making comprehensive genetic information less expensive and more broadly available to our customers.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 Secrets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rely on trade secrets, including unpatented know-how, technology and other proprietary information, to maintain and develop our competitive position. We have a trade secrecy program to prevent disclosure of our trade secrets to others, except under stringent conditions of confidentiality when disclosure is critical to our business. We protect trade secrets and know-how by establishing confidentiality agreements and invention assignment agreements with our employees, consultants, scientific advisors, contractors, and collaborators. These agreements also provide that all inventions resulting from work performed for us or relating to our business and conceived or completed during the period of employment or assignment, as applicable, will be our exclusive property. In addition, we take other appropriate precautions, such as physical and technological security measures, to guard against misappropriation of our proprietary information by third parties.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valuable trade secrets relate to proprietary bioinformatic tools such as:</w:t>
      </w:r>
    </w:p>
    <w:p>
      <w:pPr>
        <w:spacing w:after="0" w:line="190" w:lineRule="exact"/>
        <w:rPr>
          <w:sz w:val="20"/>
          <w:szCs w:val="20"/>
          <w:color w:val="auto"/>
        </w:rPr>
      </w:pPr>
    </w:p>
    <w:p>
      <w:pPr>
        <w:ind w:left="720" w:hanging="360"/>
        <w:spacing w:after="0" w:line="260"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 data processing methods and analytical pipelines for NGS, aCGH, MLPA, Sanger, and other genomic data, optimized and validated to the highest performance standards;</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novel detection method to uncover notoriously difficult to detect sequence variants called mobile element insertions and partial-exon deletions; and</w:t>
      </w:r>
    </w:p>
    <w:p>
      <w:pPr>
        <w:ind w:left="720" w:hanging="360"/>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 variant analysis platforms built from the ground up for exome and genome-scale data interpretation.</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Although we take steps to protect our proprietary information and trade secrets, including through contractual means with our employees and consultants, these steps may be circumvented, or third parties may independently develop substantially equivalent proprietary information and techniques or otherwise gain access to our trade secrets or disclose our technology. Accordingly, we may not be able to meaningfully protect our trade secrets.</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440"/>
          </w:cols>
          <w:pgMar w:left="900" w:top="298" w:right="90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Trademarks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own or are applying for various trademarks, service marks, trade names, and product service names in the U.S and other commercially important markets. We intend to invest significant resources in the growth and protection of our reputation and trademarks. Our trademark portfolio is designed to protect the brands for our products and services, both current and in the pipeline.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aim to recruit, develop, and retain diverse, high-quality talent and are committed to creating a workplace that supports the success of its people by investing in their personal development and career growth. Our team of nearly 1,000 individuals are champions of not only our organization, but our patients, providers and partners.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are committed to developing our workforce. Our talent development programs provide employees with the resources they need to achieve their career goals, build management skills and lead their teams. Managers coach and hold conversations with employees’ regarding their career and development plans, thereby staying true to our belief in accountability and openness.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Total Rewards</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offer competitive compensation to attract and retain high quality talent, and we care for our people so they can focus on our mission. Our employees' total compensation package includes competitive salary, bonuses or sales incentives, equity through our equity incentive plans, 401(K) plan with matching opportunities, and the opportunity to participate in our employee stock purchase plan. Equity participation is provided for certain positions because ownership in the company drives commitment to our long-term success. We provide programs including healthcare and insurance benefits, health savings and flexible spending accounts, paid time off, family leave, flexible work schedules, fertility, adoption and surrogacy assistance, employee assistance and wellness support, among many others.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business and the services (both current and in the pipeline) we provide are subject to and impacted by extensive and frequently changing laws and regulations in the United States (at both the federal and state levels) and internationally. Failure to comply with the applicable laws and regulations can subject us to repayment of amounts previously paid to us, significant civil and criminal penalties, loss of licensure, certification, or accreditation, or exclusion from state and federal health care programs. The significant areas of regulation are summarized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Laboratory Improvement Amendments of 1988 and State Regulation</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clinical laboratories must hold certain federal</w:t>
      </w:r>
      <w:r>
        <w:rPr>
          <w:rFonts w:ascii="Times New Roman" w:cs="Times New Roman" w:eastAsia="Times New Roman" w:hAnsi="Times New Roman"/>
          <w:sz w:val="20"/>
          <w:szCs w:val="20"/>
          <w:color w:val="008080"/>
        </w:rPr>
        <w:t>,</w:t>
      </w:r>
      <w:r>
        <w:rPr>
          <w:rFonts w:ascii="Times New Roman" w:cs="Times New Roman" w:eastAsia="Times New Roman" w:hAnsi="Times New Roman"/>
          <w:sz w:val="20"/>
          <w:szCs w:val="20"/>
          <w:color w:val="auto"/>
        </w:rPr>
        <w:t xml:space="preserve"> state and local licenses, certifications and permits to conduct our business. Laboratories in the United States that perform testing on human specimens for the purpose of providing information for the diagnosis, prevention, or treatment of disease or impairment, or the assessment of health are subject to the Clinical Laboratory Improvement Amendments of 1988, as amended, and its implementing regulations (“CLIA”). CLIA requires such laboratories to be certified by the federal government and mandates compliance with various operational, personnel, facilities administration, inspections, quality control, quality assessment and proficiency testing requirements intended to ensure that testing services are accurate, reliable and timely. CLIA certification also is a prerequisite to be eligible to bill state and federal health care programs, as well as many commercial third-party payors, for laboratory testing services. Our laboratory located in Gaithersburg, Maryland is CLIA certified to perform high complexity tests. Laboratories performing high complexity testing are required to meet more stringent requirements than laboratories performing less complex tests. The regulatory and compliance standards applicable to the testing we perform may change over time, and any such changes could have a material effect on our business.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a condition of CLIA certification, our laboratory is subject to survey and inspection every two years to assess compliance with program standards, in addition to being subject to additional random inspections. The biennial survey is conducted by the Centers for Medicare &amp; Medicaid Services (“CMS”), a CMS agent (typically a state agency), or a CMS-approved accreditation organization. Our Gaithersburg laboratory has been accredited by the College of American Pathologists (“CAP”), which means that our laboratory has been certified as following CAP guidelines in operating the laboratory and in performing tests that ensure the quality of our results. Because our laboratory is accredited by CAP, which is a CMS-approved accreditation organization, CMS does not perform these biennial surveys and inspections and relies on our CAP surveys and inspections. We may also be subject to additional unannounced inspections.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CLIA provides that a state may adopt laboratory regulations consistent with those under federal law, and a number of states have implemented their own (sometimes more stringent) laboratory regulatory requirements. CLIA does not preempt state laws that have established laboratory quality standards that are at least as stringent as the federal law requirements under CLIA. State laws</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440"/>
          </w:cols>
          <w:pgMar w:left="900" w:top="298" w:right="90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may require that nonresident laboratories, or out-of-state laboratories, maintain a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 We maintain state laboratory licenses for our Gaithersburg facility in Maryland and in New York, California, Pennsylvania and Rhode Island. In addition to having a laboratory license in New York, our laboratory is also required to obtain approval on a test-specific basis for the tests it runs as laboratory developed tests (“LDTs”) by the New York Department of Health before specific testing is performed on samples from New York. If any states currently have or adopt similar licensure requirements in the future, we may be required to modify, delay or stop our operations in those states.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If a laboratory is out of compliance with state laws or regulations governing licensed laboratories or with CLIA, penalties may include suspension, limitation or revocation of the license or CLIA certificate, assessment of civil monetary penalties or fines, civil injunctive suit or criminal penalties. Failure to comply with CLIA could also result in a directed plan of correction and state on-site monitoring. Loss of a laboratory’s CLIA certificate or state license may also result in the inability to receive payments from state and federal health care programs as well as private third-party payors. We believe that we are in material compliance with CLIA and all applicable licensing laws and regulations.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CLIA and state laws and regulations, operating together, sometimes limit the ability of laboratories to offer consumer-initiated testing (also known as “direct access testing”). CLIA certified laboratories are permitted to perform testing only upon the order of an “authorized person,” defined as an individual authorized under state law to order tests or receive test results, or both. Many states do not permit persons other than licensed healthcare providers to order tests. We currently do not offer direct access testing and our CLIA tests may only be ordered by authorized healthcare providers.</w:t>
      </w:r>
    </w:p>
    <w:p>
      <w:pPr>
        <w:spacing w:after="0" w:line="135" w:lineRule="exact"/>
        <w:rPr>
          <w:sz w:val="20"/>
          <w:szCs w:val="20"/>
          <w:color w:val="auto"/>
        </w:rPr>
      </w:pPr>
    </w:p>
    <w:p>
      <w:pPr>
        <w:ind w:right="4540"/>
        <w:spacing w:after="0" w:line="443" w:lineRule="auto"/>
        <w:rPr>
          <w:sz w:val="20"/>
          <w:szCs w:val="20"/>
          <w:color w:val="auto"/>
        </w:rPr>
      </w:pPr>
      <w:r>
        <w:rPr>
          <w:rFonts w:ascii="Times New Roman" w:cs="Times New Roman" w:eastAsia="Times New Roman" w:hAnsi="Times New Roman"/>
          <w:sz w:val="20"/>
          <w:szCs w:val="20"/>
          <w:b w:val="1"/>
          <w:bCs w:val="1"/>
          <w:i w:val="1"/>
          <w:iCs w:val="1"/>
          <w:color w:val="auto"/>
        </w:rPr>
        <w:t>Diagnostic Products and FDA Oversight of Laboratory Developed Tests FDA Oversight of Laboratory Developed Tests</w:t>
      </w:r>
    </w:p>
    <w:p>
      <w:pPr>
        <w:jc w:val="both"/>
        <w:spacing w:after="0" w:line="256" w:lineRule="auto"/>
        <w:rPr>
          <w:sz w:val="20"/>
          <w:szCs w:val="20"/>
          <w:color w:val="auto"/>
        </w:rPr>
      </w:pPr>
      <w:r>
        <w:rPr>
          <w:rFonts w:ascii="Times New Roman" w:cs="Times New Roman" w:eastAsia="Times New Roman" w:hAnsi="Times New Roman"/>
          <w:sz w:val="20"/>
          <w:szCs w:val="20"/>
          <w:color w:val="auto"/>
        </w:rPr>
        <w:t>We currently offer an LDT version of certain tests. Historically, the FDA has exercised a policy of enforcement discretion with respect to most LDTs, whereby the FDA did not actively enforce its medical device regulatory requirements for such tests. However, at various points in recent years, FDA has indicated that it intends to end enforcement discretion for many tests offered as LDTs, and to require such tests to comply with certain FDA regulatory requirements. Agency officials have previously expressed significant concerns regarding performance disparities between some LDTs and in vitro diagnostics that have been reviewed, cleared, authorized or approved by the FDA.</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Most recently, on April 29, 2024, the FDA published a final rule on LDTs, in which FDA outlines its plans to end enforcement discretion for many LDTs in five stages over a four-year period. In Phase 1 (effective May 6, 2025), clinical laboratories would be required to comply with medical device (adverse event) reporting, correction/removal reporting, and certain quality systems complaint handling requirements. In Phase 2 (effective May 6, 2026), clinical laboratories would be required to comply with all other device requirements (e.g., registration/listing, labeling, investigational use), except for remaining quality systems requirements and premarket review. In Phase 3 (effective May 6, 2027), clinical laboratories would be required to comply with all remaining applicable quality systems requirements. In Phase 4 (effective November 6, 2027), clinical laboratories would be required to comply with premarket submission requirements for high-risk tests (i.e., tests subject to premarket approval (PMA) requirement). Finally, in Phase 5 (effective May 6, 2028), clinical laboratories would be required comply with premarket submission requirements for moderate- and low-risk tests (i.e., tests subject to de novo or 510(k) requirement). The final rule potentially extends enforcement discretion for certain tests – e.g., LDTs approved by the New York State Department of Health, and LDTs first marketed prior to May 6, 2024 which are not modified or are modified in certain limited ways – from certain FDA regulatory requirements, provided certain important limitations have been met. We are actively reviewing the final rule to evaluate its applicability to our operations, and the extent to which we may be required to modify our operations to comply with its requirements.</w:t>
      </w:r>
    </w:p>
    <w:p>
      <w:pPr>
        <w:spacing w:after="0" w:line="15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Multiple lawsuits have been filed challenging the FDA’s authority to regulate LDTs as medical devices under the Federal Food, Drug, and Cosmetic Act.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Legislative proposals addressing the FDA’s oversight of LDTs have also been introduced in previous Congresses, and we expect that new legislative proposals will be introduced from time-to-time. For example, versions of the Verifying Accurate Leading-edge IVCT Development Act (the “VALID Act”) have been introduced in Congress several times in recent years, but the VALID Act has not been enacted. The VALID Act, as most recently proposed, would create a new category of medical products separate from medical devices called “in vitro clinical tests,” or IVCTs. As most recently proposed, the VALID Act would modify the Federal Food, Drug, and Cosmetic Act (the “FDCA”) and establish a risk-based approach to imposing requirements related to premarket review, quality systems, and labeling requirements on all IVCTs, including LDTs, but a grandfathering provision would create exemptions from certain requirements for certain LDTs (e.g., LDTs first offered for clinical use not later than May</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440"/>
          </w:cols>
          <w:pgMar w:left="900" w:top="298" w:right="90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6, 2024). The likelihood that Congress will pass such legislation and the extent to which such legislation may affect the FDA’s plans to regulate certain LDTs as medical devices is difficult to predict at this time.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the FDA ultimately regulates certain LDTs as medical devices, whether via final guidance, final regulation, or as instructed by Congress, our tests may be subject to certain additional regulatory requirements. Complying with the FDA’s requirements for medical devices can be expensive, time-consuming, and subject us to significant or unanticipated delays. Insofar as we may be required to obtain premarket clearance or approval to perform or continue performing an LDT, we cannot be sure that we will be able to obtain such authorization. Even if we obtain regulatory clearance or approval where required, such authorization may not be for the intended uses that we believe are commercially attractive or are critical to the commercial success of our tests. As a result, the application of the FDA’s oversight to our tests could materially and adversely affect our business, financial condition, and results of operations.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will continue to monitor changes to all LDT regulatory policy so as to ensure compliance with the current regulatory scheme. The FDA in the course of enforcing the FDCA may subject a company to various sanctions for violating FDA regulations or provisions of the FDCA, including requiring recalls, issuing Warning Letters, seeking to impose civil money penalties, seizing devices that the agency believes are non-compliant, seeking to enjoin distribution of a specific device, seeking to revoke a clearance or approval, seeking disgorgement of profits and/or seeking to criminally prosecute a company and its officers and other responsible parties.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Additionally, certain of our diagnostic products in development may be subject to regulation by the FDA and similar international health authorities. For these products, we would have an obligation to adhere to the FDA’s current Good Manufacturing Practices and diagnostic product regulations, including providing for an establishment and product listing with the FDA. Additionally, we would be subject to periodic FDA inspections, quality control procedures, and other detailed validation procedures. If the FDA finds deficiencies in the validation of our manufacturing and quality control practices, it may impose restrictions on marketing specific products until corrected. Regulation by governmental authorities in the United States and other countries may be a significant factor in how we develop, test, produce and market our diagnostic test products.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 Practice of Medicine</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Numerous states prohibit business organizations from practicing medicine or employing or engaging physicians to practice medicine, which prohibitions are generally referred to as the prohibition against the corporate practice of medicine. These laws are intended to prevent interference in the medical decision-making process by anyone who is not a licensed physician. For example, California’s Medical Board has indicated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prohibitions may result in civil or criminal fines, as well as sanctions imposed against us and/or the professional through licensure proceedings.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Regulatory Requirements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subject to laws and regulations related to the protection of the environment, the health and safety of employees and the handling, transportation and disposal of regulated medical waste, hazardous waste and biohazardous waste, including chemical, biological agents and compounds, blood and bone marrow samples and other human tissue, and radioactive materials. For example, the U.S. Occupational Safety and Health Administration has established extensive requirements relating specifically to workplace safety for healthcare employers in the United States. For purposes of transportation, some biological materials and laboratory supplies are classified as hazardous materials and are subject to regulation by one or more of the following: the U.S. Department of Transportation, the U.S. Public Health Service, the U.S. Postal Service, the Office of Foreign Assets Control and the International Air Transport Association. We generally use third-party vendors to dispose of regulated medical waste, hazardous waste and radioactive materials and contractually require them to comply with applicable laws and regulations. These vendors are licensed or otherwise qualified to handle and dispose of such wastes.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and State Healthcare Fraud &amp; Abuse Laws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and State Physician Self-Referral Prohibitions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are subject to the federal physician self-referral prohibitions, commonly known as the Stark Law. These restrictions generally prohibit a physician who has (or whose immediate family member has) a financial relationship, such as an ownership or investment interest in or compensation arrangement with us, from making referrals for “designated health services”, including clinical laboratory services, if payment for the services may be made under Medicare. If such a financial relationship exists, referrals are prohibited unless a statutory or regulatory exception applies. The Stark Law also prohibits us from billing for any such prohibited referral. These prohibitions apply regardless of any intent by the parties to induce or reward referrals or the</w:t>
      </w:r>
    </w:p>
    <w:p>
      <w:pPr>
        <w:sectPr>
          <w:pgSz w:w="12240" w:h="15840" w:orient="portrait"/>
          <w:cols w:equalWidth="0" w:num="1">
            <w:col w:w="10440"/>
          </w:cols>
          <w:pgMar w:left="900" w:top="298" w:right="900" w:bottom="0" w:gutter="0" w:footer="0" w:header="0"/>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440"/>
          </w:cols>
          <w:pgMar w:left="900" w:top="298" w:right="90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reasons for the financial relationship and the referral. Several Stark Law exceptions are relevant to many common financial relationships involving clinical laboratories and referring physicians and may be relied upon if all of the elements of the applicable exception are satisfied. Penalties for violating the Stark Law include the return of funds received for all prohibited referrals, fines, civil monetary penalties and possible exclusion from federal health care programs. In addition, violations of the Stark Law may also serve as the basis for liability under the federal False Claims Act (the “FCA”), which can result in additional civil and criminal penalties. Several states have enacted comparable self-referral laws which may be broader in scope and apply regardless of payor.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and State Anti-Kickback Laws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federal Anti-Kickback Statute (the “AKS”), makes it a felony for a person or entity, including a clinical laboratory, to, among other things, knowingly and willfully offer, pay, solicit or receive any remuneration, directly or indirectly, overtly or covertly, in cash or in kind, in order to induce or reward either the referral of an individual for, or the purchase, order or recommendation of, any good or service, for which payment may be made under federal health care programs.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 the AKS that apply to all payors or to state program payors. Penalties for violations of such laws include imprisonment and significant monetary fines and, in the case of the AKS, exclusion from federal health care programs.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conditions of an applicable exception or safe harbor, it is deemed not to violate the AKS. An arrangement must fully meet each condition of an applicable exception or safe harbor in order to qualify for protection. Failure to meet the conditions of a safe harbor, however, does not render an arrangement illegal. Rather, the government may evaluate such arrangements on a case-by-case basis, taking into account all facts and circumstances.</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the federal Eliminating Kickbacks in Recovery Act of 2018 (the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and certain other entities or in exchange for an individual using the services of such entities. The EKRA applies to all payors including commercial payors and government payors, and EKRA violations result in significant fines and/or up to 10 years in jail, separate and apart from existing AKS liability. Several EKRA exceptions are relevant to many common financial relationships involving clinical laboratories and may be relied upon if all of the elements of the applicable exception are satisfied. Failure to meet the requirements of an exception, however, does not render an arrangement illegal. Rather, the government may evaluate such arrangements on a case-by-case basis, taking into account all facts and circumstances.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Federal and State Fraud &amp; Abuse Healthcare Laws</w:t>
      </w:r>
    </w:p>
    <w:p>
      <w:pPr>
        <w:spacing w:after="0" w:line="19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In addition to the requirements discussed above, several other health care fraud and abuse laws could have an effect on our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retaining an overpayment by the federal government. Under the FCA, a person acts knowingly if he or she has actual knowledge of the information or acts in deliberate ignorance or in reckless disregard of the truth or falsity of the information. Specific intent to defraud is not required. FCA violations can result in penalties of up to three times the actual damages sustained by the government, plus civil penalties for each false claim.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Several states have enacted comparable false claims laws which may be broader in scope and apply regardless of payor.</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440"/>
          </w:cols>
          <w:pgMar w:left="900" w:top="298" w:right="90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Several states have enacted comparable laws which may be broader in scope and apply regardless of payor.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law. Moreover, in certain cases, providers who routinely waive copayments and deductibles for Medicare and Medicaid beneficiaries, can also be held liable under the civil monetary penalty provisions and certain other laws, such as the AKS and FCA. One of the statutory exceptions to the civil monetary penalty prohibition is non-routine, unadvertised waivers of copayments or deductible amounts based on individualized determinations of financial need or exhaustion of reasonable collection efforts. The Office of Inspector General of the U.S. Department of Health and Human Services (“HHS”), emphasizes, however, that this exception should only be used occasionally to address special financial needs of a particular patient. States may have similar prohibitions.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Federal and State Healthcare Laws</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In addition to the fraud and abuse laws discussed above, our business potentially is subject to the following additional healthcare regulatory 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Laws Governing Genetic Counseling Services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genetic counseling partner may provide services via electronic means that could subject it to various federal, state and local certification and licensing laws, regulations and approvals, relating to, among other things, the adequacy of health care, the practice of medicine and other health professions (including the provision of remote care and cross-coverage practice), equipment, personnel, operating policies and procedures and the prerequisites for ordering laboratory tests. Some states have enacted regulations specific to providing services to patients via telehealth. Such regulations include, among other things, informed consent requirements that some states require providers to obtain from their patients before providing telehealth services. Health professionals who provide professional services using telehealth modalities must, in most instances, hold a valid license to practice the applicable health profession in the state in which the patient is located. In addition, certain states require a physician providing telehealth to be physically located in the same state as the patient. Any failure to comply with these laws and regulations could result in civil or criminal penalties against telehealth providers.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and Human Subjects Research Regulations</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may collaborate or support ongoing clinical or other human subjects research that could subject us to a number of laws and regulations pertaining to such research, including, but not limited to the Federal Policy for Protection of Human Subjects (as set forth in the implementing regulations of any signatory federal department or agency), the FDCA and its applicable implementing regulations at 21 C.F.R. Parts 11, 50, 54, 56, 58 and 812 and all equivalent legal requirements in other jurisdictions.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Privacy and Security Laws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Insurance Portability and Accountability Act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Under the Health Insurance Portability and Accountability Act of 1996 (“HIPAA”), as amended by the Health Information Technology for Economic and Clinical Health Act (“HITECH”), HHS has issued regulations to protect the privacy and provide for the security of protected health information (“PHI”) used or disclosed by covered entities, including most health care providers and their respective business associates, as well as the business associates’ subcontractors. HIPAA also regulates standardization of data content, codes, and formats used in certain health care transactions and standardization of identifiers for health plans and providers. Four principal regulations with which we are required to comply have been issued in final form under HIPAA and HITECH: privacy regulations, security regulations, breach notification regulations, and standards for electronic transactions, which establish standards for common healthcare transactions.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privacy regulations cover the use and disclosure of PHI by covered entities as well as business associates, which are persons or entities that perform certain functions for or on behalf of a covered entity that involve the creation, receipt, maintenance, or transmission of PHI. Business associates are defined to include a subcontractor to whom a business associate delegates a function, activity, or service, other than in the capacity of the business associate’s workforce. As a general rule, a covered entity or business associate may not use or disclose PHI except as permitted or required under the privacy regulations. The privacy regulations also set forth certain rights that an individual has with respect to his or her PHI maintained by a covered entity or business associate, including the right to access or amend certain records containing his, her or their PHI, request restrictions on the use or disclosure of his, her or their PHI, or request an accounting of disclosures of his or her PHI.</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440"/>
          </w:cols>
          <w:pgMar w:left="900" w:top="298" w:right="90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Covered entities and business associates also must comply with the security regulations, which establish requirements for safeguarding the confidentiality, integrity, and availability of PHI that is electronically transmitted or electronically stored. In addition, HITECH, among other things, established certain PHI breach notification requirements with which covered entities and business associates must comply. In particular, a covered entity must notify any individual whose unsecured PHI is breached according to the specifications set forth in the breach notification rule. A covered entity must also notify the Secretary of HHS and, under certain circumstances, the media of a breach of unsecured PHI.</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HIPAA privacy, security, and breach notification regulations establish a uniform federal “floor” and do not preempt state laws that are more stringent or provide individuals with greater rights with respect to the privacy or security of, and access to, their records containing PHI or insofar as such state laws apply to personal information that is broader in scope than PHI. In addition, individuals (or their personal representatives, as applicable) generally have the right to access test reports directly from laboratories and to direct that copies of those reports be transmitted to persons or entities designated by the individual.</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 In addition, violations of HIPAA could result in significant penalties imposed by the HHS’s Office for Civil Rights. HIPAA also mandates that the Secretary of HHS conduct periodic compliance audits of HIPAA covered entities, such as us, and their business associates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HHS announced on December 27, 2024, and published in the Federal Register on January 6, 2025, a Notice of Proposed Rulemaking proposing extensive modifications to the HIPAA security regulations. If finalized, these modifications and could entail significant additional compliance obligations and costs for HIPAA-regulated covered entities and business associates.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Further, there are a number of state laws regarding the privacy and security of health information and personal data that are applicable to our clinical laboratories. We believe that we have taken the steps required of us to comply with health information privacy and security statutes and regulations in all jurisdictions, both state and federal, and we intend to continue to comprehensively protect all personal information and to comply with all applicable laws regarding the protection of such information. However, these laws constantly change, and we may not be able to maintain compliance in all jurisdictions where we do business. Failure to maintain compliance, including in connection with changes in state or federal laws regarding privacy or security, could result in civil and/or criminal penalties as well as significant reputational damage and could also have a material adverse effect on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California and Other State Consumer Privacy Laws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California Consumer Privacy Act, as amended by the California Privacy Rights Act (together with the California Consumer Privacy Act, the “CCPA”), confers to California consumers, among other things, the right to receive notice of the categories of personal information that will be collected by a business, how the business will use and share the personal information, and the categories of third parties who will receive the personal information. The CCPA also confers rights to access, delete, correct, or request a portable dataset, the right to limit processing of “sensitive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allows California consumers to opt out of the “sharing” of information, which restricts a company’s use of personal information for cross-context behavioral advertising. The CCPA requires a business to implement reasonable security procedures to safeguard personal information against unauthorized access, use, or disclosure and imposes purpose limitation, data minimization, data retention and other security compliance obligations on regulated businesses. The CCPA requires businesses to include specific provisions in contracts with third parties that process data on a business’s behalf regarding the third party’s processing and management of such data.</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CCPA does not apply to personal information that is PHI under HIPAA and that is collected by a business associate or covered entity under HIPAA. The CCPA also exempts patient information that is processed by a covered entity and maintained in the same manner as PHI. Accordingly, the CCPA will not apply to much of the genetic testing and patient information we collect and process. However, we are required to comply with the CCPA insofar as we collect other categories of California consumers’ personal information, such as information about California-based employees, contractors, business contacts and website visitors.</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440"/>
          </w:cols>
          <w:pgMar w:left="900" w:top="298" w:right="90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CCPA is enforceable through administrative fines of up to $2,500 for each violation, or $7,500 for intentional violations or where the violator has actual knowledge that the personal information relates to an individual under 16 years of age.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to the CCPA, by the end of 2024, there were eight other states that had consumer privacy laws come into effect, including Colorado, Connecticut, Florida, Montana, Oregon, Texas, Utah, and Virginia. Eight more states will have comprehensive consumer data privacy laws that come into effect in 2025, and many other states have introduced or enacted similar consumer privacy laws. These new state privacy laws and any potential federal consumer privacy law will and would impose additional data protection obligations on covered businesses, including additional consumer rights, limitations on data uses, new audit requirements for higher risk data and opt outs for certain uses of sensitive data. The new and proposed privacy laws may result in further uncertainty and may require us to incur additional expenditures to comply. These regulations and legislative developments have potentially far-reaching consequences and may require us to modify our data management and data use practices and incur substantial compliance expense. Our failure to comply with applicable laws and regulations or other obligations to which we may be subject relating to personal data, or to protect personal data from unauthorized access, use, or other processing, could result in enforcement actions and regulatory investigations against us, claims for damages by customers and other affected individuals, fines, damage to our reputation, and loss of goodwill, any of which could have a material adverse effect on our operations, financial performance, and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Genetic Privacy and Testing Laws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subject to myriad laws that require us to establish safeguards for the conduct of genomic testing and analysis and to protect against the misuse of genetic information and human biological specimens (“samples”) from which genetic information can be derived. These laws vary in their scope and in the nature of their requirements and restrictions. For example, certain genetic privacy laws prohibit the retention of samples after performing a genomic analysis and prohibit the collection, use or disclosure of genetic information or samples for certain purposes, such as research, without appropriate informed consent from the individual or unless the genetic information or samples are appropriately de-identified. Other laws may impose additional requirements, including requirements regarding institutional review board review and approval for certain research uses of genetic information or samples or requirements to implement certain security controls in connection with the transfer of genetic information. We must comply with such genetic privacy and testing laws in our collection, use, disclosure and retention of genetic information and samples.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Data Protection Laws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There are a growing number of jurisdictions around the globe that have privacy and data protection laws that may apply to us as we enter or expand our business in jurisdictions outside of the United States. These laws are typically triggered by a company’s establishment or physical location in the jurisdiction, data processing activities that take place in the jurisdiction, and/or the processing of personal information about individuals located in that jurisdiction that are targeted, for example, by an offer of goods or services. Certain data protection laws, such as those in the European Union, (the “EU”) and United Kingdom (the “UK”), are comprehensive in nature and include significant requirements around the processing of personal information, while other jurisdictions may have laws less restrictive or prescriptive than those in the United States. Enforcement of these laws varies from jurisdiction to jurisdiction, with a variety of consequences, including civil or criminal penalties, litigation private rights of action, or damage to our reputation.</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example, the EU’s General Data Protection Regulation (“GDPR”), including as implemented and amended through the UK Data Protection Act 2018 (“UK GDPR”), applies to any data collection, use and sharing in the context of an establishment in the EU or UK as well as extraterritorially to any entity outside the EU and UK when they process personal information related to an offer of goods or services to, or monitoring the behavior of, individuals who are located in the EU or UK. The GDPR and UK GDPR impose requirements on controllers and processors of personal data, including when personal information is transferred outside of the EU or the UK to another country and enhanced protections for “special categories” of personal data, which include sensitive information such as health and genetic information of data subjects. The GDPR and UK GDPR also grant individuals various rights in relation to their personal data including the rights of access, rectification, objection to certain processing and deletion. The GDPR and UK GDPR provide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or a failure to comply with the UK GDPR may result in significant administrative fines issued by EU or UK regulators.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Information Blocking Prohibition</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On May 1, 2020, the Office of the National Coordinator for Health Information Technology (“ONC”) promulgated final regulations under the authority of the 21st Century Cures Act to impose new conditions to obtain and maintain certification of certified health information technology and prohibit certain covered actors, including developers of certified health information</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440"/>
          </w:cols>
          <w:pgMar w:left="900" w:top="298" w:right="90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technology, health information networks/health information exchanges, and health care providers, from engaging in activities that are likely to interfere with the access, exchange, or use of electronic health information (information blocking). The final regulations further defined exceptions for activities that are permissible, even though they may have the effect of interfering with the access, exchange, or use of electronic health information. The information blocking regulations compliance date was April 5, 2021 and the HHS subsequently issued a final rule called the HTI-1 Rule that, among other things, revised the information blocking regulations, effective March 11, 2024. Since then, ONC has published in the Federal Register several proposed and final rules that, among other things, propose to or further revise the information blocking regulations. Under the 21st Century Cures Act, health care providers that violate the information blocking prohibition will be subject to appropriate disincentives. On July 1, 2024, the HHS published in the Federal Register a final rule to establish such disincentives, effective July 31, 2024. Developers of certified information technology and health information networks/health information exchanges may be subject to civil monetary penalties of up to $1 million per violation (adjusted for inflation). The HHS Office of Inspector General has the authority to impose such penalties and on July 3, 2023, published a final rule in the Federal Register codifying new authority in regulation, which became effective September 1, 2023. On July 29, 2024, HHS published a statement in the Federal Register that, among other things, announced a reorganization of certain roles and functions and renamed ONC the Assistant Secretary for Technology Policy and Office of the National Coordinator for Health Information Technology, or ASTP/ONC.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and State Consumer Protection Laws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Federal Trade Commission (the “FTC”) is an independent U.S. law enforcement agency charged with protecting consumers and enhancing competition across broad sectors of the economy. The FTC’s primary legal authority with respect to data privacy and security comes from Section 5 (“Section 5”) of the Federal Trade Commission Act (the “FTC Act”), which prohibits unfair or deceptive acts or practices in the marketplace. The FTC has increasingly used this broad authority to police data privacy and security, using its powers to investigate and bring lawsuits. Where appropriate, the FTC can seek a variety of remedies, such as but not limited to requiring the implementation of comprehensive privacy and security programs, biennial assessments by independent experts, monetary redress to consumers, and provision of robust notice and choice mechanisms to consumers. In addition to its enforcement mechanisms, the FTC uses a variety of tools to protect consumers’ privacy and personal information, including pursuing enforcement actions to stop violations of law, conducting studies and issuing reports, hosting public workshops, developing educational materials and testifying before the U.S. Congress on issues that affect consumer privacy. Recently, the FTC has issued guidance emphasizing that their authority to prevent unfair or deceptive acts or practices extends to advertising and marketing claims for health care and health-related products.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majority of data privacy cases brought by the FTC fall under the “deceptive” acts prong of Section 5. These cases often involve a failure on the part of a company to adhere to its own privacy and data protection principles set forth in its policies or other statements made to consumers. To avoid Section 5 violations, the FTC encourages companies to build privacy protections and safeguards into relevant portions of their business, and to consider privacy and data protection as the company grows and evolves. In addition, privacy notices should clearly and accurately disclose the type(s) of personal information the company collects, how the company uses and shares that information, and the security measures used by the company to protect that information.</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recent years, the FTC’s enforcement under Section 5 related to data security has included alleged violations of the “unfairness” prong. Many of these cases have alleged that companies were unfair to consumers because they failed to take reasonable and necessary measures to protect consumer data. The FTC has not provided bright line rules defining what constitutes “reasonable and necessary measures” for implementing a cybersecurity program, but it has provided guidance, tips and advice for companies. The FTC has also published past complaints and consent orders, which it urges companies use as guidance to help avoid an FTC enforcement action, even if a data breach or loss occurs.</w:t>
      </w:r>
    </w:p>
    <w:p>
      <w:pPr>
        <w:spacing w:after="0" w:line="14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In addition to the FTC Act, most U.S. states have unfair and deceptive acts and practices statutes, known as Unfair Deceptive Acts and Practices (“UDAP”) statutes, that substantially mirror the FTC Act and have been applied in the privacy and data security context. These vary in substance and strength from state to state. Many have broad prohibitions against unfair and deceptive acts and practices. These statutes generally allow for private rights of action and are enforced by the states’ Attorneys General.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Reimbursement and Billing</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April 2014, Congress passed the Protecting Access to Medicare Act of 2014 (“PAMA”), which included substantial changes to the way in which clinical laboratory services are paid under Medicare. Under PAMA (as amended) and its implementing regulations, laboratories that realize at least $12,500 in Medicare Clinical Laboratory Fee Schedule (“CLFS”) revenues during the six month reporting period and that receive the majority of their Medicare revenue from payments made under the CLFS or the Physician Fee Schedule must report, beginning in 2017, and then in 2026 and every three years thereafter (or annually for “advanced diagnostic laboratory tests”), private payor payment rates and volumes for their tests. None of our tests meet the current definition of advanced diagnostic laboratory tests, and therefore we believe we are required to report private payor rates</w:t>
      </w:r>
    </w:p>
    <w:p>
      <w:pPr>
        <w:sectPr>
          <w:pgSz w:w="12240" w:h="15840" w:orient="portrait"/>
          <w:cols w:equalWidth="0" w:num="1">
            <w:col w:w="10440"/>
          </w:cols>
          <w:pgMar w:left="900" w:top="298" w:right="900" w:bottom="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440"/>
          </w:cols>
          <w:pgMar w:left="900" w:top="298" w:right="90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for our tests on an every-three-years basis, starting next in 2026. The Centers for Medicare &amp; Medicaid Services (“CMS”) use the rates and volumes reported by laboratories to develop Medicare payment rates for the tests equal to the volume-weighted median of the private payor payment rates for the tests. Laboratories that fail to report the required payment information may be subject to substantial civil money penalties.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set forth under the regulations implementing PAMA, for tests furnished on or after January 1, 2018, Medicare payments for clinical diagnostic laboratory tests are paid based upon these reported private payor rates. For clinical diagnostic laboratory tests that are assigned a new or substantially revised code, initial payment rates for clinical diagnostic laboratory tests that are not advanced diagnostic laboratory tests will be assigned by the crosswalk or gap-fill methodology, as under prior law. Initial payment rates for new advanced diagnostic laboratory tests will be based on the actual list charge for the laboratory test.</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payment rates calculated under PAMA went into effect starting January 1, 2018. Where applicable, reductions to payment rates resulting from the new methodology were limited to 10% per test per year in each of the years 2018 through 2020. Rates were held at 2020 levels during 2021 through 2024 and will continue to be held at such levels in 2025. Then, where applicable based upon median private payor rates reported in 2017 or 2026, reduced by up to 15% per test per year in each of 2026 through 2028 (with a second round of private payor rate reporting in 2026 to establish rates for 2027 through 2029).</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PAMA codified Medicare coverage rules for laboratory tests by requiring any local coverage determination to be made following the local coverage determination process. PAMA also authorizes CMS to consolidate coverage policies for clinical laboratory tests among one to four laboratory-specific Medicare Administrative Contractors. These same contractors may also be designated to process claims if CMS determines that such a model is appropriate. It is unclear whether CMS will proceed with contractor consolidation under this authorization.</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PAMA also authorized the adoption of new, temporary billing codes and/or unique test identifiers for FDA-cleared or approved tests as well as advanced diagnostic laboratory tests. The American Medical Association has created a section of billing codes, Proprietary Laboratory Analyses (“PLA”), to facilitate implementation of this section of PAMA. These codes may apply to one or more of our tests if we apply for PLA coding.</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Reimbursement and billing for diagnostic services is highly complex, and errors in billing potentially can result in denied claims and/or in substantial obligations to repay overpayments to payors. Laboratories must bill various payors, such as private third-party payors, including managed care organizations (“MCO”), and state and federal health care programs, such as Medicare and Medicaid, and each may have different billing requirements. Additionally, the audit requirements we must meet to ensure compliance with applicable laws and regulations, as well as our internal compliance policies and procedures, add further complexity to the billing process. Other factors that complicate billing include:</w:t>
      </w:r>
    </w:p>
    <w:p>
      <w:pPr>
        <w:spacing w:after="0" w:line="148" w:lineRule="exact"/>
        <w:rPr>
          <w:sz w:val="20"/>
          <w:szCs w:val="20"/>
          <w:color w:val="auto"/>
        </w:rPr>
      </w:pPr>
    </w:p>
    <w:p>
      <w:pPr>
        <w:ind w:left="720" w:hanging="36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variability in coverage and information requirements among various payors;</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 financial assistance programs;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missing, incomplete or inaccurate billing information provided by ordering physicians;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billings to payors with whom we do not have contracts;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with payors as to which party is responsible for payment; and</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with payors as to the appropriate level of reimbursement.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Depending on the reimbursement arrangement and applicable law, the party that reimburses us for our services may be:</w:t>
      </w:r>
    </w:p>
    <w:p>
      <w:pPr>
        <w:spacing w:after="0" w:line="190" w:lineRule="exact"/>
        <w:rPr>
          <w:sz w:val="20"/>
          <w:szCs w:val="20"/>
          <w:color w:val="auto"/>
        </w:rPr>
      </w:pPr>
    </w:p>
    <w:p>
      <w:pPr>
        <w:ind w:left="720" w:hanging="36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third party who provides coverage to the patient, such as an insurance company or MCO;</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 or federal healthcare program; or</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patient.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make our annual reports on Form 10-K, quarterly reports on Form 10-Q, current reports on Form 8-K and amendments to these reports, as well as our other SEC filings, available on our website, free of charge, as soon as reasonably practicable after they are electronically filed with or furnished to the SEC. Our website address is www.genedx.com. The information contained on our website is not incorporated by reference in this document.</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have used, and intend to continue to use, our website, investor relations website (accessible via our website), and social media accounts, including our X, formerly Twitter, feed @GeneDx, our LinkedIn page and our Facebook page, as a means of disclosing material non-public information and for complying with our disclosure obligations under Regulation FD.</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440"/>
          </w:cols>
          <w:pgMar w:left="900" w:top="298" w:right="90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You should carefully review and consider the following risk factors and the other information contained in this Annual Report on Form 10-K as well as in our other filings with the SEC before deciding whether to invest in our securities.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securities could decline, and you could lose all or part of your investment. This discussion does not address all of the risks that we face, and we may face additional risks and uncertainties that are not presently known to us, or that we currently deem immaterial, which may also impair our business or financial condition. The following discussion should be read in conjunction with the consolidated financial statements and notes thereto included herein.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Our business is subject to a number of risks and uncertainties, including those risks discussed at length below. These risks include, among others, the following:</w:t>
      </w:r>
    </w:p>
    <w:p>
      <w:pPr>
        <w:spacing w:after="0" w:line="121" w:lineRule="exact"/>
        <w:rPr>
          <w:sz w:val="20"/>
          <w:szCs w:val="20"/>
          <w:color w:val="auto"/>
        </w:rPr>
      </w:pPr>
    </w:p>
    <w:p>
      <w:pPr>
        <w:jc w:val="both"/>
        <w:ind w:left="720" w:hanging="360"/>
        <w:spacing w:after="0" w:line="257"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intense competition. If we do not continue to innovate and provide products and services that are useful to customers, including providers and patients, and partners, we may not remain competitive, which could harm our business and operating results.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need to raise additional capital to fund our existing operations, develop additional products and services, commercialize new products and services or expand our operations.</w:t>
      </w:r>
    </w:p>
    <w:p>
      <w:pPr>
        <w:ind w:left="720" w:hanging="36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comply with federal and state laboratory licensing requirements or standards, we could lose the ability to perform our tests or experience disruptions to our business.</w:t>
      </w:r>
    </w:p>
    <w:p>
      <w:pPr>
        <w:jc w:val="both"/>
        <w:ind w:left="720" w:hanging="36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jc w:val="both"/>
        <w:ind w:left="720" w:hanging="36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Uncertainty in the development and commercialization of our enhanced or new tests or services could materially adversely affect our business, financial condition and results of operations.</w:t>
      </w:r>
    </w:p>
    <w:p>
      <w:pPr>
        <w:jc w:val="both"/>
        <w:ind w:left="720" w:hanging="36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results could be subject to significant fluctuation, which could increase the volatility of our stock and warrant prices and cause losses to our stockholders.</w:t>
      </w:r>
    </w:p>
    <w:p>
      <w:pPr>
        <w:ind w:left="720" w:hanging="36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realize the level of the anticipated benefits that we expect from exiting businesses and restructuring our operations, which may adversely impact our business and results of operations.</w:t>
      </w:r>
    </w:p>
    <w:p>
      <w:pPr>
        <w:ind w:left="720" w:hanging="36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FDA enforcement discretion for LDTs could subject our operations to much more significant regulatory requirements.</w:t>
      </w:r>
    </w:p>
    <w:p>
      <w:pPr>
        <w:ind w:left="720" w:hanging="36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the HIPAA security, privacy and breach notification regulations may increase our costs.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uncertainty related to healthcare reform, pricing, coverage and reimbursement, which could reduce our revenue.</w:t>
      </w:r>
    </w:p>
    <w:p>
      <w:pPr>
        <w:spacing w:after="0" w:line="10" w:lineRule="exact"/>
        <w:rPr>
          <w:rFonts w:ascii="Times New Roman" w:cs="Times New Roman" w:eastAsia="Times New Roman" w:hAnsi="Times New Roman"/>
          <w:sz w:val="20"/>
          <w:szCs w:val="20"/>
          <w:color w:val="auto"/>
        </w:rPr>
      </w:pPr>
    </w:p>
    <w:p>
      <w:pPr>
        <w:ind w:left="720" w:hanging="360"/>
        <w:spacing w:after="0" w:line="26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effectively protect our proprietary products, processes, and technologies, including the confidentiality of our trade secrets, could harm our competitive position.</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440"/>
          </w:cols>
          <w:pgMar w:left="900" w:top="298" w:right="90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left="720" w:hanging="360"/>
        <w:spacing w:after="0" w:line="266"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Industry and Operations</w:t>
      </w:r>
    </w:p>
    <w:p>
      <w:pPr>
        <w:spacing w:after="0" w:line="18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need to scale our infrastructure in advance of demand for our tests, and our failure to generate sufficient demand for our tests would have a negative impact on our business and our ability to attain profitability.</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success depends in large part on our ability to extend our market position, to provide customers with high-quality test reports quickly and at a lower price than our competitors, and to achieve sufficient test volume to realize economies of scale. In addition, we regularly evaluate and refine our testing process, often significantly updating our workflows, including with respect to exome sequencing and whole genome sequencing. In order to execute our business model, we intend to continue to invest heavily in order to significantly scale our infrastructure, including our testing capacity, particularly with respect to exome sequencing and whole genome sequencing to supplement our panel testing capabilities and information systems, expand our commercial operations, customer service, billing and systems processes and enhance our internal quality assurance program. We expect that much of this growth will be in advance of demand for our tests. Our current and future expense levels are to a large extent fixed and are largely based on investment plans and estimates of future revenue. Because the timing and amount of revenue from our tests is difficult to forecast, when revenue does not meet expectations, we may not be able to adjust our spending promptly or reduce spending to levels commensurate with our revenue. Even if we successfully scale our infrastructure and operations, there can be no assurance that tests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not able to continue to generate substantial demand for our tests, our commercial success will be negatively affected.</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business model assumes that we will be able to generate significant test volume, particularly with respect to exome sequencing and whole genome sequencing in addition to our panel testing offerings, and we may not succeed in continuing to drive adoption of our tests to achieve sufficient volumes. Inasmuch as detailed genetic data from exome and whole genome sequencing has only recently become available at relatively affordable prices, the continued pace and degree of clinical acceptance of the utility of such testing is uncertain. Specifically, it is uncertain how much genetic data will be accepted as necessary or useful, as well as how detailed that data should be, particularly since medical practitioners may have become accustomed to genetic testing that is specific to one or a few genes and may not embrace the utility of exome sequencing and whole genome sequencing. Given the substantial amount of additional information available from a broad-based testing panel such as ours, there may be distrust as to the reliability of such information when compared with more limited and focused genetic tests. To generate further demand for our tests, we will need to continue to make clinicians aware of the benefits of our tests, including the price, the breadth of our testing options, and the benefits of having additional genetic data available from which to make treatment decisions. A lack of or delay in clinical acceptance of our exome sequencing and whole genome sequencing testing, or our legacy broad-based panels testing, would negatively impact sales and market acceptance of our tests and limit our revenue growth and potential profitability. Genetic testing is expensive, and many potential customers may be sensitive to pricing. In addition, potential customers may not adopt our tests if adequate reimbursement is not available, or if we are not able to maintain low prices relative to our competitors.</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If we are not able to generate demand for our tests at sufficient volume, or if it takes significantly more time to generate this demand than we anticipate, our business, prospects, financial condition and results of operations could be materially harmed.</w:t>
      </w:r>
    </w:p>
    <w:p>
      <w:pPr>
        <w:spacing w:after="0" w:line="11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laboratories become inoperable due to disasters, health epidemics or for any other reasons, we will be unable to perform tests and our business will be harmed.</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perform all of our exome sequencing and whole genome sequencing tests at our production facilities in Gaithersburg, Maryland. Our laboratories and the equipment we use to perform our tests would be costly to replace and could require substantial lead time to replace and qualify for use. Our laboratories may be harmed or rendered inoperable by natural or man-made disasters, including flooding, fire and power outages, or by health epidemics, which may render it difficult or impossible for us to perform our tests for some period of time. The inability to perform our tests or the backlog that could develop if our laboratories are inoperable for even a short period of time may result in the loss of customers or harm our reputation. Although we maintain insurance for damage to our property and the disruption of our business, this insurance may not be sufficient to cover all potential losses and may not continue to be available to us on acceptable terms, if at all.</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440"/>
          </w:cols>
          <w:pgMar w:left="900" w:top="298" w:right="90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Other companies or institutions may develop and market novel or improved technologies, which may make our technologies less competitive or obsolete.</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exome and genome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testing and screening products, including exome and whole genome sequencing products, health information services, and analytics, and data science services, and other diagnostic products. These competitors include:</w:t>
      </w:r>
    </w:p>
    <w:p>
      <w:pPr>
        <w:spacing w:after="0" w:line="153" w:lineRule="exact"/>
        <w:rPr>
          <w:sz w:val="20"/>
          <w:szCs w:val="20"/>
          <w:color w:val="auto"/>
        </w:rPr>
      </w:pPr>
    </w:p>
    <w:p>
      <w:pPr>
        <w:jc w:val="both"/>
        <w:ind w:left="720" w:hanging="360"/>
        <w:spacing w:after="0" w:line="26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academic and scientific institutions;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governmental agencies; and</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and private research organizations.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exome and whole genome sequencing,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spacing w:after="0" w:line="1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face intense competition. If we do not continue to innovate and provide products and services that are useful to customers, including providers and patients, and partners, we may not remain competitive, which could harm our business and operating results.</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than our Company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genetic testing and screening, health information and data science products and services. Our competitors may be able to innovate and provide products and services faster than we can or may foresee the need for products and services before we do.</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genetic testing and screening, health information and data science products and services, our operating results could be harmed.</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440"/>
          </w:cols>
          <w:pgMar w:left="900" w:top="298" w:right="90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ability to increase the number of billable tests and our revenue therefrom will depend on our success in achieving reimbursement for our tests from third-party payors. Reimbursement by a payor may depend on a number of factors, including a payor’s determination that a test is appropriate, medically necessary, cost-effective, correctly billed, and has received prior authorization. The commercial success of our current and future products, if approved, will depend on the extent to which our customers receive coverage and adequate reimbursement from third-party payors, including managed care organizations and government payors (e.g., Medicare and Medicaid).</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Since each payor makes its own decision as to whether to establish a policy or enter into a contract to cover our tests, as well as the amount it will reimburse for a test, seeking these approvals is a time-consuming and costly process. In addition, the determination by a payor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U.S., and the Centers for Medicare &amp; Medicaid Services (“CMS”).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 significant portion of the payments for our tests are paid or reimbursed under insurance programs with third-party payors. Billing and reimbursement for diagnostic tests is highly complex and closely scrutinized by payors. In particular, billing and reimbursement for multi-gene panel tests and other complex diagnostic tests continues to pose a particular risk of payor audit and potential overpayment obligations. Accurate billing requires sophisticated internal procedures and systems controls and ongoing oversight to ensure compliance with payor requirements.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Furthermore, 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In the past, we have been required to repay certain amounts to payors as a result of such audits. For more information regarding this matter, see Note 3, “</w:t>
      </w:r>
      <w:r>
        <w:rPr>
          <w:rFonts w:ascii="Times New Roman" w:cs="Times New Roman" w:eastAsia="Times New Roman" w:hAnsi="Times New Roman"/>
          <w:sz w:val="20"/>
          <w:szCs w:val="20"/>
          <w:b w:val="1"/>
          <w:bCs w:val="1"/>
          <w:i w:val="1"/>
          <w:iCs w:val="1"/>
          <w:color w:val="auto"/>
        </w:rPr>
        <w:t>Revenue Recognition</w:t>
      </w:r>
      <w:r>
        <w:rPr>
          <w:rFonts w:ascii="Times New Roman" w:cs="Times New Roman" w:eastAsia="Times New Roman" w:hAnsi="Times New Roman"/>
          <w:sz w:val="20"/>
          <w:szCs w:val="20"/>
          <w:color w:val="auto"/>
        </w:rPr>
        <w:t>” to our consolidated financial statements included within this Annual Report. In addition to potential repayment obligations, failure to comply with payor reimbursement policies could result in government enforcement actions and, potentially, exclusion from certain payor programs, which could have a material adverse effect on our business.</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3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use artificial intelligence in our business, and challenges with properly managing its use could result in reputational harm, competitive harm, and legal liability, and adversely affect our results of operations.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currently incorporate artificial intelligence (“AI”) solutions into our workflows and these applications may become important in our operations over time. Further, we are in the process of enhancing and broadening our offerings with AI technologies, and we are exploring potential third-party partnerships to help us offer more robust solutions for providers and patients. Our competitors or other third parties may incorporate AI into their products and offerings more quickly or more successfully than us, which could impair our ability to compete effectively and adversely affect our results of operations. Additionally, if the content, analyses, or recommendations that AI applications assist in producing are or are alleged to be inaccurate, deficient, or biased, our business, financial condition and results of operations may be adversely affected. The use of AI applications has resulted in, and may in the future result in, cybersecurity incidents that implicate the personal medical and genetic data of patients analyzed within</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440"/>
          </w:cols>
          <w:pgMar w:left="900" w:top="298" w:right="90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such applications. Any such cybersecurity incidents related to our use of AI applications to analyze personal data could adversely affect our reputation and results of operations. AI also presents emerging ethical issues and if our use of AI becomes controversial, we may experience brand or reputational harm, competitive harm, or legal liability. The rapid evolution of AI, including potential government regulation of AI and its various uses, may require significant resources to develop, test and maintain offerings, services, and features to help us implement AI ethically in order to minimize unintended, harmful impact.</w:t>
      </w:r>
    </w:p>
    <w:p>
      <w:pPr>
        <w:spacing w:after="0" w:line="13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have incurred net losses and negative cash flows from operations since our inception, with an accumulated deficit of $1.4 billion as of December 31, 2024.</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may seek to sell common or preferred equity or convertible debt securities, enter into credit facilities or other forms of third-party funding or debt financing, or dispose of assets or businesses. For example, we have an effective shelf registration statement that we filed with the SEC in August of 2022, registering $300 million of shares of our Class A common stock and other securities. As of December 31, 2024, approximately $102 million of securities remained available under this registration statement. Further, we have entered into a sales agreement (the “Sales Agreement”) with TD Securities (USA) LLC (“TD Cowen”) pursuant to which we may, but are not obligated to, offer and sell, from time to time, shares of our Class A common stock with an aggregate offering price up to $75.0 million through TD Cowen, as sales agent, subject to the terms and conditions described in the Sales Agreement and SEC rules and regulations (our “ATM offering”). As of December 31, 2024, approximately $26.8 million of capacity remained available under this ATM offering.</w:t>
      </w:r>
    </w:p>
    <w:p>
      <w:pPr>
        <w:spacing w:after="0" w:line="14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may also consider raising additional capital in the future to expand our business, to pursue strategic investments, to take advantage of financing opportunities or for other reasons, including to:</w:t>
      </w:r>
    </w:p>
    <w:p>
      <w:pPr>
        <w:spacing w:after="0" w:line="121" w:lineRule="exact"/>
        <w:rPr>
          <w:sz w:val="20"/>
          <w:szCs w:val="20"/>
          <w:color w:val="auto"/>
        </w:rPr>
      </w:pPr>
    </w:p>
    <w:p>
      <w:pPr>
        <w:ind w:left="720" w:hanging="36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our sales and marketing efforts to drive market adoption of our current and future products and services;</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fund development efforts for our current and future products and services;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 our products and services into other disease indications and clinical applications;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license or invest in technologies;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or invest in complementary businesses or assets; and</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finance capital expenditures and general and administrative expenses.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present and future funding requirements will depend on many factors, including:</w:t>
      </w:r>
    </w:p>
    <w:p>
      <w:pPr>
        <w:spacing w:after="0" w:line="190" w:lineRule="exact"/>
        <w:rPr>
          <w:sz w:val="20"/>
          <w:szCs w:val="20"/>
          <w:color w:val="auto"/>
        </w:rPr>
      </w:pPr>
    </w:p>
    <w:p>
      <w:pPr>
        <w:ind w:left="720" w:hanging="36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revenue growth;</w:t>
      </w:r>
    </w:p>
    <w:p>
      <w:pPr>
        <w:spacing w:after="0" w:line="30"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rate of progress in establishing payor coverage and reimbursement arrangements with commercial third-party payors and government payors;</w:t>
      </w:r>
    </w:p>
    <w:p>
      <w:pPr>
        <w:ind w:left="720" w:hanging="36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expanding our laboratory operations and offerings, including our sales and marketing efforts;</w:t>
      </w:r>
    </w:p>
    <w:p>
      <w:pPr>
        <w:spacing w:after="0" w:line="10"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rate of progress in, and cost of the sales and marketing activities associated with, establishing adoption of our services for biopharma partners;</w:t>
      </w:r>
    </w:p>
    <w:p>
      <w:pPr>
        <w:ind w:left="720" w:hanging="360"/>
        <w:spacing w:after="0" w:line="25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rate of progress in, and cost of research and development activities associated with, products and services in research and early development;</w:t>
      </w:r>
    </w:p>
    <w:p>
      <w:pPr>
        <w:ind w:left="720" w:hanging="36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competing technological, product and market developments;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related to international expansion; and</w:t>
      </w:r>
    </w:p>
    <w:p>
      <w:pPr>
        <w:spacing w:after="0" w:line="10" w:lineRule="exact"/>
        <w:rPr>
          <w:rFonts w:ascii="Times New Roman" w:cs="Times New Roman" w:eastAsia="Times New Roman" w:hAnsi="Times New Roman"/>
          <w:sz w:val="20"/>
          <w:szCs w:val="20"/>
          <w:color w:val="auto"/>
        </w:rPr>
      </w:pPr>
    </w:p>
    <w:p>
      <w:pPr>
        <w:ind w:left="720" w:hanging="360"/>
        <w:spacing w:after="0" w:line="26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cost of and delays in product development as a result of any regulatory oversight applicable to our products and services.</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Class A common stock.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credit agreement contains operating and financial restrictions that may limit our business and financing activities.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credit agreement with Perceptive Credit Holdings IV, LP (“Perceptive”) contains operating and financial restrictions that may limit our business and financing activities. In particular, our credit agreement includes customary affirmative and negative covenants and events of default, including negative covenants that restrict, among other things, our ability to incur indebtedness and liens, dispose of property and make investments. In addition, the credit agreement requires us to maintain aggregate</w:t>
      </w:r>
    </w:p>
    <w:p>
      <w:pPr>
        <w:sectPr>
          <w:pgSz w:w="12240" w:h="15840" w:orient="portrait"/>
          <w:cols w:equalWidth="0" w:num="1">
            <w:col w:w="10440"/>
          </w:cols>
          <w:pgMar w:left="900" w:top="298" w:right="900" w:bottom="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440"/>
          </w:cols>
          <w:pgMar w:left="900" w:top="298" w:right="90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unrestricted cash of not less than $5.0 million and minimum levels of quarterly core revenue through the third quarter of 2028. The operating and financial restrictions in the credit agreement, as well as any other financing arrangements that we may enter into, may limit our ability to finance our operations, or engage in, expand, or otherwise pursue our business activities and strategies. Our ability to comply with these or other covenants may be affected by events beyond our control, and future breaches of these or other covenants could result in a default under the credit agreement or any other financing arrangement. If not waived, future defaults could cause all of the outstanding indebtedness under our credit agreement or other financing arrangement to become immediately due and payable and terminate all commitments to extend further credit, if any. Furthermore, if we were unable to repay our credit agreement or other indebtedness then due and payable, secured lenders could proceed against the assets, if any, securing such indebtedness. A default would also likely significantly diminish the market price of our securities.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spacing w:after="0" w:line="12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Ethical, legal and social concerns related to the use of genomic medicine and health information analysis could reduce demand for our tests.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14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subject to Clinical Laboratory Improvement Amendments of 1988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College of American Pathologists (“CAP”), and other certifications to conduct our tests at our laboratory in Maryland. To renew these certifications, we are subject to survey and inspection on a regular basis and at the request of the certifying bodies. Moreover, CLIA inspectors may make random inspections of our clinical reference laboratory.</w:t>
      </w:r>
    </w:p>
    <w:p>
      <w:pPr>
        <w:spacing w:after="0" w:line="15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would also be required to maintain in-state licenses if we were to conduct testing in other states. Several states require the licensure of out-of-state laboratories that accept specimens from certain states.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to having a laboratory license in New York, our clinical reference laboratory is approved on test-specific bases for the tests it runs as laboratory-developed tests (“LDTs”), by the New York State Department of Health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U.S. Complying with licensure requirements in new jurisdictions may be expensive, time-consuming, and subject us to significant and unanticipated delays.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440"/>
          </w:cols>
          <w:pgMar w:left="900" w:top="298" w:right="90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U.S. require CAP accreditation as a condition to permitting clinical laboratories to test samples taken from their citizens. We have a CAP accreditations for our laboratory. Failure to maintain CAP accreditation could have a material adverse effect on the sales of our tests and the results of our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Model</w:t>
      </w:r>
    </w:p>
    <w:p>
      <w:pPr>
        <w:spacing w:after="0" w:line="18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geographies in which we operate. Further, we may be unable to obtain the necessary visas for foreign personnel to work in the U.S.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loss of any member or change in structure of our senior management team could adversely affect our business.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success depends in large part upon the skills, experience and performance of key members of our executive management team and others in key leadership positions. The efforts of these persons will be critical to us as we continue to develop our technologies and test processes and focus on scaling our business. If we were to lose one or more key executives,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In addition, we do not have long-term retention agreements in place with our executive officers.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manage our future growth effectively, which could make it difficult to execute our business strategy.</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w:t>
      </w:r>
    </w:p>
    <w:p>
      <w:pPr>
        <w:spacing w:after="0" w:line="14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International expansion of our business could expose us to business, regulatory, political, operational, financial and economic risks associated with doing business outside of the U.S.</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When cleared, authorized or approved, we and our collaborators may market, sell, and distribute our products and services outside of the U.S., and our business would be subject to risks associated with doing business outside of the U.S., including an increase in</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440"/>
          </w:cols>
          <w:pgMar w:left="900" w:top="298" w:right="90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our expenses and diversion of our management’s attention from the development of future products and services. Accordingly, our business and financial results in the future could be adversely affected due to a variety of factors, including:</w:t>
      </w:r>
    </w:p>
    <w:p>
      <w:pPr>
        <w:spacing w:after="0" w:line="121" w:lineRule="exact"/>
        <w:rPr>
          <w:sz w:val="20"/>
          <w:szCs w:val="20"/>
          <w:color w:val="auto"/>
        </w:rPr>
      </w:pPr>
    </w:p>
    <w:p>
      <w:pPr>
        <w:jc w:val="both"/>
        <w:ind w:left="720" w:hanging="360"/>
        <w:spacing w:after="0" w:line="257"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payor regimes and other governmental approvals, permits and licenses;</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us, our collaborators or our distributors to obtain regulatory clearance, authorization or approval for the use of our products and services in various countries;</w:t>
      </w:r>
    </w:p>
    <w:p>
      <w:pPr>
        <w:ind w:left="720" w:hanging="36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potentially relevant third-party patent rights;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complexities and difficulties in obtaining intellectual property protection and enforcing our intellectual property;</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staffing and managing foreign operations, including repatriating foreign earned profits;</w:t>
      </w:r>
    </w:p>
    <w:p>
      <w:pPr>
        <w:spacing w:after="0" w:line="10"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complexities associated with managing multiple payor reimbursement regimes, government payors or patient self-pay systems;</w:t>
      </w:r>
    </w:p>
    <w:p>
      <w:pPr>
        <w:ind w:left="720" w:hanging="36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negotiating favorable reimbursement negotiations with governmental authorities;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logistics and regulations associated with shipping samples, including infrastructure conditions and transportation delays;</w:t>
      </w:r>
    </w:p>
    <w:p>
      <w:pPr>
        <w:spacing w:after="0" w:line="10"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limits in our ability to penetrate international markets if we are not able to conduct our clinical diagnostic services locally;</w:t>
      </w:r>
    </w:p>
    <w:p>
      <w:pPr>
        <w:jc w:val="both"/>
        <w:ind w:left="720" w:hanging="360"/>
        <w:spacing w:after="0" w:line="25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international regulations and license requirements that may restrict foreign investment in and operation of the internet, IT infrastructure, data centers and other sectors, and international transfers of data;</w:t>
      </w:r>
    </w:p>
    <w:p>
      <w:pPr>
        <w:ind w:left="720" w:hanging="360"/>
        <w:spacing w:after="0" w:line="25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natural disasters, political and economic instability, including wars, terrorism and political unrest, and outbreak of disease;</w:t>
      </w:r>
    </w:p>
    <w:p>
      <w:pPr>
        <w:ind w:left="720" w:hanging="36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boycotts, curtailment of trade and other business restrictions; and</w:t>
      </w:r>
    </w:p>
    <w:p>
      <w:pPr>
        <w:spacing w:after="0" w:line="10" w:lineRule="exact"/>
        <w:rPr>
          <w:rFonts w:ascii="Times New Roman" w:cs="Times New Roman" w:eastAsia="Times New Roman" w:hAnsi="Times New Roman"/>
          <w:sz w:val="20"/>
          <w:szCs w:val="20"/>
          <w:color w:val="auto"/>
        </w:rPr>
      </w:pPr>
    </w:p>
    <w:p>
      <w:pPr>
        <w:jc w:val="both"/>
        <w:ind w:left="720" w:hanging="360"/>
        <w:spacing w:after="0" w:line="253"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and compliance risks that relate to maintaining accurate information and control over sales and distributors’ activities that may fall within the purview of the Foreign Corrupt Practices Act of 1977 (the “FCPA”), its books and records provisions, or its anti-bribery provisions, Canada’s Corruption of Foreign Public Officials Act, or laws similar to the FCPA in other jurisdictions in which we may in the future operate, such as the United Kingdom’s Bribery Act of 2010 and anti-bribery requirements of member states in the European Union (the “EU”).</w:t>
      </w:r>
    </w:p>
    <w:p>
      <w:pPr>
        <w:spacing w:after="0" w:line="1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Any of these factors could significantly harm our future international expansion and operations and, consequently, our revenue and results of operations.</w:t>
      </w:r>
    </w:p>
    <w:p>
      <w:pPr>
        <w:spacing w:after="0" w:line="11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Unfavorable U.S. or global economic conditions could adversely affect our business, financial condition or results of operations.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results of operations could be adversely affected by general conditions in the global economy and financial markets. A severe or prolonged economic downturn or increase in inflation and interest rates could result in a variety of risks to our business, including weakened demand for our products and services, increased costs and expenses and a reduced ability to raise additional capital when needed on favorable terms, if at all. A weak declining or inflationary economy could also strain our collaborators and suppliers, resulting in supply disruption, or cause delays in their payments to us. For example, we have experienced and may continue to experience interruptions in the supply of the diagnostic testing materials necessary for our testing products and material and shipping cost increases. We also have significant supply contracts that are short-term and, as we enter into the renewal cycles for these contracts, we may face material price increases upon renewal.</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particular, challenging macroeconomic conditions, including cost inflation, decreases in per capita income and levels of disposable income, increased and/or prolonged unemployment or a decline in consumer confidence, as well as limited or significantly reduced points of access of our tests, could have a material adverse effect on the demand for our tests. Under difficult economic conditions, consumers may seek to reduce discretionary spending by forgoing our tests. Decreased demand for our tests, could negatively affect our overall financial performance.</w:t>
      </w:r>
    </w:p>
    <w:p>
      <w:pPr>
        <w:spacing w:after="0" w:line="14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Any of the foregoing could harm our business and we cannot anticipate all of the ways in which the current economic climate and financial market conditions could adversely impact our business, financial condition, or results of operations.</w:t>
      </w:r>
    </w:p>
    <w:p>
      <w:pPr>
        <w:spacing w:after="0" w:line="11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440"/>
          </w:cols>
          <w:pgMar w:left="900" w:top="298" w:right="90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we face.</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currently rely upon third-party services for data storage and workflow management, including cloud storage solution providers, such as Microsoft Azure (“Azure”), Amazon Web Services (“AWS”), and Oracle Cloud Infrastructure (“OCI”). We rely on each of these providers to complete several vital workflows in our health information and data science service delivery. To varying degrees some of those services are proprietary to how each platform performs in connection with our current usage of the services.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Nearly all of our data storage and analytics are conducted on, and the data and content we generate on our platforms are processed through, servers hosted by these providers, particularly Azure, AWS and OCI.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Azure, AWS or OCI, and if such agreements are terminated, we may not be able to enter into similar relationships in the future on reasonable terms or at all.</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w:t>
      </w:r>
    </w:p>
    <w:p>
      <w:pPr>
        <w:sectPr>
          <w:pgSz w:w="12240" w:h="15840" w:orient="portrait"/>
          <w:cols w:equalWidth="0" w:num="1">
            <w:col w:w="10440"/>
          </w:cols>
          <w:pgMar w:left="900" w:top="298" w:right="900" w:bottom="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440"/>
          </w:cols>
          <w:pgMar w:left="900" w:top="298" w:right="90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current and future products and services may never achieve significant commercial market acceptance.</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success depends on the market’s confidence that we can provide data-driven research and diagnostic products and services that improve clinical outcomes, lower healthcare costs and enable better product development by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services in general.</w:t>
      </w:r>
    </w:p>
    <w:p>
      <w:pPr>
        <w:spacing w:after="0" w:line="1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and our collaborators may not succeed in achieving significant commercial market acceptance for our current or future products and services due to a number of factors, including:</w:t>
      </w:r>
    </w:p>
    <w:p>
      <w:pPr>
        <w:spacing w:after="0" w:line="121" w:lineRule="exact"/>
        <w:rPr>
          <w:sz w:val="20"/>
          <w:szCs w:val="20"/>
          <w:color w:val="auto"/>
        </w:rPr>
      </w:pPr>
    </w:p>
    <w:p>
      <w:pPr>
        <w:jc w:val="both"/>
        <w:ind w:left="720" w:hanging="360"/>
        <w:spacing w:after="0" w:line="257"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demonstrate the utility of our platforms and related products and services and their potential advantages over existing clinical AI technology, life sciences research, clinical diagnostic and drug discovery technologies to academic institutions, biopharma companies and the medical community;</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of adoption of our platforms and related products and services by academic institutions, clinicians, patients, key opinion leaders, advocacy groups and biopharma companies; and</w:t>
      </w:r>
    </w:p>
    <w:p>
      <w:pPr>
        <w:ind w:left="720" w:hanging="36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our investments in product and services, and technological innovation and commercial growth.</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Additionally, our customers and collaborators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projections are subject to significant risks, assumptions, estimates and uncertainties, including assumptions regarding the adoption of our products and services. As a result, our projected revenues, market share, expenses and profitability may differ materially from our expectations in any given fiscal quarter or year.</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customer or partner demands. This may result in decreased revenue, and we may be unable to adopt measures in a timely manner to compensate for any unexpected shortfall in revenue. This inability could cause our operating results in a given fiscal quarter or year to be higher or lower than expected. Any failure to achieve our projected operating results could harm the trading price of our securities and our financial position.</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440"/>
          </w:cols>
          <w:pgMar w:left="900" w:top="298" w:right="90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estimated the global market opportunity for our current and future products and services, and these markets may be smaller than we estimate.</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estimates of the global market opportunity for our current products and services and those under development are based on a number of internal and third-party estimates, including, the market opportunity for rare disease and pediatric developmental disorders, adult disorders and newborn screening.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pacing w:after="0" w:line="1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success will depend in part on our ability to effectively introduce enhanced or new offerings, with a focus on expanding the clinical utility and application of exome and whole genome sequencing and developing solutions our health information platform can provide to partners.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have relatively limited experience developing and commercializing products and services outside of the diagnostics business,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Class A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cannot provide assurance that we can successfully complete the development of any new or enhanced product, or that we can establish or maintain the collaborative relationships that may be essential to our collaborators’ goals, including clinical development or commercialization efforts. For example,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440"/>
          </w:cols>
          <w:pgMar w:left="900" w:top="298" w:right="90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Accessing, combining, curating, and analyzing health information, including longitudinal patient medical history data and genetic data, are core features of our heath information platform.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Our future success depends in part on our ability to maintain and grow our existing relationships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14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products and services do not perform as expected, we may not realize the expected benefits of such products and services.</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1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w:t>
      </w:r>
    </w:p>
    <w:p>
      <w:pPr>
        <w:sectPr>
          <w:pgSz w:w="12240" w:h="15840" w:orient="portrait"/>
          <w:cols w:equalWidth="0" w:num="1">
            <w:col w:w="10440"/>
          </w:cols>
          <w:pgMar w:left="900" w:top="298" w:right="900" w:bottom="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440"/>
          </w:cols>
          <w:pgMar w:left="900" w:top="298" w:right="90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substantial effort in areas such as integrations for testing workflow, electronic medical record,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w:t>
      </w:r>
    </w:p>
    <w:p>
      <w:pPr>
        <w:spacing w:after="0" w:line="14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11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operating results could be subject to significant fluctuation, which could increase the volatility of our stock and warrant prices and cause losses to our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operating results may fluctuate significantly, depending on a variety of factors, including the following:</w:t>
      </w:r>
    </w:p>
    <w:p>
      <w:pPr>
        <w:spacing w:after="0" w:line="190" w:lineRule="exact"/>
        <w:rPr>
          <w:sz w:val="20"/>
          <w:szCs w:val="20"/>
          <w:color w:val="auto"/>
        </w:rPr>
      </w:pPr>
    </w:p>
    <w:p>
      <w:pPr>
        <w:ind w:left="720" w:hanging="360"/>
        <w:spacing w:after="0" w:line="26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in marketing and selling, and changes in demand for, our tests, and the level of reimbursement and collection obtained for such tests;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in collecting payments from third-party payors, patients and collaborative partners, variation in the timing of these payments and recognition of these payments as revenues;</w:t>
      </w:r>
    </w:p>
    <w:p>
      <w:pPr>
        <w:ind w:left="720" w:hanging="36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pricing of our tests, including potential changes in CMS or other reimbursement rates;</w:t>
      </w:r>
    </w:p>
    <w:p>
      <w:pPr>
        <w:spacing w:after="0" w:line="10"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jc w:val="both"/>
        <w:ind w:left="720" w:hanging="36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amount and timing of our selling and marketing costs and our ability to manage costs and expenses and effectively implement our business;</w:t>
      </w:r>
    </w:p>
    <w:p>
      <w:pPr>
        <w:ind w:left="720" w:hanging="36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research and development activities; and</w:t>
      </w:r>
    </w:p>
    <w:p>
      <w:pPr>
        <w:spacing w:after="0" w:line="10" w:lineRule="exact"/>
        <w:rPr>
          <w:rFonts w:ascii="Times New Roman" w:cs="Times New Roman" w:eastAsia="Times New Roman" w:hAnsi="Times New Roman"/>
          <w:sz w:val="20"/>
          <w:szCs w:val="20"/>
          <w:color w:val="auto"/>
        </w:rPr>
      </w:pPr>
    </w:p>
    <w:p>
      <w:pPr>
        <w:ind w:left="720" w:hanging="360"/>
        <w:spacing w:after="0" w:line="260"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collect, use, and commercialize data in a changing regulatory environment at a time when the public is growing increasingly concerned about privacy.</w:t>
      </w:r>
    </w:p>
    <w:p>
      <w:pPr>
        <w:spacing w:after="0" w:line="13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revenue growth rate could decline over time, and it may experience downward pressure on our operating margins in the future.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may affect our operating margins.</w:t>
      </w:r>
    </w:p>
    <w:p>
      <w:pPr>
        <w:spacing w:after="0" w:line="15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Due to these factors and the evolving nature of our business, our historical revenue growth rate and historical gross operating margins may not be indicative of our future performance.</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440"/>
          </w:cols>
          <w:pgMar w:left="900" w:top="298" w:right="90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 carry forwards and certain other tax attributes may be limited.</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As of December 31, 2024, our total gross deferred tax assets were approximately $318 million. Future realization of the tax benefits of existing temporary differences and carryforwards ultimately depends on the existence of sufficient taxable income within the carryforward period. As of December 31, 2024 and December 31, 2023, the Company performed an evaluation to determine whether a valuation allowance was needed. Based on the Company’s analysis, which considered all available evidence, both positive and negative, the Company determined that it is more likely than not that a significant portion of its deferred tax assets will not be realized. Accordingly, the Company maintained a full valuation allowance as of December 31, 2024 and December 31, 2023.</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Furthermore, under Section 382 of the Internal Revenue Code of 1986, as amended (the “Internal Revenue Code”), if a corporation undergoes an “ownership change,” the corporation’s ability to use its pre-change net operating loss carryforwards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or the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Key Relationships</w:t>
      </w:r>
    </w:p>
    <w:p>
      <w:pPr>
        <w:spacing w:after="0" w:line="18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rely on commercial delivery services to transport samples to our facilities in a timely and cost-efficient manner and if these delivery services are disrupted, our business could be harmed.</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core business depends on our ability to quickly and reliably deliver test results to our customers. We typically receive blood and saliva samples for analysis at our laboratory facilities within days of collection from the patient. Disruptions and errors in these delivery service and accessioning errors and breaches, whether due to error by the delivery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Acquisitions and Other Strategic Transactions</w:t>
      </w:r>
    </w:p>
    <w:p>
      <w:pPr>
        <w:spacing w:after="0" w:line="1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may seek to grow our business through additional acquisitions of complementary products or technologies and we may from time to time dispose of or discontinue businesses or assets, and the failure to manage these acquisitions or dispositions, or the failure to integrate acquired businesses with our existing business, could have a material adverse effect on our business, financial condition and operating results.</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From time to time, we may consider additional opportunities to acquire other products or technologies that may enhance our product platform or technology, expand the breadth of our markets or customer base, or advance our business strategies. In addition, we exited both our reproductive and women's health testing business and our somatic tumor testing business, which involves the divestiture of these businesses, and we may consider disposing other assets or businesses in the future.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Potential acquisitions involve numerous risks, including:</w:t>
      </w:r>
    </w:p>
    <w:p>
      <w:pPr>
        <w:spacing w:after="0" w:line="190" w:lineRule="exact"/>
        <w:rPr>
          <w:sz w:val="20"/>
          <w:szCs w:val="20"/>
          <w:color w:val="auto"/>
        </w:rPr>
      </w:pPr>
    </w:p>
    <w:p>
      <w:pPr>
        <w:ind w:left="720" w:hanging="36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problems assimilating the acquired products or technologies;</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issues maintaining uniform standards, procedures, controls and policies;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costs associated with acquisitions;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management’s attention from our existing business;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entering new markets in which we have limited or no experience; and</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legal and accounting costs relating to the acquisitions or compliance with regulatory matters.</w:t>
      </w:r>
    </w:p>
    <w:p>
      <w:pPr>
        <w:spacing w:after="0" w:line="17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We do not know if we will be able to identify any other acquisitions we deem suitable, whether we will be able to successfully complete any acquisitions on favorable terms or at all, or whether we will be able to successfully integrate any acquired products</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440"/>
          </w:cols>
          <w:pgMar w:left="900" w:top="298" w:right="90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or technologies. Our potential inability to integrate any acquired products or technologies effectively may adversely affect our business, operating results and financial condition.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Dispositions may similarly involve </w:t>
      </w:r>
      <w:r>
        <w:rPr>
          <w:rFonts w:ascii="Times New Roman" w:cs="Times New Roman" w:eastAsia="Times New Roman" w:hAnsi="Times New Roman"/>
          <w:sz w:val="20"/>
          <w:szCs w:val="20"/>
          <w:color w:val="212529"/>
        </w:rPr>
        <w:t>risks associated with the potential disruption of our ongoing business and distraction of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12529"/>
        </w:rPr>
        <w:t xml:space="preserve">management team, and the anticipated benefits and cost savings of these transactions may not be realized fully, or at all, or take longer to realize than anticipated. In addition, dispositions </w:t>
      </w:r>
      <w:r>
        <w:rPr>
          <w:rFonts w:ascii="Times New Roman" w:cs="Times New Roman" w:eastAsia="Times New Roman" w:hAnsi="Times New Roman"/>
          <w:sz w:val="20"/>
          <w:szCs w:val="20"/>
          <w:color w:val="000000"/>
        </w:rPr>
        <w:t>may involve our continued financial involvement in a divested</w:t>
      </w:r>
      <w:r>
        <w:rPr>
          <w:rFonts w:ascii="Times New Roman" w:cs="Times New Roman" w:eastAsia="Times New Roman" w:hAnsi="Times New Roman"/>
          <w:sz w:val="20"/>
          <w:szCs w:val="20"/>
          <w:color w:val="212529"/>
        </w:rPr>
        <w:t xml:space="preserve"> </w:t>
      </w:r>
      <w:r>
        <w:rPr>
          <w:rFonts w:ascii="Times New Roman" w:cs="Times New Roman" w:eastAsia="Times New Roman" w:hAnsi="Times New Roman"/>
          <w:sz w:val="20"/>
          <w:szCs w:val="20"/>
          <w:color w:val="000000"/>
        </w:rPr>
        <w:t>business, such as through continuing equity ownership, transition service agreements, guarantees, indemnities or other current or contingent financial obligations. Under these arrangements, performance by the acquired or divested business, or other conditions outside our control, could affect our future financial results.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Legal, Regulatory and Compliance</w:t>
      </w:r>
    </w:p>
    <w:p>
      <w:pPr>
        <w:spacing w:after="0" w:line="18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increased compliance risks as a result of our rapid growth, including our dependence on our sales, marketing and billing efforts.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use hazardous materials in a manner that causes injury, we could be liable for resulting damages.</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4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Changes in FDA enforcement discretion for laboratory developed tests LDTs could subject our operations to much more significant regulatory requirements.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currently offer an LDT version of certain tests. Historically, the FDA has exercised a policy of enforcement discretion with respect to most LDTs, whereby the FDA did not actively enforce its medical device regulatory requirements for such tests. However, at various points in recent years, FDA has indicated that it intends to end enforcement discretion for many tests offered as LDTs, and to require such tests to comply with certain FDA regulatory requirements. Agency officials have previously expressed significant concerns regarding performance disparities between some LDTs and in vitro diagnostics that have been reviewed, cleared, authorized or approved by the FDA.</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Most recently, on April 29, 2024, the FDA published a final rule on LDTs, in which FDA outlines its plans to end enforcement discretion for many LDTs in five stages over a four-year period. In Phase 1 (effective May 6, 2025), clinical laboratories would be required to comply with medical device (adverse event) reporting, correction/removal reporting, and certain quality systems complaint handling requirements. In Phase 2 (effective May 6, 2026), clinical laboratories would be required to comply with all other device requirements (e.g., registration/listing, labeling, investigational use), except for remaining quality systems requirements and premarket review. In Phase 3 (effective May 6, 2027), clinical laboratories would be required to comply with all remaining applicable quality systems requirements. In Phase 4 (effective November 6, 2027), clinical laboratories would be</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440"/>
          </w:cols>
          <w:pgMar w:left="900" w:top="298" w:right="90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required to comply with premarket submission requirements for high-risk tests (i.e., tests subject to premarket approval (PMA) requirement). Finally, in Phase 5 (effective May 6, 2028), clinical laboratories would be required to comply with premarket submission requirements for moderate- and low-risk tests (i.e., tests subject to de novo or 510(k) requirement). The final rule potentially extends enforcement discretion for certain tests – e.g., LDTs approved by the New York State Department of Health, and LDTs first marketed prior to May 6, 2024 which are not modified or are modified in certain limited ways – from certain FDA regulatory requirements, provided certain important limitations have been met. We are actively reviewing the final rule to evaluate its applicability to our operations, and the extent to which we may be required to modify our operations to comply with its requirements.</w:t>
      </w:r>
    </w:p>
    <w:p>
      <w:pPr>
        <w:spacing w:after="0" w:line="15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Multiple lawsuits have been filed challenging the FDA’s authority to regulate LDTs as medical devices under the Federal Food, Drug, and Cosmetic Act. The outcome of these lawsuits is uncertain at this time.</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If the FDA were to determine that certain tests offered by us as LDTs are no longer eligible for enforcement discretion for any reason, including new rules, policies or guidance, or due to changes in statute, our tests may become subject to extensive FDA requirements or our business may otherwise be adversely affected. If the FDA were to actively regulate our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de novo submission or approval of a premarket approval application. Furthermore, pending legislative proposals, if enacted,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may limit our indication in a way that is not commercially desirable, or refuse to provide such authorization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4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In particular, the clinical laboratory and healthcare industry is subject to significant governmental certification and licensing regulations, as well as federal, state and foreign laws regarding:</w:t>
      </w:r>
    </w:p>
    <w:p>
      <w:pPr>
        <w:spacing w:after="0" w:line="121" w:lineRule="exact"/>
        <w:rPr>
          <w:sz w:val="20"/>
          <w:szCs w:val="20"/>
          <w:color w:val="auto"/>
        </w:rPr>
      </w:pPr>
    </w:p>
    <w:p>
      <w:pPr>
        <w:ind w:left="720" w:hanging="36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 ordering and billing practices;</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marketing, sales and pricing practices;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health information privacy and security, including HIPAA and comparable state laws;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insurance;</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anti-markup legislation;</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fraud and abuse; and</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protection.</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also required to comply with applicable FDA regulations, including with respect to our labeling and promotion activities. In addition, advertising and marketing of our clinical products are subject to regulation by the Federal Trade Commission (the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or products and services and our expansion outside of the U.S. may increase the potential of violating these laws, regulations or our internal policies and procedures.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440"/>
          </w:cols>
          <w:pgMar w:left="900" w:top="298" w:right="90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cannot predict what additional changes, if any, will be proposed or adopted or the effect that such proposals or adoption may have on our business, financial condition and results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Compliance with the HIPAA security, privacy and breach notification regulations may increase our costs.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HIPAA privacy, security and breach notification regulations, which include requirements implemented under the HITECH Act, establish federal standards with respect to the uses and disclosures of protected health information (“PHI”), by health plans, healthcare providers and healthcare clearinghouses. The HIPAA regulations generally prohibit the use and disclosure of PHI without patient authorization, unless the use or disclosure is for payment, treatment or healthcare operations purposes. In setting standards to protect the confidentiality, integrity and security of PHI, the regulations establish a regulatory framework that addresses a variety of subjects, including:</w:t>
      </w:r>
    </w:p>
    <w:p>
      <w:pPr>
        <w:spacing w:after="0" w:line="148" w:lineRule="exact"/>
        <w:rPr>
          <w:sz w:val="20"/>
          <w:szCs w:val="20"/>
          <w:color w:val="auto"/>
        </w:rPr>
      </w:pPr>
    </w:p>
    <w:p>
      <w:pPr>
        <w:jc w:val="both"/>
        <w:ind w:left="720" w:hanging="360"/>
        <w:spacing w:after="0" w:line="257"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circumstances under which uses and disclosures of PHI are permitted or required without a written authorization from the patient, including but not limited to treatment purposes, activities to obtain payments for our services, and our healthcare operations activities;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patient’s rights to access, amend and receive an accounting of certain disclosures of PHI;</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requirements to notify individuals if there is a breach of their PHI;</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contents of notices of privacy practices related to the use and disclosure of PHI;</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administrative, technical and physical safeguards required of entities that use or receive PHI;</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criteria related to the deidentification and aggregation of PHI; and</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and protection of electronic PHI.</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also required to comply with applicable state privacy, security and breach notification laws and regulations, which may be more stringent than federal HIPAA requirements. In addition, for healthcare data transfers from other countries relating to citizens and/or residents of those countries, we are also required to comply with the laws of those countries. Furthermore, on December 1, 2022, the U.S. Department of Health and Human Services, Office for Civil Rights (“OCR”) issued a Bulletin highlighting the obligations of HIPAA covered entities and business associates with respect to the use of online tracking technologies. OCR updated this Bulletin on March 18, 2024. To the extent that a covered entity or business associate permits a tracking technology vendor to collect PHI of its customers, the parties must enter into a business associate agreement. In addition, the PHI collected may only be used for treatment or health care operation purposes, in accordance with HIPAA. The PHI cannot be used for marketing purposes that are not connected with treatment or health care operations absent a HIPAA compliant authorization from each customer whose information is being shared.</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Although HIPAA does not provide for private rights of action, HIPAA gives OCR and the Department of Justice the authority to assess significant fines and other penalties for wrongful use or disclosure of PHI, including potential civil and criminal fines and penalties. OCR may require an entity to enter into a settlement agreement which may include ongoing oversight and auditing of a company’s HIPAA compliance program.</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Despite such protections, unauthorized persons may also be able to gain access to PHI stored in such third parties’ computer networks. Any wrongful use or disclosure of PHI by us or such third-parties, including disclosure due to data theft or unauthorized access to us or such third-parties’ computer networks, could subject us to fines or penalties that could adversely affect our business and results of operations. In addition, we distribute PHI to patients in physical form (e.g., test materials and/or test results), which introduces additional risk that human error will result in unauthorized disclosures of PHI. Although HIPAA does not expressly provide for a private right of action for damages, we could also be liable for damages under state privacy laws to private parties for the wrongful use or disclosure of confidential health information or other private personal information.</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have implemented practices intended to meet the requirements of the HIPAA privacy, security and breach notification regulations, as required by law, but cannot guarantee that such practices fully satisfy all applicable requirements under HIPAA. In addition, the Company has experienced a number of “security incidents” (as defined under HIPAA) that involved the unauthorized disclosure of PHI. A subset of these incidents was determined to be reportable breaches requiring disclosure to</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440"/>
          </w:cols>
          <w:pgMar w:left="900" w:top="298" w:right="90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OCR, as well as to the affected patients. Moreover, we cannot confirm that we have identified all previous incidents that could constitute reportable breaches, or that the mitigation steps undertaken in response to known breaches are adequate to satisfy applicable regulatory requirements and prevent any future unauthorized disclosures.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noted above, in addition to HIPAA, we are subject to myriad federal, state, and local requirements pertaining to the collection, retention, and disclosure of genetic material. While we endeavor to remain current with such requirements, we can provide no assurance that we are, or will remain, in compliance with all applicable requirements. Failure to comply with privacy and data security requirements could result in a variety of consequences, including significant fines and penalties as well as damage to our reputation, any of which could have a material adverse effect on our business.</w:t>
      </w:r>
    </w:p>
    <w:p>
      <w:pPr>
        <w:spacing w:after="0" w:line="13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Some of our activities may subject the Company to risks under federal and state laws prohibiting ‘kickbacks’ and false or fraudulent claims.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among others, a federal law commonly known as the federal Anti-Kickback Statute, the federal False Claims Act, the federal physician self-referral law, known as the Stark Law, and corollary state laws. These laws constrain, among other things, the sales, marketing and other promotional activities of manufacturers of medical devices and providers of laboratory services by limiting the kinds of financial arrangements, including sales programs, free goods and services, consulting arrangements, speaker programs, compensated service arrangements (including specimen collection and processing), and other non-monetary compensation (e.g., meals, gifts and other business courtesies), that may be used with hospitals, healthcare providers, laboratories and other potential purchasers or prescribers of medical devices and laboratory services. The federal and state fraud and abuse laws prescribe civil and, in some cases, criminal penalties (including fines) for noncompliance that can be substantial. In addition, various states have enacted false claim laws analogous to the federal laws that apply where a claim is submitted to any third-party payor and not only a governmental payor program. Moreover, any claim for reimbursement that is predicated on a violation of the Anti-Kickback Statute may constitute a “false claim” under the False Claims Act (discussed in further detail below).</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2018, Congress passed the Eliminating Kickbacks in Recovery Act (“EKRA”), as part of the Substance Use-Disorder Prevention that Promotes Opioid Recovery and Treatment for Patients and Communities Act. Similar to the Anti-Kickback Statute,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Anti-Kickback Statute,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Anti-Kickback Statute, includes certain exceptions that are widely relied upon in the healthcare industry, including safe harbors applicable to certain employees and personal service contracts, and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two courts have addressed the application of EKRA and those courts reached opposite conclusions. One Court ruled that the commission-based compensation provisions of a laboratory employee’s contract did not violate EKRA while the other court expressly disagreed. Given the conflicting opinions, we cannot be assured that courts in our jurisdiction will reach the same conclusion or that the decision will not be overturned if there is an appeal. We cannot assure you that our relationships with healthcare providers, hospitals, customers, our own sales representatives, or any other party will not be subject to scrutiny or will survive regulatory challenge under EKRA or other anti-kickback laws.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False Claims Act prohibits, among other things, knowingly presenting (or causing the presentation of) a false claim for payment to the federal government. Violation of the False Claims Act can result in substantial penalties, including treble damages. Moreover, the False Claims Act permits enforcement by qui tam relators (i.e., whistleblowers), such as competitors, customers, or current/former employees, who will receive a portion of any settlement. As discussed above, violations of the Anti-Kickback statute can serve as the basis for enforcement under the False Claims Act. In addition, inaccurate or otherwise improper claims for reimbursement could constitute a false claim, meaning that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(“CERT”),</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440"/>
          </w:cols>
          <w:pgMar w:left="900" w:top="298" w:right="90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program, and payments may be recouped by CMS if it is determined that they were improperly made. Currently, a small percentage of our revenues are generated by payments from Medicare.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In addition, while we have and will continue to enter into certain financial arrangements with referral sources, and we endeavor to ensure that such arrangements are designed to comply with applicable rules, laws and regulations, we can offer no assurance that such arrangements will not result in regulatory or enforcement scrutiny.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440"/>
          </w:cols>
          <w:pgMar w:left="900" w:top="298" w:right="90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1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Our operations are subject to other extensive federal, state, local and foreign laws and regulations, all of which are subject to change. These laws and regulations currently include, among others:</w:t>
      </w:r>
    </w:p>
    <w:p>
      <w:pPr>
        <w:spacing w:after="0" w:line="121" w:lineRule="exact"/>
        <w:rPr>
          <w:sz w:val="20"/>
          <w:szCs w:val="20"/>
          <w:color w:val="auto"/>
        </w:rPr>
      </w:pPr>
    </w:p>
    <w:p>
      <w:pPr>
        <w:ind w:left="720" w:hanging="360"/>
        <w:spacing w:after="0" w:line="26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HIPAA, which establishes comprehensive federal standards with respect to the privacy and security of protected health information and requirements for the use of certain standardized electronic transactions;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Data Protection Regulation (“GDPR”) and UK Data Protection Act 2018 (“UK GDPR”), which imposes strict privacy and security requirements on controllers and processors of European and UK personal data, including enhanced protections for “special categories” of personal data, including sensitive information such as health and genetic information of data subjects;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CCPA , and similar consumer privacy laws in Colorado, Connecticut, Utah, and Virginia, which, among other things, regulate how subject businesses may collect, use, disclose and/or sell the personal information of consumers who reside in each state, affords rights to consumers that they may exercise against businesses that collect their information, and requires implementation of reasonable security measures to safeguard personal information of consumers;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63" w:lineRule="auto"/>
        <w:tabs>
          <w:tab w:leader="none" w:pos="7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laws governing genetic counseling services, relating to, among other things, the adequacy of health care, the practice of medicine and other health professions (including the provision of remote care and cross-coverage practice), equipment, personnel, operating policies and procedures and the prerequisites for ordering laboratory tests. Some states have enacted regulations specific to providing services to patients via telehealth. Such regulations include, among other things, informed consent requirements that some states require providers to obtain from their patients before providing telehealth services. Health professionals who provide professional services using telehealth modalities must, in most instances, hold a valid license to practice the applicable health profession in the state in which the patient is located. In addition, certain states require a healthcare professional providing telehealth to be physically located in the same state as the patient. Any failure to comply with these laws and regulations could result in civil or criminal penalties against telehealth providers;</w:t>
      </w:r>
    </w:p>
    <w:p>
      <w:pPr>
        <w:spacing w:after="0" w:line="5" w:lineRule="exact"/>
        <w:rPr>
          <w:rFonts w:ascii="Times New Roman" w:cs="Times New Roman" w:eastAsia="Times New Roman" w:hAnsi="Times New Roman"/>
          <w:sz w:val="19"/>
          <w:szCs w:val="19"/>
          <w:color w:val="auto"/>
        </w:rPr>
      </w:pPr>
    </w:p>
    <w:p>
      <w:pPr>
        <w:jc w:val="both"/>
        <w:ind w:left="720" w:hanging="36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and human subjects research regulations, including but not limited to the federal Policy for Protection of Human Subjects (45 C.F.R. Part 46), the FDCA and its applicable implementing regulations at 21 C.F.R. Parts 11, 50, 54, 56, 58 and 812, and all equivalent legal requirements in other jurisdictions;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item or service for which payment may be made, in whole or in part, under a federal healthcare program;</w:t>
      </w:r>
    </w:p>
    <w:p>
      <w:pPr>
        <w:spacing w:after="0" w:line="2"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EKRA, which prohibits payments for referrals to recovery homes, clinical treatment facilities, and laboratories and reaches beyond federal health care programs, to include private insurance;</w:t>
      </w:r>
    </w:p>
    <w:p>
      <w:pPr>
        <w:jc w:val="both"/>
        <w:ind w:left="720" w:hanging="36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False Claims Act, which imposes liability on any person or entity that, among other things, knowingly presents, or causes to be presented, a false or fraudulent claim for payment to the federal government;</w:t>
      </w:r>
    </w:p>
    <w:p>
      <w:pPr>
        <w:jc w:val="both"/>
        <w:ind w:left="720" w:hanging="36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payor, including private insurers;</w:t>
      </w:r>
    </w:p>
    <w:p>
      <w:pPr>
        <w:spacing w:after="0" w:line="1" w:lineRule="exact"/>
        <w:rPr>
          <w:rFonts w:ascii="Times New Roman" w:cs="Times New Roman" w:eastAsia="Times New Roman" w:hAnsi="Times New Roman"/>
          <w:sz w:val="20"/>
          <w:szCs w:val="20"/>
          <w:color w:val="auto"/>
        </w:rPr>
      </w:pPr>
    </w:p>
    <w:p>
      <w:pPr>
        <w:ind w:left="720" w:hanging="360"/>
        <w:spacing w:after="0" w:line="260"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21st Century Cures Act information blocking prohibition, which prohibits covered actors from engaging in certain practices that are likely to interfere with the access, exchange, or use of electronic health information;</w:t>
      </w:r>
    </w:p>
    <w:p>
      <w:pPr>
        <w:sectPr>
          <w:pgSz w:w="12240" w:h="15840" w:orient="portrait"/>
          <w:cols w:equalWidth="0" w:num="1">
            <w:col w:w="10440"/>
          </w:cols>
          <w:pgMar w:left="900" w:top="298" w:right="900" w:bottom="0"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440"/>
          </w:cols>
          <w:pgMar w:left="900" w:top="298" w:right="90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ind w:left="720" w:hanging="360"/>
        <w:spacing w:after="0" w:line="253"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of medicine, osteopathy, dentists, optometrists, podiatrists and chiropractors), physician assistants, nurse practitioners, clinical nurse specialists, certified registered nurse anesthetists, anesthesiologist assistants, certified nurse midwives and teaching hospitals as well as ownership and investment interests held by physicians and their immediate family members;</w:t>
      </w:r>
    </w:p>
    <w:p>
      <w:pPr>
        <w:spacing w:after="0" w:line="5"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laws that limit or prohibit the provision of certain payments and other transfers of value to certain covered healthcare providers;</w:t>
      </w:r>
    </w:p>
    <w:p>
      <w:pPr>
        <w:ind w:left="720" w:hanging="360"/>
        <w:spacing w:after="0" w:line="250"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prohibition on reassignment of Medicare claims, which, subject to certain exceptions, precludes the reassignment of Medicare claims to any other party;</w:t>
      </w:r>
    </w:p>
    <w:p>
      <w:pPr>
        <w:jc w:val="both"/>
        <w:ind w:left="720" w:hanging="360"/>
        <w:spacing w:after="0" w:line="250"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payors;</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similar foreign laws and regulations that may apply to us in the countries in which we operate or may operate in the future; and</w:t>
      </w:r>
    </w:p>
    <w:p>
      <w:pPr>
        <w:ind w:left="720" w:hanging="360"/>
        <w:spacing w:after="0" w:line="260"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that relate to maintaining accurate information and control over activities that may fall within the purview of the U.S. Foreign Corrupt Practices Act, its books and records provisions, or anti-bribery provisions.</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adopted policies and procedures designed to comply with these laws and regulations. While the Company continues to develop and improve its compliance program, we acknowledge that further development will be necessary to help mitigate enforcement risk. Our compliance may also be subject to governmental review and, in the event of a violation of certain legal requirements, any deficiencies in our policies, procedures, and controls may subject us to increased sanctions that could materially affect our business.</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Furthermore, the U.S. Supreme Court recently reversed its longstanding approach under the Chevron doctrine, which provided for judicial deference to regulatory agencies.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the U.S. Supreme Court’s decision could significantly impact healthcare, privacy, AI and anti-corruption practices and other regulatory regimes with which we are required to comply. Any such regulatory developments could result in uncertainty about and changes in the ways such regulations apply to us, and may require additional resources to ensure our continued compliance.</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the growth of our business and our expansion outside of the U.S.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face uncertainty related to healthcare reform, pricing, coverage and reimbursement, which could reduce our revenue.</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Healthcare reform laws, including the Patient Protection and Affordable Care Act (“ACA,”) and the Protecting Access to Medicare Act of 2014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if the plaintiffs in any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440"/>
          </w:cols>
          <w:pgMar w:left="900" w:top="298" w:right="90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U.S. healthcare industry may result in decreased profits to us, which may adversely affect our business, financial condition and results of operations.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unless delayed by an act of Congress,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payor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payors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3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Product and professional liability suits against us could result in expensive and time-consuming litigation, payment of substantial damages and increases in our insurance rates.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Errors, defects, or mistakes in our products or services, and operations could harm our reputation, decrease market acceptance of our products or services.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higher-than-expected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440"/>
          </w:cols>
          <w:pgMar w:left="900" w:top="298" w:right="90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increasingly complex taxation rules and practices, which may affect how we conduct our business and our results of operations.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inability to effectively protect our proprietary products, processes, and technologies, could harm our competitive position.</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currently rely upon trade secret protection and copyright, as well as non-disclosure agreements and confidentiality and intellectual property ownership provisions in agreements with our consultants, collaborators, vendors and other third parties, confidentiality and proprietary rights agreements, including invention assignment provisions, with our employees, and, to a limited extent, patent protection, to protect our confidential and proprietary information. As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we deem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rejected during examination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It would be expensive, if we initiate lawsuits to protect or enforce our patents or trade secrets, or defend against third-party IP claims, and if we lose, we may lose some of our intellectual property rights. Furthermore, these lawsuits may divert the attention of our management and technical personnel.</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expect to continue relying substantially upon trade secrets and proprietary know-how protection for our confidential and proprietary information, and we have taken security measures to maintain such protection for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become known.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Any inability to effectively protect our proprietary technologies under certain jurisdictions and legal regimes could harm our competitive position.</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success and ability to compete in certain jurisdictions and under certain legal regimes depend to a large extent on our ability to develop proprietary products and technologies and to maintain adequate protection of our intellectual property in the U.S. and other countries; this becomes increasingly important as we expand our operations and enter into strategic collaborations with partners to develop and commercialize products outside of the U.S. The laws of some foreign countries do not protect proprietary</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440"/>
          </w:cols>
          <w:pgMar w:left="900" w:top="298" w:right="90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rights to the same extent as the laws of the U.S., and we may encounter difficulties in establishing and enforcing its proprietary rights in some jurisdictions.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issues arising under patents and patent applications owned or controlled by our collaborators and licensors.</w:t>
      </w:r>
    </w:p>
    <w:p>
      <w:pPr>
        <w:spacing w:after="0" w:line="14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Any of these factors could adversely affect our ability to obtain commercially relevant or competitively advantageous patent protection for our products.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patent regulations or standards are modified, such changes could have a negative impact on our business.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From time to time, the U.S. Supreme Court, other federal courts, the U.S. Congress or the U.S. Patent &amp; Trademark Office (“USPTO”) may change the standards of patentability and validity of patents within the screening and diagnostics space, and any such changes could have a negative impact on our business.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There have been several cases involving “gene patents” and diagnostic claims that have been considered by the U.S. Supreme Court. In March 2012, the Supreme Court </w:t>
      </w:r>
      <w:r>
        <w:rPr>
          <w:rFonts w:ascii="Times New Roman" w:cs="Times New Roman" w:eastAsia="Times New Roman" w:hAnsi="Times New Roman"/>
          <w:sz w:val="20"/>
          <w:szCs w:val="20"/>
          <w:b w:val="1"/>
          <w:bCs w:val="1"/>
          <w:i w:val="1"/>
          <w:iCs w:val="1"/>
          <w:color w:val="auto"/>
        </w:rPr>
        <w:t>in Mayo Collaborative Services v. Prometheus Laboratories, Inc,</w:t>
      </w:r>
      <w:r>
        <w:rPr>
          <w:rFonts w:ascii="Times New Roman" w:cs="Times New Roman" w:eastAsia="Times New Roman" w:hAnsi="Times New Roman"/>
          <w:sz w:val="20"/>
          <w:szCs w:val="20"/>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Times New Roman" w:cs="Times New Roman" w:eastAsia="Times New Roman" w:hAnsi="Times New Roman"/>
          <w:sz w:val="20"/>
          <w:szCs w:val="20"/>
          <w:b w:val="1"/>
          <w:bCs w:val="1"/>
          <w:i w:val="1"/>
          <w:iCs w:val="1"/>
          <w:color w:val="auto"/>
        </w:rPr>
        <w:t>ACLU v. Myriad Genetics, Inc,</w:t>
      </w:r>
      <w:r>
        <w:rPr>
          <w:rFonts w:ascii="Times New Roman" w:cs="Times New Roman" w:eastAsia="Times New Roman" w:hAnsi="Times New Roman"/>
          <w:sz w:val="20"/>
          <w:szCs w:val="20"/>
          <w:color w:val="auto"/>
        </w:rPr>
        <w:t xml:space="preserve"> that an isolated genomic DNA sequence is not patent eligible, but complementary DNA, or “cDNA,” is eligible. The </w:t>
      </w:r>
      <w:r>
        <w:rPr>
          <w:rFonts w:ascii="Times New Roman" w:cs="Times New Roman" w:eastAsia="Times New Roman" w:hAnsi="Times New Roman"/>
          <w:sz w:val="20"/>
          <w:szCs w:val="20"/>
          <w:b w:val="1"/>
          <w:bCs w:val="1"/>
          <w:i w:val="1"/>
          <w:iCs w:val="1"/>
          <w:color w:val="auto"/>
        </w:rPr>
        <w:t>Prometheus and Myriad</w:t>
      </w:r>
      <w:r>
        <w:rPr>
          <w:rFonts w:ascii="Times New Roman" w:cs="Times New Roman" w:eastAsia="Times New Roman" w:hAnsi="Times New Roman"/>
          <w:sz w:val="20"/>
          <w:szCs w:val="20"/>
          <w:color w:val="auto"/>
        </w:rPr>
        <w:t xml:space="preserve"> decisions, as well as subsequent case law, affect the legal concept of subject matter eligibility by seemingly narrowing the scope of the statute defining patentable inventions.</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Times New Roman" w:cs="Times New Roman" w:eastAsia="Times New Roman" w:hAnsi="Times New Roman"/>
          <w:sz w:val="20"/>
          <w:szCs w:val="20"/>
          <w:b w:val="1"/>
          <w:bCs w:val="1"/>
          <w:i w:val="1"/>
          <w:iCs w:val="1"/>
          <w:color w:val="auto"/>
        </w:rPr>
        <w:t>Mayo, Association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Molecular Pathology v. Myriad Genetics, Inc.</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i w:val="1"/>
          <w:iCs w:val="1"/>
          <w:color w:val="auto"/>
        </w:rPr>
        <w:t xml:space="preserve"> Alice Corporation Pty. Ltd. v. CLS Bank International</w:t>
      </w:r>
      <w:r>
        <w:rPr>
          <w:rFonts w:ascii="Times New Roman" w:cs="Times New Roman" w:eastAsia="Times New Roman" w:hAnsi="Times New Roman"/>
          <w:sz w:val="20"/>
          <w:szCs w:val="20"/>
          <w:color w:val="auto"/>
        </w:rPr>
        <w:t>, and others.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guidance indicates that claims directed to a law of nature, a natural phenomenon, or an 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Additional substantive changes to patent law, whether new or associated with the America Invents Act which substantially revised the U.S. patent system,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13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adequately protect our trade secrets and other proprietary information, including the databases we manage and to which we have access, the value of our technology and products could be significantly diminished.</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non-disclosure agreements and our employees to enter into confidentiality and proprietary rights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1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w:t>
      </w:r>
    </w:p>
    <w:p>
      <w:pPr>
        <w:sectPr>
          <w:pgSz w:w="12240" w:h="15840" w:orient="portrait"/>
          <w:cols w:equalWidth="0" w:num="1">
            <w:col w:w="10440"/>
          </w:cols>
          <w:pgMar w:left="900" w:top="298" w:right="900" w:bottom="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440"/>
          </w:cols>
          <w:pgMar w:left="900" w:top="298" w:right="90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pending trademark applications in the U.S.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Because the USPTO maintains patent applications in secrecy until a patent application publishes or the patent is issued, we have no way of knowing if others may have filed patent applications covering technologies used by it or our partners. Additionally, there may be third-party patents, and other intellectual property rights relevant to our technologies that may block us from commercializing our technologies. From time-to-time, we have received correspondence from third parties alleging to hold intellectual property rights that could block our development or commercialization of products. While none of these inquiries to date have had any material effect on us,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we would prevail in any such suits to the extent necessary to conduct our business according to our strategic plan or that the damages or other remedies, if any, awarded against us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3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use of open-source software could subject our business to possible litigation or cause us to subject our platform to unwanted open-source license conditions that could negatively impact our sales.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440"/>
          </w:cols>
          <w:pgMar w:left="900" w:top="298" w:right="90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spacing w:after="0" w:line="13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rely on strategic collaborative and licensing arrangements with third parties to develop intellectual property. We may not be able to successfully establish and maintain such intellectual property.</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Cybersecurity, Privacy and Information Technology</w:t>
      </w:r>
    </w:p>
    <w:p>
      <w:pPr>
        <w:spacing w:after="0" w:line="18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1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Security breaches, privacy issues, loss of data and other incidents could continue to compromise sensitive, protected, or personal information related to our business, could prevent it from accessing critical information, and could expose it to regulatory liability, which could adversely affect our business.</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the ordinary course of our business, our collection and storing of PHI also includes more sensitive data, such as genetic information, as well as personally identifiable information, genetic information, credit card information, financial information, intellectual property and proprietary business information owned or controlled by us or our customers, payors and other parties. We manage and maintain our applications and data utilizing a combination of on-site systems, managed data center systems and cloud-based systems. We also communicate PHI and other sensitive patient data through our various customer tools and platforms, and in physical form.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continue to face a number of risks relative to protecting this critical information, including loss of access risk, inappropriate disclosure, inappropriate modification, and the risk</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440"/>
          </w:cols>
          <w:pgMar w:left="900" w:top="298" w:right="90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lost or stolen technology, or other disruptions. Any such breach or interruption could compromise our networks and the information stored therein could be accessed by unauthorized parties, altered, publicly disclosed, lost or stolen.</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payors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For example, as noted above, pursuant to guidance recently issued by OCR, HIPAA covered entities and business associates who permit tracking technology vendors to collect PHI from their patients must enter into a HIPAA compliant business associate agreement with that vendor or obtain advance consent. We have utilized, and may continue to utilize, tracking technologies on one or more of our websites, and may not be able to do so in a manner that is consistent with what HIPAA requires. Should we actually violate, or be perceived to have violated, any privacy promises our business makes to patients or consumers, we could be subject to a complaint from an affected individual or interested privacy regulator, such as OCR, the FTC, a state Attorney General, an EU Member State Data Protection Authority, or a data protection authority in another international jurisdiction. This risk is heightened given the sensitivity of the data we collect.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UDAP, statutes may also vary significantly.</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There has been unprecedented activity in the development of data protection regulation around the world. As a result, the interpretation and application of consumer, health-related and data protection laws in the U.S., Europe and elsewhere are often uncertain, contradictory and in flux.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440"/>
          </w:cols>
          <w:pgMar w:left="900" w:top="298" w:right="90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(“CPRA,”) that went into effect on January 1, 2023. The CPRA among other things, amends the CCPA to give California residents the ability to limit the use of their sensitive information provides for penalties for CPRA violations concerning California residents under the age of 16, and establishes a new California Privacy Protection Agency to implement and enforce the law. Other jurisdictions in the U.S. are beginning to propose and enact laws similar to the CCPA.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It is possible the GDPR, CCPA and other emerging U.S.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In the U.S., the SEC has adopted rules for mandatory disclosure of cybersecurity incidents suffered by public companies, as well as cybersecurity governance and risk management. Complying with these various laws and regulations could cause us to incur substantial costs or require it to change our business practices and compliance procedures in a manner adverse to our business. Any failure or perceived failure by us to comply with these laws may also subject us to enforcement action or litigation, any of which could harm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products and services involve the storage and transmission of protected health information and other personal information,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440"/>
          </w:cols>
          <w:pgMar w:left="900" w:top="298" w:right="90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3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depend on our scientific computing and information technology and management systems and any failure of these systems could harm our business.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depend on scientific computing and information technology and management systems, including third-party cloud computing infrastructure, operating systems and AI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installed, and expect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payors,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1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transfer data stored outside of the U.S. could be limited by international regulations or other action by foreign governments, which could adversely affect our business.</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Some of the data we process in the ordinary course of our business may be stored outside of the U.S.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Being a Public Company</w:t>
      </w:r>
    </w:p>
    <w:p>
      <w:pPr>
        <w:spacing w:after="0" w:line="18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incur significant costs and demands on management as a result of compliance with laws and regulations applicable to public companies, which could harm our operating results.</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As a public company, we incur significant legal, accounting and other expenses, including costs associated with public company reporting requirements. In addition, the Sarbanes-Oxley Act of 2002 (the “Sarbanes-Oxley Act”) as well as rules implemented by the SEC and the Nasdaq Stock Market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(the “Dodd-Frank Act”), enacted in 2010, includes significant corporate governance and executive-compensation-related provisions. Our management and other personnel will need to devote a substantial amount of time to these</w:t>
      </w:r>
    </w:p>
    <w:p>
      <w:pPr>
        <w:sectPr>
          <w:pgSz w:w="12240" w:h="15840" w:orient="portrait"/>
          <w:cols w:equalWidth="0" w:num="1">
            <w:col w:w="10440"/>
          </w:cols>
          <w:pgMar w:left="900" w:top="298" w:right="900" w:bottom="0" w:gutter="0" w:footer="0" w:header="0"/>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440"/>
          </w:cols>
          <w:pgMar w:left="900" w:top="298" w:right="90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market for our securities may not continue, which would adversely affect the liquidity and price of our securities.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price of our securities may fluctuate significantly due to general market and economic conditions. An active trading market for our securities may not be sustained.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spacing w:after="0" w:line="13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do not meet the expectations of investors, stockholders or financial analysts, the market price of our securities may decline.</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risk factors noted in this Annual Report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Factors affecting the trading price of our securities may include:</w:t>
      </w:r>
    </w:p>
    <w:p>
      <w:pPr>
        <w:spacing w:after="0" w:line="190" w:lineRule="exact"/>
        <w:rPr>
          <w:sz w:val="20"/>
          <w:szCs w:val="20"/>
          <w:color w:val="auto"/>
        </w:rPr>
      </w:pPr>
    </w:p>
    <w:p>
      <w:pPr>
        <w:ind w:left="720" w:hanging="360"/>
        <w:spacing w:after="0" w:line="26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quarterly financial results or the quarterly financial results of companies perceived to be similar to us;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market’s expectations about our operating results;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public’s reaction to our press releases, our other public announcements and our filings with the SEC;</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speculation in the press or investment community;</w:t>
      </w:r>
    </w:p>
    <w:p>
      <w:pPr>
        <w:spacing w:after="0" w:line="10"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of technological innovation, new products, acquisitions, strategic alliances, significant agreements by us or competitors;</w:t>
      </w: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 of competitors;</w:t>
      </w:r>
    </w:p>
    <w:p>
      <w:pPr>
        <w:spacing w:after="0" w:line="10"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results falling below our financial guidance or other projections or failing to meet the expectation of securities analysts or investors in a particular period;</w:t>
      </w: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financial estimates and recommendations by securities analysts concerning us or the market in general;</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and stock price performance of other companies that investors deem comparable to us;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market new and enhanced products on a timely basis;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and regulations affecting our business;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commencement of, or involvement in, litigation involving us;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capital structure, such as future issuances of securities or the incurrence of additional debt;</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volume of shares of our Class A common stock available for public sale;</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major change in our Board or management;</w:t>
      </w:r>
    </w:p>
    <w:p>
      <w:pPr>
        <w:spacing w:after="0" w:line="10"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substantial amounts of Class A common stock by our directors, officers or significant stockholders or the perception that such sales could occur;</w:t>
      </w: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of any market stand-off or contractual lock-up agreements;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realization of any of the risk factors described herein;</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key personnel;</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comply with the requirements of the Nasdaq;</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comply with the Sarbanes-Oxley Act or other laws or regulations;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potential or perceived control, accounting or reporting problems;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principles, policies and guidelines; and</w:t>
      </w:r>
    </w:p>
    <w:p>
      <w:pPr>
        <w:spacing w:after="0" w:line="10" w:lineRule="exact"/>
        <w:rPr>
          <w:rFonts w:ascii="Times New Roman" w:cs="Times New Roman" w:eastAsia="Times New Roman" w:hAnsi="Times New Roman"/>
          <w:sz w:val="20"/>
          <w:szCs w:val="20"/>
          <w:color w:val="auto"/>
        </w:rPr>
      </w:pPr>
    </w:p>
    <w:p>
      <w:pPr>
        <w:jc w:val="both"/>
        <w:ind w:left="720" w:right="280" w:hanging="360"/>
        <w:spacing w:after="0" w:line="255"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and political conditions such as recessions, fluctuating inflation, interest and tariff rates, uncertainty with respect to the U.S. federal budget, rising global tensions, global conflicts such as the war in Ukraine, fuel prices, international currency fluctuations and acts of war or terrorism.</w:t>
      </w:r>
    </w:p>
    <w:p>
      <w:pPr>
        <w:spacing w:after="0" w:line="1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w:t>
      </w:r>
    </w:p>
    <w:p>
      <w:pPr>
        <w:sectPr>
          <w:pgSz w:w="12240" w:h="15840" w:orient="portrait"/>
          <w:cols w:equalWidth="0" w:num="1">
            <w:col w:w="10440"/>
          </w:cols>
          <w:pgMar w:left="900" w:top="298" w:right="900" w:bottom="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440"/>
          </w:cols>
          <w:pgMar w:left="900" w:top="298" w:right="90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the past, securities class action litigation has often been initiated against companies following periods of volatility in their stock price. In particular, on September 7, 2022, a shareholder class action lawsuit was filed in the U.S. District Court for the District of Connecticut against the Company and certain of the Company’s current and former officers. In addition, on November 28, 2023, a stockholder filed a lawsuit in the U.S. District Court for the District of Delaware against, among other parties, certain of the Company’s current and former officers and directors and on June 25, 2024, a substantially similar stockholder derivative suit was filed in federal court in the District of Connecticut. For more information, see Note 10, “</w:t>
      </w:r>
      <w:r>
        <w:rPr>
          <w:rFonts w:ascii="Times New Roman" w:cs="Times New Roman" w:eastAsia="Times New Roman" w:hAnsi="Times New Roman"/>
          <w:sz w:val="20"/>
          <w:szCs w:val="20"/>
          <w:b w:val="1"/>
          <w:bCs w:val="1"/>
          <w:i w:val="1"/>
          <w:iCs w:val="1"/>
          <w:color w:val="auto"/>
        </w:rPr>
        <w:t>Purchase Commitments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Contingencies</w:t>
      </w:r>
      <w:r>
        <w:rPr>
          <w:rFonts w:ascii="Times New Roman" w:cs="Times New Roman" w:eastAsia="Times New Roman" w:hAnsi="Times New Roman"/>
          <w:sz w:val="20"/>
          <w:szCs w:val="20"/>
          <w:color w:val="auto"/>
        </w:rPr>
        <w:t>” in the consolidated financial statements included in this Annual Report. This type of litigation could result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substantial costs and divert our management’s attention and resources, and could also require us to make substantial payments to satisfy judgments or to settle litigation. For example, on December 2, 2024, we settled a lawsuit that a stockholder commenced in the Delaware Court of Chancery on February 7, 2023 against, among other parties, certain of the Company’s current and former directors, for approximately $21 million. See also Note 10, “</w:t>
      </w:r>
      <w:r>
        <w:rPr>
          <w:rFonts w:ascii="Times New Roman" w:cs="Times New Roman" w:eastAsia="Times New Roman" w:hAnsi="Times New Roman"/>
          <w:sz w:val="20"/>
          <w:szCs w:val="20"/>
          <w:b w:val="1"/>
          <w:bCs w:val="1"/>
          <w:i w:val="1"/>
          <w:iCs w:val="1"/>
          <w:color w:val="auto"/>
        </w:rPr>
        <w:t>Purchase Commitments and Contingencies</w:t>
      </w:r>
      <w:r>
        <w:rPr>
          <w:rFonts w:ascii="Times New Roman" w:cs="Times New Roman" w:eastAsia="Times New Roman" w:hAnsi="Times New Roman"/>
          <w:sz w:val="20"/>
          <w:szCs w:val="20"/>
          <w:color w:val="auto"/>
        </w:rPr>
        <w:t>” in the consolidated financial statements included in this Annual Report.</w:t>
      </w:r>
    </w:p>
    <w:p>
      <w:pPr>
        <w:spacing w:after="0" w:line="1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cease publishing research or reports about us, our business, or our market, or if they change their recommendations regarding our Class A common stock adversely, then the price and trading volume of our Class A common stock could decline.</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trading market for our Class A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Class A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13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Changes in laws, regulations or rules, or a failure to comply with any laws, regulations or rules, may adversely affect our business, investments and results of operations.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3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contained in our Charter and Bylaws, as well as provisions of Delaware law, could impair a takeover attempt.</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Third Amended and Restated Certificate of Incorporation, as amended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44" w:lineRule="exact"/>
        <w:rPr>
          <w:sz w:val="20"/>
          <w:szCs w:val="20"/>
          <w:color w:val="auto"/>
        </w:rPr>
      </w:pPr>
    </w:p>
    <w:p>
      <w:pPr>
        <w:ind w:left="720" w:hanging="360"/>
        <w:spacing w:after="0" w:line="260"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cumulative voting in the election of directors, which limits the ability of minority stockholders to elect director candidates;</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classified board of directors with three-year staggered terms, which could delay the ability of stockholders to change the membership of a majority of the Board;</w:t>
      </w:r>
    </w:p>
    <w:p>
      <w:pPr>
        <w:ind w:left="720" w:hanging="36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directors may only be removed from the Board for cause;</w:t>
      </w:r>
    </w:p>
    <w:p>
      <w:pPr>
        <w:spacing w:after="0" w:line="10"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prohibition on stockholder action by written consent, which forces stockholder action to be taken at an annual or special meeting of our stockholders;</w:t>
      </w:r>
    </w:p>
    <w:p>
      <w:pPr>
        <w:jc w:val="both"/>
        <w:ind w:left="720" w:hanging="360"/>
        <w:spacing w:after="0" w:line="253"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440"/>
          </w:cols>
          <w:pgMar w:left="900" w:top="298" w:right="90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ind w:left="720" w:hanging="360"/>
        <w:spacing w:after="0" w:line="26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changes or amendments to certain provisions of our Charter must be approved by holders of at least two-thirds of our Class A common stock; and</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3"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4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currently qualify as an “emerging growth company” as defined in Section 2(a)(19) of the Securities Act, as modified by the Jumpstart Our Business Startups Act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$1.235 billion; or</w:t>
      </w:r>
    </w:p>
    <w:p>
      <w:pPr>
        <w:spacing w:after="0" w:line="7" w:lineRule="exact"/>
        <w:rPr>
          <w:sz w:val="20"/>
          <w:szCs w:val="20"/>
          <w:color w:val="auto"/>
        </w:rPr>
      </w:pPr>
    </w:p>
    <w:p>
      <w:pPr>
        <w:jc w:val="both"/>
        <w:spacing w:after="0" w:line="255" w:lineRule="auto"/>
        <w:tabs>
          <w:tab w:leader="none" w:pos="28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which we are deemed to be a large accelerated filer, which means the market value of our Class A common stock that is held by non-affiliates exceeds $700.0 million as of the prior June 30th, and (ii) the date on which we have issued more than $1.0 billion in non-convertible debt during the prior three-year period.</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spacing w:after="0" w:line="12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no longer qualify as a “smaller reporting company” and as a result, we will no longer be able to avail ourselves of certain reduced reporting requirements applicable to smaller reporting companies starting with our first quarterly report in 2025.</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currently take advantage of certain of the scaled disclosures available to “smaller reporting companies,” as defined in Item 10(f)(1) of Regulation S-K. Smaller reporting companies may take advantage of certain reduced disclosure obligations, including, among other things, providing only two years of consolidated financial statements. However, based on the market value of our Class A common stock held by non-affiliates as of June 28, 2024 (the last business day of our most recently completed second fiscal quarter), we will no longer be eligible to rely on the scaled disclosure exemptions available to smaller reporting companies starting with our Quarterly Report on Form 10-Q for the quarter ending March 31, 2025.</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expect that the loss of our “smaller reporting company” status and compliance with additional requirements will increase our legal and financial compliance costs. Any failure to comply with additional requirements in a timely manner, or at all, could have an adverse effect on our business and results of operations and could cause a decline in the price of our Class A common stock.</w:t>
      </w:r>
    </w:p>
    <w:p>
      <w:pPr>
        <w:spacing w:after="0" w:line="12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internal controls over financial reporting may not be effective which could have a significant and adverse effect on our business and reputation.</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440"/>
          </w:cols>
          <w:pgMar w:left="900" w:top="298" w:right="90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Class A common stock could be negatively affected, and we could become subject to investigations by the SEC or other regulatory authorities, which could require additional financial and management resources.</w:t>
      </w:r>
    </w:p>
    <w:p>
      <w:pPr>
        <w:spacing w:after="0" w:line="1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Charter and our Bylaws designate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Charter and our Amended and Restated Bylaws (as amended, our “Bylaws”) designate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Our Charter and our Bylaws provide that, subject to limited exceptions, the Court of Chancery of the State of Delaware and federal court within the State of Delaware will be exclusive forums for any:</w:t>
      </w:r>
    </w:p>
    <w:p>
      <w:pPr>
        <w:spacing w:after="0" w:line="121" w:lineRule="exact"/>
        <w:rPr>
          <w:sz w:val="20"/>
          <w:szCs w:val="20"/>
          <w:color w:val="auto"/>
        </w:rPr>
      </w:pPr>
    </w:p>
    <w:p>
      <w:pPr>
        <w:ind w:left="720" w:hanging="36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 action or proceeding brought on our behalf;</w:t>
      </w:r>
    </w:p>
    <w:p>
      <w:pPr>
        <w:spacing w:after="0" w:line="30" w:lineRule="exact"/>
        <w:rPr>
          <w:rFonts w:ascii="Times New Roman" w:cs="Times New Roman" w:eastAsia="Times New Roman" w:hAnsi="Times New Roman"/>
          <w:sz w:val="20"/>
          <w:szCs w:val="20"/>
          <w:color w:val="auto"/>
        </w:rPr>
      </w:pPr>
    </w:p>
    <w:p>
      <w:pPr>
        <w:ind w:left="720" w:hanging="36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 asserting a claim of breach of a fiduciary duty owed by, or other wrongdoing by, any of our directors, officers, stockholders, employees or agents to us or our stockholders;</w:t>
      </w:r>
    </w:p>
    <w:p>
      <w:pPr>
        <w:jc w:val="both"/>
        <w:ind w:left="720" w:hanging="36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 asserting a claim against the us or any of our directors, officers, stockholders, employees or agents arising pursuant to any provision of the General Corporation Law, our Charter or our Bylaws or as to which the General Corporation Law confers jurisdiction on the Court of Chancery of the State of Delaware:</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 to interpret, apply, enforce or determine the validity of our Charter or our Bylaws; or</w:t>
      </w:r>
    </w:p>
    <w:p>
      <w:pPr>
        <w:spacing w:after="0" w:line="10" w:lineRule="exact"/>
        <w:rPr>
          <w:rFonts w:ascii="Times New Roman" w:cs="Times New Roman" w:eastAsia="Times New Roman" w:hAnsi="Times New Roman"/>
          <w:sz w:val="20"/>
          <w:szCs w:val="20"/>
          <w:color w:val="auto"/>
        </w:rPr>
      </w:pPr>
    </w:p>
    <w:p>
      <w:pPr>
        <w:ind w:left="720" w:hanging="360"/>
        <w:spacing w:after="0" w:line="26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action asserting a claim against us or any of our directors, officers, stockholders, employees or agents that is governed by the internal affairs doctrine.</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These provisions do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these provisions in our Charter and our Bylaws.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provisions contained in our Charter and our Bylaws to be inapplicable or unenforceable in an action, we may incur additional costs associated with resolving such action in other jurisdictions, which could harm our business, results of operations and financial condition.</w:t>
      </w:r>
    </w:p>
    <w:p>
      <w:pPr>
        <w:spacing w:after="0" w:line="14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stockholders will not be deemed to have waived our compliance with the federal securities laws and the regulations promulgated thereunder.</w:t>
      </w:r>
    </w:p>
    <w:p>
      <w:pPr>
        <w:spacing w:after="0" w:line="12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Any person or entity purchasing or otherwise acquiring or holding any interest in any of our securities shall be deemed to have notice of and consented to our exclusive forum provisions.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440"/>
          </w:cols>
          <w:pgMar w:left="900" w:top="298" w:right="90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 and Warrants</w:t>
      </w:r>
    </w:p>
    <w:p>
      <w:pPr>
        <w:spacing w:after="0" w:line="18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ownership of our outstanding Class A common stock is concentrated, with certain of our stockholders owning significant percentages of our outstanding shares.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Icahn School of Medicine at Mount Sinai (“ISMMS”), entities affiliated with Casdin Partners Master Fund, L.P. (“Casdin Partners”), and Corvex Management, L.P. (“Corvex Management”) are some of our significant stockholders, which owned approximately 10%, 12%, and 9%, respectively, of our outstanding shares of our Class A common stock as of December 31, 2024. In addition, Mr. Eli D. Casdin, one of our directors, is affiliated with Casdin Partners and CMLS Holdings, LLC (“CMLS Holdings”), which owned approximately 1% of our outstanding shares of our Class A common stock as of December 31, 2024, and Mr. Keith Meister, one of our directors, is affiliated with Corvex Management and CMLS Holdings.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These stockholders may choose to dispose of some or all of the shares of our Class A common stock held by them. Any disposal of shares of Class A common stock by any of these stockholders, or the perception that these sales could occur, could cause the market price of our stock or warrants to decline.</w:t>
      </w:r>
    </w:p>
    <w:p>
      <w:pPr>
        <w:spacing w:after="0" w:line="1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Class A common stock purchasable upon exercise of a public warrant could be decreased, all without the approval of that warrant holder.</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4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redeem unexpired public warrants prior to their exercise at a time that is disadvantageous to warrant holders, thereby making their public warrants worthless.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have the ability to redeem outstanding public warrants at any time after they become exercisable and prior to their expiration, at a price of $0.33 per public warrant; provided that the last reported sales price of our Class A common stock equals or exceeds $594.00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CMLS Holdings LLC, or its permitted transferees. Additionally, none of the private warrants issued to Perceptive are redeemable by us so long as the warrants are held by Perceptive, or its permitted transferees.</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warrants are exercisable for our Class A common stock, which will increase the number of shares eligible for future resale in the public market and result in dilution to our stockholders.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of December 31, 2024, our public warrants were exercisable for 457,323 shares of Class A common stock at $379.50 per share, and our private warrants were exercisable for 209,192 shares of Class A common stock at $379.50 per share. The additional shares of our Class A common stock issuable upon exercise of our warrants will result in dilution to the then existing holders of our Class A common stock and increase the number of shares eligible for resale in the public market. Sales of substantial numbers of such shares in the public market could adversely affect the market price of our Class A common stock.</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440"/>
          </w:cols>
          <w:pgMar w:left="900" w:top="298" w:right="90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warrants are accounted for as liabilities and the changes in value of our warrants could have a material effect on our financial results.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Included on our consolidated balance sheet as of December 31, 2024, are liabilities related to our public and private warrants which are each remeasured at fair value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in our results of operations and that the amount of such gains or losses could be material. If the price of our Class A common stock decreases, we expect we would recognize non-cash gains on our warrants in future reporting periods.</w:t>
      </w:r>
    </w:p>
    <w:p>
      <w:pPr>
        <w:spacing w:after="0" w:line="14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Future resales of our Class A common stock could cause the market price of our Class A common stock to drop significantly, even if our business is doing well.</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had 28,016,545 shares of Class A common stock outstanding as of December 31, 2024. We have filed a registration statement which registers the offer and sale from time to time by certain selling stockholders of up to 10,803,779 shares of our Class A common stock. To the extent shares of our Class A common stock are sold into the market pursuant to an effective registration statement, under Rule 144 under the Securities Act or otherwise, particularly in substantial quantities the market price of our Class A common stock could decline.</w:t>
      </w:r>
    </w:p>
    <w:p>
      <w:pPr>
        <w:spacing w:after="0" w:line="13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There is no guarantee that the public warrants will ever be in the money, and they may expire worthless and the terms of our public warrants may be amended.</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exercise price for the public warrants is $379.50 per share of Class A common stock. There is no guarantee that the public warrants will ever be in the money prior to their expiration, and as such, the public warrants may expire worthless.</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cannot guarantee that we will be able to satisfy the continued listing standards of Nasdaq going forward and if we fail to satisfy the continued listing requirements of Nasdaq, including the minimum closing bid price requirement, Nasdaq may take steps to delist our Class A common stock.</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Class A common stock and public warrants are listed on the Nasdaq Global Select Market under the symbols “WGS” and “WGSWW,” respectively. However, we cannot ensure that we will be able to satisfy the continued listing standards of Nasdaq, including the minimum closing bid price requirement, going forward. If we cannot satisfy the continued listing standards going forward, The Nasdaq Stock Market may commence delisting procedures against us, which could result in our Class A common stock or public warrants being removed from listing on Nasdaq. If either of our Class A common stock or public warrants were to be delisted, the liquidity of our Class A common stock or warrants could be adversely affected and the market price of our Class A common stock or warrants could decrease. Delisting could also adversely affect our securityholders’ ability to trade or obtain quotations on our securities because of lower trading volumes and transaction delays. These factors could contribute to lower prices and larger spreads in the bid and ask price for our securities. Investors may also not be able to resell their Class A common stock or warrants at or above the price they paid for such securities or at all.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221E1F"/>
        </w:rPr>
        <w:t>The Company is committed to maintaining the trust and confidence of our customers, healthcare providers, clients, business partners and employees through a cybersecurity program focused on protecting the confidentiality, security and availability of the information that we collect and store. We actively identify prevent, detect and mitigate cybersecurity threats and are positioned to effectively respond to cybersecurity incidents. Key components of our cybersecurity program include:</w:t>
      </w:r>
    </w:p>
    <w:p>
      <w:pPr>
        <w:spacing w:after="0" w:line="1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Governance: </w:t>
      </w:r>
      <w:r>
        <w:rPr>
          <w:rFonts w:ascii="Times New Roman" w:cs="Times New Roman" w:eastAsia="Times New Roman" w:hAnsi="Times New Roman"/>
          <w:sz w:val="20"/>
          <w:szCs w:val="20"/>
          <w:color w:val="221E1F"/>
        </w:rPr>
        <w:t>Our board of directors, in coordination with its audit committee, oversees the risks arising from cybersecurity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221E1F"/>
        </w:rPr>
        <w:t>threats, which are embedded in our enterprise risk management (“ERM”) approach. The Board’s audit committee receives regular reports on cybersecurity risks from our Head of Information Security, with prompt escalation of any incident that could materially affect core company operations to the Board. Further, our Head of Information Security works collaboratively across the company to implement and enhance our cybersecurity program. Through ongoing interactions with these teams, our Head of Information</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440"/>
          </w:cols>
          <w:pgMar w:left="900" w:top="298" w:right="90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221E1F"/>
        </w:rPr>
        <w:t>Security monitors the prevention, detection, mitigation and remediation of cybersecurity threats and incidents in real time. Our Head of Information Security has served in various roles in information technology and information security for over 15 years and holds an undergraduate degree in Management Information System and a graduate degree in Human Resource Management and has attained multiple professional information security certification.</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Incident Response Planning: </w:t>
      </w:r>
      <w:r>
        <w:rPr>
          <w:rFonts w:ascii="Times New Roman" w:cs="Times New Roman" w:eastAsia="Times New Roman" w:hAnsi="Times New Roman"/>
          <w:sz w:val="20"/>
          <w:szCs w:val="20"/>
          <w:color w:val="auto"/>
        </w:rPr>
        <w:t>We have established protocols to detect, respond to and recover from cybersecurity incidents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promptly.</w:t>
      </w:r>
    </w:p>
    <w:p>
      <w:pPr>
        <w:spacing w:after="0" w:line="1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Technical Safeguards: </w:t>
      </w:r>
      <w:r>
        <w:rPr>
          <w:rFonts w:ascii="Times New Roman" w:cs="Times New Roman" w:eastAsia="Times New Roman" w:hAnsi="Times New Roman"/>
          <w:sz w:val="20"/>
          <w:szCs w:val="20"/>
          <w:color w:val="auto"/>
        </w:rPr>
        <w:t>We deploy commercially reasonable technical safeguards that are designed to protect our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systems from cybersecurity threats, including firewalls, intrusion prevention and detection systems, anti-malware functionality and access controls, which are evaluated and improved through vulnerability assessments and cybersecurity threat intelligence. In addition, we maintain a risk-based approach to identifying and overseeing cybersecurity risks presented by third parties, including vendors, service providers and other external users of our systems, as well as the systems of third parties that could adversely impact our business in the event of a cybersecurity incident affecting those third-party systems.</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Employee Education and Awareness: </w:t>
      </w:r>
      <w:r>
        <w:rPr>
          <w:rFonts w:ascii="Times New Roman" w:cs="Times New Roman" w:eastAsia="Times New Roman" w:hAnsi="Times New Roman"/>
          <w:sz w:val="20"/>
          <w:szCs w:val="20"/>
          <w:color w:val="auto"/>
        </w:rPr>
        <w:t>We provide regular mandatory training for employees regarding cybersecurity threats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equip them with effective tools to address cybersecurity threats and to communicate our evolving information security policies, standards, processes and practices.</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221E1F"/>
        </w:rPr>
        <w:t>Continuous Monitoring</w:t>
      </w:r>
      <w:r>
        <w:rPr>
          <w:rFonts w:ascii="Times New Roman" w:cs="Times New Roman" w:eastAsia="Times New Roman" w:hAnsi="Times New Roman"/>
          <w:sz w:val="20"/>
          <w:szCs w:val="20"/>
          <w:color w:val="221E1F"/>
        </w:rPr>
        <w:t>: We engage in the routine, periodic assessment and testing of our standards, policies, processes and</w:t>
      </w:r>
      <w:r>
        <w:rPr>
          <w:rFonts w:ascii="Times New Roman" w:cs="Times New Roman" w:eastAsia="Times New Roman" w:hAnsi="Times New Roman"/>
          <w:sz w:val="20"/>
          <w:szCs w:val="20"/>
          <w:b w:val="1"/>
          <w:bCs w:val="1"/>
          <w:color w:val="221E1F"/>
        </w:rPr>
        <w:t xml:space="preserve"> </w:t>
      </w:r>
      <w:r>
        <w:rPr>
          <w:rFonts w:ascii="Times New Roman" w:cs="Times New Roman" w:eastAsia="Times New Roman" w:hAnsi="Times New Roman"/>
          <w:sz w:val="20"/>
          <w:szCs w:val="20"/>
          <w:color w:val="221E1F"/>
        </w:rPr>
        <w:t>practices that are designed to address cybersecurity threats and incidents. These efforts include a wide range of activities, including audits, assessments and other exercises focused on evaluating the effectiveness of our cybersecurity measures and planning. We regularly engage third parties to perform assessments on our cybersecurity measures, including assessments, audits and independent reviews of our information security control environment and operating effectiveness. The results of such exercises are reported to our audit committee, and we adjust our cybersecurity policies, standards, processes and practices as necessary.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21E1F"/>
        </w:rPr>
        <w:t>Artificial Intelligence</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Artificial intelligence (“AI”) has the potential to transform various work sectors significantly. We continue to enhance and broaden our offerings with AI technologies, and we are exploring potential third-party partnerships to help us offer more robust solutions for providers and patients. For example, we currently deploy a phenotype-driven algorithm that uses machine learning and is used to help identify genes to that may cause disease. While we are dedicated to actualizing AI’s potential in our offerings, we are equally committed to ensuring the security of patient data in line with data privacy laws through the Company’s AI Guidelines.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Threats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221E1F"/>
        </w:rPr>
        <w:t>Risks from cybersecurity threats, including as a result of any previous cybersecurity incidents, have not materially affected, and we believe that such risks are not reasonably likely to materially affect the Company, including its business strategy, results of operations or financial condition.</w:t>
      </w:r>
    </w:p>
    <w:p>
      <w:pPr>
        <w:spacing w:after="0" w:line="1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221E1F"/>
        </w:rPr>
        <w:t>For more information on our cybersecurity risks, see “Risk Factors</w:t>
      </w:r>
      <w:r>
        <w:rPr>
          <w:rFonts w:ascii="Times New Roman" w:cs="Times New Roman" w:eastAsia="Times New Roman" w:hAnsi="Times New Roman"/>
          <w:sz w:val="20"/>
          <w:szCs w:val="20"/>
          <w:b w:val="1"/>
          <w:bCs w:val="1"/>
          <w:i w:val="1"/>
          <w:iCs w:val="1"/>
          <w:color w:val="221E1F"/>
        </w:rPr>
        <w:t>—Risks Related to Cybersecurity, Privacy and Information</w:t>
      </w:r>
      <w:r>
        <w:rPr>
          <w:rFonts w:ascii="Times New Roman" w:cs="Times New Roman" w:eastAsia="Times New Roman" w:hAnsi="Times New Roman"/>
          <w:sz w:val="20"/>
          <w:szCs w:val="20"/>
          <w:color w:val="221E1F"/>
        </w:rPr>
        <w:t xml:space="preserve"> </w:t>
      </w:r>
      <w:r>
        <w:rPr>
          <w:rFonts w:ascii="Times New Roman" w:cs="Times New Roman" w:eastAsia="Times New Roman" w:hAnsi="Times New Roman"/>
          <w:sz w:val="20"/>
          <w:szCs w:val="20"/>
          <w:b w:val="1"/>
          <w:bCs w:val="1"/>
          <w:i w:val="1"/>
          <w:iCs w:val="1"/>
          <w:color w:val="221E1F"/>
        </w:rPr>
        <w:t>Technology</w:t>
      </w:r>
      <w:r>
        <w:rPr>
          <w:rFonts w:ascii="Times New Roman" w:cs="Times New Roman" w:eastAsia="Times New Roman" w:hAnsi="Times New Roman"/>
          <w:sz w:val="20"/>
          <w:szCs w:val="20"/>
          <w:color w:val="221E1F"/>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Properties for our core operations include our corporate office and headquarters located in Stamford, Connecticut, our primary operating laboratory located in Gaithersburg, Maryland, and a satellite meeting space located in New York City; each are leased spaces with an aggregate of approximately 115,000 square feet. The lease agreements for these properties expire in 2034, 2031, and 2026, respectively.</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As previously disclosed, we exited our reproductive health and somatic tumor testing business in 2022. We are actively marketing for sublet our two laboratories in Connecticut as well as a portion of our headquarters in Stamford, Connecticut. The lease agreements for these properties expire in 2030 and 2036, respectively.</w:t>
      </w:r>
    </w:p>
    <w:p>
      <w:pPr>
        <w:spacing w:after="0" w:line="13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We believe that our current facilities are suitable and adequate to meet our current needs. See Note 9,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to our consolidated financial statements for more information on our future lease obligations.</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440"/>
          </w:cols>
          <w:pgMar w:left="900" w:top="298" w:right="90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0"/>
          <w:szCs w:val="20"/>
          <w:color w:val="auto"/>
        </w:rPr>
        <w:t>Information regarding legal proceedings can be found in the consolidated financial statements in Note 10, “</w:t>
      </w:r>
      <w:r>
        <w:rPr>
          <w:rFonts w:ascii="Times New Roman" w:cs="Times New Roman" w:eastAsia="Times New Roman" w:hAnsi="Times New Roman"/>
          <w:sz w:val="20"/>
          <w:szCs w:val="20"/>
          <w:b w:val="1"/>
          <w:bCs w:val="1"/>
          <w:i w:val="1"/>
          <w:iCs w:val="1"/>
          <w:color w:val="auto"/>
        </w:rPr>
        <w:t>Purchase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Commitments and Contingencies</w:t>
      </w:r>
      <w:r>
        <w:rPr>
          <w:rFonts w:ascii="Times New Roman" w:cs="Times New Roman" w:eastAsia="Times New Roman" w:hAnsi="Times New Roman"/>
          <w:sz w:val="20"/>
          <w:szCs w:val="20"/>
          <w:color w:val="auto"/>
        </w:rPr>
        <w:t>” included in this Annual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440"/>
          </w:cols>
          <w:pgMar w:left="900" w:top="298" w:right="90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Information</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Our Class A common stock and public warrants are listed on the Nasdaq Global Select Market under the symbols “WGS” and “WGSWW,”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Holders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As of February 14, 2025, there were 37 record holders of our Class A common stock and 5 record holders of our public warrants, based upon information received from our transfer agent. However, these numbers do not reflect beneficial owners whose shares were held of record by nominees or broker dealers. We believe a substantially greater number of beneficial owners hold shares of our Class A common stock or public warrants through brokers, banks, or other nominees.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 Policy</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have never paid any cash dividends on our capital stock. We anticipate that we will retain earnings, if any, to support operations and to finance the growth and development of our business. In addition, the terms of our credit agreement with Perceptive restrict us from paying cash dividends. Therefore, we do not expect to pay cash dividends for the foreseeable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 of Unregistered Securities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Purchases of Equity Securities by the Issuer and Affiliated Purchasers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440"/>
          </w:cols>
          <w:pgMar w:left="900" w:top="298" w:right="90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You should read the following discussion and analysis of our financial condition and results of operations together with our consolidated financial statements and related notes appearing elsewhere in this Annual Report on Form 10-K.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 “</w:t>
      </w:r>
      <w:r>
        <w:rPr>
          <w:rFonts w:ascii="Times New Roman" w:cs="Times New Roman" w:eastAsia="Times New Roman" w:hAnsi="Times New Roman"/>
          <w:sz w:val="20"/>
          <w:szCs w:val="20"/>
          <w:b w:val="1"/>
          <w:bCs w:val="1"/>
          <w:i w:val="1"/>
          <w:iCs w:val="1"/>
          <w:color w:val="auto"/>
        </w:rPr>
        <w:t>Organization and Description of Business</w:t>
      </w:r>
      <w:r>
        <w:rPr>
          <w:rFonts w:ascii="Times New Roman" w:cs="Times New Roman" w:eastAsia="Times New Roman" w:hAnsi="Times New Roman"/>
          <w:sz w:val="20"/>
          <w:szCs w:val="20"/>
          <w:color w:val="auto"/>
        </w:rPr>
        <w:t>” included within this Annual Report for further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Factors Affecting Our Operating Performance</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Times New Roman" w:cs="Times New Roman" w:eastAsia="Times New Roman" w:hAnsi="Times New Roman"/>
          <w:sz w:val="20"/>
          <w:szCs w:val="20"/>
          <w:b w:val="1"/>
          <w:bCs w:val="1"/>
          <w:i w:val="1"/>
          <w:iCs w:val="1"/>
          <w:color w:val="auto"/>
        </w:rPr>
        <w:t>Item 1A. Risk Factors</w:t>
      </w:r>
      <w:r>
        <w:rPr>
          <w:rFonts w:ascii="Times New Roman" w:cs="Times New Roman" w:eastAsia="Times New Roman" w:hAnsi="Times New Roman"/>
          <w:sz w:val="20"/>
          <w:szCs w:val="20"/>
          <w:color w:val="auto"/>
        </w:rPr>
        <w:t>” for more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Test Volume</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 drives database diversity and enables potential identification of variants of unknown significance and population-specific insights. The number of exome and genome tests resulted and the mix of test results are key indicators that we use to assess the operational efficiency of our business. Once the appropriate workflow is completed, the test is resulted and details are provided to ordered patients or healthcare professionals for reviews, which corresponds to the timing of our revenue recognition.</w:t>
      </w:r>
    </w:p>
    <w:p>
      <w:pPr>
        <w:spacing w:after="0" w:line="1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believe the number of resulted exome and genome tests in any period is important and useful to our investors because it directly correlates with long-term patient relationships and the size of our genomic database. During the year ended December 31, 2024, we resulted 74,547 exome and genome tests, which represented 33% of all test results, compared to the year ended December 31, 2023, in which we resulted 49,439 exome and genome tests, which represented 22% of all test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Success Obtaining and Maintaining Reimbursement</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commercial and Medicaid.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expect to continue to focus our resources on increasing the adoption of, and expanding coverage and reimbursement for exome and genome, and any future tests we may develop or acquire. If we fail to expand and maintain broad adoption of, and coverage and reimbursement for, our tests, our ability to generate revenue and our future business prospects may be adversely affected.</w:t>
      </w:r>
    </w:p>
    <w:p>
      <w:pPr>
        <w:sectPr>
          <w:pgSz w:w="12240" w:h="15840" w:orient="portrait"/>
          <w:cols w:equalWidth="0" w:num="1">
            <w:col w:w="10440"/>
          </w:cols>
          <w:pgMar w:left="900" w:top="29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440"/>
          </w:cols>
          <w:pgMar w:left="900" w:top="298" w:right="90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Ability to Lower the Costs Associated with Performing our Tests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Increasing Adoption of our Services by Existing and New Customers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in Platform Innovation to Support Commercial Growth</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Components of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Diagnostic Test Revenue</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majority of our revenue is derived from genetic and genomic diagnostic testing services for three groups of customers: healthcare professionals working with patients with third-party insurance coverage or without third-party insurance coverage, institutional clients such as hospitals, clinics, state governments and reference laboratories, and self-pay patients. The amount of revenue recognized for diagnostic testing services depends on a number of factors, such as resulted test volumes,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 Our ability to increase our diagnostic test revenue will depend on our ability to increase our market penetration, obtain contracted reimbursement coverage from third-party payors, enter into contracts with institutions, and increase our reimbursement rate for tests performed.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Revenue</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also generate revenue from collaboration service agreements with biopharma companies and other third parties, pursuant to which we provide health information and patient identification support services. Certain of these contracts provide non-refundable payments, which we record as contract liabilities, and variable payments based upon the achievement of certain milestones during the contract term.</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Services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cost of services reflect the aggregate costs incurred in performing services, which include expenses for reagents and laboratory supplies, compensation expenses for employees directly involved in revenue generating activities, shipping and handling fees, costs of third-party reference lab testing and phlebotomy services, if any, and allocated genetic counseling, facility</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440"/>
          </w:cols>
          <w:pgMar w:left="900" w:top="208" w:right="90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and information technology costs associated with delivery services. Allocated costs include depreciation of laboratory equipment, facility occupancy, and information technology costs. The cost of services are recorded as the services are performed.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expect the cost of services to generally increase in absolute dollars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compensation expenses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generally expect our research and development expenses to continue to increase in absolute dollars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and Marketing Expenses</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Selling and marketing expenses primarily consist of compensation expenses for employees performing commercial sales, account management, marketing, and certain genetic counseling services. Selling and marketing costs are expensed as incurred.</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General and administrative expenses primarily consist of compensation expenses for employees in executive leadership, legal, finance and accounting, human resources, information technology, and other administrative functions. In addition, these expenses include office occupancy and information technology costs. General and administrative costs are expensed as incurred.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and maintaining compliance with requirements of Nasdaq and of the SEC. We expect these expenses to decrease as a percentage of revenue in the long term as revenue increases, although the percentage may fluctuate from period to period due to fluctuations in our compensation-related charges.</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440"/>
          </w:cols>
          <w:pgMar w:left="900" w:top="208" w:right="90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Comparison of the Years Ended December 31, 2024 and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our results of operations for the periods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147320</wp:posOffset>
            </wp:positionV>
            <wp:extent cx="6657975" cy="4327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57975" cy="4327525"/>
                    </a:xfrm>
                    <a:prstGeom prst="rect">
                      <a:avLst/>
                    </a:prstGeom>
                    <a:noFill/>
                  </pic:spPr>
                </pic:pic>
              </a:graphicData>
            </a:graphic>
          </wp:anchor>
        </w:drawing>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4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8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65"/>
        </w:trPr>
        <w:tc>
          <w:tcPr>
            <w:tcW w:w="498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top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23"/>
                <w:szCs w:val="23"/>
                <w:color w:val="auto"/>
              </w:rPr>
            </w:pPr>
          </w:p>
        </w:tc>
        <w:tc>
          <w:tcPr>
            <w:tcW w:w="132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r>
      <w:tr>
        <w:trPr>
          <w:trHeight w:val="262"/>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5"/>
        </w:trPr>
        <w:tc>
          <w:tcPr>
            <w:tcW w:w="49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Diagnostic test revenue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302,157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195,654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106,503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54 %</w:t>
            </w:r>
          </w:p>
        </w:tc>
      </w:tr>
      <w:tr>
        <w:trPr>
          <w:trHeight w:val="288"/>
        </w:trPr>
        <w:tc>
          <w:tcPr>
            <w:tcW w:w="49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revenue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6,912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(3,619)</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65"/>
        </w:trPr>
        <w:tc>
          <w:tcPr>
            <w:tcW w:w="4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Total revenue</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305,450</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202,566</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102,884</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51 %</w:t>
            </w:r>
          </w:p>
        </w:tc>
      </w:tr>
      <w:tr>
        <w:trPr>
          <w:trHeight w:val="265"/>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111,053</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112,560</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(1,507)</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65"/>
        </w:trPr>
        <w:tc>
          <w:tcPr>
            <w:tcW w:w="4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Gross profit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194,397</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90,006</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104,391</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116 %</w:t>
            </w:r>
          </w:p>
        </w:tc>
      </w:tr>
      <w:tr>
        <w:trPr>
          <w:trHeight w:val="262"/>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45,722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58,266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(12,544)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85"/>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Selling and marketing</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67,371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60,956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11 %</w:t>
            </w:r>
          </w:p>
        </w:tc>
      </w:tr>
      <w:tr>
        <w:trPr>
          <w:trHeight w:val="285"/>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101,110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133,755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(32,645)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85"/>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Impairment loss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88"/>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Other operating expenses,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3,407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7,223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(3,816)</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65"/>
        </w:trPr>
        <w:tc>
          <w:tcPr>
            <w:tcW w:w="4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Loss from operations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(23,213)</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(180,596)</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157,383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547"/>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Non-operating (expenses) income, net</w:t>
            </w: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465"/>
        </w:trPr>
        <w:tc>
          <w:tcPr>
            <w:tcW w:w="4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Change in fair value of warrants and contingent liabilities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(13,370)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(14,540)</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5"/>
        </w:trPr>
        <w:tc>
          <w:tcPr>
            <w:tcW w:w="49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Interest (expense) income,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(4,146)</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8"/>
        </w:trPr>
        <w:tc>
          <w:tcPr>
            <w:tcW w:w="49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(expense) income,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(13,014)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(14,633)</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65"/>
        </w:trPr>
        <w:tc>
          <w:tcPr>
            <w:tcW w:w="4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Total non-operating (expense) income, net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(29,416)</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3,903</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(33,319)</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62"/>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Loss before income taxes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(52,629)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(176,693)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124,064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88"/>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(583)</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45"/>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(52,286)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(175,767)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123,481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0"/>
        </w:trPr>
        <w:tc>
          <w:tcPr>
            <w:tcW w:w="4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NM – Not Meaningful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Total revenue increased by $102.9 million, or 51%, to $305.5 million for the year ended December 31, 2024, from $202.6 million for the year ended December 31, 2023.</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Diagnostic test revenue increased by $106.5 million, or 54%, to $302.2 million for the year ended December 31, 2024, from $195.7 million for the year ended December 31, 2023. The increase was attributable to a $109.2 million increase in exome and genome test revenue and an increase in other panel revenue of $5.0 million, which was partially offset by a $2.7 million decrease in hereditary cancer test revenue and a $5.0 million decrease in legacy Sema4 revenues. The increase in exome and genome revenue was driven by a 51% increase in test volume coupled with higher reimbursement rates resulting from lower denial rates and improved collections. Full year and fourth quarter 2024 revenues includes $6.8 million of discrete benefit in connection with a multi-year appeal recovery from a single third-party payor. The fourth quarter benefit is composed of $5.8 million to exome genome revenues and $1.0 million to other test lines.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Other revenue, representing revenue from biopharma and/or data partnership, decreased by $3.6 million, or 52%, to $3.3 million for the year ended December 31, 2024, from $6.9 million for the year ended December 31, 2023. The decrease reflected lower revenue from a partnership program which ended in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Gross Profit</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Gross profit increased by $104.4 million for the year ended December 31, 2024, driven by a combination of a favorable shift in volume mix to higher margin whole exome and genome tests, an improvement in exome average reimbursement rates and continued cost per test leverage.</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440"/>
          </w:cols>
          <w:pgMar w:left="900" w:top="208" w:right="90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Research and development expenses decreased by $12.5 million, or 22%, to $45.7 million for the year ended December 31, 2024, from $58.3 million for the year ended December 31, 2023. The decrease was primarily attributable to costs incurred in the prior year from the now discontinued Legacy Sema4 business, which included restructuring costs associated with headcount reduction actions and accelerated amortization for capitalized software no longer in use.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and Marketing</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Selling and marketing expenses increased by $6.4 million, or 11%, to $67.4 million for the year ended December 31, 2024, from $61.0 million for the year ended December 31, 2023. The increase reflects our investment to support growth in our commercial team as well as incremental variable billing and selling cost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General and administrative expenses decreased by $32.6 million, or 24%, to $101.1 million for the year ended December 31, 2024, from $133.8 million for the year ended December 31, 2023. The decrease was attributable to lower current period expenses related to professional services, software and information technology related costs, insurance costs, fixed asset depreciation and personnel-related costs from the now discontinued Legacy Sema4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Loss</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The non-cash charge of $10.4 million for the year ended December 31, 2023 reflected the impairment of certain capital and right-of-use asset leases. See Note 5, “</w:t>
      </w:r>
      <w:r>
        <w:rPr>
          <w:rFonts w:ascii="Times New Roman" w:cs="Times New Roman" w:eastAsia="Times New Roman" w:hAnsi="Times New Roman"/>
          <w:sz w:val="20"/>
          <w:szCs w:val="20"/>
          <w:b w:val="1"/>
          <w:bCs w:val="1"/>
          <w:i w:val="1"/>
          <w:iCs w:val="1"/>
          <w:color w:val="auto"/>
        </w:rPr>
        <w:t>Property and Equipment, net</w:t>
      </w:r>
      <w:r>
        <w:rPr>
          <w:rFonts w:ascii="Times New Roman" w:cs="Times New Roman" w:eastAsia="Times New Roman" w:hAnsi="Times New Roman"/>
          <w:sz w:val="20"/>
          <w:szCs w:val="20"/>
          <w:color w:val="auto"/>
        </w:rPr>
        <w:t>” to our consolidated financial statements for further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Operating Expenses, Net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operating expenses, net were $3.4 million for the year ended December 31, 2024, reflecting related party expenses.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Other operating expenses, net were $7.2 million for the year ended December 31, 2023 and included related party expenses of $5.3 million and a non-cash charge of $3.6 million to reserve for obsolete Legacy Sema4 inventory, partially offset by a gain of $1.7 million to recognize the sale of certain assets of Legacy Sema4.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Non-Operating (Expense) Income, Net</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Non-operating expense, net of $29.4 million for the year ended December 31, 2024 primarily reflected a legal settlement, net of insurance, of $12.8 million, a non-cash charge of $10.1 million associated with the exercise of the Perceptive warrant and a non-cash charge of $3.3 million to account for the increase in fair value of our warrant liabilities. Net interest expense for the year ended December 31, 2024 was $3.0 million.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Non-operating income, net of $3.9 million for the year ended December 31, 2023, primarily reflected non-cash benefits of $1.2 million to account for the decrease in fair value of our warrants and contingent liabilities and $2.8 million for a principal loan forgiveness under the amendment to the Connecticut Department of Economic and Community Development (“DECD”) loan, partially offset by $1.0 million in contract termination costs associated with the now discontinued Legacy Sema4 business. Net interest income for the year ended December 31, 2023 was $1.1 million.</w:t>
      </w:r>
    </w:p>
    <w:p>
      <w:pPr>
        <w:spacing w:after="0" w:line="14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See Note 4, “</w:t>
      </w:r>
      <w:r>
        <w:rPr>
          <w:rFonts w:ascii="Times New Roman" w:cs="Times New Roman" w:eastAsia="Times New Roman" w:hAnsi="Times New Roman"/>
          <w:sz w:val="20"/>
          <w:szCs w:val="20"/>
          <w:b w:val="1"/>
          <w:bCs w:val="1"/>
          <w:i w:val="1"/>
          <w:iCs w:val="1"/>
          <w:color w:val="auto"/>
        </w:rPr>
        <w:t>Fair Value Measurement</w:t>
      </w:r>
      <w:r>
        <w:rPr>
          <w:rFonts w:ascii="Times New Roman" w:cs="Times New Roman" w:eastAsia="Times New Roman" w:hAnsi="Times New Roman"/>
          <w:sz w:val="20"/>
          <w:szCs w:val="20"/>
          <w:color w:val="auto"/>
        </w:rPr>
        <w:t>”, Note 8, “</w:t>
      </w:r>
      <w:r>
        <w:rPr>
          <w:rFonts w:ascii="Times New Roman" w:cs="Times New Roman" w:eastAsia="Times New Roman" w:hAnsi="Times New Roman"/>
          <w:sz w:val="20"/>
          <w:szCs w:val="20"/>
          <w:b w:val="1"/>
          <w:bCs w:val="1"/>
          <w:i w:val="1"/>
          <w:iCs w:val="1"/>
          <w:color w:val="auto"/>
        </w:rPr>
        <w:t>Long-Term Debt</w:t>
      </w:r>
      <w:r>
        <w:rPr>
          <w:rFonts w:ascii="Times New Roman" w:cs="Times New Roman" w:eastAsia="Times New Roman" w:hAnsi="Times New Roman"/>
          <w:sz w:val="20"/>
          <w:szCs w:val="20"/>
          <w:color w:val="auto"/>
        </w:rPr>
        <w:t>” and Note 10, “</w:t>
      </w:r>
      <w:r>
        <w:rPr>
          <w:rFonts w:ascii="Times New Roman" w:cs="Times New Roman" w:eastAsia="Times New Roman" w:hAnsi="Times New Roman"/>
          <w:sz w:val="20"/>
          <w:szCs w:val="20"/>
          <w:b w:val="1"/>
          <w:bCs w:val="1"/>
          <w:i w:val="1"/>
          <w:iCs w:val="1"/>
          <w:color w:val="auto"/>
        </w:rPr>
        <w:t>Purchase Commitments and Contingencies</w:t>
      </w:r>
      <w:r>
        <w:rPr>
          <w:rFonts w:ascii="Times New Roman" w:cs="Times New Roman" w:eastAsia="Times New Roman" w:hAnsi="Times New Roman"/>
          <w:sz w:val="20"/>
          <w:szCs w:val="20"/>
          <w:color w:val="auto"/>
        </w:rPr>
        <w:t>” to our consolidated financial statements for further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w:t>
      </w:r>
    </w:p>
    <w:p>
      <w:pPr>
        <w:spacing w:after="0" w:line="1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In addition to our results determined in accordance with accounting principles generally accepted in the United States (“U.S. GAAP” or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440"/>
          </w:cols>
          <w:pgMar w:left="900" w:top="208" w:right="90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review the related GAAP financial measures and the reconciliation of these non-GAAP financial measures to their most directly comparable GAAP financial measures, and not to rely on any single financial measure to evaluate 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35" w:lineRule="exact"/>
        <w:rPr>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expenditures or future requirements for capital expenditures or contractual commitments;</w:t>
      </w:r>
    </w:p>
    <w:p>
      <w:pPr>
        <w:spacing w:after="0" w:line="3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working capital needs;</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replacing the assets being depreciated, which will often have to be replaced in the future;</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non-cash component of employee compensation expense; and</w:t>
      </w:r>
    </w:p>
    <w:p>
      <w:pPr>
        <w:spacing w:after="0" w:line="10" w:lineRule="exact"/>
        <w:rPr>
          <w:rFonts w:ascii="Times New Roman" w:cs="Times New Roman" w:eastAsia="Times New Roman" w:hAnsi="Times New Roman"/>
          <w:sz w:val="20"/>
          <w:szCs w:val="20"/>
          <w:color w:val="auto"/>
        </w:rPr>
      </w:pPr>
    </w:p>
    <w:p>
      <w:pPr>
        <w:ind w:left="720" w:hanging="360"/>
        <w:spacing w:after="0" w:line="26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earnings or charges resulting from matters we consider not to be reflective, on a recurring basis, of our ongoing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Gross Profit and Adjusted Gross Margin</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Adjusted gross profit is a non-GAAP financial measure that we define as revenue less cost of services, excluding depreciation and amortization expense,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22222"/>
        </w:rPr>
        <w:t>The following is a reconciliation of revenue to our adjusted gross profit and adjusted gross margin for the years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22222"/>
        </w:rPr>
        <w:t xml:space="preserve">December 31, 2024 and 2023 </w:t>
      </w:r>
      <w:r>
        <w:rPr>
          <w:rFonts w:ascii="Times New Roman" w:cs="Times New Roman" w:eastAsia="Times New Roman" w:hAnsi="Times New Roman"/>
          <w:sz w:val="20"/>
          <w:szCs w:val="20"/>
          <w:color w:val="000000"/>
        </w:rPr>
        <w:t>(in thousands)</w:t>
      </w:r>
      <w:r>
        <w:rPr>
          <w:rFonts w:ascii="Times New Roman" w:cs="Times New Roman" w:eastAsia="Times New Roman" w:hAnsi="Times New Roman"/>
          <w:sz w:val="20"/>
          <w:szCs w:val="20"/>
          <w:color w:val="222222"/>
        </w:rPr>
        <w:t>:</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7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124"/>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65"/>
        </w:trPr>
        <w:tc>
          <w:tcPr>
            <w:tcW w:w="77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305,450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202,566</w:t>
            </w:r>
          </w:p>
        </w:tc>
      </w:tr>
      <w:tr>
        <w:trPr>
          <w:trHeight w:val="288"/>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20"/>
                <w:szCs w:val="20"/>
                <w:color w:val="auto"/>
              </w:rPr>
              <w:t>111,053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20"/>
                <w:szCs w:val="20"/>
                <w:color w:val="auto"/>
              </w:rPr>
              <w:t>112,560</w:t>
            </w:r>
          </w:p>
        </w:tc>
      </w:tr>
      <w:tr>
        <w:trPr>
          <w:trHeight w:val="265"/>
        </w:trPr>
        <w:tc>
          <w:tcPr>
            <w:tcW w:w="7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Gross profit</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20"/>
                <w:szCs w:val="20"/>
                <w:b w:val="1"/>
                <w:bCs w:val="1"/>
                <w:color w:val="auto"/>
              </w:rPr>
              <w:t>194,397</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20"/>
                <w:szCs w:val="20"/>
                <w:b w:val="1"/>
                <w:bCs w:val="1"/>
                <w:color w:val="auto"/>
              </w:rPr>
              <w:t>90,006</w:t>
            </w:r>
          </w:p>
        </w:tc>
      </w:tr>
      <w:tr>
        <w:trPr>
          <w:trHeight w:val="259"/>
        </w:trPr>
        <w:tc>
          <w:tcPr>
            <w:tcW w:w="7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Gross margin</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64 %</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44 %</w:t>
            </w:r>
          </w:p>
        </w:tc>
      </w:tr>
      <w:tr>
        <w:trPr>
          <w:trHeight w:val="288"/>
        </w:trPr>
        <w:tc>
          <w:tcPr>
            <w:tcW w:w="7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Add:</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4,047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4,350</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80" w:type="dxa"/>
            <w:vAlign w:val="bottom"/>
          </w:tcPr>
          <w:p>
            <w:pPr>
              <w:spacing w:after="0"/>
              <w:rPr>
                <w:sz w:val="24"/>
                <w:szCs w:val="24"/>
                <w:color w:val="auto"/>
              </w:rPr>
            </w:pPr>
          </w:p>
        </w:tc>
        <w:tc>
          <w:tcPr>
            <w:tcW w:w="112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431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rPr>
              <w:t>(1,217)</w:t>
            </w:r>
          </w:p>
        </w:tc>
      </w:tr>
      <w:tr>
        <w:trPr>
          <w:trHeight w:val="288"/>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expense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20"/>
                <w:szCs w:val="20"/>
                <w:color w:val="auto"/>
              </w:rPr>
              <w:t>54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20"/>
                <w:szCs w:val="20"/>
                <w:color w:val="auto"/>
              </w:rPr>
              <w:t>139</w:t>
            </w:r>
          </w:p>
        </w:tc>
      </w:tr>
      <w:tr>
        <w:trPr>
          <w:trHeight w:val="265"/>
        </w:trPr>
        <w:tc>
          <w:tcPr>
            <w:tcW w:w="7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Adjusted gross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20"/>
                <w:szCs w:val="20"/>
                <w:b w:val="1"/>
                <w:bCs w:val="1"/>
                <w:color w:val="auto"/>
              </w:rPr>
              <w:t>198,929</w:t>
            </w:r>
          </w:p>
        </w:tc>
        <w:tc>
          <w:tcPr>
            <w:tcW w:w="60" w:type="dxa"/>
            <w:vAlign w:val="bottom"/>
          </w:tcPr>
          <w:p>
            <w:pPr>
              <w:spacing w:after="0"/>
              <w:rPr>
                <w:sz w:val="23"/>
                <w:szCs w:val="23"/>
                <w:color w:val="auto"/>
              </w:rPr>
            </w:pP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20"/>
                <w:szCs w:val="20"/>
                <w:b w:val="1"/>
                <w:bCs w:val="1"/>
                <w:color w:val="auto"/>
              </w:rPr>
              <w:t>93,278</w:t>
            </w:r>
          </w:p>
        </w:tc>
      </w:tr>
      <w:tr>
        <w:trPr>
          <w:trHeight w:val="259"/>
        </w:trPr>
        <w:tc>
          <w:tcPr>
            <w:tcW w:w="7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gross margin</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65 %</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-1811655</wp:posOffset>
            </wp:positionV>
            <wp:extent cx="6654800" cy="1835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54800" cy="18351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4933950</wp:posOffset>
                </wp:positionH>
                <wp:positionV relativeFrom="paragraph">
                  <wp:posOffset>-1979930</wp:posOffset>
                </wp:positionV>
                <wp:extent cx="169545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5450"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5pt,-155.8999pt" to="522pt,-155.89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4933950</wp:posOffset>
                </wp:positionH>
                <wp:positionV relativeFrom="paragraph">
                  <wp:posOffset>-1798955</wp:posOffset>
                </wp:positionV>
                <wp:extent cx="169545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5450"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5pt,-141.6499pt" to="522pt,-141.64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4933950</wp:posOffset>
                </wp:positionH>
                <wp:positionV relativeFrom="paragraph">
                  <wp:posOffset>-1437005</wp:posOffset>
                </wp:positionV>
                <wp:extent cx="82867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5pt,-113.1499pt" to="453.75pt,-113.14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5800725</wp:posOffset>
                </wp:positionH>
                <wp:positionV relativeFrom="paragraph">
                  <wp:posOffset>-1437005</wp:posOffset>
                </wp:positionV>
                <wp:extent cx="82867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6.75pt,-113.1499pt" to="522pt,-113.14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4933950</wp:posOffset>
                </wp:positionH>
                <wp:positionV relativeFrom="paragraph">
                  <wp:posOffset>-1256030</wp:posOffset>
                </wp:positionV>
                <wp:extent cx="82867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5pt,-98.8999pt" to="453.75pt,-98.89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5800725</wp:posOffset>
                </wp:positionH>
                <wp:positionV relativeFrom="paragraph">
                  <wp:posOffset>-1256030</wp:posOffset>
                </wp:positionV>
                <wp:extent cx="82867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6.75pt,-98.8999pt" to="522pt,-98.89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4933950</wp:posOffset>
                </wp:positionH>
                <wp:positionV relativeFrom="paragraph">
                  <wp:posOffset>-351155</wp:posOffset>
                </wp:positionV>
                <wp:extent cx="82867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5pt,-27.6499pt" to="453.75pt,-27.64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5800725</wp:posOffset>
                </wp:positionH>
                <wp:positionV relativeFrom="paragraph">
                  <wp:posOffset>-351155</wp:posOffset>
                </wp:positionV>
                <wp:extent cx="82867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6.75pt,-27.6499pt" to="522pt,-27.64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4933950</wp:posOffset>
                </wp:positionH>
                <wp:positionV relativeFrom="paragraph">
                  <wp:posOffset>-170180</wp:posOffset>
                </wp:positionV>
                <wp:extent cx="82867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5pt,-13.3999pt" to="453.75pt,-13.39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5800725</wp:posOffset>
                </wp:positionH>
                <wp:positionV relativeFrom="paragraph">
                  <wp:posOffset>-170180</wp:posOffset>
                </wp:positionV>
                <wp:extent cx="82867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6.75pt,-13.3999pt" to="522pt,-13.3999pt" o:allowincell="f" strokecolor="#222222" strokeweight="0pt"/>
            </w:pict>
          </mc:Fallback>
        </mc:AlternateConten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Net Income (Loss)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Adjusted net income (loss) is a non-GAAP financial measure that we define as net income (loss) adjusted for depreciation and amortization, stock-based compensation expenses, impairment loss, restructuring and business exit related charges, change in fair market value of financial liabilities, transaction costs and other (income) expense, net. We believe adjusted net income (loss)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440"/>
          </w:cols>
          <w:pgMar w:left="900" w:top="208" w:right="90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222222"/>
        </w:rPr>
        <w:t xml:space="preserve">The following is a reconciliation of our net loss to adjusted net income (loss) for the years ended December 31, 2024 and 2023 </w:t>
      </w:r>
      <w:r>
        <w:rPr>
          <w:rFonts w:ascii="Times New Roman" w:cs="Times New Roman" w:eastAsia="Times New Roman" w:hAnsi="Times New Roman"/>
          <w:sz w:val="20"/>
          <w:szCs w:val="20"/>
          <w:color w:val="000000"/>
        </w:rPr>
        <w:t>(in</w:t>
      </w:r>
      <w:r>
        <w:rPr>
          <w:rFonts w:ascii="Times New Roman" w:cs="Times New Roman" w:eastAsia="Times New Roman" w:hAnsi="Times New Roman"/>
          <w:sz w:val="20"/>
          <w:szCs w:val="20"/>
          <w:color w:val="222222"/>
        </w:rPr>
        <w:t xml:space="preserve"> </w:t>
      </w:r>
      <w:r>
        <w:rPr>
          <w:rFonts w:ascii="Times New Roman" w:cs="Times New Roman" w:eastAsia="Times New Roman" w:hAnsi="Times New Roman"/>
          <w:sz w:val="20"/>
          <w:szCs w:val="20"/>
          <w:color w:val="000000"/>
        </w:rPr>
        <w:t>thousands)</w:t>
      </w:r>
      <w:r>
        <w:rPr>
          <w:rFonts w:ascii="Times New Roman" w:cs="Times New Roman" w:eastAsia="Times New Roman" w:hAnsi="Times New Roman"/>
          <w:sz w:val="20"/>
          <w:szCs w:val="20"/>
          <w:color w:val="222222"/>
        </w:rPr>
        <w:t>:</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7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65"/>
        </w:trPr>
        <w:tc>
          <w:tcPr>
            <w:tcW w:w="77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(52,286)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(175,767)</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33,734</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9,138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w:t>
            </w:r>
          </w:p>
        </w:tc>
      </w:tr>
      <w:tr>
        <w:trPr>
          <w:trHeight w:val="291"/>
        </w:trPr>
        <w:tc>
          <w:tcPr>
            <w:tcW w:w="7720" w:type="dxa"/>
            <w:vAlign w:val="bottom"/>
          </w:tcPr>
          <w:p>
            <w:pPr>
              <w:spacing w:after="0" w:line="291" w:lineRule="exact"/>
              <w:rPr>
                <w:sz w:val="20"/>
                <w:szCs w:val="20"/>
                <w:color w:val="auto"/>
              </w:rPr>
            </w:pPr>
            <w:r>
              <w:rPr>
                <w:rFonts w:ascii="Times New Roman" w:cs="Times New Roman" w:eastAsia="Times New Roman" w:hAnsi="Times New Roman"/>
                <w:sz w:val="20"/>
                <w:szCs w:val="20"/>
                <w:color w:val="auto"/>
              </w:rPr>
              <w:t xml:space="preserve">Impairment loss </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10,402</w:t>
            </w:r>
          </w:p>
        </w:tc>
      </w:tr>
      <w:tr>
        <w:trPr>
          <w:trHeight w:val="285"/>
        </w:trPr>
        <w:tc>
          <w:tcPr>
            <w:tcW w:w="772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 xml:space="preserve">Restructuring costs </w:t>
            </w:r>
            <w:r>
              <w:rPr>
                <w:rFonts w:ascii="Times New Roman" w:cs="Times New Roman" w:eastAsia="Times New Roman" w:hAnsi="Times New Roman"/>
                <w:sz w:val="26"/>
                <w:szCs w:val="26"/>
                <w:color w:val="auto"/>
                <w:vertAlign w:val="superscript"/>
              </w:rPr>
              <w:t>(2)</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6,532</w:t>
            </w:r>
          </w:p>
        </w:tc>
      </w:tr>
      <w:tr>
        <w:trPr>
          <w:trHeight w:val="285"/>
        </w:trPr>
        <w:tc>
          <w:tcPr>
            <w:tcW w:w="772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 xml:space="preserve">Change in fair value of warrants and contingent liabilities </w:t>
            </w:r>
            <w:r>
              <w:rPr>
                <w:rFonts w:ascii="Times New Roman" w:cs="Times New Roman" w:eastAsia="Times New Roman" w:hAnsi="Times New Roman"/>
                <w:sz w:val="26"/>
                <w:szCs w:val="26"/>
                <w:color w:val="auto"/>
                <w:vertAlign w:val="superscript"/>
              </w:rPr>
              <w:t>(3)</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13,370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w:t>
            </w:r>
          </w:p>
        </w:tc>
      </w:tr>
      <w:tr>
        <w:trPr>
          <w:trHeight w:val="304"/>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Gain on sale of assets </w:t>
            </w:r>
            <w:r>
              <w:rPr>
                <w:rFonts w:ascii="Times New Roman" w:cs="Times New Roman" w:eastAsia="Times New Roman" w:hAnsi="Times New Roman"/>
                <w:sz w:val="26"/>
                <w:szCs w:val="26"/>
                <w:color w:val="auto"/>
                <w:vertAlign w:val="superscript"/>
              </w:rPr>
              <w:t>(4)</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(1,677)</w:t>
            </w:r>
          </w:p>
        </w:tc>
      </w:tr>
      <w:tr>
        <w:trPr>
          <w:trHeight w:val="260"/>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excess and obsolete inventory associated with Legacy Sema4</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3,634</w:t>
            </w:r>
          </w:p>
        </w:tc>
      </w:tr>
      <w:tr>
        <w:trPr>
          <w:trHeight w:val="291"/>
        </w:trPr>
        <w:tc>
          <w:tcPr>
            <w:tcW w:w="7720" w:type="dxa"/>
            <w:vAlign w:val="bottom"/>
          </w:tcPr>
          <w:p>
            <w:pPr>
              <w:spacing w:after="0" w:line="291" w:lineRule="exact"/>
              <w:rPr>
                <w:sz w:val="20"/>
                <w:szCs w:val="20"/>
                <w:color w:val="auto"/>
              </w:rPr>
            </w:pPr>
            <w:r>
              <w:rPr>
                <w:rFonts w:ascii="Times New Roman" w:cs="Times New Roman" w:eastAsia="Times New Roman" w:hAnsi="Times New Roman"/>
                <w:sz w:val="20"/>
                <w:szCs w:val="20"/>
                <w:color w:val="auto"/>
              </w:rPr>
              <w:t xml:space="preserve">Gain on debt forgiveness </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(2,750)</w:t>
            </w:r>
          </w:p>
        </w:tc>
      </w:tr>
      <w:tr>
        <w:trPr>
          <w:trHeight w:val="282"/>
        </w:trPr>
        <w:tc>
          <w:tcPr>
            <w:tcW w:w="7720" w:type="dxa"/>
            <w:vAlign w:val="bottom"/>
          </w:tcPr>
          <w:p>
            <w:pPr>
              <w:spacing w:after="0" w:line="282" w:lineRule="exact"/>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6"/>
                <w:szCs w:val="26"/>
                <w:color w:val="auto"/>
                <w:vertAlign w:val="superscript"/>
              </w:rPr>
              <w:t>(6)</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12,789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1,131</w:t>
            </w:r>
          </w:p>
        </w:tc>
      </w:tr>
      <w:tr>
        <w:trPr>
          <w:trHeight w:val="24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Adjusted 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(126,257)</w:t>
            </w:r>
          </w:p>
        </w:tc>
      </w:tr>
      <w:tr>
        <w:trPr>
          <w:trHeight w:val="20"/>
        </w:trPr>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4933950</wp:posOffset>
                </wp:positionH>
                <wp:positionV relativeFrom="paragraph">
                  <wp:posOffset>-2190750</wp:posOffset>
                </wp:positionV>
                <wp:extent cx="169545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5450"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5pt,-172.4999pt" to="522pt,-172.49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4933950</wp:posOffset>
                </wp:positionH>
                <wp:positionV relativeFrom="paragraph">
                  <wp:posOffset>-2009775</wp:posOffset>
                </wp:positionV>
                <wp:extent cx="82867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5pt,-158.2499pt" to="453.75pt,-158.24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5800725</wp:posOffset>
                </wp:positionH>
                <wp:positionV relativeFrom="paragraph">
                  <wp:posOffset>-2009775</wp:posOffset>
                </wp:positionV>
                <wp:extent cx="82867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6.75pt,-158.2499pt" to="522pt,-158.24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4933950</wp:posOffset>
                </wp:positionH>
                <wp:positionV relativeFrom="paragraph">
                  <wp:posOffset>-200025</wp:posOffset>
                </wp:positionV>
                <wp:extent cx="82867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5pt,-15.7499pt" to="453.75pt,-15.7499pt" o:allowincell="f" strokecolor="#222222" strokeweight="0pt"/>
            </w:pict>
          </mc:Fallback>
        </mc:AlternateContent>
        <mc:AlternateContent>
          <mc:Choice Requires="wps">
            <w:drawing>
              <wp:anchor simplePos="0" relativeHeight="251657728" behindDoc="1" locked="0" layoutInCell="0" allowOverlap="1">
                <wp:simplePos x="0" y="0"/>
                <wp:positionH relativeFrom="column">
                  <wp:posOffset>5800725</wp:posOffset>
                </wp:positionH>
                <wp:positionV relativeFrom="paragraph">
                  <wp:posOffset>-200025</wp:posOffset>
                </wp:positionV>
                <wp:extent cx="82867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22222"/>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6.75pt,-15.7499pt" to="522pt,-15.7499pt" o:allowincell="f" strokecolor="#222222"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-2021840</wp:posOffset>
            </wp:positionV>
            <wp:extent cx="6667500" cy="2041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extLst>
                    </a:blip>
                    <a:srcRect/>
                    <a:stretch>
                      <a:fillRect/>
                    </a:stretch>
                  </pic:blipFill>
                  <pic:spPr bwMode="auto">
                    <a:xfrm>
                      <a:off x="0" y="0"/>
                      <a:ext cx="6667500" cy="2041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68" w:lineRule="exact"/>
        <w:rPr>
          <w:sz w:val="20"/>
          <w:szCs w:val="20"/>
          <w:color w:val="auto"/>
        </w:rPr>
      </w:pPr>
    </w:p>
    <w:p>
      <w:pPr>
        <w:ind w:left="360" w:hanging="360"/>
        <w:spacing w:after="0"/>
        <w:tabs>
          <w:tab w:leader="none" w:pos="3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impairment of certain capital and right-of-use asset leases.</w:t>
      </w:r>
    </w:p>
    <w:p>
      <w:pPr>
        <w:spacing w:after="0" w:line="24" w:lineRule="exact"/>
        <w:rPr>
          <w:rFonts w:ascii="Times New Roman" w:cs="Times New Roman" w:eastAsia="Times New Roman" w:hAnsi="Times New Roman"/>
          <w:sz w:val="16"/>
          <w:szCs w:val="16"/>
          <w:color w:val="auto"/>
        </w:rPr>
      </w:pPr>
    </w:p>
    <w:p>
      <w:pPr>
        <w:ind w:left="360" w:hanging="360"/>
        <w:spacing w:after="0"/>
        <w:tabs>
          <w:tab w:leader="none" w:pos="3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for restructuring activities, which include severance, and in the prior period, third-party consulting costs.</w:t>
      </w:r>
    </w:p>
    <w:p>
      <w:pPr>
        <w:spacing w:after="0" w:line="8" w:lineRule="exact"/>
        <w:rPr>
          <w:rFonts w:ascii="Times New Roman" w:cs="Times New Roman" w:eastAsia="Times New Roman" w:hAnsi="Times New Roman"/>
          <w:sz w:val="16"/>
          <w:szCs w:val="16"/>
          <w:color w:val="auto"/>
        </w:rPr>
      </w:pPr>
    </w:p>
    <w:p>
      <w:pPr>
        <w:ind w:left="360" w:right="340" w:hanging="360"/>
        <w:spacing w:after="0" w:line="250" w:lineRule="auto"/>
        <w:tabs>
          <w:tab w:leader="none" w:pos="3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change in fair market value of the liabilities associated with our public warrants, private placement warrants, Perceptive warrants and the earn-out shares.</w:t>
      </w:r>
    </w:p>
    <w:p>
      <w:pPr>
        <w:ind w:left="360" w:hanging="360"/>
        <w:spacing w:after="0"/>
        <w:tabs>
          <w:tab w:leader="none" w:pos="3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prior year gain recognized on the sale of certain assets sold as a result of an auction.</w:t>
      </w:r>
    </w:p>
    <w:p>
      <w:pPr>
        <w:spacing w:after="0" w:line="8" w:lineRule="exact"/>
        <w:rPr>
          <w:rFonts w:ascii="Times New Roman" w:cs="Times New Roman" w:eastAsia="Times New Roman" w:hAnsi="Times New Roman"/>
          <w:sz w:val="16"/>
          <w:szCs w:val="16"/>
          <w:color w:val="auto"/>
        </w:rPr>
      </w:pPr>
    </w:p>
    <w:p>
      <w:pPr>
        <w:ind w:left="360" w:hanging="360"/>
        <w:spacing w:after="0"/>
        <w:tabs>
          <w:tab w:leader="none" w:pos="3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principal loan forgiveness under the amendment to the DECD loan.</w:t>
      </w:r>
    </w:p>
    <w:p>
      <w:pPr>
        <w:spacing w:after="0" w:line="8" w:lineRule="exact"/>
        <w:rPr>
          <w:rFonts w:ascii="Times New Roman" w:cs="Times New Roman" w:eastAsia="Times New Roman" w:hAnsi="Times New Roman"/>
          <w:sz w:val="16"/>
          <w:szCs w:val="16"/>
          <w:color w:val="auto"/>
        </w:rPr>
      </w:pPr>
    </w:p>
    <w:p>
      <w:pPr>
        <w:ind w:left="360" w:right="20" w:hanging="360"/>
        <w:spacing w:after="0" w:line="255" w:lineRule="auto"/>
        <w:tabs>
          <w:tab w:leader="none" w:pos="3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2024, represents a legal settlement for a certain litigation matter. See Note 10, “</w:t>
      </w:r>
      <w:r>
        <w:rPr>
          <w:rFonts w:ascii="Times New Roman" w:cs="Times New Roman" w:eastAsia="Times New Roman" w:hAnsi="Times New Roman"/>
          <w:sz w:val="16"/>
          <w:szCs w:val="16"/>
          <w:b w:val="1"/>
          <w:bCs w:val="1"/>
          <w:i w:val="1"/>
          <w:iCs w:val="1"/>
          <w:color w:val="auto"/>
        </w:rPr>
        <w:t>Purchase Commitments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Contingencies</w:t>
      </w:r>
      <w:r>
        <w:rPr>
          <w:rFonts w:ascii="Times New Roman" w:cs="Times New Roman" w:eastAsia="Times New Roman" w:hAnsi="Times New Roman"/>
          <w:sz w:val="16"/>
          <w:szCs w:val="16"/>
          <w:color w:val="auto"/>
        </w:rPr>
        <w:t>” to our consolidated financial statements for further information. For the year ended December 31, 2023, represents contract termination costs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associated with the now discontinued Legacy Sema4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 xml:space="preserve">As of </w:t>
      </w:r>
      <w:r>
        <w:rPr>
          <w:rFonts w:ascii="Times New Roman" w:cs="Times New Roman" w:eastAsia="Times New Roman" w:hAnsi="Times New Roman"/>
          <w:sz w:val="20"/>
          <w:szCs w:val="20"/>
          <w:color w:val="222222"/>
        </w:rPr>
        <w:t>December 31, 2024</w:t>
      </w:r>
      <w:r>
        <w:rPr>
          <w:rFonts w:ascii="Times New Roman" w:cs="Times New Roman" w:eastAsia="Times New Roman" w:hAnsi="Times New Roman"/>
          <w:sz w:val="20"/>
          <w:szCs w:val="20"/>
          <w:color w:val="auto"/>
        </w:rPr>
        <w:t>, our existing cash and cash equivalents and available-for-sale marketable securities were $141.2 million.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believe that our cash and cash equivalents and available-for-sale marketable securities provide us with sufficient liquidity for at least twelve months from the filing date of this Annual Report. Accordingly, our consolidated financial statements included in this Annual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by entering into other credit facilities or other forms of third-party funding, or other debt financing or by disposing of assets or businesses.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have an effective shelf registration statement that we filed with the SEC in August of 2022, registering $300 million of shares of our Class A common stock and other securities. As of December 31, 2024, approximately $102 million of securities remained available under this registration statement. Further, we have entered into a sales agreement (the “Sales Agreement”) with TD Securities (USA) LLC (“TD Cowen”) pursuant to which we may, but are not obligated to, offer and sell, from time to time, shares of our Class A common stock with an aggregate offering price up to $75.0 million through TD Cowen, as sales agent, subject to the terms and conditions described in the Sales Agreement and SEC rules and regulations (our “ATM offering”). As of December 31, 2024, approximately $26.8 million of capacity remained available under this ATM offering.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Cash Requirements for Known Contractual Obligations and Commitments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following is a description of commitments for known and reasonably likely cash requirements as of December 31, 2024 and December 31, 2023. We anticipate fulfilling such commitments with our existing cash and cash equivalents and available-for-sale marketable securities or through additional capital raised to finance our operations.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Our future minimum payments under non-cancellable operating lease and finance lease agreements were $62.3 million and $31.9 million, respectively as of December 31, 2024. The timing of these future payments, by year, can be found in our consolidated financial statements in Note 9,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included within this Annual Report.</w:t>
      </w:r>
    </w:p>
    <w:p>
      <w:pPr>
        <w:spacing w:after="0" w:line="13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As discussed in the notes to our consolidated financial statements, in 2022, we entered into an agreement with one of our third-party payors to settle for $42.0 million claims related to coverage and billing matters allegedly resulting in overpayments by the</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440"/>
          </w:cols>
          <w:pgMar w:left="900" w:top="208" w:right="90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payor to Legacy Sema4. As of December 31, 2024, remaining payments due to the payor were $12.0 million. For more information regarding this matter, see Note 3, “</w:t>
      </w:r>
      <w:r>
        <w:rPr>
          <w:rFonts w:ascii="Times New Roman" w:cs="Times New Roman" w:eastAsia="Times New Roman" w:hAnsi="Times New Roman"/>
          <w:sz w:val="20"/>
          <w:szCs w:val="20"/>
          <w:b w:val="1"/>
          <w:bCs w:val="1"/>
          <w:i w:val="1"/>
          <w:iCs w:val="1"/>
          <w:color w:val="auto"/>
        </w:rPr>
        <w:t>Revenue Recognition</w:t>
      </w:r>
      <w:r>
        <w:rPr>
          <w:rFonts w:ascii="Times New Roman" w:cs="Times New Roman" w:eastAsia="Times New Roman" w:hAnsi="Times New Roman"/>
          <w:sz w:val="20"/>
          <w:szCs w:val="20"/>
          <w:color w:val="auto"/>
        </w:rPr>
        <w:t>” included within this Annual Report.</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Our future contractual purchase commitments were $37.6 million as of December 31, 2024. The timing of these future payments, by year, can be found in our consolidated financial statements in Note 10, “</w:t>
      </w:r>
      <w:r>
        <w:rPr>
          <w:rFonts w:ascii="Times New Roman" w:cs="Times New Roman" w:eastAsia="Times New Roman" w:hAnsi="Times New Roman"/>
          <w:sz w:val="20"/>
          <w:szCs w:val="20"/>
          <w:b w:val="1"/>
          <w:bCs w:val="1"/>
          <w:i w:val="1"/>
          <w:iCs w:val="1"/>
          <w:color w:val="auto"/>
        </w:rPr>
        <w:t>Purchase Commitments and Contingencies</w:t>
      </w:r>
      <w:r>
        <w:rPr>
          <w:rFonts w:ascii="Times New Roman" w:cs="Times New Roman" w:eastAsia="Times New Roman" w:hAnsi="Times New Roman"/>
          <w:sz w:val="20"/>
          <w:szCs w:val="20"/>
          <w:color w:val="auto"/>
        </w:rPr>
        <w:t>”, included within this Annual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7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5"/>
        </w:trPr>
        <w:tc>
          <w:tcPr>
            <w:tcW w:w="77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(28,496)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(180,147)</w:t>
            </w:r>
          </w:p>
        </w:tc>
      </w:tr>
      <w:tr>
        <w:trPr>
          <w:trHeight w:val="285"/>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(30,132)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(43,726)</w:t>
            </w:r>
          </w:p>
        </w:tc>
      </w:tr>
      <w:tr>
        <w:trPr>
          <w:trHeight w:val="285"/>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44,162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186,238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-546735</wp:posOffset>
            </wp:positionV>
            <wp:extent cx="6645275" cy="5683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extLst>
                    </a:blip>
                    <a:srcRect/>
                    <a:stretch>
                      <a:fillRect/>
                    </a:stretch>
                  </pic:blipFill>
                  <pic:spPr bwMode="auto">
                    <a:xfrm>
                      <a:off x="0" y="0"/>
                      <a:ext cx="6645275" cy="56832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Net cash used in operating activities during the year ended December 31, 2024 was $28.5 million, driven by lower cash expenditures in the current year as compared with the prior year, which reflected improved gross margin profitability, as well as the realization of cost savings from the exited Legacy Sema4 business and previously executed cost reduction initiatives.</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Net cash used in operating activities during the year ended December 31, 2023 was $180.1 million, which was primarily attributable to a net loss of $175.8 million and unfavorable working capital associated with the wind down of the Legacy Sema4 accounts payable, primarily during the second half of 2023, which was partially offset by the release of a third-party payor reserve.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Net cash used in investing activities during the year ended December 31, 2024 was $30.1 million which included purchases of marketable securities of $66.3 million and $5.5 million in purchases of property and equipment, partially offset by $41.7 million in proceeds from the sales and maturities of marketable securities.</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Net cash used in investing activities during the year ended December 31, 2023 was $43.7 million, which included purchases of marketable securities of $47.7 million, $12.1 million in consideration held in escrow paid for the Acquisition and $5.3 million in purchases of property and equipment, which was offset partially by $17.8 million in proceeds from maturities of marketable securities and $4.0 million in proceeds from the sale of 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Net cash provided by financing activities during the year ended December 31, 2024 was $44.2 million, which included $46.5 million in proceeds from our ATM offering, net of issuance costs, partially offset by $2.7 million of finance lease payments and $0.5 million of principal payments on the DECD loan.</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Net cash provided by financing activities during the year ended December 31, 2023 was $186.2 million, which was primarily driven by the $143.0 million net proceeds from the underwritten public offering and concurrent registered direct offering, net of issuance costs, and $48.5 million from the term loan facility with Perceptive (the “Perceptive Term Loan Facility”), which was offset partially by the DECD loan payment of $2.0 million and $3.6 million of finance lease payments.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on recent accounting pronouncements can be found in Note 2, “</w:t>
      </w:r>
      <w:r>
        <w:rPr>
          <w:rFonts w:ascii="Times New Roman" w:cs="Times New Roman" w:eastAsia="Times New Roman" w:hAnsi="Times New Roman"/>
          <w:sz w:val="20"/>
          <w:szCs w:val="20"/>
          <w:b w:val="1"/>
          <w:bCs w:val="1"/>
          <w:i w:val="1"/>
          <w:iCs w:val="1"/>
          <w:color w:val="auto"/>
        </w:rPr>
        <w:t>Summary of Significant Accounting Policies</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Filer Status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of Smaller Reporting Company Status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As the market value of our shares of Class A common stock held by non-affiliates was between $250.0 million and $700.0 million as of June 28, 2024 (the last business day of our most recently completed second fiscal quarter) and our revenue for the year ended December 31, 2023 was more than $100.0 million, we continue to be deemed an accelerated filer under the Securities Exchange Act of 1934, as amended (the “Exchange Act”) as of December 31, 2024. However, we are no longer a “smaller</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440"/>
          </w:cols>
          <w:pgMar w:left="900" w:top="208" w:right="90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reporting company” and will no longer be eligible to rely on the scaled disclosure exemptions available to smaller reporting companies starting with our first Quarterly Report on Form 10-Q in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JOBS Act Accounting Election</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are an “emerging growth company” within the meaning of the Jumpstart Our Business Startups Act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will remain an emerging growth company until the earliest of (1) September 1, 2025, (2) the last day of the fiscal year in which we have total annual gross revenue of at least $1.235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judgments,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See Note 2, “</w:t>
      </w:r>
      <w:r>
        <w:rPr>
          <w:rFonts w:ascii="Times New Roman" w:cs="Times New Roman" w:eastAsia="Times New Roman" w:hAnsi="Times New Roman"/>
          <w:sz w:val="20"/>
          <w:szCs w:val="20"/>
          <w:b w:val="1"/>
          <w:bCs w:val="1"/>
          <w:i w:val="1"/>
          <w:iCs w:val="1"/>
          <w:color w:val="auto"/>
        </w:rPr>
        <w:t>Summary of Significant Accounting Policies</w:t>
      </w:r>
      <w:r>
        <w:rPr>
          <w:rFonts w:ascii="Times New Roman" w:cs="Times New Roman" w:eastAsia="Times New Roman" w:hAnsi="Times New Roman"/>
          <w:sz w:val="20"/>
          <w:szCs w:val="20"/>
          <w:color w:val="auto"/>
        </w:rPr>
        <w:t>” to our consolidated financial statements for a complete description of each of these critical accounting policies and estimates. Each of these critical accounting policies could potentially generate materially different results if we were to change underlying assumptions, estimates and/or judgments. Although actual results may differ from those estimates, we believe the estimates are reasonable and appropriate.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recognize revenue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Diagnostic Test Revenue</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estimate a transaction price in arrangements with third-party insurance payors based on historical collection experience, contractual provisions and insurance reimbursement policies, payor mix, and other relevant information for applicable payor portfolios. The portfolio approach is used as a practical expedient to account for categories of diagnostic test contracts as collective groups rather than on an individual contract basis. Management believes that revenue recognized by utilizing the portfolio approach approximates the revenue that would have been recognized if an individual contract approach was used. For orders received for self-pay patients, we determine a transaction price associated with services rendered in consideration of implicit price concessions that are granted to such orders.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 For institutional clients, the customer is the institution. We determine a transaction price associated with services rendered in accordance with the contractual rates established with each customer.</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monitor these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our estimates, we will adjust these estimates, which could affect revenue and earnings in the period such variances become known.</w:t>
      </w:r>
    </w:p>
    <w:p>
      <w:pPr>
        <w:sectPr>
          <w:pgSz w:w="12240" w:h="15840" w:orient="portrait"/>
          <w:cols w:equalWidth="0" w:num="1">
            <w:col w:w="10440"/>
          </w:cols>
          <w:pgMar w:left="900" w:top="208" w:right="900" w:bottom="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440"/>
          </w:cols>
          <w:pgMar w:left="900" w:top="208" w:right="90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Revenue</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also recognize revenue from collaboration service agreements with biopharma companies and other third parties pursuant to which we health information and patient identification support services. Certain of these contracts provide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For certain service or collaboration contracts that require us to transfer control of the service over time,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including any subcontracted service costs.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are exposed to market risks in the ordinary course of our business. These risks primarily relate to interest rates. Our cash, cash equivalents, available-for-sale marketable securities and restricted cash consists of bank deposits and money market funds, which totaled $142.2 million and $131.1 million at December 31, 2024 and 2023, respectively.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100-basis-point change in interest rates would not have a material effect on the fair market value of our cash, cash equivalents and restricted cash.</w:t>
      </w:r>
    </w:p>
    <w:p>
      <w:pPr>
        <w:spacing w:after="0" w:line="1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are also exposed to interest rate risk on our variable rate debt associated with the Perceptive Term Loan Facility. Changes in interest rates can impact future interest payments we are obligated to pay.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86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See Note 8, “</w:t>
            </w:r>
            <w:r>
              <w:rPr>
                <w:rFonts w:ascii="Times New Roman" w:cs="Times New Roman" w:eastAsia="Times New Roman" w:hAnsi="Times New Roman"/>
                <w:sz w:val="20"/>
                <w:szCs w:val="20"/>
                <w:b w:val="1"/>
                <w:bCs w:val="1"/>
                <w:i w:val="1"/>
                <w:iCs w:val="1"/>
                <w:color w:val="auto"/>
              </w:rPr>
              <w:t>Long-Term Debt</w:t>
            </w:r>
            <w:r>
              <w:rPr>
                <w:rFonts w:ascii="Times New Roman" w:cs="Times New Roman" w:eastAsia="Times New Roman" w:hAnsi="Times New Roman"/>
                <w:sz w:val="20"/>
                <w:szCs w:val="20"/>
                <w:color w:val="auto"/>
              </w:rPr>
              <w:t>” to our consolidated financial statements for further information.</w:t>
            </w:r>
          </w:p>
        </w:tc>
        <w:tc>
          <w:tcPr>
            <w:tcW w:w="1420" w:type="dxa"/>
            <w:vAlign w:val="bottom"/>
          </w:tcPr>
          <w:p>
            <w:pPr>
              <w:spacing w:after="0"/>
              <w:rPr>
                <w:sz w:val="22"/>
                <w:szCs w:val="22"/>
                <w:color w:val="auto"/>
              </w:rPr>
            </w:pPr>
          </w:p>
        </w:tc>
      </w:tr>
      <w:tr>
        <w:trPr>
          <w:trHeight w:val="417"/>
        </w:trPr>
        <w:tc>
          <w:tcPr>
            <w:tcW w:w="886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142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4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9"/>
              </w:rPr>
              <w:t>Report of Independent Registered Public Accounting Firm</w:t>
            </w: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(PCAOB ID 42)</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308"/>
        </w:trPr>
        <w:tc>
          <w:tcPr>
            <w:tcW w:w="60" w:type="dxa"/>
            <w:vAlign w:val="bottom"/>
          </w:tcPr>
          <w:p>
            <w:pPr>
              <w:spacing w:after="0"/>
              <w:rPr>
                <w:sz w:val="24"/>
                <w:szCs w:val="24"/>
                <w:color w:val="auto"/>
              </w:rPr>
            </w:pPr>
          </w:p>
        </w:tc>
        <w:tc>
          <w:tcPr>
            <w:tcW w:w="88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Consolidated Financial Statements:</w:t>
            </w:r>
          </w:p>
        </w:tc>
        <w:tc>
          <w:tcPr>
            <w:tcW w:w="1420" w:type="dxa"/>
            <w:vAlign w:val="bottom"/>
          </w:tcPr>
          <w:p>
            <w:pPr>
              <w:spacing w:after="0"/>
              <w:rPr>
                <w:sz w:val="24"/>
                <w:szCs w:val="24"/>
                <w:color w:val="auto"/>
              </w:rPr>
            </w:pPr>
          </w:p>
        </w:tc>
      </w:tr>
      <w:tr>
        <w:trPr>
          <w:trHeight w:val="242"/>
        </w:trPr>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20" w:type="dxa"/>
            <w:vAlign w:val="bottom"/>
            <w:tcBorders>
              <w:bottom w:val="single" w:sz="8" w:color="0000FF"/>
            </w:tcBorders>
          </w:tcPr>
          <w:p>
            <w:pPr>
              <w:spacing w:after="0" w:line="222" w:lineRule="exact"/>
              <w:rPr>
                <w:sz w:val="20"/>
                <w:szCs w:val="20"/>
                <w:color w:val="auto"/>
              </w:rPr>
            </w:pPr>
            <w:r>
              <w:rPr>
                <w:rFonts w:ascii="Times New Roman" w:cs="Times New Roman" w:eastAsia="Times New Roman" w:hAnsi="Times New Roman"/>
                <w:sz w:val="20"/>
                <w:szCs w:val="20"/>
                <w:color w:val="0000FF"/>
                <w:w w:val="99"/>
              </w:rPr>
              <w:t>Consolidated Balance Sheets</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c>
          <w:tcPr>
            <w:tcW w:w="3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1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9"/>
              </w:rPr>
              <w:t>Consolidated Statements of Operations and Comprehensive Loss</w:t>
            </w:r>
          </w:p>
        </w:tc>
        <w:tc>
          <w:tcPr>
            <w:tcW w:w="32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9"/>
              </w:rPr>
              <w:t>Consolidated Statements of Stockholders' Equity</w:t>
            </w:r>
          </w:p>
        </w:tc>
        <w:tc>
          <w:tcPr>
            <w:tcW w:w="4540" w:type="dxa"/>
            <w:vAlign w:val="bottom"/>
            <w:gridSpan w:val="3"/>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9"/>
              </w:rPr>
              <w:t>Consolidated Statements of Cash Flows</w:t>
            </w:r>
          </w:p>
        </w:tc>
        <w:tc>
          <w:tcPr>
            <w:tcW w:w="300" w:type="dxa"/>
            <w:vAlign w:val="bottom"/>
          </w:tcPr>
          <w:p>
            <w:pPr>
              <w:spacing w:after="0"/>
              <w:rPr>
                <w:sz w:val="23"/>
                <w:szCs w:val="23"/>
                <w:color w:val="auto"/>
              </w:rPr>
            </w:pPr>
          </w:p>
        </w:tc>
        <w:tc>
          <w:tcPr>
            <w:tcW w:w="4960" w:type="dxa"/>
            <w:vAlign w:val="bottom"/>
            <w:gridSpan w:val="4"/>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65"/>
        </w:trPr>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Notes to Consolidated Financial Statements</w:t>
            </w:r>
          </w:p>
        </w:tc>
        <w:tc>
          <w:tcPr>
            <w:tcW w:w="4960" w:type="dxa"/>
            <w:vAlign w:val="bottom"/>
            <w:gridSpan w:val="4"/>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-1236345</wp:posOffset>
            </wp:positionV>
            <wp:extent cx="6654800" cy="1292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extLst>
                    </a:blip>
                    <a:srcRect/>
                    <a:stretch>
                      <a:fillRect/>
                    </a:stretch>
                  </pic:blipFill>
                  <pic:spPr bwMode="auto">
                    <a:xfrm>
                      <a:off x="0" y="0"/>
                      <a:ext cx="6654800" cy="1292225"/>
                    </a:xfrm>
                    <a:prstGeom prst="rect">
                      <a:avLst/>
                    </a:prstGeom>
                    <a:noFill/>
                  </pic:spPr>
                </pic:pic>
              </a:graphicData>
            </a:graphic>
          </wp:anchor>
        </w:drawing>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440"/>
          </w:cols>
          <w:pgMar w:left="900" w:top="208" w:right="90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ind w:right="2720" w:firstLine="2717"/>
        <w:spacing w:after="0" w:line="440"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GeneDx Holdings Corp. </w:t>
      </w:r>
      <w:r>
        <w:rPr>
          <w:rFonts w:ascii="Times New Roman" w:cs="Times New Roman" w:eastAsia="Times New Roman" w:hAnsi="Times New Roman"/>
          <w:sz w:val="20"/>
          <w:szCs w:val="20"/>
          <w:b w:val="1"/>
          <w:bCs w:val="1"/>
          <w:color w:val="auto"/>
        </w:rPr>
        <w:t>Opinion on the Financial Statements</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GeneDx Holdings Corp. (the Company) as of December 31, 2024 and 2023, the related consolidated statements of operations and comprehensive loss,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2018.</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20, 2025</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440"/>
          </w:cols>
          <w:pgMar w:left="900" w:top="208" w:right="900" w:bottom="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6"/>
        </w:trPr>
        <w:tc>
          <w:tcPr>
            <w:tcW w:w="1440" w:type="dxa"/>
            <w:vAlign w:val="bottom"/>
            <w:tcBorders>
              <w:top w:val="single" w:sz="8" w:color="0000FF"/>
            </w:tcBorders>
          </w:tcPr>
          <w:p>
            <w:pPr>
              <w:spacing w:after="0"/>
              <w:rPr>
                <w:sz w:val="24"/>
                <w:szCs w:val="24"/>
                <w:color w:val="auto"/>
              </w:rPr>
            </w:pPr>
          </w:p>
        </w:tc>
        <w:tc>
          <w:tcPr>
            <w:tcW w:w="6340" w:type="dxa"/>
            <w:vAlign w:val="bottom"/>
          </w:tcPr>
          <w:p>
            <w:pPr>
              <w:jc w:val="center"/>
              <w:ind w:left="1120"/>
              <w:spacing w:after="0"/>
              <w:rPr>
                <w:sz w:val="20"/>
                <w:szCs w:val="20"/>
                <w:color w:val="auto"/>
              </w:rPr>
            </w:pPr>
            <w:r>
              <w:rPr>
                <w:rFonts w:ascii="Times New Roman" w:cs="Times New Roman" w:eastAsia="Times New Roman" w:hAnsi="Times New Roman"/>
                <w:sz w:val="20"/>
                <w:szCs w:val="20"/>
                <w:b w:val="1"/>
                <w:bCs w:val="1"/>
                <w:color w:val="auto"/>
                <w:w w:val="99"/>
              </w:rPr>
              <w:t>GeneDx Holdings Corp.</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40" w:type="dxa"/>
            <w:vAlign w:val="bottom"/>
          </w:tcPr>
          <w:p>
            <w:pPr>
              <w:spacing w:after="0"/>
              <w:rPr>
                <w:sz w:val="20"/>
                <w:szCs w:val="20"/>
                <w:color w:val="auto"/>
              </w:rPr>
            </w:pPr>
          </w:p>
        </w:tc>
        <w:tc>
          <w:tcPr>
            <w:tcW w:w="6340" w:type="dxa"/>
            <w:vAlign w:val="bottom"/>
          </w:tcPr>
          <w:p>
            <w:pPr>
              <w:jc w:val="center"/>
              <w:ind w:left="1120"/>
              <w:spacing w:after="0"/>
              <w:rPr>
                <w:sz w:val="20"/>
                <w:szCs w:val="20"/>
                <w:color w:val="auto"/>
              </w:rPr>
            </w:pPr>
            <w:r>
              <w:rPr>
                <w:rFonts w:ascii="Times New Roman" w:cs="Times New Roman" w:eastAsia="Times New Roman" w:hAnsi="Times New Roman"/>
                <w:sz w:val="20"/>
                <w:szCs w:val="20"/>
                <w:b w:val="1"/>
                <w:bCs w:val="1"/>
                <w:color w:val="auto"/>
                <w:w w:val="99"/>
              </w:rPr>
              <w:t>Consolidated Balance Sheets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440" w:type="dxa"/>
            <w:vAlign w:val="bottom"/>
          </w:tcPr>
          <w:p>
            <w:pPr>
              <w:spacing w:after="0"/>
              <w:rPr>
                <w:sz w:val="22"/>
                <w:szCs w:val="22"/>
                <w:color w:val="auto"/>
              </w:rPr>
            </w:pPr>
          </w:p>
        </w:tc>
        <w:tc>
          <w:tcPr>
            <w:tcW w:w="6340" w:type="dxa"/>
            <w:vAlign w:val="bottom"/>
          </w:tcPr>
          <w:p>
            <w:pPr>
              <w:jc w:val="center"/>
              <w:ind w:left="11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0"/>
        </w:trPr>
        <w:tc>
          <w:tcPr>
            <w:tcW w:w="14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5"/>
        </w:trPr>
        <w:tc>
          <w:tcPr>
            <w:tcW w:w="1440" w:type="dxa"/>
            <w:vAlign w:val="bottom"/>
          </w:tcPr>
          <w:p>
            <w:pPr>
              <w:spacing w:after="0"/>
              <w:rPr>
                <w:sz w:val="23"/>
                <w:szCs w:val="23"/>
                <w:color w:val="auto"/>
              </w:rPr>
            </w:pPr>
          </w:p>
        </w:tc>
        <w:tc>
          <w:tcPr>
            <w:tcW w:w="63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2"/>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Current assets: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85,212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99,681</w:t>
            </w:r>
          </w:p>
        </w:tc>
        <w:tc>
          <w:tcPr>
            <w:tcW w:w="0" w:type="dxa"/>
            <w:vAlign w:val="bottom"/>
          </w:tcPr>
          <w:p>
            <w:pPr>
              <w:spacing w:after="0"/>
              <w:rPr>
                <w:sz w:val="1"/>
                <w:szCs w:val="1"/>
                <w:color w:val="auto"/>
              </w:rPr>
            </w:pPr>
          </w:p>
        </w:tc>
      </w:tr>
      <w:tr>
        <w:trPr>
          <w:trHeight w:val="285"/>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Marketable securities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55,973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30,467</w:t>
            </w:r>
          </w:p>
        </w:tc>
        <w:tc>
          <w:tcPr>
            <w:tcW w:w="0" w:type="dxa"/>
            <w:vAlign w:val="bottom"/>
          </w:tcPr>
          <w:p>
            <w:pPr>
              <w:spacing w:after="0"/>
              <w:rPr>
                <w:sz w:val="1"/>
                <w:szCs w:val="1"/>
                <w:color w:val="auto"/>
              </w:rPr>
            </w:pPr>
          </w:p>
        </w:tc>
      </w:tr>
      <w:tr>
        <w:trPr>
          <w:trHeight w:val="285"/>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Accounts receivable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37,426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32,371</w:t>
            </w:r>
          </w:p>
        </w:tc>
        <w:tc>
          <w:tcPr>
            <w:tcW w:w="0" w:type="dxa"/>
            <w:vAlign w:val="bottom"/>
          </w:tcPr>
          <w:p>
            <w:pPr>
              <w:spacing w:after="0"/>
              <w:rPr>
                <w:sz w:val="1"/>
                <w:szCs w:val="1"/>
                <w:color w:val="auto"/>
              </w:rPr>
            </w:pPr>
          </w:p>
        </w:tc>
      </w:tr>
      <w:tr>
        <w:trPr>
          <w:trHeight w:val="285"/>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Due from related parties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445</w:t>
            </w:r>
          </w:p>
        </w:tc>
        <w:tc>
          <w:tcPr>
            <w:tcW w:w="0" w:type="dxa"/>
            <w:vAlign w:val="bottom"/>
          </w:tcPr>
          <w:p>
            <w:pPr>
              <w:spacing w:after="0"/>
              <w:rPr>
                <w:sz w:val="1"/>
                <w:szCs w:val="1"/>
                <w:color w:val="auto"/>
              </w:rPr>
            </w:pPr>
          </w:p>
        </w:tc>
      </w:tr>
      <w:tr>
        <w:trPr>
          <w:trHeight w:val="285"/>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Inventory, net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8,777</w:t>
            </w:r>
          </w:p>
        </w:tc>
        <w:tc>
          <w:tcPr>
            <w:tcW w:w="0" w:type="dxa"/>
            <w:vAlign w:val="bottom"/>
          </w:tcPr>
          <w:p>
            <w:pPr>
              <w:spacing w:after="0"/>
              <w:rPr>
                <w:sz w:val="1"/>
                <w:szCs w:val="1"/>
                <w:color w:val="auto"/>
              </w:rPr>
            </w:pPr>
          </w:p>
        </w:tc>
      </w:tr>
      <w:tr>
        <w:trPr>
          <w:trHeight w:val="288"/>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8,504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10,598</w:t>
            </w:r>
          </w:p>
        </w:tc>
        <w:tc>
          <w:tcPr>
            <w:tcW w:w="0" w:type="dxa"/>
            <w:vAlign w:val="bottom"/>
          </w:tcPr>
          <w:p>
            <w:pPr>
              <w:spacing w:after="0"/>
              <w:rPr>
                <w:sz w:val="1"/>
                <w:szCs w:val="1"/>
                <w:color w:val="auto"/>
              </w:rPr>
            </w:pPr>
          </w:p>
        </w:tc>
      </w:tr>
      <w:tr>
        <w:trPr>
          <w:trHeight w:val="262"/>
        </w:trPr>
        <w:tc>
          <w:tcPr>
            <w:tcW w:w="77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Total current assets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197,968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182,339</w:t>
            </w:r>
          </w:p>
        </w:tc>
        <w:tc>
          <w:tcPr>
            <w:tcW w:w="0" w:type="dxa"/>
            <w:vAlign w:val="bottom"/>
          </w:tcPr>
          <w:p>
            <w:pPr>
              <w:spacing w:after="0"/>
              <w:rPr>
                <w:sz w:val="1"/>
                <w:szCs w:val="1"/>
                <w:color w:val="auto"/>
              </w:rPr>
            </w:pP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25,613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26,900</w:t>
            </w:r>
          </w:p>
        </w:tc>
        <w:tc>
          <w:tcPr>
            <w:tcW w:w="0" w:type="dxa"/>
            <w:vAlign w:val="bottom"/>
          </w:tcPr>
          <w:p>
            <w:pPr>
              <w:spacing w:after="0"/>
              <w:rPr>
                <w:sz w:val="1"/>
                <w:szCs w:val="1"/>
                <w:color w:val="auto"/>
              </w:rPr>
            </w:pP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32,893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32,479</w:t>
            </w:r>
          </w:p>
        </w:tc>
        <w:tc>
          <w:tcPr>
            <w:tcW w:w="0" w:type="dxa"/>
            <w:vAlign w:val="bottom"/>
          </w:tcPr>
          <w:p>
            <w:pPr>
              <w:spacing w:after="0"/>
              <w:rPr>
                <w:sz w:val="1"/>
                <w:szCs w:val="1"/>
                <w:color w:val="auto"/>
              </w:rPr>
            </w:pP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Intangible assets, net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158,600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172,625</w:t>
            </w:r>
          </w:p>
        </w:tc>
        <w:tc>
          <w:tcPr>
            <w:tcW w:w="0" w:type="dxa"/>
            <w:vAlign w:val="bottom"/>
          </w:tcPr>
          <w:p>
            <w:pPr>
              <w:spacing w:after="0"/>
              <w:rPr>
                <w:sz w:val="1"/>
                <w:szCs w:val="1"/>
                <w:color w:val="auto"/>
              </w:rPr>
            </w:pPr>
          </w:p>
        </w:tc>
      </w:tr>
      <w:tr>
        <w:trPr>
          <w:trHeight w:val="288"/>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Other assets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4,306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4,413</w:t>
            </w:r>
          </w:p>
        </w:tc>
        <w:tc>
          <w:tcPr>
            <w:tcW w:w="0" w:type="dxa"/>
            <w:vAlign w:val="bottom"/>
          </w:tcPr>
          <w:p>
            <w:pPr>
              <w:spacing w:after="0"/>
              <w:rPr>
                <w:sz w:val="1"/>
                <w:szCs w:val="1"/>
                <w:color w:val="auto"/>
              </w:rPr>
            </w:pPr>
          </w:p>
        </w:tc>
      </w:tr>
      <w:tr>
        <w:trPr>
          <w:trHeight w:val="245"/>
        </w:trPr>
        <w:tc>
          <w:tcPr>
            <w:tcW w:w="77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Total assets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419,380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418,756</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7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Current liabilities: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30,044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37,456</w:t>
            </w:r>
          </w:p>
        </w:tc>
        <w:tc>
          <w:tcPr>
            <w:tcW w:w="0" w:type="dxa"/>
            <w:vAlign w:val="bottom"/>
          </w:tcPr>
          <w:p>
            <w:pPr>
              <w:spacing w:after="0"/>
              <w:rPr>
                <w:sz w:val="1"/>
                <w:szCs w:val="1"/>
                <w:color w:val="auto"/>
              </w:rPr>
            </w:pPr>
          </w:p>
        </w:tc>
      </w:tr>
      <w:tr>
        <w:trPr>
          <w:trHeight w:val="285"/>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Due to related parties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1,379</w:t>
            </w:r>
          </w:p>
        </w:tc>
        <w:tc>
          <w:tcPr>
            <w:tcW w:w="0" w:type="dxa"/>
            <w:vAlign w:val="bottom"/>
          </w:tcPr>
          <w:p>
            <w:pPr>
              <w:spacing w:after="0"/>
              <w:rPr>
                <w:sz w:val="1"/>
                <w:szCs w:val="1"/>
                <w:color w:val="auto"/>
              </w:rPr>
            </w:pPr>
          </w:p>
        </w:tc>
      </w:tr>
      <w:tr>
        <w:trPr>
          <w:trHeight w:val="285"/>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Short-term lease liabilities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3,647</w:t>
            </w:r>
          </w:p>
        </w:tc>
        <w:tc>
          <w:tcPr>
            <w:tcW w:w="0" w:type="dxa"/>
            <w:vAlign w:val="bottom"/>
          </w:tcPr>
          <w:p>
            <w:pPr>
              <w:spacing w:after="0"/>
              <w:rPr>
                <w:sz w:val="1"/>
                <w:szCs w:val="1"/>
                <w:color w:val="auto"/>
              </w:rPr>
            </w:pPr>
          </w:p>
        </w:tc>
      </w:tr>
      <w:tr>
        <w:trPr>
          <w:trHeight w:val="288"/>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19,830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16,336</w:t>
            </w:r>
          </w:p>
        </w:tc>
        <w:tc>
          <w:tcPr>
            <w:tcW w:w="0" w:type="dxa"/>
            <w:vAlign w:val="bottom"/>
          </w:tcPr>
          <w:p>
            <w:pPr>
              <w:spacing w:after="0"/>
              <w:rPr>
                <w:sz w:val="1"/>
                <w:szCs w:val="1"/>
                <w:color w:val="auto"/>
              </w:rPr>
            </w:pPr>
          </w:p>
        </w:tc>
      </w:tr>
      <w:tr>
        <w:trPr>
          <w:trHeight w:val="262"/>
        </w:trPr>
        <w:tc>
          <w:tcPr>
            <w:tcW w:w="77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54,817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58,818</w:t>
            </w:r>
          </w:p>
        </w:tc>
        <w:tc>
          <w:tcPr>
            <w:tcW w:w="0" w:type="dxa"/>
            <w:vAlign w:val="bottom"/>
          </w:tcPr>
          <w:p>
            <w:pPr>
              <w:spacing w:after="0"/>
              <w:rPr>
                <w:sz w:val="1"/>
                <w:szCs w:val="1"/>
                <w:color w:val="auto"/>
              </w:rPr>
            </w:pP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Long-term debt, net of current portion</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51,913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52,688</w:t>
            </w:r>
          </w:p>
        </w:tc>
        <w:tc>
          <w:tcPr>
            <w:tcW w:w="0" w:type="dxa"/>
            <w:vAlign w:val="bottom"/>
          </w:tcPr>
          <w:p>
            <w:pPr>
              <w:spacing w:after="0"/>
              <w:rPr>
                <w:sz w:val="1"/>
                <w:szCs w:val="1"/>
                <w:color w:val="auto"/>
              </w:rPr>
            </w:pP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Long-term lease liabilities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62,938</w:t>
            </w:r>
          </w:p>
        </w:tc>
        <w:tc>
          <w:tcPr>
            <w:tcW w:w="0" w:type="dxa"/>
            <w:vAlign w:val="bottom"/>
          </w:tcPr>
          <w:p>
            <w:pPr>
              <w:spacing w:after="0"/>
              <w:rPr>
                <w:sz w:val="1"/>
                <w:szCs w:val="1"/>
                <w:color w:val="auto"/>
              </w:rPr>
            </w:pP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Other liabilities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14,735</w:t>
            </w:r>
          </w:p>
        </w:tc>
        <w:tc>
          <w:tcPr>
            <w:tcW w:w="0" w:type="dxa"/>
            <w:vAlign w:val="bottom"/>
          </w:tcPr>
          <w:p>
            <w:pPr>
              <w:spacing w:after="0"/>
              <w:rPr>
                <w:sz w:val="1"/>
                <w:szCs w:val="1"/>
                <w:color w:val="auto"/>
              </w:rPr>
            </w:pPr>
          </w:p>
        </w:tc>
      </w:tr>
      <w:tr>
        <w:trPr>
          <w:trHeight w:val="288"/>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Deferred taxes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1,560</w:t>
            </w:r>
          </w:p>
        </w:tc>
        <w:tc>
          <w:tcPr>
            <w:tcW w:w="0" w:type="dxa"/>
            <w:vAlign w:val="bottom"/>
          </w:tcPr>
          <w:p>
            <w:pPr>
              <w:spacing w:after="0"/>
              <w:rPr>
                <w:sz w:val="1"/>
                <w:szCs w:val="1"/>
                <w:color w:val="auto"/>
              </w:rPr>
            </w:pPr>
          </w:p>
        </w:tc>
      </w:tr>
      <w:tr>
        <w:trPr>
          <w:trHeight w:val="265"/>
        </w:trPr>
        <w:tc>
          <w:tcPr>
            <w:tcW w:w="77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Total liabilities</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174,133</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190,739</w:t>
            </w:r>
          </w:p>
        </w:tc>
        <w:tc>
          <w:tcPr>
            <w:tcW w:w="0" w:type="dxa"/>
            <w:vAlign w:val="bottom"/>
          </w:tcPr>
          <w:p>
            <w:pPr>
              <w:spacing w:after="0"/>
              <w:rPr>
                <w:sz w:val="1"/>
                <w:szCs w:val="1"/>
                <w:color w:val="auto"/>
              </w:rPr>
            </w:pPr>
          </w:p>
        </w:tc>
      </w:tr>
      <w:tr>
        <w:trPr>
          <w:trHeight w:val="262"/>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Purchase commitments and contingencies (Note 10)</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Stockholders’ Equity:</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780" w:type="dxa"/>
            <w:vAlign w:val="bottom"/>
            <w:gridSpan w:val="2"/>
          </w:tcPr>
          <w:p>
            <w:pPr>
              <w:ind w:left="240"/>
              <w:spacing w:after="0" w:line="205" w:lineRule="exact"/>
              <w:rPr>
                <w:sz w:val="20"/>
                <w:szCs w:val="20"/>
                <w:color w:val="auto"/>
              </w:rPr>
            </w:pPr>
            <w:r>
              <w:rPr>
                <w:rFonts w:ascii="Times New Roman" w:cs="Times New Roman" w:eastAsia="Times New Roman" w:hAnsi="Times New Roman"/>
                <w:sz w:val="20"/>
                <w:szCs w:val="20"/>
                <w:color w:val="auto"/>
              </w:rPr>
              <w:t>Preferred Stock, $0.0001 par value: 1,000,000 shares authorized, 0 shares issued and</w:t>
            </w: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outstanding at December 31, 2024 and December 31, 2023, respectively</w:t>
            </w: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780" w:type="dxa"/>
            <w:vAlign w:val="bottom"/>
            <w:gridSpan w:val="2"/>
          </w:tcPr>
          <w:p>
            <w:pPr>
              <w:ind w:left="240"/>
              <w:spacing w:after="0" w:line="215" w:lineRule="exact"/>
              <w:rPr>
                <w:sz w:val="20"/>
                <w:szCs w:val="20"/>
                <w:color w:val="auto"/>
              </w:rPr>
            </w:pPr>
            <w:r>
              <w:rPr>
                <w:rFonts w:ascii="Times New Roman" w:cs="Times New Roman" w:eastAsia="Times New Roman" w:hAnsi="Times New Roman"/>
                <w:sz w:val="20"/>
                <w:szCs w:val="20"/>
                <w:color w:val="auto"/>
              </w:rPr>
              <w:t>Class A common stock, $0.0001 par value: 1,000,000,000 shares authorized, 28,016,545 and</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780" w:type="dxa"/>
            <w:vAlign w:val="bottom"/>
            <w:gridSpan w:val="2"/>
          </w:tcPr>
          <w:p>
            <w:pPr>
              <w:ind w:left="240"/>
              <w:spacing w:after="0" w:line="200" w:lineRule="exact"/>
              <w:rPr>
                <w:sz w:val="20"/>
                <w:szCs w:val="20"/>
                <w:color w:val="auto"/>
              </w:rPr>
            </w:pPr>
            <w:r>
              <w:rPr>
                <w:rFonts w:ascii="Times New Roman" w:cs="Times New Roman" w:eastAsia="Times New Roman" w:hAnsi="Times New Roman"/>
                <w:sz w:val="20"/>
                <w:szCs w:val="20"/>
                <w:color w:val="auto"/>
              </w:rPr>
              <w:t>25,978,863 shares issued and outstanding at December 31, 2024 and December 31, 2023,</w:t>
            </w: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60"/>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respectively</w:t>
            </w: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1,596,889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1,527,778</w:t>
            </w:r>
          </w:p>
        </w:tc>
        <w:tc>
          <w:tcPr>
            <w:tcW w:w="0" w:type="dxa"/>
            <w:vAlign w:val="bottom"/>
          </w:tcPr>
          <w:p>
            <w:pPr>
              <w:spacing w:after="0"/>
              <w:rPr>
                <w:sz w:val="1"/>
                <w:szCs w:val="1"/>
                <w:color w:val="auto"/>
              </w:rPr>
            </w:pP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Accumulated deficit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(1,352,474)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(1,300,188)</w:t>
            </w:r>
          </w:p>
        </w:tc>
        <w:tc>
          <w:tcPr>
            <w:tcW w:w="0" w:type="dxa"/>
            <w:vAlign w:val="bottom"/>
          </w:tcPr>
          <w:p>
            <w:pPr>
              <w:spacing w:after="0"/>
              <w:rPr>
                <w:sz w:val="1"/>
                <w:szCs w:val="1"/>
                <w:color w:val="auto"/>
              </w:rPr>
            </w:pPr>
          </w:p>
        </w:tc>
      </w:tr>
      <w:tr>
        <w:trPr>
          <w:trHeight w:val="288"/>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0" w:type="dxa"/>
            <w:vAlign w:val="bottom"/>
          </w:tcPr>
          <w:p>
            <w:pPr>
              <w:spacing w:after="0"/>
              <w:rPr>
                <w:sz w:val="1"/>
                <w:szCs w:val="1"/>
                <w:color w:val="auto"/>
              </w:rPr>
            </w:pPr>
          </w:p>
        </w:tc>
      </w:tr>
      <w:tr>
        <w:trPr>
          <w:trHeight w:val="265"/>
        </w:trPr>
        <w:tc>
          <w:tcPr>
            <w:tcW w:w="77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245,247</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228,017</w:t>
            </w:r>
          </w:p>
        </w:tc>
        <w:tc>
          <w:tcPr>
            <w:tcW w:w="0" w:type="dxa"/>
            <w:vAlign w:val="bottom"/>
          </w:tcPr>
          <w:p>
            <w:pPr>
              <w:spacing w:after="0"/>
              <w:rPr>
                <w:sz w:val="1"/>
                <w:szCs w:val="1"/>
                <w:color w:val="auto"/>
              </w:rPr>
            </w:pPr>
          </w:p>
        </w:tc>
      </w:tr>
      <w:tr>
        <w:trPr>
          <w:trHeight w:val="245"/>
        </w:trPr>
        <w:tc>
          <w:tcPr>
            <w:tcW w:w="77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419,380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418,756</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-6727190</wp:posOffset>
            </wp:positionV>
            <wp:extent cx="6667500" cy="6746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a:extLst>
                        <a:ext uri="{28A0092B-C50C-407E-A947-70E740481C1C}"/>
                      </a:extLst>
                    </a:blip>
                    <a:srcRect/>
                    <a:stretch>
                      <a:fillRect/>
                    </a:stretch>
                  </pic:blipFill>
                  <pic:spPr bwMode="auto">
                    <a:xfrm>
                      <a:off x="0" y="0"/>
                      <a:ext cx="6667500" cy="6746875"/>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440"/>
          </w:cols>
          <w:pgMar w:left="900" w:top="19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440"/>
          </w:cols>
          <w:pgMar w:left="900" w:top="195" w:right="900" w:bottom="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6"/>
        </w:trPr>
        <w:tc>
          <w:tcPr>
            <w:tcW w:w="1440" w:type="dxa"/>
            <w:vAlign w:val="bottom"/>
            <w:tcBorders>
              <w:top w:val="single" w:sz="8" w:color="0000FF"/>
            </w:tcBorders>
          </w:tcPr>
          <w:p>
            <w:pPr>
              <w:spacing w:after="0"/>
              <w:rPr>
                <w:sz w:val="24"/>
                <w:szCs w:val="24"/>
                <w:color w:val="auto"/>
              </w:rPr>
            </w:pPr>
          </w:p>
        </w:tc>
        <w:tc>
          <w:tcPr>
            <w:tcW w:w="6340" w:type="dxa"/>
            <w:vAlign w:val="bottom"/>
          </w:tcPr>
          <w:p>
            <w:pPr>
              <w:jc w:val="center"/>
              <w:ind w:left="1120"/>
              <w:spacing w:after="0"/>
              <w:rPr>
                <w:sz w:val="20"/>
                <w:szCs w:val="20"/>
                <w:color w:val="auto"/>
              </w:rPr>
            </w:pPr>
            <w:r>
              <w:rPr>
                <w:rFonts w:ascii="Times New Roman" w:cs="Times New Roman" w:eastAsia="Times New Roman" w:hAnsi="Times New Roman"/>
                <w:sz w:val="20"/>
                <w:szCs w:val="20"/>
                <w:b w:val="1"/>
                <w:bCs w:val="1"/>
                <w:color w:val="auto"/>
                <w:w w:val="99"/>
              </w:rPr>
              <w:t>GeneDx Holdings Corp.</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40" w:type="dxa"/>
            <w:vAlign w:val="bottom"/>
          </w:tcPr>
          <w:p>
            <w:pPr>
              <w:spacing w:after="0"/>
              <w:rPr>
                <w:sz w:val="20"/>
                <w:szCs w:val="20"/>
                <w:color w:val="auto"/>
              </w:rPr>
            </w:pPr>
          </w:p>
        </w:tc>
        <w:tc>
          <w:tcPr>
            <w:tcW w:w="6540" w:type="dxa"/>
            <w:vAlign w:val="bottom"/>
            <w:gridSpan w:val="2"/>
          </w:tcPr>
          <w:p>
            <w:pPr>
              <w:jc w:val="center"/>
              <w:ind w:left="920"/>
              <w:spacing w:after="0"/>
              <w:rPr>
                <w:sz w:val="20"/>
                <w:szCs w:val="20"/>
                <w:color w:val="auto"/>
              </w:rPr>
            </w:pPr>
            <w:r>
              <w:rPr>
                <w:rFonts w:ascii="Times New Roman" w:cs="Times New Roman" w:eastAsia="Times New Roman" w:hAnsi="Times New Roman"/>
                <w:sz w:val="20"/>
                <w:szCs w:val="20"/>
                <w:b w:val="1"/>
                <w:bCs w:val="1"/>
                <w:color w:val="auto"/>
                <w:w w:val="99"/>
              </w:rPr>
              <w:t>Consolidated Statements of Operations and Comprehensive Loss</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440" w:type="dxa"/>
            <w:vAlign w:val="bottom"/>
          </w:tcPr>
          <w:p>
            <w:pPr>
              <w:spacing w:after="0"/>
              <w:rPr>
                <w:sz w:val="22"/>
                <w:szCs w:val="22"/>
                <w:color w:val="auto"/>
              </w:rPr>
            </w:pPr>
          </w:p>
        </w:tc>
        <w:tc>
          <w:tcPr>
            <w:tcW w:w="6340" w:type="dxa"/>
            <w:vAlign w:val="bottom"/>
          </w:tcPr>
          <w:p>
            <w:pPr>
              <w:jc w:val="center"/>
              <w:ind w:left="1120"/>
              <w:spacing w:after="0"/>
              <w:rPr>
                <w:sz w:val="20"/>
                <w:szCs w:val="20"/>
                <w:color w:val="auto"/>
              </w:rPr>
            </w:pPr>
            <w:r>
              <w:rPr>
                <w:rFonts w:ascii="Times New Roman" w:cs="Times New Roman" w:eastAsia="Times New Roman" w:hAnsi="Times New Roman"/>
                <w:sz w:val="20"/>
                <w:szCs w:val="20"/>
                <w:b w:val="1"/>
                <w:bCs w:val="1"/>
                <w:color w:val="auto"/>
              </w:rPr>
              <w:t>(in thousands, except per share and share amounts)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0"/>
        </w:trPr>
        <w:tc>
          <w:tcPr>
            <w:tcW w:w="14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8"/>
              </w:rPr>
              <w:t>Year Ended December 31,</w:t>
            </w:r>
          </w:p>
        </w:tc>
        <w:tc>
          <w:tcPr>
            <w:tcW w:w="0" w:type="dxa"/>
            <w:vAlign w:val="bottom"/>
          </w:tcPr>
          <w:p>
            <w:pPr>
              <w:spacing w:after="0"/>
              <w:rPr>
                <w:sz w:val="1"/>
                <w:szCs w:val="1"/>
                <w:color w:val="auto"/>
              </w:rPr>
            </w:pPr>
          </w:p>
        </w:tc>
      </w:tr>
      <w:tr>
        <w:trPr>
          <w:trHeight w:val="265"/>
        </w:trPr>
        <w:tc>
          <w:tcPr>
            <w:tcW w:w="1440" w:type="dxa"/>
            <w:vAlign w:val="bottom"/>
          </w:tcPr>
          <w:p>
            <w:pPr>
              <w:spacing w:after="0"/>
              <w:rPr>
                <w:sz w:val="23"/>
                <w:szCs w:val="23"/>
                <w:color w:val="auto"/>
              </w:rPr>
            </w:pPr>
          </w:p>
        </w:tc>
        <w:tc>
          <w:tcPr>
            <w:tcW w:w="63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2"/>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Revenue</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Diagnostic test 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302,157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195,654</w:t>
            </w:r>
          </w:p>
        </w:tc>
        <w:tc>
          <w:tcPr>
            <w:tcW w:w="0" w:type="dxa"/>
            <w:vAlign w:val="bottom"/>
          </w:tcPr>
          <w:p>
            <w:pPr>
              <w:spacing w:after="0"/>
              <w:rPr>
                <w:sz w:val="1"/>
                <w:szCs w:val="1"/>
                <w:color w:val="auto"/>
              </w:rPr>
            </w:pPr>
          </w:p>
        </w:tc>
      </w:tr>
      <w:tr>
        <w:trPr>
          <w:trHeight w:val="288"/>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Other revenue</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6,912</w:t>
            </w:r>
          </w:p>
        </w:tc>
        <w:tc>
          <w:tcPr>
            <w:tcW w:w="0" w:type="dxa"/>
            <w:vAlign w:val="bottom"/>
          </w:tcPr>
          <w:p>
            <w:pPr>
              <w:spacing w:after="0"/>
              <w:rPr>
                <w:sz w:val="1"/>
                <w:szCs w:val="1"/>
                <w:color w:val="auto"/>
              </w:rPr>
            </w:pPr>
          </w:p>
        </w:tc>
      </w:tr>
      <w:tr>
        <w:trPr>
          <w:trHeight w:val="265"/>
        </w:trPr>
        <w:tc>
          <w:tcPr>
            <w:tcW w:w="77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Total revenue</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305,450</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202,566</w:t>
            </w:r>
          </w:p>
        </w:tc>
        <w:tc>
          <w:tcPr>
            <w:tcW w:w="0" w:type="dxa"/>
            <w:vAlign w:val="bottom"/>
          </w:tcPr>
          <w:p>
            <w:pPr>
              <w:spacing w:after="0"/>
              <w:rPr>
                <w:sz w:val="1"/>
                <w:szCs w:val="1"/>
                <w:color w:val="auto"/>
              </w:rPr>
            </w:pPr>
          </w:p>
        </w:tc>
      </w:tr>
      <w:tr>
        <w:trPr>
          <w:trHeight w:val="26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Cost of services</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111,053</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112,560</w:t>
            </w:r>
          </w:p>
        </w:tc>
        <w:tc>
          <w:tcPr>
            <w:tcW w:w="0" w:type="dxa"/>
            <w:vAlign w:val="bottom"/>
          </w:tcPr>
          <w:p>
            <w:pPr>
              <w:spacing w:after="0"/>
              <w:rPr>
                <w:sz w:val="1"/>
                <w:szCs w:val="1"/>
                <w:color w:val="auto"/>
              </w:rPr>
            </w:pPr>
          </w:p>
        </w:tc>
      </w:tr>
      <w:tr>
        <w:trPr>
          <w:trHeight w:val="265"/>
        </w:trPr>
        <w:tc>
          <w:tcPr>
            <w:tcW w:w="77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Gross profit</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194,397</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90,006</w:t>
            </w:r>
          </w:p>
        </w:tc>
        <w:tc>
          <w:tcPr>
            <w:tcW w:w="0" w:type="dxa"/>
            <w:vAlign w:val="bottom"/>
          </w:tcPr>
          <w:p>
            <w:pPr>
              <w:spacing w:after="0"/>
              <w:rPr>
                <w:sz w:val="1"/>
                <w:szCs w:val="1"/>
                <w:color w:val="auto"/>
              </w:rPr>
            </w:pPr>
          </w:p>
        </w:tc>
      </w:tr>
      <w:tr>
        <w:trPr>
          <w:trHeight w:val="262"/>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45,722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58,266</w:t>
            </w:r>
          </w:p>
        </w:tc>
        <w:tc>
          <w:tcPr>
            <w:tcW w:w="0" w:type="dxa"/>
            <w:vAlign w:val="bottom"/>
          </w:tcPr>
          <w:p>
            <w:pPr>
              <w:spacing w:after="0"/>
              <w:rPr>
                <w:sz w:val="1"/>
                <w:szCs w:val="1"/>
                <w:color w:val="auto"/>
              </w:rPr>
            </w:pP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Selling and marketing</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67,371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60,956</w:t>
            </w:r>
          </w:p>
        </w:tc>
        <w:tc>
          <w:tcPr>
            <w:tcW w:w="0" w:type="dxa"/>
            <w:vAlign w:val="bottom"/>
          </w:tcPr>
          <w:p>
            <w:pPr>
              <w:spacing w:after="0"/>
              <w:rPr>
                <w:sz w:val="1"/>
                <w:szCs w:val="1"/>
                <w:color w:val="auto"/>
              </w:rPr>
            </w:pP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101,110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133,755</w:t>
            </w:r>
          </w:p>
        </w:tc>
        <w:tc>
          <w:tcPr>
            <w:tcW w:w="0" w:type="dxa"/>
            <w:vAlign w:val="bottom"/>
          </w:tcPr>
          <w:p>
            <w:pPr>
              <w:spacing w:after="0"/>
              <w:rPr>
                <w:sz w:val="1"/>
                <w:szCs w:val="1"/>
                <w:color w:val="auto"/>
              </w:rPr>
            </w:pP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Impairment loss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10,402</w:t>
            </w:r>
          </w:p>
        </w:tc>
        <w:tc>
          <w:tcPr>
            <w:tcW w:w="0" w:type="dxa"/>
            <w:vAlign w:val="bottom"/>
          </w:tcPr>
          <w:p>
            <w:pPr>
              <w:spacing w:after="0"/>
              <w:rPr>
                <w:sz w:val="1"/>
                <w:szCs w:val="1"/>
                <w:color w:val="auto"/>
              </w:rPr>
            </w:pPr>
          </w:p>
        </w:tc>
      </w:tr>
      <w:tr>
        <w:trPr>
          <w:trHeight w:val="288"/>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Other operating expenses, net</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3,407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7,223</w:t>
            </w:r>
          </w:p>
        </w:tc>
        <w:tc>
          <w:tcPr>
            <w:tcW w:w="0" w:type="dxa"/>
            <w:vAlign w:val="bottom"/>
          </w:tcPr>
          <w:p>
            <w:pPr>
              <w:spacing w:after="0"/>
              <w:rPr>
                <w:sz w:val="1"/>
                <w:szCs w:val="1"/>
                <w:color w:val="auto"/>
              </w:rPr>
            </w:pPr>
          </w:p>
        </w:tc>
      </w:tr>
      <w:tr>
        <w:trPr>
          <w:trHeight w:val="265"/>
        </w:trPr>
        <w:tc>
          <w:tcPr>
            <w:tcW w:w="77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Loss from operations</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(23,213)</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(180,596)</w:t>
            </w:r>
          </w:p>
        </w:tc>
        <w:tc>
          <w:tcPr>
            <w:tcW w:w="0" w:type="dxa"/>
            <w:vAlign w:val="bottom"/>
          </w:tcPr>
          <w:p>
            <w:pPr>
              <w:spacing w:after="0"/>
              <w:rPr>
                <w:sz w:val="1"/>
                <w:szCs w:val="1"/>
                <w:color w:val="auto"/>
              </w:rPr>
            </w:pPr>
          </w:p>
        </w:tc>
      </w:tr>
      <w:tr>
        <w:trPr>
          <w:trHeight w:val="547"/>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Non-operating (expenses) income, net</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Change in fair value of warrants and contingent liabilities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(13,370)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w:t>
            </w:r>
          </w:p>
        </w:tc>
        <w:tc>
          <w:tcPr>
            <w:tcW w:w="0" w:type="dxa"/>
            <w:vAlign w:val="bottom"/>
          </w:tcPr>
          <w:p>
            <w:pPr>
              <w:spacing w:after="0"/>
              <w:rPr>
                <w:sz w:val="1"/>
                <w:szCs w:val="1"/>
                <w:color w:val="auto"/>
              </w:rPr>
            </w:pPr>
          </w:p>
        </w:tc>
      </w:tr>
      <w:tr>
        <w:trPr>
          <w:trHeight w:val="285"/>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Interest (expense) income, net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1,114</w:t>
            </w:r>
          </w:p>
        </w:tc>
        <w:tc>
          <w:tcPr>
            <w:tcW w:w="0" w:type="dxa"/>
            <w:vAlign w:val="bottom"/>
          </w:tcPr>
          <w:p>
            <w:pPr>
              <w:spacing w:after="0"/>
              <w:rPr>
                <w:sz w:val="1"/>
                <w:szCs w:val="1"/>
                <w:color w:val="auto"/>
              </w:rPr>
            </w:pPr>
          </w:p>
        </w:tc>
      </w:tr>
      <w:tr>
        <w:trPr>
          <w:trHeight w:val="288"/>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Other (expense) income, net</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(13,014)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1,619</w:t>
            </w:r>
          </w:p>
        </w:tc>
        <w:tc>
          <w:tcPr>
            <w:tcW w:w="0" w:type="dxa"/>
            <w:vAlign w:val="bottom"/>
          </w:tcPr>
          <w:p>
            <w:pPr>
              <w:spacing w:after="0"/>
              <w:rPr>
                <w:sz w:val="1"/>
                <w:szCs w:val="1"/>
                <w:color w:val="auto"/>
              </w:rPr>
            </w:pPr>
          </w:p>
        </w:tc>
      </w:tr>
      <w:tr>
        <w:trPr>
          <w:trHeight w:val="265"/>
        </w:trPr>
        <w:tc>
          <w:tcPr>
            <w:tcW w:w="778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Total non-operating (expense) income, net</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(29,416)</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3,903</w:t>
            </w:r>
          </w:p>
        </w:tc>
        <w:tc>
          <w:tcPr>
            <w:tcW w:w="0" w:type="dxa"/>
            <w:vAlign w:val="bottom"/>
          </w:tcPr>
          <w:p>
            <w:pPr>
              <w:spacing w:after="0"/>
              <w:rPr>
                <w:sz w:val="1"/>
                <w:szCs w:val="1"/>
                <w:color w:val="auto"/>
              </w:rPr>
            </w:pPr>
          </w:p>
        </w:tc>
      </w:tr>
      <w:tr>
        <w:trPr>
          <w:trHeight w:val="262"/>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Loss before income taxes</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(52,629)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(176,693)</w:t>
            </w:r>
          </w:p>
        </w:tc>
        <w:tc>
          <w:tcPr>
            <w:tcW w:w="0" w:type="dxa"/>
            <w:vAlign w:val="bottom"/>
          </w:tcPr>
          <w:p>
            <w:pPr>
              <w:spacing w:after="0"/>
              <w:rPr>
                <w:sz w:val="1"/>
                <w:szCs w:val="1"/>
                <w:color w:val="auto"/>
              </w:rPr>
            </w:pPr>
          </w:p>
        </w:tc>
      </w:tr>
      <w:tr>
        <w:trPr>
          <w:trHeight w:val="288"/>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Income tax benefit</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926</w:t>
            </w:r>
          </w:p>
        </w:tc>
        <w:tc>
          <w:tcPr>
            <w:tcW w:w="0" w:type="dxa"/>
            <w:vAlign w:val="bottom"/>
          </w:tcPr>
          <w:p>
            <w:pPr>
              <w:spacing w:after="0"/>
              <w:rPr>
                <w:sz w:val="1"/>
                <w:szCs w:val="1"/>
                <w:color w:val="auto"/>
              </w:rPr>
            </w:pPr>
          </w:p>
        </w:tc>
      </w:tr>
      <w:tr>
        <w:trPr>
          <w:trHeight w:val="24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Net loss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(52,286)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(175,767)</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Other comprehensive income, net of tax</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7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Unrealized gain related to available for sale securities, net</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0" w:type="dxa"/>
            <w:vAlign w:val="bottom"/>
          </w:tcPr>
          <w:p>
            <w:pPr>
              <w:spacing w:after="0"/>
              <w:rPr>
                <w:sz w:val="1"/>
                <w:szCs w:val="1"/>
                <w:color w:val="auto"/>
              </w:rPr>
            </w:pPr>
          </w:p>
        </w:tc>
      </w:tr>
      <w:tr>
        <w:trPr>
          <w:trHeight w:val="24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Comprehensive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(51,881)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(175,342)</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Weighted average shares outstanding of Class A common stock</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26,891,213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24,311,989</w:t>
            </w:r>
          </w:p>
        </w:tc>
        <w:tc>
          <w:tcPr>
            <w:tcW w:w="0" w:type="dxa"/>
            <w:vAlign w:val="bottom"/>
          </w:tcPr>
          <w:p>
            <w:pPr>
              <w:spacing w:after="0"/>
              <w:rPr>
                <w:sz w:val="1"/>
                <w:szCs w:val="1"/>
                <w:color w:val="auto"/>
              </w:rPr>
            </w:pP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Basic and diluted net loss per share, Class A common stock</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-5071110</wp:posOffset>
            </wp:positionV>
            <wp:extent cx="6667500" cy="509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extLst>
                    </a:blip>
                    <a:srcRect/>
                    <a:stretch>
                      <a:fillRect/>
                    </a:stretch>
                  </pic:blipFill>
                  <pic:spPr bwMode="auto">
                    <a:xfrm>
                      <a:off x="0" y="0"/>
                      <a:ext cx="6667500" cy="5092700"/>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440"/>
          </w:cols>
          <w:pgMar w:left="900" w:top="19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440"/>
          </w:cols>
          <w:pgMar w:left="900" w:top="195" w:right="90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GeneDx Holdings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amounts)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17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Class A Common Stock</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ind w:right="160"/>
              <w:spacing w:after="0" w:line="160"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780" w:type="dxa"/>
            <w:vAlign w:val="bottom"/>
          </w:tcPr>
          <w:p>
            <w:pPr>
              <w:spacing w:after="0"/>
              <w:rPr>
                <w:sz w:val="10"/>
                <w:szCs w:val="10"/>
                <w:color w:val="auto"/>
              </w:rPr>
            </w:pPr>
          </w:p>
        </w:tc>
        <w:tc>
          <w:tcPr>
            <w:tcW w:w="1740" w:type="dxa"/>
            <w:vAlign w:val="bottom"/>
            <w:tcBorders>
              <w:bottom w:val="single" w:sz="8" w:color="auto"/>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restart"/>
          </w:tcPr>
          <w:p>
            <w:pPr>
              <w:jc w:val="right"/>
              <w:ind w:right="140"/>
              <w:spacing w:after="0" w:line="160"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0"/>
                <w:szCs w:val="10"/>
                <w:color w:val="auto"/>
              </w:rPr>
            </w:pPr>
          </w:p>
        </w:tc>
        <w:tc>
          <w:tcPr>
            <w:tcW w:w="1160" w:type="dxa"/>
            <w:vAlign w:val="bottom"/>
            <w:gridSpan w:val="2"/>
            <w:vMerge w:val="restart"/>
          </w:tcPr>
          <w:p>
            <w:pPr>
              <w:jc w:val="right"/>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0"/>
                <w:szCs w:val="10"/>
                <w:color w:val="auto"/>
              </w:rPr>
            </w:pPr>
          </w:p>
        </w:tc>
        <w:tc>
          <w:tcPr>
            <w:tcW w:w="114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60" w:type="dxa"/>
            <w:vAlign w:val="bottom"/>
          </w:tcPr>
          <w:p>
            <w:pPr>
              <w:spacing w:after="0"/>
              <w:rPr>
                <w:sz w:val="10"/>
                <w:szCs w:val="10"/>
                <w:color w:val="auto"/>
              </w:rPr>
            </w:pPr>
          </w:p>
        </w:tc>
        <w:tc>
          <w:tcPr>
            <w:tcW w:w="116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84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line="20" w:lineRule="exact"/>
              <w:rPr>
                <w:sz w:val="1"/>
                <w:szCs w:val="1"/>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78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11,773,065</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1,378,125</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(1,124,421)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253,705</w:t>
            </w:r>
          </w:p>
        </w:tc>
        <w:tc>
          <w:tcPr>
            <w:tcW w:w="0" w:type="dxa"/>
            <w:vAlign w:val="bottom"/>
          </w:tcPr>
          <w:p>
            <w:pPr>
              <w:spacing w:after="0"/>
              <w:rPr>
                <w:sz w:val="1"/>
                <w:szCs w:val="1"/>
                <w:color w:val="auto"/>
              </w:rPr>
            </w:pPr>
          </w:p>
        </w:tc>
      </w:tr>
      <w:tr>
        <w:trPr>
          <w:trHeight w:val="24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(175,767)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(175,767)</w:t>
            </w:r>
          </w:p>
        </w:tc>
        <w:tc>
          <w:tcPr>
            <w:tcW w:w="0" w:type="dxa"/>
            <w:vAlign w:val="bottom"/>
          </w:tcPr>
          <w:p>
            <w:pPr>
              <w:spacing w:after="0"/>
              <w:rPr>
                <w:sz w:val="1"/>
                <w:szCs w:val="1"/>
                <w:color w:val="auto"/>
              </w:rPr>
            </w:pPr>
          </w:p>
        </w:tc>
      </w:tr>
      <w:tr>
        <w:trPr>
          <w:trHeight w:val="24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pursuant to stock option exercises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50,444</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4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24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Vested restricted stock units converted to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431,671</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227"/>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registered direct offering,</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676,868</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7,564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7,564</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net of issuance costs</w:t>
            </w: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for first Milestone Payment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701,460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6,692</w:t>
            </w:r>
          </w:p>
        </w:tc>
        <w:tc>
          <w:tcPr>
            <w:tcW w:w="0" w:type="dxa"/>
            <w:vAlign w:val="bottom"/>
          </w:tcPr>
          <w:p>
            <w:pPr>
              <w:spacing w:after="0"/>
              <w:rPr>
                <w:sz w:val="1"/>
                <w:szCs w:val="1"/>
                <w:color w:val="auto"/>
              </w:rPr>
            </w:pPr>
          </w:p>
        </w:tc>
      </w:tr>
      <w:tr>
        <w:trPr>
          <w:trHeight w:val="24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Fractional shares issued upon reverse stock split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29,603</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underwritten public</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12,315,752</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135,438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135,439</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offering, net of issuance costs</w:t>
            </w: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25,978,863</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1,527,778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(1,300,188)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228,017</w:t>
            </w:r>
          </w:p>
        </w:tc>
        <w:tc>
          <w:tcPr>
            <w:tcW w:w="0" w:type="dxa"/>
            <w:vAlign w:val="bottom"/>
          </w:tcPr>
          <w:p>
            <w:pPr>
              <w:spacing w:after="0"/>
              <w:rPr>
                <w:sz w:val="1"/>
                <w:szCs w:val="1"/>
                <w:color w:val="auto"/>
              </w:rPr>
            </w:pPr>
          </w:p>
        </w:tc>
      </w:tr>
      <w:tr>
        <w:trPr>
          <w:trHeight w:val="24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(52,286)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(52,286)</w:t>
            </w:r>
          </w:p>
        </w:tc>
        <w:tc>
          <w:tcPr>
            <w:tcW w:w="0" w:type="dxa"/>
            <w:vAlign w:val="bottom"/>
          </w:tcPr>
          <w:p>
            <w:pPr>
              <w:spacing w:after="0"/>
              <w:rPr>
                <w:sz w:val="1"/>
                <w:szCs w:val="1"/>
                <w:color w:val="auto"/>
              </w:rPr>
            </w:pPr>
          </w:p>
        </w:tc>
      </w:tr>
      <w:tr>
        <w:trPr>
          <w:trHeight w:val="24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pursuant to stock option exercises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68,453</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197"/>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pursuant to Perceptive warrant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645,414</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12,586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12,586</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exercise</w:t>
            </w: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9,138</w:t>
            </w:r>
          </w:p>
        </w:tc>
        <w:tc>
          <w:tcPr>
            <w:tcW w:w="0" w:type="dxa"/>
            <w:vAlign w:val="bottom"/>
          </w:tcPr>
          <w:p>
            <w:pPr>
              <w:spacing w:after="0"/>
              <w:rPr>
                <w:sz w:val="1"/>
                <w:szCs w:val="1"/>
                <w:color w:val="auto"/>
              </w:rPr>
            </w:pPr>
          </w:p>
        </w:tc>
      </w:tr>
      <w:tr>
        <w:trPr>
          <w:trHeight w:val="24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4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Vested restricted stock units converted to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471,663</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ATM offering, net of</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825,379</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46,496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46,496</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issuance costs</w:t>
            </w: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pursuant to employee stock</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26,773</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purchase plan</w:t>
            </w: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28,016,545</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1,596,889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(1,352,474)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245,247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-3745865</wp:posOffset>
            </wp:positionV>
            <wp:extent cx="6667500" cy="3765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a:extLst>
                        <a:ext uri="{28A0092B-C50C-407E-A947-70E740481C1C}"/>
                      </a:extLst>
                    </a:blip>
                    <a:srcRect/>
                    <a:stretch>
                      <a:fillRect/>
                    </a:stretch>
                  </pic:blipFill>
                  <pic:spPr bwMode="auto">
                    <a:xfrm>
                      <a:off x="0" y="0"/>
                      <a:ext cx="6667500" cy="376555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440"/>
          </w:cols>
          <w:pgMar w:left="900" w:top="208" w:right="900" w:bottom="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6"/>
        </w:trPr>
        <w:tc>
          <w:tcPr>
            <w:tcW w:w="1440" w:type="dxa"/>
            <w:vAlign w:val="bottom"/>
            <w:tcBorders>
              <w:top w:val="single" w:sz="8" w:color="0000FF"/>
            </w:tcBorders>
          </w:tcPr>
          <w:p>
            <w:pPr>
              <w:spacing w:after="0"/>
              <w:rPr>
                <w:sz w:val="24"/>
                <w:szCs w:val="24"/>
                <w:color w:val="auto"/>
              </w:rPr>
            </w:pPr>
          </w:p>
        </w:tc>
        <w:tc>
          <w:tcPr>
            <w:tcW w:w="6320" w:type="dxa"/>
            <w:vAlign w:val="bottom"/>
          </w:tcPr>
          <w:p>
            <w:pPr>
              <w:jc w:val="center"/>
              <w:ind w:left="1140"/>
              <w:spacing w:after="0"/>
              <w:rPr>
                <w:sz w:val="20"/>
                <w:szCs w:val="20"/>
                <w:color w:val="auto"/>
              </w:rPr>
            </w:pPr>
            <w:r>
              <w:rPr>
                <w:rFonts w:ascii="Times New Roman" w:cs="Times New Roman" w:eastAsia="Times New Roman" w:hAnsi="Times New Roman"/>
                <w:sz w:val="20"/>
                <w:szCs w:val="20"/>
                <w:b w:val="1"/>
                <w:bCs w:val="1"/>
                <w:color w:val="auto"/>
                <w:w w:val="99"/>
              </w:rPr>
              <w:t>GeneDx Holdings Corp.</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40" w:type="dxa"/>
            <w:vAlign w:val="bottom"/>
          </w:tcPr>
          <w:p>
            <w:pPr>
              <w:spacing w:after="0"/>
              <w:rPr>
                <w:sz w:val="20"/>
                <w:szCs w:val="20"/>
                <w:color w:val="auto"/>
              </w:rPr>
            </w:pPr>
          </w:p>
        </w:tc>
        <w:tc>
          <w:tcPr>
            <w:tcW w:w="6320" w:type="dxa"/>
            <w:vAlign w:val="bottom"/>
          </w:tcPr>
          <w:p>
            <w:pPr>
              <w:jc w:val="center"/>
              <w:ind w:left="1140"/>
              <w:spacing w:after="0"/>
              <w:rPr>
                <w:sz w:val="20"/>
                <w:szCs w:val="20"/>
                <w:color w:val="auto"/>
              </w:rPr>
            </w:pPr>
            <w:r>
              <w:rPr>
                <w:rFonts w:ascii="Times New Roman" w:cs="Times New Roman" w:eastAsia="Times New Roman" w:hAnsi="Times New Roman"/>
                <w:sz w:val="20"/>
                <w:szCs w:val="20"/>
                <w:b w:val="1"/>
                <w:bCs w:val="1"/>
                <w:color w:val="auto"/>
                <w:w w:val="99"/>
              </w:rPr>
              <w:t>Consolidated Statements of Cash Flows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440" w:type="dxa"/>
            <w:vAlign w:val="bottom"/>
          </w:tcPr>
          <w:p>
            <w:pPr>
              <w:spacing w:after="0"/>
              <w:rPr>
                <w:sz w:val="22"/>
                <w:szCs w:val="22"/>
                <w:color w:val="auto"/>
              </w:rPr>
            </w:pPr>
          </w:p>
        </w:tc>
        <w:tc>
          <w:tcPr>
            <w:tcW w:w="6320" w:type="dxa"/>
            <w:vAlign w:val="bottom"/>
          </w:tcPr>
          <w:p>
            <w:pPr>
              <w:jc w:val="center"/>
              <w:ind w:left="1140"/>
              <w:spacing w:after="0"/>
              <w:rPr>
                <w:sz w:val="20"/>
                <w:szCs w:val="20"/>
                <w:color w:val="auto"/>
              </w:rPr>
            </w:pPr>
            <w:r>
              <w:rPr>
                <w:rFonts w:ascii="Times New Roman" w:cs="Times New Roman" w:eastAsia="Times New Roman" w:hAnsi="Times New Roman"/>
                <w:sz w:val="20"/>
                <w:szCs w:val="20"/>
                <w:b w:val="1"/>
                <w:bCs w:val="1"/>
                <w:color w:val="auto"/>
                <w:w w:val="98"/>
              </w:rPr>
              <w:t>(in thousands)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4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35"/>
        </w:trPr>
        <w:tc>
          <w:tcPr>
            <w:tcW w:w="776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27"/>
        </w:trPr>
        <w:tc>
          <w:tcPr>
            <w:tcW w:w="77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(52,286)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(175,767)</w:t>
            </w:r>
          </w:p>
        </w:tc>
        <w:tc>
          <w:tcPr>
            <w:tcW w:w="0" w:type="dxa"/>
            <w:vAlign w:val="bottom"/>
          </w:tcPr>
          <w:p>
            <w:pPr>
              <w:spacing w:after="0"/>
              <w:rPr>
                <w:sz w:val="1"/>
                <w:szCs w:val="1"/>
                <w:color w:val="auto"/>
              </w:rPr>
            </w:pPr>
          </w:p>
        </w:tc>
      </w:tr>
      <w:tr>
        <w:trPr>
          <w:trHeight w:val="255"/>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operating activities: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7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Depreciation and amortization expense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21,953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33,734</w:t>
            </w:r>
          </w:p>
        </w:tc>
        <w:tc>
          <w:tcPr>
            <w:tcW w:w="0" w:type="dxa"/>
            <w:vAlign w:val="bottom"/>
          </w:tcPr>
          <w:p>
            <w:pPr>
              <w:spacing w:after="0"/>
              <w:rPr>
                <w:sz w:val="1"/>
                <w:szCs w:val="1"/>
                <w:color w:val="auto"/>
              </w:rPr>
            </w:pPr>
          </w:p>
        </w:tc>
      </w:tr>
      <w:tr>
        <w:trPr>
          <w:trHeight w:val="255"/>
        </w:trPr>
        <w:tc>
          <w:tcPr>
            <w:tcW w:w="77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9,138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0" w:type="dxa"/>
            <w:vAlign w:val="bottom"/>
          </w:tcPr>
          <w:p>
            <w:pPr>
              <w:spacing w:after="0"/>
              <w:rPr>
                <w:sz w:val="1"/>
                <w:szCs w:val="1"/>
                <w:color w:val="auto"/>
              </w:rPr>
            </w:pPr>
          </w:p>
        </w:tc>
      </w:tr>
      <w:tr>
        <w:trPr>
          <w:trHeight w:val="255"/>
        </w:trPr>
        <w:tc>
          <w:tcPr>
            <w:tcW w:w="77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Change in fair value of warrants and contingent liabilities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13,370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w:t>
            </w:r>
          </w:p>
        </w:tc>
        <w:tc>
          <w:tcPr>
            <w:tcW w:w="0" w:type="dxa"/>
            <w:vAlign w:val="bottom"/>
          </w:tcPr>
          <w:p>
            <w:pPr>
              <w:spacing w:after="0"/>
              <w:rPr>
                <w:sz w:val="1"/>
                <w:szCs w:val="1"/>
                <w:color w:val="auto"/>
              </w:rPr>
            </w:pPr>
          </w:p>
        </w:tc>
      </w:tr>
      <w:tr>
        <w:trPr>
          <w:trHeight w:val="255"/>
        </w:trPr>
        <w:tc>
          <w:tcPr>
            <w:tcW w:w="77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Deferred tax benefit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(926)</w:t>
            </w:r>
          </w:p>
        </w:tc>
        <w:tc>
          <w:tcPr>
            <w:tcW w:w="0" w:type="dxa"/>
            <w:vAlign w:val="bottom"/>
          </w:tcPr>
          <w:p>
            <w:pPr>
              <w:spacing w:after="0"/>
              <w:rPr>
                <w:sz w:val="1"/>
                <w:szCs w:val="1"/>
                <w:color w:val="auto"/>
              </w:rPr>
            </w:pPr>
          </w:p>
        </w:tc>
      </w:tr>
      <w:tr>
        <w:trPr>
          <w:trHeight w:val="255"/>
        </w:trPr>
        <w:tc>
          <w:tcPr>
            <w:tcW w:w="77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Provision for excess and obsolete inventory</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3,913</w:t>
            </w:r>
          </w:p>
        </w:tc>
        <w:tc>
          <w:tcPr>
            <w:tcW w:w="0" w:type="dxa"/>
            <w:vAlign w:val="bottom"/>
          </w:tcPr>
          <w:p>
            <w:pPr>
              <w:spacing w:after="0"/>
              <w:rPr>
                <w:sz w:val="1"/>
                <w:szCs w:val="1"/>
                <w:color w:val="auto"/>
              </w:rPr>
            </w:pPr>
          </w:p>
        </w:tc>
      </w:tr>
      <w:tr>
        <w:trPr>
          <w:trHeight w:val="255"/>
        </w:trPr>
        <w:tc>
          <w:tcPr>
            <w:tcW w:w="77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Change in third party payor reserves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(9,745)</w:t>
            </w:r>
          </w:p>
        </w:tc>
        <w:tc>
          <w:tcPr>
            <w:tcW w:w="0" w:type="dxa"/>
            <w:vAlign w:val="bottom"/>
          </w:tcPr>
          <w:p>
            <w:pPr>
              <w:spacing w:after="0"/>
              <w:rPr>
                <w:sz w:val="1"/>
                <w:szCs w:val="1"/>
                <w:color w:val="auto"/>
              </w:rPr>
            </w:pPr>
          </w:p>
        </w:tc>
      </w:tr>
      <w:tr>
        <w:trPr>
          <w:trHeight w:val="255"/>
        </w:trPr>
        <w:tc>
          <w:tcPr>
            <w:tcW w:w="77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Gain on sale of assets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(1,677)</w:t>
            </w:r>
          </w:p>
        </w:tc>
        <w:tc>
          <w:tcPr>
            <w:tcW w:w="0" w:type="dxa"/>
            <w:vAlign w:val="bottom"/>
          </w:tcPr>
          <w:p>
            <w:pPr>
              <w:spacing w:after="0"/>
              <w:rPr>
                <w:sz w:val="1"/>
                <w:szCs w:val="1"/>
                <w:color w:val="auto"/>
              </w:rPr>
            </w:pPr>
          </w:p>
        </w:tc>
      </w:tr>
      <w:tr>
        <w:trPr>
          <w:trHeight w:val="255"/>
        </w:trPr>
        <w:tc>
          <w:tcPr>
            <w:tcW w:w="77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Gain on debt forgiveness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(2,750)</w:t>
            </w:r>
          </w:p>
        </w:tc>
        <w:tc>
          <w:tcPr>
            <w:tcW w:w="0" w:type="dxa"/>
            <w:vAlign w:val="bottom"/>
          </w:tcPr>
          <w:p>
            <w:pPr>
              <w:spacing w:after="0"/>
              <w:rPr>
                <w:sz w:val="1"/>
                <w:szCs w:val="1"/>
                <w:color w:val="auto"/>
              </w:rPr>
            </w:pPr>
          </w:p>
        </w:tc>
      </w:tr>
      <w:tr>
        <w:trPr>
          <w:trHeight w:val="255"/>
        </w:trPr>
        <w:tc>
          <w:tcPr>
            <w:tcW w:w="77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Impairment loss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10,402</w:t>
            </w:r>
          </w:p>
        </w:tc>
        <w:tc>
          <w:tcPr>
            <w:tcW w:w="0" w:type="dxa"/>
            <w:vAlign w:val="bottom"/>
          </w:tcPr>
          <w:p>
            <w:pPr>
              <w:spacing w:after="0"/>
              <w:rPr>
                <w:sz w:val="1"/>
                <w:szCs w:val="1"/>
                <w:color w:val="auto"/>
              </w:rPr>
            </w:pPr>
          </w:p>
        </w:tc>
      </w:tr>
      <w:tr>
        <w:trPr>
          <w:trHeight w:val="255"/>
        </w:trPr>
        <w:tc>
          <w:tcPr>
            <w:tcW w:w="77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2,406</w:t>
            </w:r>
          </w:p>
        </w:tc>
        <w:tc>
          <w:tcPr>
            <w:tcW w:w="0" w:type="dxa"/>
            <w:vAlign w:val="bottom"/>
          </w:tcPr>
          <w:p>
            <w:pPr>
              <w:spacing w:after="0"/>
              <w:rPr>
                <w:sz w:val="1"/>
                <w:szCs w:val="1"/>
                <w:color w:val="auto"/>
              </w:rPr>
            </w:pPr>
          </w:p>
        </w:tc>
      </w:tr>
      <w:tr>
        <w:trPr>
          <w:trHeight w:val="255"/>
        </w:trPr>
        <w:tc>
          <w:tcPr>
            <w:tcW w:w="77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Change in operating assets and liabilities: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7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Accounts receivable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10,263</w:t>
            </w:r>
          </w:p>
        </w:tc>
        <w:tc>
          <w:tcPr>
            <w:tcW w:w="0" w:type="dxa"/>
            <w:vAlign w:val="bottom"/>
          </w:tcPr>
          <w:p>
            <w:pPr>
              <w:spacing w:after="0"/>
              <w:rPr>
                <w:sz w:val="1"/>
                <w:szCs w:val="1"/>
                <w:color w:val="auto"/>
              </w:rPr>
            </w:pPr>
          </w:p>
        </w:tc>
      </w:tr>
      <w:tr>
        <w:trPr>
          <w:trHeight w:val="255"/>
        </w:trPr>
        <w:tc>
          <w:tcPr>
            <w:tcW w:w="77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Inventory</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975</w:t>
            </w:r>
          </w:p>
        </w:tc>
        <w:tc>
          <w:tcPr>
            <w:tcW w:w="0" w:type="dxa"/>
            <w:vAlign w:val="bottom"/>
          </w:tcPr>
          <w:p>
            <w:pPr>
              <w:spacing w:after="0"/>
              <w:rPr>
                <w:sz w:val="1"/>
                <w:szCs w:val="1"/>
                <w:color w:val="auto"/>
              </w:rPr>
            </w:pPr>
          </w:p>
        </w:tc>
      </w:tr>
      <w:tr>
        <w:trPr>
          <w:trHeight w:val="255"/>
        </w:trPr>
        <w:tc>
          <w:tcPr>
            <w:tcW w:w="77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(20,461)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(46,953)</w:t>
            </w:r>
          </w:p>
        </w:tc>
        <w:tc>
          <w:tcPr>
            <w:tcW w:w="0" w:type="dxa"/>
            <w:vAlign w:val="bottom"/>
          </w:tcPr>
          <w:p>
            <w:pPr>
              <w:spacing w:after="0"/>
              <w:rPr>
                <w:sz w:val="1"/>
                <w:szCs w:val="1"/>
                <w:color w:val="auto"/>
              </w:rPr>
            </w:pPr>
          </w:p>
        </w:tc>
      </w:tr>
      <w:tr>
        <w:trPr>
          <w:trHeight w:val="263"/>
        </w:trPr>
        <w:tc>
          <w:tcPr>
            <w:tcW w:w="77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Other assets and liabilities</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(2,526)</w:t>
            </w:r>
          </w:p>
        </w:tc>
        <w:tc>
          <w:tcPr>
            <w:tcW w:w="0" w:type="dxa"/>
            <w:vAlign w:val="bottom"/>
          </w:tcPr>
          <w:p>
            <w:pPr>
              <w:spacing w:after="0"/>
              <w:rPr>
                <w:sz w:val="1"/>
                <w:szCs w:val="1"/>
                <w:color w:val="auto"/>
              </w:rPr>
            </w:pPr>
          </w:p>
        </w:tc>
      </w:tr>
      <w:tr>
        <w:trPr>
          <w:trHeight w:val="223"/>
        </w:trPr>
        <w:tc>
          <w:tcPr>
            <w:tcW w:w="776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20"/>
                <w:szCs w:val="20"/>
                <w:color w:val="auto"/>
              </w:rPr>
              <w:t>Net cash used in operating activities</w:t>
            </w:r>
          </w:p>
        </w:tc>
        <w:tc>
          <w:tcPr>
            <w:tcW w:w="180" w:type="dxa"/>
            <w:vAlign w:val="bottom"/>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(28,496)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(180,147)</w:t>
            </w:r>
          </w:p>
        </w:tc>
        <w:tc>
          <w:tcPr>
            <w:tcW w:w="0" w:type="dxa"/>
            <w:vAlign w:val="bottom"/>
          </w:tcPr>
          <w:p>
            <w:pPr>
              <w:spacing w:after="0"/>
              <w:rPr>
                <w:sz w:val="1"/>
                <w:szCs w:val="1"/>
                <w:color w:val="auto"/>
              </w:rPr>
            </w:pPr>
          </w:p>
        </w:tc>
      </w:tr>
      <w:tr>
        <w:trPr>
          <w:trHeight w:val="264"/>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Investing activities</w:t>
            </w:r>
          </w:p>
        </w:tc>
        <w:tc>
          <w:tcPr>
            <w:tcW w:w="180" w:type="dxa"/>
            <w:vAlign w:val="bottom"/>
          </w:tcPr>
          <w:p>
            <w:pPr>
              <w:spacing w:after="0"/>
              <w:rPr>
                <w:sz w:val="22"/>
                <w:szCs w:val="2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41,060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17,765</w:t>
            </w:r>
          </w:p>
        </w:tc>
        <w:tc>
          <w:tcPr>
            <w:tcW w:w="0" w:type="dxa"/>
            <w:vAlign w:val="bottom"/>
          </w:tcPr>
          <w:p>
            <w:pPr>
              <w:spacing w:after="0"/>
              <w:rPr>
                <w:sz w:val="1"/>
                <w:szCs w:val="1"/>
                <w:color w:val="auto"/>
              </w:rPr>
            </w:pPr>
          </w:p>
        </w:tc>
      </w:tr>
      <w:tr>
        <w:trPr>
          <w:trHeight w:val="250"/>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Proceeds from maturities of marketable securities</w:t>
            </w:r>
          </w:p>
        </w:tc>
        <w:tc>
          <w:tcPr>
            <w:tcW w:w="18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Purchases of marketable securities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(66,302)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(47,670)</w:t>
            </w:r>
          </w:p>
        </w:tc>
        <w:tc>
          <w:tcPr>
            <w:tcW w:w="0" w:type="dxa"/>
            <w:vAlign w:val="bottom"/>
          </w:tcPr>
          <w:p>
            <w:pPr>
              <w:spacing w:after="0"/>
              <w:rPr>
                <w:sz w:val="1"/>
                <w:szCs w:val="1"/>
                <w:color w:val="auto"/>
              </w:rPr>
            </w:pPr>
          </w:p>
        </w:tc>
      </w:tr>
      <w:tr>
        <w:trPr>
          <w:trHeight w:val="255"/>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Purchases of property and equipment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(5,250)</w:t>
            </w:r>
          </w:p>
        </w:tc>
        <w:tc>
          <w:tcPr>
            <w:tcW w:w="0" w:type="dxa"/>
            <w:vAlign w:val="bottom"/>
          </w:tcPr>
          <w:p>
            <w:pPr>
              <w:spacing w:after="0"/>
              <w:rPr>
                <w:sz w:val="1"/>
                <w:szCs w:val="1"/>
                <w:color w:val="auto"/>
              </w:rPr>
            </w:pPr>
          </w:p>
        </w:tc>
      </w:tr>
      <w:tr>
        <w:trPr>
          <w:trHeight w:val="255"/>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Proceeds from sales of marketable securities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Consideration on escrow paid for Legacy GeneDx acquisition</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(12,144)</w:t>
            </w:r>
          </w:p>
        </w:tc>
        <w:tc>
          <w:tcPr>
            <w:tcW w:w="0" w:type="dxa"/>
            <w:vAlign w:val="bottom"/>
          </w:tcPr>
          <w:p>
            <w:pPr>
              <w:spacing w:after="0"/>
              <w:rPr>
                <w:sz w:val="1"/>
                <w:szCs w:val="1"/>
                <w:color w:val="auto"/>
              </w:rPr>
            </w:pPr>
          </w:p>
        </w:tc>
      </w:tr>
      <w:tr>
        <w:trPr>
          <w:trHeight w:val="255"/>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Proceeds from sales of assets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4,034</w:t>
            </w:r>
          </w:p>
        </w:tc>
        <w:tc>
          <w:tcPr>
            <w:tcW w:w="0" w:type="dxa"/>
            <w:vAlign w:val="bottom"/>
          </w:tcPr>
          <w:p>
            <w:pPr>
              <w:spacing w:after="0"/>
              <w:rPr>
                <w:sz w:val="1"/>
                <w:szCs w:val="1"/>
                <w:color w:val="auto"/>
              </w:rPr>
            </w:pPr>
          </w:p>
        </w:tc>
      </w:tr>
      <w:tr>
        <w:trPr>
          <w:trHeight w:val="263"/>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Development of internal-use software assets</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(461)</w:t>
            </w:r>
          </w:p>
        </w:tc>
        <w:tc>
          <w:tcPr>
            <w:tcW w:w="0" w:type="dxa"/>
            <w:vAlign w:val="bottom"/>
          </w:tcPr>
          <w:p>
            <w:pPr>
              <w:spacing w:after="0"/>
              <w:rPr>
                <w:sz w:val="1"/>
                <w:szCs w:val="1"/>
                <w:color w:val="auto"/>
              </w:rPr>
            </w:pPr>
          </w:p>
        </w:tc>
      </w:tr>
      <w:tr>
        <w:trPr>
          <w:trHeight w:val="215"/>
        </w:trPr>
        <w:tc>
          <w:tcPr>
            <w:tcW w:w="7760" w:type="dxa"/>
            <w:vAlign w:val="bottom"/>
            <w:gridSpan w:val="2"/>
          </w:tcPr>
          <w:p>
            <w:pPr>
              <w:ind w:left="60"/>
              <w:spacing w:after="0" w:line="215" w:lineRule="exact"/>
              <w:rPr>
                <w:sz w:val="20"/>
                <w:szCs w:val="20"/>
                <w:color w:val="auto"/>
              </w:rPr>
            </w:pPr>
            <w:r>
              <w:rPr>
                <w:rFonts w:ascii="Times New Roman" w:cs="Times New Roman" w:eastAsia="Times New Roman" w:hAnsi="Times New Roman"/>
                <w:sz w:val="20"/>
                <w:szCs w:val="20"/>
                <w:color w:val="auto"/>
              </w:rPr>
              <w:t>Net cash used in investing activities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(30,132)</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(43,726)</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Financing activities</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7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Proceeds from offerings, net of issuance costs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46,496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143,002</w:t>
            </w:r>
          </w:p>
        </w:tc>
        <w:tc>
          <w:tcPr>
            <w:tcW w:w="0" w:type="dxa"/>
            <w:vAlign w:val="bottom"/>
          </w:tcPr>
          <w:p>
            <w:pPr>
              <w:spacing w:after="0"/>
              <w:rPr>
                <w:sz w:val="1"/>
                <w:szCs w:val="1"/>
                <w:color w:val="auto"/>
              </w:rPr>
            </w:pPr>
          </w:p>
        </w:tc>
      </w:tr>
      <w:tr>
        <w:trPr>
          <w:trHeight w:val="255"/>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Exercise of stock options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w:t>
            </w:r>
          </w:p>
        </w:tc>
        <w:tc>
          <w:tcPr>
            <w:tcW w:w="0" w:type="dxa"/>
            <w:vAlign w:val="bottom"/>
          </w:tcPr>
          <w:p>
            <w:pPr>
              <w:spacing w:after="0"/>
              <w:rPr>
                <w:sz w:val="1"/>
                <w:szCs w:val="1"/>
                <w:color w:val="auto"/>
              </w:rPr>
            </w:pPr>
          </w:p>
        </w:tc>
      </w:tr>
      <w:tr>
        <w:trPr>
          <w:trHeight w:val="255"/>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Issuance of stock pursuant to employee stock purchase plan</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Long-term debt principal payments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0" w:type="dxa"/>
            <w:vAlign w:val="bottom"/>
          </w:tcPr>
          <w:p>
            <w:pPr>
              <w:spacing w:after="0"/>
              <w:rPr>
                <w:sz w:val="1"/>
                <w:szCs w:val="1"/>
                <w:color w:val="auto"/>
              </w:rPr>
            </w:pPr>
          </w:p>
        </w:tc>
      </w:tr>
      <w:tr>
        <w:trPr>
          <w:trHeight w:val="255"/>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Finance lease payoff and principal payments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(3,598)</w:t>
            </w:r>
          </w:p>
        </w:tc>
        <w:tc>
          <w:tcPr>
            <w:tcW w:w="0" w:type="dxa"/>
            <w:vAlign w:val="bottom"/>
          </w:tcPr>
          <w:p>
            <w:pPr>
              <w:spacing w:after="0"/>
              <w:rPr>
                <w:sz w:val="1"/>
                <w:szCs w:val="1"/>
                <w:color w:val="auto"/>
              </w:rPr>
            </w:pPr>
          </w:p>
        </w:tc>
      </w:tr>
      <w:tr>
        <w:trPr>
          <w:trHeight w:val="263"/>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Proceeds from long-term debt</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48,549</w:t>
            </w:r>
          </w:p>
        </w:tc>
        <w:tc>
          <w:tcPr>
            <w:tcW w:w="0" w:type="dxa"/>
            <w:vAlign w:val="bottom"/>
          </w:tcPr>
          <w:p>
            <w:pPr>
              <w:spacing w:after="0"/>
              <w:rPr>
                <w:sz w:val="1"/>
                <w:szCs w:val="1"/>
                <w:color w:val="auto"/>
              </w:rPr>
            </w:pPr>
          </w:p>
        </w:tc>
      </w:tr>
      <w:tr>
        <w:trPr>
          <w:trHeight w:val="227"/>
        </w:trPr>
        <w:tc>
          <w:tcPr>
            <w:tcW w:w="7760" w:type="dxa"/>
            <w:vAlign w:val="bottom"/>
            <w:gridSpan w:val="2"/>
          </w:tcPr>
          <w:p>
            <w:pPr>
              <w:ind w:left="60"/>
              <w:spacing w:after="0" w:line="227" w:lineRule="exact"/>
              <w:rPr>
                <w:sz w:val="20"/>
                <w:szCs w:val="20"/>
                <w:color w:val="auto"/>
              </w:rPr>
            </w:pPr>
            <w:r>
              <w:rPr>
                <w:rFonts w:ascii="Times New Roman" w:cs="Times New Roman" w:eastAsia="Times New Roman" w:hAnsi="Times New Roman"/>
                <w:sz w:val="20"/>
                <w:szCs w:val="20"/>
                <w:color w:val="auto"/>
              </w:rPr>
              <w:t>Net cash provided by financing activities</w:t>
            </w:r>
          </w:p>
        </w:tc>
        <w:tc>
          <w:tcPr>
            <w:tcW w:w="180" w:type="dxa"/>
            <w:vAlign w:val="bottom"/>
          </w:tcPr>
          <w:p>
            <w:pPr>
              <w:spacing w:after="0"/>
              <w:rPr>
                <w:sz w:val="19"/>
                <w:szCs w:val="19"/>
                <w:color w:val="auto"/>
              </w:rPr>
            </w:pPr>
          </w:p>
        </w:tc>
        <w:tc>
          <w:tcPr>
            <w:tcW w:w="11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44,162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186,238</w:t>
            </w:r>
          </w:p>
        </w:tc>
        <w:tc>
          <w:tcPr>
            <w:tcW w:w="0" w:type="dxa"/>
            <w:vAlign w:val="bottom"/>
          </w:tcPr>
          <w:p>
            <w:pPr>
              <w:spacing w:after="0"/>
              <w:rPr>
                <w:sz w:val="1"/>
                <w:szCs w:val="1"/>
                <w:color w:val="auto"/>
              </w:rPr>
            </w:pPr>
          </w:p>
        </w:tc>
      </w:tr>
      <w:tr>
        <w:trPr>
          <w:trHeight w:val="255"/>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Net decrease in cash, cash equivalents and restricted cash</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(14,466)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(37,635)</w:t>
            </w:r>
          </w:p>
        </w:tc>
        <w:tc>
          <w:tcPr>
            <w:tcW w:w="0" w:type="dxa"/>
            <w:vAlign w:val="bottom"/>
          </w:tcPr>
          <w:p>
            <w:pPr>
              <w:spacing w:after="0"/>
              <w:rPr>
                <w:sz w:val="1"/>
                <w:szCs w:val="1"/>
                <w:color w:val="auto"/>
              </w:rPr>
            </w:pPr>
          </w:p>
        </w:tc>
      </w:tr>
      <w:tr>
        <w:trPr>
          <w:trHeight w:val="263"/>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Cash, cash equivalents and restricted cash, at beginning of year</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100,668</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138,303</w:t>
            </w:r>
          </w:p>
        </w:tc>
        <w:tc>
          <w:tcPr>
            <w:tcW w:w="0" w:type="dxa"/>
            <w:vAlign w:val="bottom"/>
          </w:tcPr>
          <w:p>
            <w:pPr>
              <w:spacing w:after="0"/>
              <w:rPr>
                <w:sz w:val="1"/>
                <w:szCs w:val="1"/>
                <w:color w:val="auto"/>
              </w:rPr>
            </w:pPr>
          </w:p>
        </w:tc>
      </w:tr>
      <w:tr>
        <w:trPr>
          <w:trHeight w:val="215"/>
        </w:trPr>
        <w:tc>
          <w:tcPr>
            <w:tcW w:w="7760" w:type="dxa"/>
            <w:vAlign w:val="bottom"/>
            <w:gridSpan w:val="2"/>
          </w:tcPr>
          <w:p>
            <w:pPr>
              <w:ind w:left="60"/>
              <w:spacing w:after="0" w:line="215" w:lineRule="exact"/>
              <w:rPr>
                <w:sz w:val="20"/>
                <w:szCs w:val="20"/>
                <w:color w:val="auto"/>
              </w:rPr>
            </w:pPr>
            <w:r>
              <w:rPr>
                <w:rFonts w:ascii="Times New Roman" w:cs="Times New Roman" w:eastAsia="Times New Roman" w:hAnsi="Times New Roman"/>
                <w:sz w:val="20"/>
                <w:szCs w:val="20"/>
                <w:color w:val="auto"/>
              </w:rPr>
              <w:t>Cash, cash equivalents and restricted cash, at end of year</w:t>
            </w:r>
          </w:p>
        </w:tc>
        <w:tc>
          <w:tcPr>
            <w:tcW w:w="1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86,202</w:t>
            </w:r>
          </w:p>
        </w:tc>
        <w:tc>
          <w:tcPr>
            <w:tcW w:w="60" w:type="dxa"/>
            <w:vAlign w:val="bottom"/>
          </w:tcPr>
          <w:p>
            <w:pPr>
              <w:spacing w:after="0"/>
              <w:rPr>
                <w:sz w:val="18"/>
                <w:szCs w:val="18"/>
                <w:color w:val="auto"/>
              </w:rPr>
            </w:pPr>
          </w:p>
        </w:tc>
        <w:tc>
          <w:tcPr>
            <w:tcW w:w="300" w:type="dxa"/>
            <w:vAlign w:val="bottom"/>
            <w:tcBorders>
              <w:bottom w:val="single" w:sz="8" w:color="auto"/>
            </w:tcBorders>
          </w:tcPr>
          <w:p>
            <w:pPr>
              <w:jc w:val="right"/>
              <w:ind w:right="4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100,668</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Supplemental disclosures of cash flow information</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77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Stock consideration paid pursuant to exercise of Perceptive warrant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12,586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Cash paid for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3,041</w:t>
            </w:r>
          </w:p>
        </w:tc>
        <w:tc>
          <w:tcPr>
            <w:tcW w:w="0" w:type="dxa"/>
            <w:vAlign w:val="bottom"/>
          </w:tcPr>
          <w:p>
            <w:pPr>
              <w:spacing w:after="0"/>
              <w:rPr>
                <w:sz w:val="1"/>
                <w:szCs w:val="1"/>
                <w:color w:val="auto"/>
              </w:rPr>
            </w:pPr>
          </w:p>
        </w:tc>
      </w:tr>
      <w:tr>
        <w:trPr>
          <w:trHeight w:val="255"/>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Purchases of property and equipment in accounts payable and accrued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0" w:type="dxa"/>
            <w:vAlign w:val="bottom"/>
          </w:tcPr>
          <w:p>
            <w:pPr>
              <w:spacing w:after="0"/>
              <w:rPr>
                <w:sz w:val="1"/>
                <w:szCs w:val="1"/>
                <w:color w:val="auto"/>
              </w:rPr>
            </w:pPr>
          </w:p>
        </w:tc>
      </w:tr>
      <w:tr>
        <w:trPr>
          <w:trHeight w:val="255"/>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Cash paid for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1,465</w:t>
            </w:r>
          </w:p>
        </w:tc>
        <w:tc>
          <w:tcPr>
            <w:tcW w:w="0" w:type="dxa"/>
            <w:vAlign w:val="bottom"/>
          </w:tcPr>
          <w:p>
            <w:pPr>
              <w:spacing w:after="0"/>
              <w:rPr>
                <w:sz w:val="1"/>
                <w:szCs w:val="1"/>
                <w:color w:val="auto"/>
              </w:rPr>
            </w:pPr>
          </w:p>
        </w:tc>
      </w:tr>
      <w:tr>
        <w:trPr>
          <w:trHeight w:val="255"/>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Assets acquired under capital leases obligations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Issuance of common stock for first Milestone Payment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6,692</w:t>
            </w:r>
          </w:p>
        </w:tc>
        <w:tc>
          <w:tcPr>
            <w:tcW w:w="0" w:type="dxa"/>
            <w:vAlign w:val="bottom"/>
          </w:tcPr>
          <w:p>
            <w:pPr>
              <w:spacing w:after="0"/>
              <w:rPr>
                <w:sz w:val="1"/>
                <w:szCs w:val="1"/>
                <w:color w:val="auto"/>
              </w:rPr>
            </w:pPr>
          </w:p>
        </w:tc>
      </w:tr>
      <w:tr>
        <w:trPr>
          <w:trHeight w:val="260"/>
        </w:trPr>
        <w:tc>
          <w:tcPr>
            <w:tcW w:w="77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Lease liability from obtaining right-of-use asset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-7776210</wp:posOffset>
            </wp:positionV>
            <wp:extent cx="6657975" cy="7797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extLst>
                    </a:blip>
                    <a:srcRect/>
                    <a:stretch>
                      <a:fillRect/>
                    </a:stretch>
                  </pic:blipFill>
                  <pic:spPr bwMode="auto">
                    <a:xfrm>
                      <a:off x="0" y="0"/>
                      <a:ext cx="6657975" cy="7797800"/>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440"/>
          </w:cols>
          <w:pgMar w:left="900" w:top="195" w:right="900" w:bottom="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440"/>
          </w:cols>
          <w:pgMar w:left="900" w:top="195" w:right="90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GeneDx Holdings Corp.</w:t>
      </w:r>
    </w:p>
    <w:p>
      <w:pPr>
        <w:spacing w:after="0" w:line="19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Description of Business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GeneDx Holdings Corp., through its subsidiary GeneDx, LLC, is a leading genomics company—one that sits at the intersection of diagnostics and data science, pairing decades of genomic expertise with an ability to interpret clinical data at scale. The Company believes that everyone deserves personalized, targeted medical care—and that it all begins with a genetic diagnosis. Fueled by one of the world’s largest rare disease data sets, the Company’s industry-leading exome and genome tests translate complex genomic data into clinical answers that unlock personalized health plans, accelerate drug discovery, and improve health system efficiencies. The Company operates with conviction that what is best for patients must be embedded in every aspect of our work. In support of these beliefs, we value equitability, simplicity and transparency.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Unless otherwise stated herein or unless the context otherwise requires, references in these notes to:</w:t>
      </w:r>
    </w:p>
    <w:p>
      <w:pPr>
        <w:spacing w:after="0" w:line="30" w:lineRule="exact"/>
        <w:rPr>
          <w:sz w:val="20"/>
          <w:szCs w:val="20"/>
          <w:color w:val="auto"/>
        </w:rPr>
      </w:pPr>
    </w:p>
    <w:p>
      <w:pPr>
        <w:ind w:left="360" w:hanging="360"/>
        <w:spacing w:after="0"/>
        <w:tabs>
          <w:tab w:leader="none" w:pos="3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“GeneDx Holdings” refer to GeneDx Holdings Corp., a Delaware corporation;</w:t>
      </w:r>
    </w:p>
    <w:p>
      <w:pPr>
        <w:spacing w:after="0" w:line="10" w:lineRule="exact"/>
        <w:rPr>
          <w:rFonts w:ascii="Times New Roman" w:cs="Times New Roman" w:eastAsia="Times New Roman" w:hAnsi="Times New Roman"/>
          <w:sz w:val="20"/>
          <w:szCs w:val="20"/>
          <w:color w:val="auto"/>
        </w:rPr>
      </w:pPr>
    </w:p>
    <w:p>
      <w:pPr>
        <w:ind w:left="360" w:hanging="360"/>
        <w:spacing w:after="0" w:line="250" w:lineRule="auto"/>
        <w:tabs>
          <w:tab w:leader="none" w:pos="3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“Legacy GeneDx” refer to GeneDx, LLC, a Delaware limited liability company, which we acquired on April 29, 2022 (the “Acquisition”);</w:t>
      </w:r>
    </w:p>
    <w:p>
      <w:pPr>
        <w:ind w:left="360" w:hanging="360"/>
        <w:spacing w:after="0" w:line="250" w:lineRule="auto"/>
        <w:tabs>
          <w:tab w:leader="none" w:pos="3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“Legacy Sema4” refer to Sema4 OpCo Inc., a Delaware corporation, which consummated the business combination with CM Life Sciences, Inc. (“CMLS”) on July 22, 2021 (the “Business Combination”); and</w:t>
      </w:r>
    </w:p>
    <w:p>
      <w:pPr>
        <w:ind w:left="360" w:hanging="360"/>
        <w:spacing w:after="0" w:line="260" w:lineRule="auto"/>
        <w:tabs>
          <w:tab w:leader="none" w:pos="3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“us” and “our,” the “Company” and “GeneDx” refer, as the context requires, to GeneDx Holdings and its consolidated subsidiaries.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conformity with accounting principles generally accepted in the United States (“U.S. GAAP”). These financial statements consolidate the operations and accounts of the Company and its wholly-owned subsidiaries. All intercompany accounts and transactions have been eliminated. Unless otherwise noted, all tabular dollars are in thousands, except per share amounts.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Emerging Growth Company</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is an “emerging growth company” as defined in the Jumpstart Our Business Startups Act of 2012. In addition, the Company was previously a “smaller reporting company”, as defined in Item 10(f)(1) of the SEC’s Regulation S-K and currently takes advantage of certain of the scaled disclosures available to smaller reporting companies. As such, the Company is eligible for exemptions from various reporting requirements applicable to other public companies that are not emerging growth companies, including reduced reporting, including the reporting of two fiscal years of financial statements, not being required to provide an auditor attestation of internal control over financial reporting under Section 404 of the Sarbanes-Oxley Act,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preparation of the Company’s consolidated financial statements in conformity with U.S. GAAP requires management to make certain estimates, judgments and assumptions that affect the reported amounts of assets and liabilities and the related disclosures at the date of the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valuation of stock-based awards, the valuation of warrant liabilities and income taxes. Actual results could differ materially from those estimates, judgments and assumptions.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 and Other Risks and Uncertainties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primarily of cash and cash equivalents, marketable securities and accounts receivable. The majority of the Company’s cash, cash equivalents and restricted cash are uninsured with account balances in excess of the Federal Deposit Insurance Company limits.</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440"/>
          </w:cols>
          <w:pgMar w:left="900" w:top="208" w:right="90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Company’s cash, cash equivalents and marketable securities are deposited with high-quality financial institutions. Management believes these financial institutions are financially sound and, accordingly, that minimal credit risk exists. The Company is exposed to credit risk in the event of a default by the financial institutions holding its cash in excess of government insured limits and in the event of default by corporations and governments in which it holds investments in cash equivalents and short-term debt securities, to the extent recorded on the consolidated balance sheet. The Company has not experienced any losses on its deposits of cash and cash equivalents.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Company assesses both the self-pay patient and the third-party payor that reimburses the Company on the patient’s behalf and, institutional billed clients when evaluating concentration of credit risk from customers. Significant patients and payors are those that represent more than 10% of the Company’s total annual revenues or accounts receivable balance at each respective balance sheet date. The significant concentrations of accounts receivable as of December 31, 2024 and 2023 were primarily from large managed care insurance companies, institutional billed accounts, and data arrangements. There was no individual patient or client that accounted for 10% or more of revenue or accounts receivable for any of the years presented. The Company does not require collateral as a means to mitigate customer credit risk.</w:t>
      </w:r>
    </w:p>
    <w:p>
      <w:pPr>
        <w:spacing w:after="0" w:line="1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For each significant payor, revenue as a percentage of total revenues and accounts receivable as a percentage of total accounts receivable are as follows: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496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3"/>
          </w:tcPr>
          <w:p>
            <w:pPr>
              <w:jc w:val="right"/>
              <w:ind w:right="86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60" w:type="dxa"/>
            <w:vAlign w:val="bottom"/>
          </w:tcPr>
          <w:p>
            <w:pPr>
              <w:spacing w:after="0"/>
              <w:rPr>
                <w:sz w:val="23"/>
                <w:szCs w:val="23"/>
                <w:color w:val="auto"/>
              </w:rPr>
            </w:pPr>
          </w:p>
        </w:tc>
        <w:tc>
          <w:tcPr>
            <w:tcW w:w="268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Accounts Receivable</w:t>
            </w:r>
          </w:p>
        </w:tc>
      </w:tr>
      <w:tr>
        <w:trPr>
          <w:trHeight w:val="265"/>
        </w:trPr>
        <w:tc>
          <w:tcPr>
            <w:tcW w:w="4960" w:type="dxa"/>
            <w:vAlign w:val="bottom"/>
          </w:tcPr>
          <w:p>
            <w:pPr>
              <w:spacing w:after="0"/>
              <w:rPr>
                <w:sz w:val="23"/>
                <w:szCs w:val="23"/>
                <w:color w:val="auto"/>
              </w:rPr>
            </w:pPr>
          </w:p>
        </w:tc>
        <w:tc>
          <w:tcPr>
            <w:tcW w:w="26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 w:type="dxa"/>
            <w:vAlign w:val="bottom"/>
          </w:tcPr>
          <w:p>
            <w:pPr>
              <w:spacing w:after="0"/>
              <w:rPr>
                <w:sz w:val="23"/>
                <w:szCs w:val="23"/>
                <w:color w:val="auto"/>
              </w:rPr>
            </w:pPr>
          </w:p>
        </w:tc>
        <w:tc>
          <w:tcPr>
            <w:tcW w:w="268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65"/>
        </w:trPr>
        <w:tc>
          <w:tcPr>
            <w:tcW w:w="496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87"/>
        </w:trPr>
        <w:tc>
          <w:tcPr>
            <w:tcW w:w="4960" w:type="dxa"/>
            <w:vAlign w:val="bottom"/>
          </w:tcPr>
          <w:p>
            <w:pPr>
              <w:spacing w:after="0" w:line="287" w:lineRule="exact"/>
              <w:rPr>
                <w:sz w:val="20"/>
                <w:szCs w:val="20"/>
                <w:color w:val="auto"/>
              </w:rPr>
            </w:pPr>
            <w:r>
              <w:rPr>
                <w:rFonts w:ascii="Times New Roman" w:cs="Times New Roman" w:eastAsia="Times New Roman" w:hAnsi="Times New Roman"/>
                <w:sz w:val="20"/>
                <w:szCs w:val="20"/>
                <w:color w:val="auto"/>
              </w:rPr>
              <w:t xml:space="preserve">Payor A </w:t>
            </w:r>
            <w:r>
              <w:rPr>
                <w:rFonts w:ascii="Times New Roman" w:cs="Times New Roman" w:eastAsia="Times New Roman" w:hAnsi="Times New Roman"/>
                <w:sz w:val="26"/>
                <w:szCs w:val="26"/>
                <w:color w:val="auto"/>
                <w:vertAlign w:val="superscript"/>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7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18%</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13%</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Payor B</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76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28%</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11%</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35750" cy="387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a:extLst>
                        <a:ext uri="{28A0092B-C50C-407E-A947-70E740481C1C}"/>
                      </a:extLst>
                    </a:blip>
                    <a:srcRect/>
                    <a:stretch>
                      <a:fillRect/>
                    </a:stretch>
                  </pic:blipFill>
                  <pic:spPr bwMode="auto">
                    <a:xfrm>
                      <a:off x="0" y="0"/>
                      <a:ext cx="6635750" cy="3873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68" w:lineRule="exact"/>
        <w:rPr>
          <w:sz w:val="20"/>
          <w:szCs w:val="20"/>
          <w:color w:val="auto"/>
        </w:rPr>
      </w:pPr>
    </w:p>
    <w:p>
      <w:pPr>
        <w:ind w:left="360" w:hanging="320"/>
        <w:spacing w:after="0"/>
        <w:tabs>
          <w:tab w:leader="none" w:pos="3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10%</w:t>
      </w:r>
    </w:p>
    <w:p>
      <w:pPr>
        <w:spacing w:after="0" w:line="25" w:lineRule="exact"/>
        <w:rPr>
          <w:sz w:val="20"/>
          <w:szCs w:val="20"/>
          <w:color w:val="auto"/>
        </w:rPr>
      </w:pPr>
    </w:p>
    <w:p>
      <w:pPr>
        <w:ind w:left="360" w:hanging="360"/>
        <w:spacing w:after="0" w:line="260" w:lineRule="auto"/>
        <w:tabs>
          <w:tab w:leader="none" w:pos="3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payor group includes multiple individual plans and the Company calculates and presents the aggregated value from all plans, which is consistent with the Company’s portfolio approach used in accounting for diagnostic test revenue.</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is subject to a concentration of risk from a limited number of suppliers for certain reagents and laboratory supplies. One supplier accounted for approximately 13% and 11% of purchases for the years ended December 31, 2024 and 2023, respectively. Another supplier accounted for approximately 10% and 11% of purchases for the years ended December 31, 2024 and 2023, respectively. This risk is managed by maintaining a target quantity of surplus stock. Alternative suppliers are available for some or all of these reagents and supplies.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recognizes revenue when control of the promised goods or services is transferred to the customer in an amount that reflects the consideration which the Company expects to be entitled to in exchange for those goods or services. If any changes in customer credit issues are identified which were not assessed at the date of service, provisions for credit losses are recognized and recorded.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Diagnostic test revenue</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Company’s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generally transferred at a point in time when the customer obtains control of the promised service which is upon delivery of the test.</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Diagnostic test revenues consist primarily of services reimbursed by third-party insurance payors. Third-party insurance payors include managed care health plans and commercial insurance companies, including plans offered through the health insurance exchanges, and employers. In arrangements with third-party insurance payors, the transaction price is stated within the contract, however, the Company accepts payments from third-party payors that are less than the contractually stated price and is therefore variable consideration and the transaction price is estimated.</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440"/>
          </w:cols>
          <w:pgMar w:left="900" w:top="208" w:right="90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w:t>
      </w:r>
    </w:p>
    <w:p>
      <w:pPr>
        <w:spacing w:after="0" w:line="1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For institutional clients, the customer is the institution. The Company determines the transaction price associated with services rendered in accordance with the contractual rates established with each customer.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Payment terms and conditions vary by contract and customer, however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revenue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Company enters into both short-term and long-term project-based collaboration and service agreements with customers. Certain of these contracts include a license to directly access the Company’s intellectual property or participation by the Company on joint steering committees with the customer, which was considered to be immaterial in the context of the contract. The Company concludes that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our customers by transferring each good or service independently.</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Certain of these contracts include non-refundable upfront payments and variable payments based upon the achievement of certain milestones or fixed monthly payments during the contract term. Non-refundable upfront payments received prior to the Company performing performance obligation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 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satisfies its performance obligation generally over time if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consolidated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3, “</w:t>
      </w:r>
      <w:r>
        <w:rPr>
          <w:rFonts w:ascii="Times New Roman" w:cs="Times New Roman" w:eastAsia="Times New Roman" w:hAnsi="Times New Roman"/>
          <w:sz w:val="20"/>
          <w:szCs w:val="20"/>
          <w:b w:val="1"/>
          <w:bCs w:val="1"/>
          <w:i w:val="1"/>
          <w:iCs w:val="1"/>
          <w:color w:val="auto"/>
        </w:rPr>
        <w:t>Revenue Recognition</w:t>
      </w:r>
      <w:r>
        <w:rPr>
          <w:rFonts w:ascii="Times New Roman" w:cs="Times New Roman" w:eastAsia="Times New Roman" w:hAnsi="Times New Roman"/>
          <w:sz w:val="20"/>
          <w:szCs w:val="20"/>
          <w:color w:val="auto"/>
        </w:rPr>
        <w: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Restricted Cash</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considers all highly liquid investments with original maturities of three months or less from the date of purchase to be cash equivalents. Cash equivalents consist of amounts invested in money market funds and debt securities. Carrying values of cash equivalents approximate fair value due to the short-term nature of these instruments. The current and long-term portions of restricted cash are included within prepaid expenses and other current assets and other 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Marketable Securities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Marketable securities are classified as current assets as these investments are intended to be available to the Company for use in funding current operations. Unrealized gains and losses on available for sale securities are deemed temporary and are classified in accumulated other comprehensive income within stockholders’ equity. Changes in the fair value of available for sale securities impact earnings only when such securities are sold, or an allowance for expected credit losses or impairment is recognized. The cost of marketable securities sold is based on the specific identification method. We regularly evaluate our portfolio of marketable securities for expected credit losses and impairment for any decline in fair value determined to be other-than-temporary. In</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440"/>
          </w:cols>
          <w:pgMar w:left="900" w:top="208" w:right="90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making this judgement, we evaluate, among other things, the extent to which the fair value of a security is less than its amortized cost; the financial condition of the issuer, including the credit quality, and any changes thereto; and our intent to sell, or whether we will more likely than not be required to sell, the security before recovery of its amortized cost basis. Our assessment of whether a marketable security has a credit loss or is impaired could change in the future due to new developments or changes in assumptions related to any particular security.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4, “</w:t>
      </w:r>
      <w:r>
        <w:rPr>
          <w:rFonts w:ascii="Times New Roman" w:cs="Times New Roman" w:eastAsia="Times New Roman" w:hAnsi="Times New Roman"/>
          <w:sz w:val="20"/>
          <w:szCs w:val="20"/>
          <w:b w:val="1"/>
          <w:bCs w:val="1"/>
          <w:i w:val="1"/>
          <w:iCs w:val="1"/>
          <w:color w:val="auto"/>
        </w:rPr>
        <w:t>Fair Value Measurements</w:t>
      </w:r>
      <w:r>
        <w:rPr>
          <w:rFonts w:ascii="Times New Roman" w:cs="Times New Roman" w:eastAsia="Times New Roman" w:hAnsi="Times New Roman"/>
          <w:sz w:val="20"/>
          <w:szCs w:val="20"/>
          <w:color w:val="auto"/>
        </w:rPr>
        <w: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Accounts receivable consists of amounts due from customers and third-party payors for services performed and reflect the consideration to which the Company expects to be entitled in exchange for providing those services. Accounts receivable is estimated and recorded in the period the related revenue is recorded. During the years ended December 31, 2024 and 2023, the Company did not record provisions for credit losses. The Company wrote off $0.4 million of accounts receivable balances for the year ended December 31, 2024 and none for the year ended December 31,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 net</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Inventory, net, which primarily consists of finished goods such as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Property and equipment, net are stated at cost less accumulated depreciation and amortization. Equipment includes assets under finance lease. Improvements are capitalized, while maintenance and repairs are expensed as incurred. When assets are retired or otherwise disposed of, the cost and accumulated depreciation and amortization are removed from the consolidated balance sheets and any resulting gain or loss is reflected in the consolidated statements of operations and comprehensive loss in the period realized.</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Finance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5, “</w:t>
      </w:r>
      <w:r>
        <w:rPr>
          <w:rFonts w:ascii="Times New Roman" w:cs="Times New Roman" w:eastAsia="Times New Roman" w:hAnsi="Times New Roman"/>
          <w:sz w:val="20"/>
          <w:szCs w:val="20"/>
          <w:b w:val="1"/>
          <w:bCs w:val="1"/>
          <w:i w:val="1"/>
          <w:iCs w:val="1"/>
          <w:color w:val="auto"/>
        </w:rPr>
        <w:t>Property and Equipment</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 Net</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 xml:space="preserve">Amortizable intangible assets include trade names and trademarks, developed technology and customer relationships acquired as part of business combinations. Intangible assets are amortized on a straight-line basis. All intangible assets subject to amortization are reviewed for impairment in accordance with ASC Topic 360, </w:t>
      </w:r>
      <w:r>
        <w:rPr>
          <w:rFonts w:ascii="Times New Roman" w:cs="Times New Roman" w:eastAsia="Times New Roman" w:hAnsi="Times New Roman"/>
          <w:sz w:val="20"/>
          <w:szCs w:val="20"/>
          <w:b w:val="1"/>
          <w:bCs w:val="1"/>
          <w:i w:val="1"/>
          <w:iCs w:val="1"/>
          <w:color w:val="auto"/>
        </w:rPr>
        <w:t>Property, Plant and Equipment</w:t>
      </w:r>
      <w:r>
        <w:rPr>
          <w:rFonts w:ascii="Times New Roman" w:cs="Times New Roman" w:eastAsia="Times New Roman" w:hAnsi="Times New Roman"/>
          <w:sz w:val="20"/>
          <w:szCs w:val="20"/>
          <w:color w:val="auto"/>
        </w:rPr>
        <w:t>. There were no impairment losses recorded on intangible assets for any periods presented.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6, “</w:t>
      </w:r>
      <w:r>
        <w:rPr>
          <w:rFonts w:ascii="Times New Roman" w:cs="Times New Roman" w:eastAsia="Times New Roman" w:hAnsi="Times New Roman"/>
          <w:sz w:val="20"/>
          <w:szCs w:val="20"/>
          <w:b w:val="1"/>
          <w:bCs w:val="1"/>
          <w:i w:val="1"/>
          <w:iCs w:val="1"/>
          <w:color w:val="auto"/>
        </w:rPr>
        <w:t>Intangible Assets</w:t>
      </w:r>
      <w:r>
        <w:rPr>
          <w:rFonts w:ascii="Times New Roman" w:cs="Times New Roman" w:eastAsia="Times New Roman" w:hAnsi="Times New Roman"/>
          <w:sz w:val="20"/>
          <w:szCs w:val="20"/>
          <w:color w:val="auto"/>
        </w:rPr>
        <w: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Financial assets and liabilities are recorded at fair value. Fair value is defined as the price that would be received to sell an asset or paid to transfer a liability in an orderly transaction between market participants at the measurement date.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spacing w:after="0" w:line="140" w:lineRule="exact"/>
        <w:rPr>
          <w:sz w:val="20"/>
          <w:szCs w:val="20"/>
          <w:color w:val="auto"/>
        </w:rPr>
      </w:pPr>
    </w:p>
    <w:p>
      <w:pPr>
        <w:ind w:left="36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Level 1</w:t>
      </w:r>
      <w:r>
        <w:rPr>
          <w:rFonts w:ascii="Times New Roman" w:cs="Times New Roman" w:eastAsia="Times New Roman" w:hAnsi="Times New Roman"/>
          <w:sz w:val="20"/>
          <w:szCs w:val="20"/>
          <w:color w:val="auto"/>
        </w:rPr>
        <w:t>: Observable inputs such as quoted prices (unadjusted) in active markets that are accessible at the measurement date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 identical assets or liabilities.</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440"/>
          </w:cols>
          <w:pgMar w:left="900" w:top="208" w:right="90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6" w:lineRule="exact"/>
        <w:rPr>
          <w:sz w:val="20"/>
          <w:szCs w:val="20"/>
          <w:color w:val="auto"/>
        </w:rPr>
      </w:pPr>
    </w:p>
    <w:p>
      <w:pPr>
        <w:ind w:left="36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Level 2</w:t>
      </w:r>
      <w:r>
        <w:rPr>
          <w:rFonts w:ascii="Times New Roman" w:cs="Times New Roman" w:eastAsia="Times New Roman" w:hAnsi="Times New Roman"/>
          <w:sz w:val="20"/>
          <w:szCs w:val="20"/>
          <w:color w:val="auto"/>
        </w:rPr>
        <w:t>: Observable inputs such as quoted prices for similar instruments in active markets, quoted prices for identical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similar instruments in markets that are not active or model-derived valuations whose significant inputs are observable.</w:t>
      </w:r>
    </w:p>
    <w:p>
      <w:pPr>
        <w:spacing w:after="0" w:line="114" w:lineRule="exact"/>
        <w:rPr>
          <w:sz w:val="20"/>
          <w:szCs w:val="20"/>
          <w:color w:val="auto"/>
        </w:rPr>
      </w:pPr>
    </w:p>
    <w:p>
      <w:pPr>
        <w:ind w:left="36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Level 3</w:t>
      </w:r>
      <w:r>
        <w:rPr>
          <w:rFonts w:ascii="Times New Roman" w:cs="Times New Roman" w:eastAsia="Times New Roman" w:hAnsi="Times New Roman"/>
          <w:sz w:val="20"/>
          <w:szCs w:val="20"/>
          <w:color w:val="auto"/>
        </w:rPr>
        <w:t>: Unobservable inputs that are significant to the measurement of fair value but are supported by little to no market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data.</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Company’s financial assets and liabilities consist of cash and cash equivalents, marketable securities, accounts receivable, other current assets, accounts payable and accrued expenses, other current liabilities, and long-term debt. The Company’s carrying value of cash and cash equivalents, accounts receivable, other current assets, accounts payable, accrued expenses and other current liabilities approximate their fair value due to the relatively short-term nature of these accounts.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4, “</w:t>
      </w:r>
      <w:r>
        <w:rPr>
          <w:rFonts w:ascii="Times New Roman" w:cs="Times New Roman" w:eastAsia="Times New Roman" w:hAnsi="Times New Roman"/>
          <w:sz w:val="20"/>
          <w:szCs w:val="20"/>
          <w:b w:val="1"/>
          <w:bCs w:val="1"/>
          <w:i w:val="1"/>
          <w:iCs w:val="1"/>
          <w:color w:val="auto"/>
        </w:rPr>
        <w:t>Fair Value Measurements</w:t>
      </w:r>
      <w:r>
        <w:rPr>
          <w:rFonts w:ascii="Times New Roman" w:cs="Times New Roman" w:eastAsia="Times New Roman" w:hAnsi="Times New Roman"/>
          <w:sz w:val="20"/>
          <w:szCs w:val="20"/>
          <w:color w:val="auto"/>
        </w:rPr>
        <w: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 Liability</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The Company accounts for warrants as liability-classified instruments based on an assessment of the warrant terms and applicable authoritative guidance in accordance with ASC Topic 480, </w:t>
      </w:r>
      <w:r>
        <w:rPr>
          <w:rFonts w:ascii="Times New Roman" w:cs="Times New Roman" w:eastAsia="Times New Roman" w:hAnsi="Times New Roman"/>
          <w:sz w:val="20"/>
          <w:szCs w:val="20"/>
          <w:b w:val="1"/>
          <w:bCs w:val="1"/>
          <w:i w:val="1"/>
          <w:iCs w:val="1"/>
          <w:color w:val="auto"/>
        </w:rPr>
        <w:t>Distinguishing Liabilities from Equity</w:t>
      </w:r>
      <w:r>
        <w:rPr>
          <w:rFonts w:ascii="Times New Roman" w:cs="Times New Roman" w:eastAsia="Times New Roman" w:hAnsi="Times New Roman"/>
          <w:sz w:val="20"/>
          <w:szCs w:val="20"/>
          <w:color w:val="auto"/>
        </w:rPr>
        <w:t xml:space="preserve"> (“ASC 480”) and ASC Topic 815, </w:t>
      </w:r>
      <w:r>
        <w:rPr>
          <w:rFonts w:ascii="Times New Roman" w:cs="Times New Roman" w:eastAsia="Times New Roman" w:hAnsi="Times New Roman"/>
          <w:sz w:val="20"/>
          <w:szCs w:val="20"/>
          <w:b w:val="1"/>
          <w:bCs w:val="1"/>
          <w:i w:val="1"/>
          <w:iCs w:val="1"/>
          <w:color w:val="auto"/>
        </w:rPr>
        <w:t>Derivatives and Hedging</w:t>
      </w:r>
      <w:r>
        <w:rPr>
          <w:rFonts w:ascii="Times New Roman" w:cs="Times New Roman" w:eastAsia="Times New Roman" w:hAnsi="Times New Roman"/>
          <w:sz w:val="20"/>
          <w:szCs w:val="20"/>
          <w:color w:val="auto"/>
        </w:rPr>
        <w:t xml:space="preserve">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The warrant liabilities are recorded on the consolidated balance sheets at fair value on their respective issuance dates, with subsequent changes in respective fair values recognized on the consolidated statements of operations and comprehensive loss at each reporting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4, “</w:t>
      </w:r>
      <w:r>
        <w:rPr>
          <w:rFonts w:ascii="Times New Roman" w:cs="Times New Roman" w:eastAsia="Times New Roman" w:hAnsi="Times New Roman"/>
          <w:sz w:val="20"/>
          <w:szCs w:val="20"/>
          <w:b w:val="1"/>
          <w:bCs w:val="1"/>
          <w:i w:val="1"/>
          <w:iCs w:val="1"/>
          <w:color w:val="auto"/>
        </w:rPr>
        <w:t>Fair Value Measurements</w:t>
      </w:r>
      <w:r>
        <w:rPr>
          <w:rFonts w:ascii="Times New Roman" w:cs="Times New Roman" w:eastAsia="Times New Roman" w:hAnsi="Times New Roman"/>
          <w:sz w:val="20"/>
          <w:szCs w:val="20"/>
          <w:color w:val="auto"/>
        </w:rPr>
        <w: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measures stock-based compensation at the grant date based on the fair value of the award and recognizes stock-based compensation expense over the requisite service period for each separate vesting portion of the award on a straight-line basis.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uses the Black-Scholes option-pricing model to estimate the fair value of its stock option awards. Determining the fair value of stock option awards requires judgment, including estimating expected stock price volatility and expected option term. The Company estimates a volatility factor for the Company’s options based on analysis of historical share prices of a peer group of public companies, the historical share prices of the Company, and the implied volatility of the Company’s call options. The Company estimates the expected term of options granted using the “simplified method,” which is the mid-point between the vesting date and the ending date of the contractual term. The Company does not rely on the historical holding periods of the Company’s options due to the limited availability of exercise data. The Company uses a risk-free interest rate based on the U.S. Treasury yield curve in effect for bonds with maturities consistent with the expected term of the option. Expected dividend yield is based on the fact that the Company has never paid dividends.</w:t>
      </w:r>
    </w:p>
    <w:p>
      <w:pPr>
        <w:spacing w:after="0" w:line="14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Restricted stock awards are valued based on the fair value of the stock on the grant date. The Company issues new shares upon share option exercise and vesting of a restricted share unit. Forfeitures of stock-based compensation are recognized as they occur.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11, “</w:t>
      </w:r>
      <w:r>
        <w:rPr>
          <w:rFonts w:ascii="Times New Roman" w:cs="Times New Roman" w:eastAsia="Times New Roman" w:hAnsi="Times New Roman"/>
          <w:sz w:val="20"/>
          <w:szCs w:val="20"/>
          <w:b w:val="1"/>
          <w:bCs w:val="1"/>
          <w:i w:val="1"/>
          <w:iCs w:val="1"/>
          <w:color w:val="auto"/>
        </w:rPr>
        <w:t>Stock-Based Compensation</w:t>
      </w:r>
      <w:r>
        <w:rPr>
          <w:rFonts w:ascii="Times New Roman" w:cs="Times New Roman" w:eastAsia="Times New Roman" w:hAnsi="Times New Roman"/>
          <w:sz w:val="20"/>
          <w:szCs w:val="20"/>
          <w:color w:val="auto"/>
        </w:rPr>
        <w: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Company accounts for income taxes using the asset and liability method and deferred tax assets and liabilities are recognized for the future tax consequences attributable to differences between the financial statement carrying values of existing assets and liabilities and their respective tax bases. Deferred tax assets and liabilities are measured using enacted tax rates in effect for the year in which those temporary differences are expected to be recovered or settled.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recognizes tax benefits from uncertain tax positions only if it is more likely than not, based on technical merits, that the position will be sustained upon examination by the appropriate taxing authorities. The amount of tax benefit recognized for an uncertain tax position is the largest that is more than 50 percent likelihood to be realized upon ultimate settlement. The Company records interest and penalties related to tax uncertainties, where appropriate, in income tax expense.</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440"/>
          </w:cols>
          <w:pgMar w:left="900" w:top="208" w:right="90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12, “</w:t>
      </w: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Under the accounting standards update (“ASU”) 2016-02,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xml:space="preserve"> to ASC Topic 842, the Company determines if an arrangement is or contains a lease at inception. A lease qualifies as a finance lease if any of the following criteria are met at the inception of the lease: (i) there is a transfer of ownership of the leased asset to the Company by the end of the lease term, (ii) the Company holds an option to purchase the leased asset that the Company is reasonably certain to exercise, (iii) 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 All other leases are classified as operating leases.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Right-of-use assets (“ROU assets”) represent the Company’s right to use an underlying asset for the lease term and lease liabilities represent the Company’s obligation to make lease payments arising from the lease. Operating and finance lease ROU assets and liabilities are recognized at the lease commencement date based on the present value of remaining future minimum lease payments over the lease term. The Company does not recognize a ROU asset or lease liability for leases with a term of 12 months or less and does not include variable costs, which are based on actual usage, in the measurement of ROU assets and lease liabilities. The ROU assets include any lease payments made prior to the commencement date and initial direct costs incurred and excludes lease incentives received. ROU assets are subsequently assessed for impairment in accordance with the Company’s accounting policy for long-lived assets.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All lease liabilities are measured at the present value of the associated payments, discounted using the Company’s incremental borrowing rate determined based on the rate of interest that the Company would pay to borrow on a collateralized basis an amount equal to the lease payments for similar term and in a similar economic environment on a collateralized basis, unless there is a rate implicit in the lease that is readily determinable. The lease liabilities are classified as current or non-current based on the expected timing of payments.</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 recognizes lease expense for operating leases on a straight-line basis over the lease term, which may include options to extend or terminate the lease when it is reasonably certain that the Company will exercise such options. Variable costs are expensed when the event determining the amount of variable consideration to be paid occurs. Interest expense for finance leases is recognized based on the accretion of the lease liability. The Company has operating and finance lease arrangements with lease and non-lease components. The Company accounts for lease and non-lease components as a single lease component for all leases.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9,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 Not Yet Adopted</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Changes to U.S. GAAP are established by the Financial Accounting Standards Board (the “FASB”) in the form of ASUs to the FASB’s ASC. The Company considers the applicability and impact of all ASUs. ASUs not included in the disclosures in this report were assessed and determined to be either not applicable or are not expected to have a material impact on the consolidated financial statements.</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b w:val="1"/>
          <w:bCs w:val="1"/>
          <w:i w:val="1"/>
          <w:iCs w:val="1"/>
          <w:color w:val="auto"/>
        </w:rPr>
        <w:t>Income Taxes – Improvements to Income Tax Disclosures</w:t>
      </w:r>
      <w:r>
        <w:rPr>
          <w:rFonts w:ascii="Times New Roman" w:cs="Times New Roman" w:eastAsia="Times New Roman" w:hAnsi="Times New Roman"/>
          <w:sz w:val="20"/>
          <w:szCs w:val="20"/>
          <w:color w:val="auto"/>
        </w:rPr>
        <w:t xml:space="preserve"> (“ASU 2023-09”). The standard requires additional disclosures around disaggregated information about a reporting entity’s effective tax rate reconciliation as well as information on income taxes paid. ASU 2023-09 will be effective for annual periods beginning after December 15, 2024, with early adoption permitted. The guidance will be applied on a prospective basis with the option to apply the standard retrospectively. The Company does not expect the adoption of ASU 2023-09 to have a material impact on its consolidated financial statements and related disclosures.</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b w:val="1"/>
          <w:bCs w:val="1"/>
          <w:i w:val="1"/>
          <w:iCs w:val="1"/>
          <w:color w:val="auto"/>
        </w:rPr>
        <w:t>Disaggregation of Income Statement Expenses</w:t>
      </w:r>
      <w:r>
        <w:rPr>
          <w:rFonts w:ascii="Times New Roman" w:cs="Times New Roman" w:eastAsia="Times New Roman" w:hAnsi="Times New Roman"/>
          <w:sz w:val="20"/>
          <w:szCs w:val="20"/>
          <w:color w:val="auto"/>
        </w:rPr>
        <w:t xml:space="preserve"> (“ASU 2024-03”). The standard requires public business entities to disclose additional information about specific expense categories in the notes to financial statements at interim and annual reporting periods. ASU 2024-03 will be effective for annual periods beginning after December 15, 2026, and interim periods beginning after December 15, 2027, with early adoption permitted. The guidance will be applied on a prospective basis with the option to apply the standard retrospectively. The Company is currently evaluating the impact of the new guidance on its consolidated financial statements and related disclosures.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19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 xml:space="preserve">In November 2023, the FASB issued ASU 2023-07, </w:t>
      </w:r>
      <w:r>
        <w:rPr>
          <w:rFonts w:ascii="Times New Roman" w:cs="Times New Roman" w:eastAsia="Times New Roman" w:hAnsi="Times New Roman"/>
          <w:sz w:val="20"/>
          <w:szCs w:val="20"/>
          <w:b w:val="1"/>
          <w:bCs w:val="1"/>
          <w:i w:val="1"/>
          <w:iCs w:val="1"/>
          <w:color w:val="auto"/>
        </w:rPr>
        <w:t>Improvements to Reportable Segment Disclosures</w:t>
      </w:r>
      <w:r>
        <w:rPr>
          <w:rFonts w:ascii="Times New Roman" w:cs="Times New Roman" w:eastAsia="Times New Roman" w:hAnsi="Times New Roman"/>
          <w:sz w:val="20"/>
          <w:szCs w:val="20"/>
          <w:color w:val="auto"/>
        </w:rPr>
        <w:t xml:space="preserve"> (“ASU 2023-07”). The standard requires enhanced segment reporting disclosures, including significant segment expenses and other segment items.</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440"/>
          </w:cols>
          <w:pgMar w:left="900" w:top="208" w:right="90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Additionally, the standard requires public entities to provide in interim periods all disclosures about a reportable segment’s profit or loss and assets that are currently required annually. The guidance will be applied retrospectively to all periods presented in financial statements unless it is impractical to do so. The Company adopted ASU 2023-07 effective December 31, 2024 and it did not have a material impact on its consolidated financial statements and related disclosures.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Revenue Recognition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Disaggregated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Company’s disaggregated revenue by payor category:</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32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65"/>
        </w:trPr>
        <w:tc>
          <w:tcPr>
            <w:tcW w:w="32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65"/>
        </w:trPr>
        <w:tc>
          <w:tcPr>
            <w:tcW w:w="32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GeneDx</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80"/>
              <w:spacing w:after="0" w:line="265" w:lineRule="exact"/>
              <w:rPr>
                <w:sz w:val="20"/>
                <w:szCs w:val="20"/>
                <w:color w:val="auto"/>
              </w:rPr>
            </w:pPr>
            <w:r>
              <w:rPr>
                <w:rFonts w:ascii="Times New Roman" w:cs="Times New Roman" w:eastAsia="Times New Roman" w:hAnsi="Times New Roman"/>
                <w:sz w:val="20"/>
                <w:szCs w:val="20"/>
                <w:b w:val="1"/>
                <w:bCs w:val="1"/>
                <w:color w:val="auto"/>
              </w:rPr>
              <w:t>Other</w:t>
            </w:r>
            <w:r>
              <w:rPr>
                <w:rFonts w:ascii="Times New Roman" w:cs="Times New Roman" w:eastAsia="Times New Roman" w:hAnsi="Times New Roman"/>
                <w:sz w:val="26"/>
                <w:szCs w:val="26"/>
                <w:b w:val="1"/>
                <w:bCs w:val="1"/>
                <w:color w:val="auto"/>
                <w:vertAlign w:val="superscript"/>
              </w:rPr>
              <w:t>1</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GeneDx</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80"/>
              <w:spacing w:after="0" w:line="265" w:lineRule="exact"/>
              <w:rPr>
                <w:sz w:val="20"/>
                <w:szCs w:val="20"/>
                <w:color w:val="auto"/>
              </w:rPr>
            </w:pPr>
            <w:r>
              <w:rPr>
                <w:rFonts w:ascii="Times New Roman" w:cs="Times New Roman" w:eastAsia="Times New Roman" w:hAnsi="Times New Roman"/>
                <w:sz w:val="20"/>
                <w:szCs w:val="20"/>
                <w:b w:val="1"/>
                <w:bCs w:val="1"/>
                <w:color w:val="auto"/>
              </w:rPr>
              <w:t>Other</w:t>
            </w:r>
            <w:r>
              <w:rPr>
                <w:rFonts w:ascii="Times New Roman" w:cs="Times New Roman" w:eastAsia="Times New Roman" w:hAnsi="Times New Roman"/>
                <w:sz w:val="26"/>
                <w:szCs w:val="26"/>
                <w:b w:val="1"/>
                <w:bCs w:val="1"/>
                <w:color w:val="auto"/>
                <w:vertAlign w:val="superscript"/>
              </w:rPr>
              <w:t>1</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62"/>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Diagnostic test revenue:</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5"/>
        </w:trPr>
        <w:tc>
          <w:tcPr>
            <w:tcW w:w="3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Patients with third-party insurance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231,542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3,157</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234,699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126,265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134,491</w:t>
            </w:r>
          </w:p>
        </w:tc>
      </w:tr>
      <w:tr>
        <w:trPr>
          <w:trHeight w:val="285"/>
        </w:trPr>
        <w:tc>
          <w:tcPr>
            <w:tcW w:w="3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Institutional customers</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65,115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65,115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59,497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59,497</w:t>
            </w:r>
          </w:p>
        </w:tc>
      </w:tr>
      <w:tr>
        <w:trPr>
          <w:trHeight w:val="288"/>
        </w:trPr>
        <w:tc>
          <w:tcPr>
            <w:tcW w:w="3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Self-pay patients</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1,702</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1,666</w:t>
            </w:r>
          </w:p>
        </w:tc>
      </w:tr>
      <w:tr>
        <w:trPr>
          <w:trHeight w:val="262"/>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Total diagnostic test revenue</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299,000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302,157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187,464</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195,654</w:t>
            </w:r>
          </w:p>
        </w:tc>
      </w:tr>
      <w:tr>
        <w:trPr>
          <w:trHeight w:val="288"/>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Other revenue</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6,912</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6,912</w:t>
            </w:r>
          </w:p>
        </w:tc>
      </w:tr>
      <w:tr>
        <w:trPr>
          <w:trHeight w:val="245"/>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302,293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3,157</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305,450</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194,376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202,566</w:t>
            </w:r>
          </w:p>
        </w:tc>
      </w:tr>
      <w:tr>
        <w:trPr>
          <w:trHeight w:val="20"/>
        </w:trPr>
        <w:tc>
          <w:tcPr>
            <w:tcW w:w="3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-1478915</wp:posOffset>
            </wp:positionV>
            <wp:extent cx="6667500" cy="1498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a:extLst>
                        <a:ext uri="{28A0092B-C50C-407E-A947-70E740481C1C}"/>
                      </a:extLst>
                    </a:blip>
                    <a:srcRect/>
                    <a:stretch>
                      <a:fillRect/>
                    </a:stretch>
                  </pic:blipFill>
                  <pic:spPr bwMode="auto">
                    <a:xfrm>
                      <a:off x="0" y="0"/>
                      <a:ext cx="6667500" cy="1498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68" w:lineRule="exact"/>
        <w:rPr>
          <w:sz w:val="20"/>
          <w:szCs w:val="20"/>
          <w:color w:val="auto"/>
        </w:rPr>
      </w:pPr>
    </w:p>
    <w:p>
      <w:pPr>
        <w:ind w:left="360" w:hanging="360"/>
        <w:spacing w:after="0"/>
        <w:tabs>
          <w:tab w:leader="none" w:pos="3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represents revenues associated with the Legacy Sema4 diagnostic testing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Reassessment of Variable Consideration</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For the years ended December 31, 2024 and December 31, 2023, the total change in estimate resulted in a net increase to revenue of $15.1 million and $8.8 million respectively, resulting from changes in the estimated transaction price due to contractual adjustments, obtaining updated information from payors and patients that was unknown at the time the performance obligation was met and potential and actual settlements with third party payors. The change in estimate also included an increase in revenue related to the release of a previously established payor reserve, as further disclosed in the “Certain Payor Matters” section below. During the year ended December 31, 2024, the Company recorded a discrete benefit of $6.8 million in connection with a multi-year appeal recovery from a single third-party payor.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Certain Payor Matters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 otherwise overpaid, including as a result of their own error. 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do so in the future. If a third-party payor denies payment for testing or recoups money from the Company in a later period, reimbursement and the associated recognition of revenue for the Company’s testing services could decline.</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From time to time, the Company may have an obligation to reimburse Medicare, Medicaid, and third-party payors for overpayments regardless of fault. Settlements with third-party payors for retroactive adjustments due to audits, reviews, or 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440"/>
          </w:cols>
          <w:pgMar w:left="900" w:top="208" w:right="90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December 30, 2022, the Company entered into a settlement agreement with one of its third-party payors (the “Payor”) in order to settle the claims related to coverage and billing matters allegedly resulting in the overpayments by the Payor to Legacy Sema4 (the “Disputed Claims”). Under the settlement agreement, $42.0 million is to be paid by the Company to the Payor in a series of payments each year through June 30, 2026. The first installment payment of $15.0 million was made on December 31, 2022, the second installment of $5.0 million was made on December 27, 2023, and the third installment of $10.0 million was made on December 31, 2024. As of December 31, 2024, $12.0 million in scheduled payments under the agreement remain, with $10.0 million due in December 2025 and $2.0 million in 2026. In consideration for these payments, the Payor provided releases of the Disputed Claims, effective March 31, 2023.</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a result of this matter, and in connection with a review of certain billing policies and procedures undertaken by management, the Company considered the need to establish reserves for potential recoupments of payments previously made by third-party payors. As of December 31, 2024 and December 31, 2023, $12.6 million and $27.0 million of liabilities were recorded in accounts payable and accrued expenses and other liabilities, respectively. The Company uses estimates, judgments, and assumptions to assess whether it is probable that a significant reversal in the amount of cumulative revenue may occur in future periods, based upon information presently available. These estimates are subject to change. In addition, as discussed above, the Company has made certain adjustments to its estimated variable consideration as result of this matter and other potential settlements with payors.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Fair Value Measurements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Financial assets and liabilities are recorded at fair value on the consolidated balance sheets on a recurring basis. Fair value is defined as the price that would be received to sell an asset or paid to transfer a liability in an orderly transaction between market participants at the measurement date. For further information regarding the Company’s fair value measurements, see Note 2, “</w:t>
      </w:r>
      <w:r>
        <w:rPr>
          <w:rFonts w:ascii="Times New Roman" w:cs="Times New Roman" w:eastAsia="Times New Roman" w:hAnsi="Times New Roman"/>
          <w:sz w:val="20"/>
          <w:szCs w:val="20"/>
          <w:b w:val="1"/>
          <w:bCs w:val="1"/>
          <w:i w:val="1"/>
          <w:iCs w:val="1"/>
          <w:color w:val="auto"/>
        </w:rPr>
        <w:t>Summary of Significant Accounting Policies</w:t>
      </w:r>
      <w:r>
        <w:rPr>
          <w:rFonts w:ascii="Times New Roman" w:cs="Times New Roman" w:eastAsia="Times New Roman" w:hAnsi="Times New Roman"/>
          <w:sz w:val="20"/>
          <w:szCs w:val="20"/>
          <w:color w:val="auto"/>
        </w:rPr>
        <w:t>” included within this Annual Report.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set forth the fair value of financial instruments that were measured at fair value on a recurring basis: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42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2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0" w:type="dxa"/>
            <w:vAlign w:val="bottom"/>
          </w:tcPr>
          <w:p>
            <w:pPr>
              <w:spacing w:after="0"/>
              <w:rPr>
                <w:sz w:val="1"/>
                <w:szCs w:val="1"/>
                <w:color w:val="auto"/>
              </w:rPr>
            </w:pPr>
          </w:p>
        </w:tc>
      </w:tr>
      <w:tr>
        <w:trPr>
          <w:trHeight w:val="262"/>
        </w:trPr>
        <w:tc>
          <w:tcPr>
            <w:tcW w:w="4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Financial Assets: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57,907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57,907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U.S. treasury bonds</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30,990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30,990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Corporate and municipal bonds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25,679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25,679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Total financial assets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114,576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57,907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56,669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Financial 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Public warrant liability</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Private warrant liability</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Total financial liabilities</w:t>
            </w: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3,519</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2,415</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1,104</w:t>
            </w:r>
          </w:p>
        </w:tc>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4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2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0" w:type="dxa"/>
            <w:vAlign w:val="bottom"/>
          </w:tcPr>
          <w:p>
            <w:pPr>
              <w:spacing w:after="0"/>
              <w:rPr>
                <w:sz w:val="1"/>
                <w:szCs w:val="1"/>
                <w:color w:val="auto"/>
              </w:rPr>
            </w:pPr>
          </w:p>
        </w:tc>
      </w:tr>
      <w:tr>
        <w:trPr>
          <w:trHeight w:val="262"/>
        </w:trPr>
        <w:tc>
          <w:tcPr>
            <w:tcW w:w="4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Financial Assets: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92,702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92,702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U.S. treasury bonds</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Corporate and municipal bonds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24,098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24,098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Total financial assets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122,928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92,702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30,226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Financial 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Public warrant liability</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Private warrant liability</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Perceptive warrant liability</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2,515</w:t>
            </w:r>
          </w:p>
        </w:tc>
        <w:tc>
          <w:tcPr>
            <w:tcW w:w="0" w:type="dxa"/>
            <w:vAlign w:val="bottom"/>
          </w:tcPr>
          <w:p>
            <w:pPr>
              <w:spacing w:after="0"/>
              <w:rPr>
                <w:sz w:val="1"/>
                <w:szCs w:val="1"/>
                <w:color w:val="auto"/>
              </w:rPr>
            </w:pPr>
          </w:p>
        </w:tc>
      </w:tr>
      <w:tr>
        <w:trPr>
          <w:trHeight w:val="245"/>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Total financial liabilities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-4371340</wp:posOffset>
            </wp:positionV>
            <wp:extent cx="6667500" cy="1860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a:extLst>
                        <a:ext uri="{28A0092B-C50C-407E-A947-70E740481C1C}"/>
                      </a:extLst>
                    </a:blip>
                    <a:srcRect/>
                    <a:stretch>
                      <a:fillRect/>
                    </a:stretch>
                  </pic:blipFill>
                  <pic:spPr bwMode="auto">
                    <a:xfrm>
                      <a:off x="0" y="0"/>
                      <a:ext cx="6667500" cy="18605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-2021840</wp:posOffset>
            </wp:positionV>
            <wp:extent cx="6667500" cy="2041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a:extLst>
                        <a:ext uri="{28A0092B-C50C-407E-A947-70E740481C1C}"/>
                      </a:extLst>
                    </a:blip>
                    <a:srcRect/>
                    <a:stretch>
                      <a:fillRect/>
                    </a:stretch>
                  </pic:blipFill>
                  <pic:spPr bwMode="auto">
                    <a:xfrm>
                      <a:off x="0" y="0"/>
                      <a:ext cx="6667500" cy="2041525"/>
                    </a:xfrm>
                    <a:prstGeom prst="rect">
                      <a:avLst/>
                    </a:prstGeom>
                    <a:noFill/>
                  </pic:spPr>
                </pic:pic>
              </a:graphicData>
            </a:graphic>
          </wp:anchor>
        </w:drawing>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440"/>
          </w:cols>
          <w:pgMar w:left="900" w:top="208" w:right="90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transfers between Level 1, Level 2 and Level 3 during the years ended December 31, 2024 or December 31, 2023.</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Company’s financial assets include investments in money market funds, U.S. treasury bonds, and corporate and municipal bonds. Investments in money market funds are classified within Level 1 of the fair value hierarchy as they are based on quoted prices in active markets. Investments in U.S. treasury bonds and corporate and municipal bonds are classified within Level 2 of the fair value hierarchy as they are based on quoted bid prices for comparable securities in the marketplace and broker/dealer quotes in active markets.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Company’s marketable securities presented in the consolidated balance sheet at December 31, 2024 have maturity dates ranging from 2025 through 2027 and are classified as current assets as these investments are intended to be readily available to fund current operations. The differences between the fair value and amortized cost basis of each security are the unrealized gains or losses recorded in accumulated other comprehensive income. As of December 31, 2024, the amortized cost for maturities less than one year and greater than one year were $36.6 million and $18.3 million,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Public and Private Warrants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As of the consummation of the CMLS and Legacy Sema4 Business Combination in July 2021, there were 666,516 warrants to purchase shares of Class A common stock outstanding, including 447,223 public warrants and 219,293 private placement warrants. As of December 31, 2024, there were 666,515 warrants to purchase shares of Class A common stock outstanding, including 457,323 public warrants and 209,192 private placement warrants outstanding. Each warrant expires five years after the Business Combination or earlier upon redemption or liquidation, and entitles the holder to purchase one share of Class A common stock at an exercise price of $379.50 per share, subject to adjustment, at any time commencing on September 4, 2021.</w:t>
      </w:r>
    </w:p>
    <w:p>
      <w:pPr>
        <w:spacing w:after="0" w:line="1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Company may redeem the outstanding public warrants if the price per share of the Class A common stock equals or exceeds $594.00 as described below:</w:t>
      </w:r>
    </w:p>
    <w:p>
      <w:pPr>
        <w:spacing w:after="0" w:line="121" w:lineRule="exact"/>
        <w:rPr>
          <w:sz w:val="20"/>
          <w:szCs w:val="20"/>
          <w:color w:val="auto"/>
        </w:rPr>
      </w:pPr>
    </w:p>
    <w:p>
      <w:pPr>
        <w:ind w:left="360" w:hanging="360"/>
        <w:spacing w:after="0"/>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whole and not in part;</w:t>
      </w:r>
    </w:p>
    <w:p>
      <w:pPr>
        <w:spacing w:after="0" w:line="3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 price of $0.33 per public warrant;</w:t>
      </w:r>
    </w:p>
    <w:p>
      <w:pPr>
        <w:spacing w:after="0" w:line="1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not less than 30 days’ prior written notice of redemption to each warrant holder; and</w:t>
      </w:r>
    </w:p>
    <w:p>
      <w:pPr>
        <w:spacing w:after="0" w:line="10" w:lineRule="exact"/>
        <w:rPr>
          <w:rFonts w:ascii="Times New Roman" w:cs="Times New Roman" w:eastAsia="Times New Roman" w:hAnsi="Times New Roman"/>
          <w:sz w:val="20"/>
          <w:szCs w:val="20"/>
          <w:color w:val="auto"/>
        </w:rPr>
      </w:pPr>
    </w:p>
    <w:p>
      <w:pPr>
        <w:jc w:val="both"/>
        <w:ind w:left="360" w:hanging="360"/>
        <w:spacing w:after="0" w:line="255" w:lineRule="auto"/>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only if, the closing price of the Class A common stock equals or exceeds $594.00 per share (as adjusted) for any 20 trading days within a 30-trading day period ending three trading days before sending the notice of redemption to warrant holders.</w:t>
      </w:r>
    </w:p>
    <w:p>
      <w:pPr>
        <w:spacing w:after="0" w:line="14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 Company may redeem the outstanding public warrants if the price per share of the Class A common stock equals or exceeds $330.00 as described below:</w:t>
      </w:r>
    </w:p>
    <w:p>
      <w:pPr>
        <w:spacing w:after="0" w:line="121" w:lineRule="exact"/>
        <w:rPr>
          <w:sz w:val="20"/>
          <w:szCs w:val="20"/>
          <w:color w:val="auto"/>
        </w:rPr>
      </w:pPr>
    </w:p>
    <w:p>
      <w:pPr>
        <w:ind w:left="360" w:hanging="360"/>
        <w:spacing w:after="0"/>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whole and not in part;</w:t>
      </w:r>
    </w:p>
    <w:p>
      <w:pPr>
        <w:spacing w:after="0" w:line="30" w:lineRule="exact"/>
        <w:rPr>
          <w:rFonts w:ascii="Times New Roman" w:cs="Times New Roman" w:eastAsia="Times New Roman" w:hAnsi="Times New Roman"/>
          <w:sz w:val="20"/>
          <w:szCs w:val="20"/>
          <w:color w:val="auto"/>
        </w:rPr>
      </w:pPr>
    </w:p>
    <w:p>
      <w:pPr>
        <w:jc w:val="both"/>
        <w:ind w:left="360" w:hanging="360"/>
        <w:spacing w:after="0" w:line="250" w:lineRule="auto"/>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$3.30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spacing w:after="0" w:line="1" w:lineRule="exact"/>
        <w:rPr>
          <w:rFonts w:ascii="Times New Roman" w:cs="Times New Roman" w:eastAsia="Times New Roman" w:hAnsi="Times New Roman"/>
          <w:sz w:val="20"/>
          <w:szCs w:val="20"/>
          <w:color w:val="auto"/>
        </w:rPr>
      </w:pPr>
    </w:p>
    <w:p>
      <w:pPr>
        <w:jc w:val="both"/>
        <w:ind w:left="360" w:hanging="360"/>
        <w:spacing w:after="0" w:line="250" w:lineRule="auto"/>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only if, the closing price of the Class A common stock equals or exceeds $330.00 per share (as adjusted) for any 20 trading days within the 30-trading day period ending three trading days before the Company sends the notice of redemption to the warrant holders; and</w:t>
      </w:r>
    </w:p>
    <w:p>
      <w:pPr>
        <w:spacing w:after="0" w:line="1" w:lineRule="exact"/>
        <w:rPr>
          <w:rFonts w:ascii="Times New Roman" w:cs="Times New Roman" w:eastAsia="Times New Roman" w:hAnsi="Times New Roman"/>
          <w:sz w:val="20"/>
          <w:szCs w:val="20"/>
          <w:color w:val="auto"/>
        </w:rPr>
      </w:pPr>
    </w:p>
    <w:p>
      <w:pPr>
        <w:jc w:val="both"/>
        <w:ind w:left="360" w:hanging="360"/>
        <w:spacing w:after="0" w:line="253" w:lineRule="auto"/>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closing price of the common stock for any 20 trading days within a 30-trading day period ending three trading days before the Company sends notice of redemption to the warrant holders is less than $594.00 per share (as adjusted), the private placement warrants must also be concurrently called for redemption on the same terms as the outstanding public warrants, as described above.</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$330.00)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public warrants are classified within Level 1 of the fair value hierarchy as they are traded in active markets and the fair value is determined on the basis of quoted market prices. The private placement warrants are classified within Level 2 of the fair value</w:t>
      </w:r>
    </w:p>
    <w:p>
      <w:pPr>
        <w:sectPr>
          <w:pgSz w:w="12240" w:h="15840" w:orient="portrait"/>
          <w:cols w:equalWidth="0" w:num="1">
            <w:col w:w="10440"/>
          </w:cols>
          <w:pgMar w:left="900" w:top="208" w:right="900" w:bottom="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440"/>
          </w:cols>
          <w:pgMar w:left="900" w:top="208" w:right="90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hierarchy as management determined the fair value of each private placement warrant is the same as that of a public warrant because the terms are substantially the same.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For the years ended December 31, 2024 and 2023, a loss of $3.3 million and gain of $0.2 million was recorded within the change in the change in fair market value of warrants and contingent liabilities in the consolidated statements of operations and comprehensive loss,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Perceptive Warrant</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October 27, 2023 (the “Closing Date”), the Company entered into a Credit Agreement and Guaranty (the “Credit Agreement”) with Perceptive Credit Holdings IV, LP, as lender and administrative agent (“Perceptive”), which provides for a senior secured delayed draw term loan facility in an aggregate principal amount of up to $75.0 million (the “Perceptive Term Loan Facility”). As consideration for the Credit Agreement, the Company issued to Perceptive a warrant to purchase up to 1,200,000 shares (the “Perceptive Warrants”) of its Class A common stock. 800,000 warrant shares (the “Initial Warrant Shares”) vested and became exercisable on the Closing Date and 400,000 warrant shares (the “Additional Warrant Shares” and, together with the Initial Warrant Shares, the “Warrant Shares”) would have potentially vested and become exercisable on the Tranche B Borrowing Date, as defined in Note 8, “</w:t>
      </w:r>
      <w:r>
        <w:rPr>
          <w:rFonts w:ascii="Times New Roman" w:cs="Times New Roman" w:eastAsia="Times New Roman" w:hAnsi="Times New Roman"/>
          <w:sz w:val="20"/>
          <w:szCs w:val="20"/>
          <w:b w:val="1"/>
          <w:bCs w:val="1"/>
          <w:i w:val="1"/>
          <w:iCs w:val="1"/>
          <w:color w:val="auto"/>
        </w:rPr>
        <w:t>Long-Term Debt</w:t>
      </w:r>
      <w:r>
        <w:rPr>
          <w:rFonts w:ascii="Times New Roman" w:cs="Times New Roman" w:eastAsia="Times New Roman" w:hAnsi="Times New Roman"/>
          <w:sz w:val="20"/>
          <w:szCs w:val="20"/>
          <w:color w:val="auto"/>
        </w:rPr>
        <w:t>” included within this Annual Report. As the Company did not seek the additional funding from the Tranche B Loan, the Additional Warrant Shares did not vest and are not exercisable.</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April 30, 2024 (the “Exercise Date”) Perceptive provided the Company with a notice to exercise the Initial Warrant Shares at an aggregate exercise price of $2.5 million and, as payment of the aggregate exercise price, instructed the Company to withhold a number of Initial Warrant Shares based on their aggregate fair market value as of the Exercise Date. The fair market value price of each Initial Warrant Share was equal to the 1-day volume weighted average price (the “1-day VWAP”) of the Company’s Class A common stock on the Exercise Date, or $16.4321. As a result, the Company issued 645,414 shares of its Class A common stock to Perceptive in satisfaction of the cashless exercise in respect of the Initial Warrant Shares. See Note 8, “</w:t>
      </w:r>
      <w:r>
        <w:rPr>
          <w:rFonts w:ascii="Times New Roman" w:cs="Times New Roman" w:eastAsia="Times New Roman" w:hAnsi="Times New Roman"/>
          <w:sz w:val="20"/>
          <w:szCs w:val="20"/>
          <w:b w:val="1"/>
          <w:bCs w:val="1"/>
          <w:i w:val="1"/>
          <w:iCs w:val="1"/>
          <w:color w:val="auto"/>
        </w:rPr>
        <w:t>Long-Term Debt</w:t>
      </w:r>
      <w:r>
        <w:rPr>
          <w:rFonts w:ascii="Times New Roman" w:cs="Times New Roman" w:eastAsia="Times New Roman" w:hAnsi="Times New Roman"/>
          <w:sz w:val="20"/>
          <w:szCs w:val="20"/>
          <w:color w:val="auto"/>
        </w:rPr>
        <w:t>” included within this Annual Report for further information.</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For the year ended December 31, 2024, a loss of $10.1 million was recorded within the change in fair market value of warrants and contingent liabilities in the consolidated statements of operations and comprehensive loss based on re-measurement performed as of the Exercise Date.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Contingent Consideration</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connection with the Acquisition, up to $150.0 million of contingent payments was to be payable to OPKO Health, Inc. (“OPKO”), based upon achievement of 2022 and 2023 revenue milestones (the “Milestone Payments”) pursuant to the merger agreement (the “Acquisition Merger Agreement”). The first Milestone Payment was paid out in full in April 2023 and the second Milestone Payment was valued at zero as the milestone was not met during fiscal year 2023.</w:t>
      </w:r>
    </w:p>
    <w:p>
      <w:pPr>
        <w:spacing w:after="0" w:line="1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2023, a gain of $0.9 million was recorded in the change in fair market value of warrants and contingent liabilities in the consolidated statements of operations and comprehensive loss.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Connecticut Department of Economic and Community Development Funding Commitment</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Company’s loan from the Connecticut Department of Economic and Community Development (“DECD”) is classified within Level 2 of the fair value hierarchy. The loan was recorded at its carrying value of $5.8 million and $6.3 million, respectively, at December 31, 2024 and December 31, 2023, with $1.2 million of recorded in other current liabilities on the consolidated balance sheets at December 31, 2024. The fair value was $4.9 million, which is estimated based on discounted cash flows using the yields of similar debt instruments of other companies with similar credit profiles.</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440"/>
          </w:cols>
          <w:pgMar w:left="900" w:top="208" w:right="900" w:bottom="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14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9"/>
              </w:rPr>
              <w:t>Table of Contents</w:t>
            </w:r>
          </w:p>
        </w:tc>
        <w:tc>
          <w:tcPr>
            <w:tcW w:w="6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650"/>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5. Property and Equipment</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23"/>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Property and equipment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96"/>
        </w:trPr>
        <w:tc>
          <w:tcPr>
            <w:tcW w:w="14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65"/>
        </w:trPr>
        <w:tc>
          <w:tcPr>
            <w:tcW w:w="1440" w:type="dxa"/>
            <w:vAlign w:val="bottom"/>
          </w:tcPr>
          <w:p>
            <w:pPr>
              <w:spacing w:after="0"/>
              <w:rPr>
                <w:sz w:val="23"/>
                <w:szCs w:val="23"/>
                <w:color w:val="auto"/>
              </w:rPr>
            </w:pPr>
          </w:p>
        </w:tc>
        <w:tc>
          <w:tcPr>
            <w:tcW w:w="63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Capitalized software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32,171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32,171</w:t>
            </w: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Laboratory equipment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18,267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15,538</w:t>
            </w: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Leasehold improvements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14,655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14,614</w:t>
            </w: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Computer equipment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5,819</w:t>
            </w: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Building under finance lease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4,529</w:t>
            </w: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Equipment under finance leases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2,604</w:t>
            </w: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Furniture, fixtures and other equipment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w:t>
            </w:r>
          </w:p>
        </w:tc>
      </w:tr>
      <w:tr>
        <w:trPr>
          <w:trHeight w:val="288"/>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Construction in-progress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4,960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3,106</w:t>
            </w:r>
          </w:p>
        </w:tc>
      </w:tr>
      <w:tr>
        <w:trPr>
          <w:trHeight w:val="262"/>
        </w:trPr>
        <w:tc>
          <w:tcPr>
            <w:tcW w:w="77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Total property and equipment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85,371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78,931</w:t>
            </w:r>
          </w:p>
        </w:tc>
      </w:tr>
      <w:tr>
        <w:trPr>
          <w:trHeight w:val="288"/>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(52,478)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(46,452)</w:t>
            </w:r>
          </w:p>
        </w:tc>
      </w:tr>
      <w:tr>
        <w:trPr>
          <w:trHeight w:val="245"/>
        </w:trPr>
        <w:tc>
          <w:tcPr>
            <w:tcW w:w="778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32,893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32,479</w:t>
            </w:r>
          </w:p>
        </w:tc>
      </w:tr>
      <w:tr>
        <w:trPr>
          <w:trHeight w:val="20"/>
        </w:trPr>
        <w:tc>
          <w:tcPr>
            <w:tcW w:w="14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-2021840</wp:posOffset>
            </wp:positionV>
            <wp:extent cx="6667500" cy="2041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4">
                      <a:extLst>
                        <a:ext uri="{28A0092B-C50C-407E-A947-70E740481C1C}"/>
                      </a:extLst>
                    </a:blip>
                    <a:srcRect/>
                    <a:stretch>
                      <a:fillRect/>
                    </a:stretch>
                  </pic:blipFill>
                  <pic:spPr bwMode="auto">
                    <a:xfrm>
                      <a:off x="0" y="0"/>
                      <a:ext cx="6667500" cy="2041525"/>
                    </a:xfrm>
                    <a:prstGeom prst="rect">
                      <a:avLst/>
                    </a:prstGeom>
                    <a:noFill/>
                  </pic:spPr>
                </pic:pic>
              </a:graphicData>
            </a:graphic>
          </wp:anchor>
        </w:drawing>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For the years ended December 31, 2024 and 2023, depreciation and amortization expense was $7.9 million and $19.7 million, respectively, which included software amortization expense of zero and $6.6 million for the years ended December 31, 2024 and 2023. For intangible amortization, see Note 6, “</w:t>
      </w:r>
      <w:r>
        <w:rPr>
          <w:rFonts w:ascii="Times New Roman" w:cs="Times New Roman" w:eastAsia="Times New Roman" w:hAnsi="Times New Roman"/>
          <w:sz w:val="20"/>
          <w:szCs w:val="20"/>
          <w:b w:val="1"/>
          <w:bCs w:val="1"/>
          <w:i w:val="1"/>
          <w:iCs w:val="1"/>
          <w:color w:val="auto"/>
        </w:rPr>
        <w:t>Intangible Assets</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year ended December 31, 2024, the Company recorded the following:</w:t>
      </w:r>
    </w:p>
    <w:p>
      <w:pPr>
        <w:spacing w:after="0" w:line="190" w:lineRule="exact"/>
        <w:rPr>
          <w:sz w:val="20"/>
          <w:szCs w:val="20"/>
          <w:color w:val="auto"/>
        </w:rPr>
      </w:pPr>
    </w:p>
    <w:p>
      <w:pPr>
        <w:ind w:left="720" w:hanging="360"/>
        <w:spacing w:after="0" w:line="260"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$0.6 million charge to accelerate the depreciation, net of trade-in credits, for certain lab equipment that was sold during the period as a trade-in associated with the purchase of new lab equipment; and</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$0.3 million charge to accelerate the depreciation for certain lab equipment that was retired during the period.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year ended December 31, 2023, the Company recorded the following:</w:t>
      </w:r>
    </w:p>
    <w:p>
      <w:pPr>
        <w:spacing w:after="0" w:line="190" w:lineRule="exact"/>
        <w:rPr>
          <w:sz w:val="20"/>
          <w:szCs w:val="20"/>
          <w:color w:val="auto"/>
        </w:rPr>
      </w:pPr>
    </w:p>
    <w:p>
      <w:pPr>
        <w:ind w:left="720" w:hanging="360"/>
        <w:spacing w:after="0" w:line="260"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 million charge to accelerate the amortization for certain capitalized software projects associated with Legacy Sema4 that were not expected to be utilized;</w:t>
      </w:r>
    </w:p>
    <w:p>
      <w:pPr>
        <w:spacing w:after="0" w:line="1" w:lineRule="exact"/>
        <w:rPr>
          <w:rFonts w:ascii="Times New Roman" w:cs="Times New Roman" w:eastAsia="Times New Roman" w:hAnsi="Times New Roman"/>
          <w:sz w:val="20"/>
          <w:szCs w:val="20"/>
          <w:color w:val="auto"/>
        </w:rPr>
      </w:pPr>
    </w:p>
    <w:p>
      <w:pPr>
        <w:jc w:val="both"/>
        <w:ind w:left="720" w:hanging="360"/>
        <w:spacing w:after="0" w:line="250"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$9.9 million non-cash impairment charges (of which $5.6 million was allocated to the right-of-use asset associated with the sublease), driven by indicators of impairment related to the Icahn School of Medicine at Mount Sinai (“ISMMS“) sublease agreements during the first and third quarters of 2023; and</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$1.7 million net gain on sale of assets primarily associated with the closure of Legacy Sema4 facilities.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and amortization expense is included within the statements of operations and comprehensive loss as follows: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7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65"/>
        </w:trPr>
        <w:tc>
          <w:tcPr>
            <w:tcW w:w="77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4,350</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6,710</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Selling and marketing</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8"/>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8,647</w:t>
            </w:r>
          </w:p>
        </w:tc>
      </w:tr>
      <w:tr>
        <w:trPr>
          <w:trHeight w:val="245"/>
        </w:trPr>
        <w:tc>
          <w:tcPr>
            <w:tcW w:w="77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depreciation and amortization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7,928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19,709</w:t>
            </w:r>
          </w:p>
        </w:tc>
      </w:tr>
      <w:tr>
        <w:trPr>
          <w:trHeight w:val="20"/>
        </w:trPr>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667500" cy="9556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a:extLst>
                        <a:ext uri="{28A0092B-C50C-407E-A947-70E740481C1C}"/>
                      </a:extLst>
                    </a:blip>
                    <a:srcRect/>
                    <a:stretch>
                      <a:fillRect/>
                    </a:stretch>
                  </pic:blipFill>
                  <pic:spPr bwMode="auto">
                    <a:xfrm>
                      <a:off x="0" y="0"/>
                      <a:ext cx="6667500" cy="955675"/>
                    </a:xfrm>
                    <a:prstGeom prst="rect">
                      <a:avLst/>
                    </a:prstGeom>
                    <a:noFill/>
                  </pic:spPr>
                </pic:pic>
              </a:graphicData>
            </a:graphic>
          </wp:anchor>
        </w:drawing>
      </w:r>
    </w:p>
    <w:p>
      <w:pPr>
        <w:sectPr>
          <w:pgSz w:w="12240" w:h="15840" w:orient="portrait"/>
          <w:cols w:equalWidth="0" w:num="1">
            <w:col w:w="10440"/>
          </w:cols>
          <w:pgMar w:left="900" w:top="19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440"/>
          </w:cols>
          <w:pgMar w:left="900" w:top="195" w:right="90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Intangible Assets</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following table reflects, as of December 31, 2024 and December 31, 2023, the carrying values and remaining useful lives of acquired intangible assets:</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2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60"/>
        </w:trPr>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6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160"/>
        </w:trPr>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ind w:right="50"/>
              <w:spacing w:after="0" w:line="160"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0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ind w:right="70"/>
              <w:spacing w:after="0" w:line="16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62"/>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Tradenames and trademarks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50,000</w:t>
            </w:r>
          </w:p>
        </w:tc>
        <w:tc>
          <w:tcPr>
            <w:tcW w:w="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(8,333)</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41,667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50,000</w:t>
            </w:r>
          </w:p>
        </w:tc>
        <w:tc>
          <w:tcPr>
            <w:tcW w:w="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(5,208)</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44,792</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13.3</w:t>
            </w:r>
          </w:p>
        </w:tc>
        <w:tc>
          <w:tcPr>
            <w:tcW w:w="0" w:type="dxa"/>
            <w:vAlign w:val="bottom"/>
          </w:tcPr>
          <w:p>
            <w:pPr>
              <w:spacing w:after="0"/>
              <w:rPr>
                <w:sz w:val="1"/>
                <w:szCs w:val="1"/>
                <w:color w:val="auto"/>
              </w:rPr>
            </w:pPr>
          </w:p>
        </w:tc>
      </w:tr>
      <w:tr>
        <w:trPr>
          <w:trHeight w:val="285"/>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Developed Technology</w:t>
            </w:r>
          </w:p>
        </w:tc>
        <w:tc>
          <w:tcPr>
            <w:tcW w:w="18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48,000</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48,000</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38,000</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5.3</w:t>
            </w:r>
          </w:p>
        </w:tc>
        <w:tc>
          <w:tcPr>
            <w:tcW w:w="0" w:type="dxa"/>
            <w:vAlign w:val="bottom"/>
          </w:tcPr>
          <w:p>
            <w:pPr>
              <w:spacing w:after="0"/>
              <w:rPr>
                <w:sz w:val="1"/>
                <w:szCs w:val="1"/>
                <w:color w:val="auto"/>
              </w:rPr>
            </w:pPr>
          </w:p>
        </w:tc>
      </w:tr>
      <w:tr>
        <w:trPr>
          <w:trHeight w:val="288"/>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98,000</w:t>
            </w: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(13,067)</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84,933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98,000</w:t>
            </w: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(8,167)</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89,833</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17.3</w:t>
            </w:r>
          </w:p>
        </w:tc>
        <w:tc>
          <w:tcPr>
            <w:tcW w:w="0" w:type="dxa"/>
            <w:vAlign w:val="bottom"/>
          </w:tcPr>
          <w:p>
            <w:pPr>
              <w:spacing w:after="0"/>
              <w:rPr>
                <w:sz w:val="1"/>
                <w:szCs w:val="1"/>
                <w:color w:val="auto"/>
              </w:rPr>
            </w:pPr>
          </w:p>
        </w:tc>
      </w:tr>
      <w:tr>
        <w:trPr>
          <w:trHeight w:val="245"/>
        </w:trPr>
        <w:tc>
          <w:tcPr>
            <w:tcW w:w="29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196,000</w:t>
            </w:r>
          </w:p>
        </w:tc>
        <w:tc>
          <w:tcPr>
            <w:tcW w:w="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(37,400)</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158,600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196,000</w:t>
            </w:r>
          </w:p>
        </w:tc>
        <w:tc>
          <w:tcPr>
            <w:tcW w:w="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(23,375)</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172,625</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654800" cy="774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6">
                      <a:extLst>
                        <a:ext uri="{28A0092B-C50C-407E-A947-70E740481C1C}"/>
                      </a:extLst>
                    </a:blip>
                    <a:srcRect/>
                    <a:stretch>
                      <a:fillRect/>
                    </a:stretch>
                  </pic:blipFill>
                  <pic:spPr bwMode="auto">
                    <a:xfrm>
                      <a:off x="0" y="0"/>
                      <a:ext cx="6654800" cy="77470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Company’s estimated future amortization expense of intangible assets with finite lives as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133985</wp:posOffset>
            </wp:positionV>
            <wp:extent cx="6667500" cy="1450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7">
                      <a:extLst>
                        <a:ext uri="{28A0092B-C50C-407E-A947-70E740481C1C}"/>
                      </a:extLst>
                    </a:blip>
                    <a:srcRect/>
                    <a:stretch>
                      <a:fillRect/>
                    </a:stretch>
                  </pic:blipFill>
                  <pic:spPr bwMode="auto">
                    <a:xfrm>
                      <a:off x="0" y="0"/>
                      <a:ext cx="6667500" cy="1450975"/>
                    </a:xfrm>
                    <a:prstGeom prst="rect">
                      <a:avLst/>
                    </a:prstGeom>
                    <a:noFill/>
                  </pic:spPr>
                </pic:pic>
              </a:graphicData>
            </a:graphic>
          </wp:anchor>
        </w:drawing>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908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14,025</w:t>
            </w:r>
          </w:p>
        </w:tc>
      </w:tr>
      <w:tr>
        <w:trPr>
          <w:trHeight w:val="315"/>
        </w:trPr>
        <w:tc>
          <w:tcPr>
            <w:tcW w:w="908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14,025</w:t>
            </w:r>
          </w:p>
        </w:tc>
      </w:tr>
      <w:tr>
        <w:trPr>
          <w:trHeight w:val="315"/>
        </w:trPr>
        <w:tc>
          <w:tcPr>
            <w:tcW w:w="908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14,025</w:t>
            </w:r>
          </w:p>
        </w:tc>
      </w:tr>
      <w:tr>
        <w:trPr>
          <w:trHeight w:val="315"/>
        </w:trPr>
        <w:tc>
          <w:tcPr>
            <w:tcW w:w="908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14,025</w:t>
            </w:r>
          </w:p>
        </w:tc>
      </w:tr>
      <w:tr>
        <w:trPr>
          <w:trHeight w:val="315"/>
        </w:trPr>
        <w:tc>
          <w:tcPr>
            <w:tcW w:w="908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14,025</w:t>
            </w:r>
          </w:p>
        </w:tc>
      </w:tr>
      <w:tr>
        <w:trPr>
          <w:trHeight w:val="318"/>
        </w:trPr>
        <w:tc>
          <w:tcPr>
            <w:tcW w:w="908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88,475</w:t>
            </w:r>
          </w:p>
        </w:tc>
      </w:tr>
      <w:tr>
        <w:trPr>
          <w:trHeight w:val="275"/>
        </w:trPr>
        <w:tc>
          <w:tcPr>
            <w:tcW w:w="9080" w:type="dxa"/>
            <w:vAlign w:val="bottom"/>
          </w:tcPr>
          <w:p>
            <w:pPr>
              <w:spacing w:after="0"/>
              <w:rPr>
                <w:sz w:val="20"/>
                <w:szCs w:val="20"/>
                <w:color w:val="auto"/>
              </w:rPr>
            </w:pPr>
            <w:r>
              <w:rPr>
                <w:rFonts w:ascii="Times New Roman" w:cs="Times New Roman" w:eastAsia="Times New Roman" w:hAnsi="Times New Roman"/>
                <w:sz w:val="20"/>
                <w:szCs w:val="20"/>
                <w:color w:val="auto"/>
              </w:rPr>
              <w:t>Total estimated future amortization expense</w:t>
            </w:r>
          </w:p>
        </w:tc>
        <w:tc>
          <w:tcPr>
            <w:tcW w:w="3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158,600</w:t>
            </w:r>
          </w:p>
        </w:tc>
      </w:tr>
      <w:tr>
        <w:trPr>
          <w:trHeight w:val="20"/>
        </w:trPr>
        <w:tc>
          <w:tcPr>
            <w:tcW w:w="9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Amortization expense for tradenames and trademarks and developed technology of $9.1 million was recorded in general and administrative expenses for each of the years ended December 31, 2024 and 2023, within the consolidated statements of operations and comprehensive loss. Amortization expense for customer relationships of $4.9 million was recorded in selling and marketing expenses for each of the years ended December 31, 2024 and 2023, within the consolidated statements of operations and comprehensive loss.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Related Party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Related Party Revenues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Total related party diagnostic testing revenues were $1.7 million and $3.2 million for the years ended December 31, 2024 and 2023, respectively. Related party revenues primarily include diagnostic testing revenues from a subsidiary of OPKO and the prices charged represent market rates.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Related Party Expenses</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Total related party costs are included within cost of services and related party expenses in the consolidated statements of operations and comprehensive loss as follows: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7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65"/>
        </w:trPr>
        <w:tc>
          <w:tcPr>
            <w:tcW w:w="77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Costs of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9,228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4,338</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w:t>
            </w:r>
          </w:p>
        </w:tc>
      </w:tr>
      <w:tr>
        <w:trPr>
          <w:trHeight w:val="288"/>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Other operating expenses, net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3,407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5,266</w:t>
            </w:r>
          </w:p>
        </w:tc>
      </w:tr>
      <w:tr>
        <w:trPr>
          <w:trHeight w:val="245"/>
        </w:trPr>
        <w:tc>
          <w:tcPr>
            <w:tcW w:w="77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related party costs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12,635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10,039</w:t>
            </w:r>
          </w:p>
        </w:tc>
      </w:tr>
      <w:tr>
        <w:trPr>
          <w:trHeight w:val="20"/>
        </w:trPr>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667500" cy="774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8">
                      <a:extLst>
                        <a:ext uri="{28A0092B-C50C-407E-A947-70E740481C1C}"/>
                      </a:extLst>
                    </a:blip>
                    <a:srcRect/>
                    <a:stretch>
                      <a:fillRect/>
                    </a:stretch>
                  </pic:blipFill>
                  <pic:spPr bwMode="auto">
                    <a:xfrm>
                      <a:off x="0" y="0"/>
                      <a:ext cx="6667500" cy="774700"/>
                    </a:xfrm>
                    <a:prstGeom prst="rect">
                      <a:avLst/>
                    </a:prstGeom>
                    <a:noFill/>
                  </pic:spPr>
                </pic:pic>
              </a:graphicData>
            </a:graphic>
          </wp:anchor>
        </w:drawing>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Expenses recognized pursuant to other service arrangements with ISMMS totaled $4.6 million and $6.8 million for the years ended December 31, 2024 and 2023, respectively. These amounts are included in either cost of services or other operating expenses, net on the consolidated statements of operations and comprehensive loss depending on the particular activity to which the costs relate. Payables due to ISMMS for the other service arrangements were $0.9 million and $1.0 million as of</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440"/>
          </w:cols>
          <w:pgMar w:left="900" w:top="208" w:right="90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December 31, 2024 and December 31, 2023, respectively. These amounts are included within due to related parties on the Company’s consolidated balance sheets.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Additionally, the Company incurred $10.5 million and $3.4 million in purchases of diagnostic testing kits and materials and $8.1 million and $1.8 million was recorded in cost of services for the year ended December 31, 2024 and 2023, respectively, from an affiliate of a member of the Board of Directors who has served in the role since July 2021. The prices paid represent market rates. Payables due were $0.7 million and $0.4 million as of December 31, 2024 and 2023.</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Legacy GeneDx and OPKO entered into a Transition Services Agreement dated as of April 29, 2022 (the “OPKO TSA”) pursuant to which OPKO had agreed to provide services, at cost, subject to certain limited exceptions, in order to facilitate the transactions contemplated by the Acquisition Merger Agreement, including human resources, information technology support, and finance and accounting. Services in connection with the OPKO TSA were fully completed in October 2023. The Company recognized $1.6 million in costs for the year ended December 31, 2023 related to the agreement.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8. Long-Term Debt</w:t>
            </w: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423"/>
        </w:trPr>
        <w:tc>
          <w:tcPr>
            <w:tcW w:w="9140" w:type="dxa"/>
            <w:vAlign w:val="bottom"/>
          </w:tcPr>
          <w:p>
            <w:pPr>
              <w:spacing w:after="0"/>
              <w:rPr>
                <w:sz w:val="20"/>
                <w:szCs w:val="20"/>
                <w:color w:val="auto"/>
              </w:rPr>
            </w:pPr>
            <w:r>
              <w:rPr>
                <w:rFonts w:ascii="Times New Roman" w:cs="Times New Roman" w:eastAsia="Times New Roman" w:hAnsi="Times New Roman"/>
                <w:sz w:val="20"/>
                <w:szCs w:val="20"/>
                <w:color w:val="auto"/>
              </w:rPr>
              <w:t>As of December 31, 2024, long-term debt matures as follows:</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93"/>
        </w:trPr>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w:t>
            </w:r>
          </w:p>
        </w:tc>
      </w:tr>
      <w:tr>
        <w:trPr>
          <w:trHeight w:val="285"/>
        </w:trPr>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w:t>
            </w:r>
          </w:p>
        </w:tc>
      </w:tr>
      <w:tr>
        <w:trPr>
          <w:trHeight w:val="285"/>
        </w:trPr>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w:t>
            </w:r>
          </w:p>
        </w:tc>
      </w:tr>
      <w:tr>
        <w:trPr>
          <w:trHeight w:val="285"/>
        </w:trPr>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2028</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51,285</w:t>
            </w:r>
          </w:p>
        </w:tc>
      </w:tr>
      <w:tr>
        <w:trPr>
          <w:trHeight w:val="288"/>
        </w:trPr>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2029</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762</w:t>
            </w:r>
          </w:p>
        </w:tc>
      </w:tr>
      <w:tr>
        <w:trPr>
          <w:trHeight w:val="262"/>
        </w:trPr>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 debt</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55,753</w:t>
            </w:r>
          </w:p>
        </w:tc>
      </w:tr>
      <w:tr>
        <w:trPr>
          <w:trHeight w:val="285"/>
        </w:trPr>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Less: current portion of long-term debt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w:t>
            </w:r>
          </w:p>
        </w:tc>
      </w:tr>
      <w:tr>
        <w:trPr>
          <w:trHeight w:val="288"/>
        </w:trPr>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Less: long-term debt issuance costs</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(2,629)</w:t>
            </w:r>
          </w:p>
        </w:tc>
      </w:tr>
      <w:tr>
        <w:trPr>
          <w:trHeight w:val="245"/>
        </w:trPr>
        <w:tc>
          <w:tcPr>
            <w:tcW w:w="91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 long-term debt, net of current portion and debt issuance costs</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51,913</w:t>
            </w:r>
          </w:p>
        </w:tc>
      </w:tr>
      <w:tr>
        <w:trPr>
          <w:trHeight w:val="20"/>
        </w:trPr>
        <w:tc>
          <w:tcPr>
            <w:tcW w:w="9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-1659890</wp:posOffset>
            </wp:positionV>
            <wp:extent cx="6667500" cy="1679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9">
                      <a:extLst>
                        <a:ext uri="{28A0092B-C50C-407E-A947-70E740481C1C}"/>
                      </a:extLst>
                    </a:blip>
                    <a:srcRect/>
                    <a:stretch>
                      <a:fillRect/>
                    </a:stretch>
                  </pic:blipFill>
                  <pic:spPr bwMode="auto">
                    <a:xfrm>
                      <a:off x="0" y="0"/>
                      <a:ext cx="6667500" cy="167957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Perceptive Term Loan Facility</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October 27, 2023 (the “Closing Date”), the Company entered into the Perceptive Term Loan Facility. An initial tranche of $50.0 million (the “Tranche A Loan”) was funded under the Perceptive Term Loan Facility on the Closing Date. In addition to the Tranche A Loan, the Perceptive Term Loan Facility included an additional tranche of $25.0 million (the “Tranche B Loan,” and together with the Tranche A Loan, the “Term Loans”), which was accessible by the Company through December 31, 2024 so long as the Company satisfied certain customary conditions precedent, including a specified revenue milestone (the funding date of the Tranche B Loan, the “Tranche B Borrowing Date”). Although the requirements for the Tranche B funding were met, the Company did not seek the additional funding.</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Perceptive Term Loan Facility has a maturity date of October 27, 2028 (the “Maturity Date”) and provides for an interest-only period during the term of the loan with principal due at the maturity date. The Company’s net proceeds from the Tranche A Loan were approximately $48.8 million, after deducting debt issuance costs and expenses.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Perceptive Term Loan Facility will accrue interest at an annual rate equal to the sum of (a) Term SOFR (as defined in the Credit Agreement) and (b) an applicable margin of 7.5% (the “Applicable Margin”). Accrued interest on the Term Loans is payable monthly in arrears. Upon an Event of Default (as defined in the Credit Agreement), the Applicable Margin will automatically increase by an additional 4% per annum.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Amortization and Prepayment</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Prior to the Maturity Date, there will be no scheduled principal payments under the Perceptive Term Loan Facility. On the Maturity Date, the Company is required to pay Perceptive the aggregate outstanding principal amount of the Term Loans and all accrued and unpaid interest thereon. The Term Loans may be prepaid at any time, subject to a prepayment premium equal to 0% to 10% of the aggregate outstanding principal amount being prepaid, depending on the date of prepayment.</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440"/>
          </w:cols>
          <w:pgMar w:left="900" w:top="208" w:right="90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Security Instruments and Warrant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 connection with the Credit Agreement, the Company also entered into a Security Agreement, dated as of the Closing Date, with Perceptive, pursuant to which all of its obligations under the Credit Agreement are secured by a first lien perfected security interest on substantially all of its existing and after-acquired assets, subject to customary exceptions.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the Closing Date, as consideration for the Credit Agreement, the Company issued the Perceptive Warrant to Perceptive, which allowed them to purchase up to 1,200,000 Warrant Shares. The 800,000 Initial Warrant Shares vested and became exercisable on the Closing Date and 400,000 Additional Warrant Shares would have potentially vested and become exercisable on the Tranche B Borrowing Date. As the Company did not seek the additional funding from the Tranche B Loan, the Additional Warrant Shares did not vest and are not exercisable. The per share exercise price for the Initial Warrant Shares is $3.1752 (the “Initial Warrant Exercise Price”), which is equal to the10-day volume weighted average price (the “10-day VWAP”) of the Company’s Class A common stock at the end of the business day immediately prior to the Closing Date, and the per share exercise price for the Additional Warrant Shares would have been equal to the lower of (a) the Initial Warrant Exercise Price or (b) the 10-day VWAP ending on the end of the business day immediately preceding the Tranche B Borrowing Date. The Perceptive Warrant will be exercisable, in whole or in part, until the 10th anniversary of the applicable vesting date.</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April 30, 2024, Perceptive provided the Company with a notice to exercise the Initial Warrant Shares at an aggregate exercise price of $2.5 million and instructed the Company to withhold a number of Initial Warrant Shares as payment for the aggregate exercise price. As a result, the Company issued 645,414 shares of its Class A common stock in satisfaction of the cashless exercise in respect of the Initial Warrant Shares. See Note 4, “</w:t>
      </w:r>
      <w:r>
        <w:rPr>
          <w:rFonts w:ascii="Times New Roman" w:cs="Times New Roman" w:eastAsia="Times New Roman" w:hAnsi="Times New Roman"/>
          <w:sz w:val="20"/>
          <w:szCs w:val="20"/>
          <w:b w:val="1"/>
          <w:bCs w:val="1"/>
          <w:i w:val="1"/>
          <w:iCs w:val="1"/>
          <w:color w:val="auto"/>
        </w:rPr>
        <w:t>Fair Value Measurement</w:t>
      </w:r>
      <w:r>
        <w:rPr>
          <w:rFonts w:ascii="Times New Roman" w:cs="Times New Roman" w:eastAsia="Times New Roman" w:hAnsi="Times New Roman"/>
          <w:sz w:val="20"/>
          <w:szCs w:val="20"/>
          <w:color w:val="auto"/>
        </w:rPr>
        <w:t>” for further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Connecticut Department of Economic and Community Development Funding Commitment</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June 2017, ISMMS assigned a loan funding commitment from the DECD to the Company (the “DECD Loan Agreement”) to support the Genetic Sequencing Laboratory Project in Branford, Connecticut, with funding based on the achievement of certain project development phases. The DECD Loan Agreement provided for a total loan commitment of $15.5 million at a fixed annual interest rate of 2.0% for a term of 10 years. The Company was required to make interest-only payments through July 2023 and principal and interest payments commencing in August 2023. The final payment of principal and interest was due in July 2028. However, under the terms of the DECD Loan Agreement, the DECD granted a partial principal loan forgiveness of up to $12.3 million in the aggregate. Such forgiveness was contingent upon the Company achieving certain job creation and retention milestones and $4.5 million had been forgiven at December 31, 2022. This commitment was collateralized by a security interest in certain machinery and equipment the Company acquired from ISMMS, as defined in a separate security agreement.</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January 2023, the Company amended the DECD Loan Agreement, which resulted in the Company agreeing to pay $2.0 million in principal, obtaining $2.8 million in debt forgiveness for achieving its Phase 2 job milestone, and agreeing to two new forgiveness milestone targets for its Phase 3 job milestone (eligible for $2.0 million in forgiveness) and a final phase job milestone (eligible for $1.0 million in forgiveness) (the “2022 Amended DECD Loan Agreement”). Upon execution of this amendment, the Company paid the $2.0 million in principal and received $2.8 million in debt forgiveness, and the Company recognized the debt forgiveness as other (expense) income, net in the consolidated statements of operations and comprehensive loss for the year ended December 31, 2023. The terms of the 2022 Amended DECD Loan Agreement require the Company to make interest-only payments through July 2024 and requires the Company to make principal and interest payments commencing in August 2024 through July 2029 at the same fixed annual interest rate of 2.0%. The other terms of the 2022 Amended DECD Loan Agreement remained the same.</w:t>
      </w:r>
    </w:p>
    <w:p>
      <w:pPr>
        <w:spacing w:after="0" w:line="1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2024, the Company made principal payments totaling $0.5 million. The outstanding loan balance of the DECD loan was $5.8 million at December 31,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Leases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Company’s leases primarily consist of office and lab space, and equipment for use in its operations. Its leases generally have lease agreements which expire in 2026 to 2036, some with the option to extend. The Company includes extension options that are reasonably certain to be exercised as part of the lease terms. As of December 31, 2024, none of the Company’s lease terms included the extension option as the Company has determined that it is unlikely to exercise the extension option.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Leases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Company’s primary operating lease arrangements include leased properties for its corporate office and headquarters located in Stamford, Connecticut, its primary operating laboratory located in Gaithersburg, Maryland, and a satellite meeting space located in New York City. The lease agreements for these properties expire in 2034, 2031, and 2026, respectively.</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440"/>
          </w:cols>
          <w:pgMar w:left="900" w:top="208" w:right="90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Company’s operating leases also include laboratories in Branford, Connecticut and Stamford, Connecticut, which as previously disclosed, have ceased operations as part of the Company’s announced exits in 2022 from reproductive health and somatic tumor testing. The lease agreements for these properties expire in 2030 and 2036, respectively. These facilities as well as a portion of its headquarters located in Stamford, Connecticut are actively being marketed for sublet; however, the outstanding lease obligations remain obligations. At inception of the lease for the laboratory in Stamford, Connecticut, the value of the land was determined to be more than 25% of the total value and therefore the building is accounted for as a finance lease and the land as an operating lease.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Finance Leases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 addition to its leased laboratory building in Stamford, Connecticut noted above, the Company routinely enters into various finance lease agreements to obtain laboratory equipment that contain bargain purchase commitments at the end of the lease term. The leases are secured by the underlying equipment.</w:t>
      </w:r>
    </w:p>
    <w:p>
      <w:pPr>
        <w:spacing w:after="0" w:line="13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tables below present financial information associated with the Company’s operating and finance leases as of, and for the year ended, December 31, 2024 and 2023:</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74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5"/>
        </w:trPr>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700" w:type="dxa"/>
            <w:vAlign w:val="bottom"/>
          </w:tcPr>
          <w:p>
            <w:pPr>
              <w:ind w:left="380"/>
              <w:spacing w:after="0"/>
              <w:rPr>
                <w:sz w:val="20"/>
                <w:szCs w:val="20"/>
                <w:color w:val="auto"/>
              </w:rPr>
            </w:pPr>
            <w:r>
              <w:rPr>
                <w:rFonts w:ascii="Times New Roman" w:cs="Times New Roman" w:eastAsia="Times New Roman" w:hAnsi="Times New Roman"/>
                <w:sz w:val="20"/>
                <w:szCs w:val="20"/>
                <w:b w:val="1"/>
                <w:bCs w:val="1"/>
                <w:color w:val="auto"/>
              </w:rPr>
              <w:t>Classification</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19"/>
        </w:trPr>
        <w:tc>
          <w:tcPr>
            <w:tcW w:w="2620" w:type="dxa"/>
            <w:vAlign w:val="bottom"/>
            <w:gridSpan w:val="3"/>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Assets</w:t>
            </w:r>
          </w:p>
        </w:tc>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Operating lease assets</w:t>
            </w:r>
          </w:p>
        </w:tc>
        <w:tc>
          <w:tcPr>
            <w:tcW w:w="47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25,613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26,900</w:t>
            </w:r>
          </w:p>
        </w:tc>
        <w:tc>
          <w:tcPr>
            <w:tcW w:w="0" w:type="dxa"/>
            <w:vAlign w:val="bottom"/>
          </w:tcPr>
          <w:p>
            <w:pPr>
              <w:spacing w:after="0"/>
              <w:rPr>
                <w:sz w:val="1"/>
                <w:szCs w:val="1"/>
                <w:color w:val="auto"/>
              </w:rPr>
            </w:pPr>
          </w:p>
        </w:tc>
      </w:tr>
      <w:tr>
        <w:trPr>
          <w:trHeight w:val="288"/>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Finance lease assets</w:t>
            </w:r>
          </w:p>
        </w:tc>
        <w:tc>
          <w:tcPr>
            <w:tcW w:w="47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3,173</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3,440</w:t>
            </w:r>
          </w:p>
        </w:tc>
        <w:tc>
          <w:tcPr>
            <w:tcW w:w="0" w:type="dxa"/>
            <w:vAlign w:val="bottom"/>
          </w:tcPr>
          <w:p>
            <w:pPr>
              <w:spacing w:after="0"/>
              <w:rPr>
                <w:sz w:val="1"/>
                <w:szCs w:val="1"/>
                <w:color w:val="auto"/>
              </w:rPr>
            </w:pPr>
          </w:p>
        </w:tc>
      </w:tr>
      <w:tr>
        <w:trPr>
          <w:trHeight w:val="245"/>
        </w:trPr>
        <w:tc>
          <w:tcPr>
            <w:tcW w:w="26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Total lease assets</w:t>
            </w:r>
          </w:p>
        </w:tc>
        <w:tc>
          <w:tcPr>
            <w:tcW w:w="470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28,786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30,340</w:t>
            </w:r>
          </w:p>
        </w:tc>
        <w:tc>
          <w:tcPr>
            <w:tcW w:w="0" w:type="dxa"/>
            <w:vAlign w:val="bottom"/>
          </w:tcPr>
          <w:p>
            <w:pPr>
              <w:spacing w:after="0"/>
              <w:rPr>
                <w:sz w:val="1"/>
                <w:szCs w:val="1"/>
                <w:color w:val="auto"/>
              </w:rPr>
            </w:pPr>
          </w:p>
        </w:tc>
      </w:tr>
      <w:tr>
        <w:trPr>
          <w:trHeight w:val="20"/>
        </w:trPr>
        <w:tc>
          <w:tcPr>
            <w:tcW w:w="26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4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620" w:type="dxa"/>
            <w:vAlign w:val="bottom"/>
            <w:gridSpan w:val="3"/>
            <w:vMerge w:val="continue"/>
          </w:tcPr>
          <w:p>
            <w:pPr>
              <w:spacing w:after="0"/>
              <w:rPr>
                <w:sz w:val="24"/>
                <w:szCs w:val="24"/>
                <w:color w:val="auto"/>
              </w:rPr>
            </w:pPr>
          </w:p>
        </w:tc>
        <w:tc>
          <w:tcPr>
            <w:tcW w:w="4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17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Operating</w:t>
            </w:r>
          </w:p>
        </w:tc>
        <w:tc>
          <w:tcPr>
            <w:tcW w:w="47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Short-term lease liabilities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2,331</w:t>
            </w:r>
          </w:p>
        </w:tc>
        <w:tc>
          <w:tcPr>
            <w:tcW w:w="0" w:type="dxa"/>
            <w:vAlign w:val="bottom"/>
          </w:tcPr>
          <w:p>
            <w:pPr>
              <w:spacing w:after="0"/>
              <w:rPr>
                <w:sz w:val="1"/>
                <w:szCs w:val="1"/>
                <w:color w:val="auto"/>
              </w:rPr>
            </w:pPr>
          </w:p>
        </w:tc>
      </w:tr>
      <w:tr>
        <w:trPr>
          <w:trHeight w:val="285"/>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Finance</w:t>
            </w:r>
          </w:p>
        </w:tc>
        <w:tc>
          <w:tcPr>
            <w:tcW w:w="47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Short-term lease liabilities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1,316</w:t>
            </w:r>
          </w:p>
        </w:tc>
        <w:tc>
          <w:tcPr>
            <w:tcW w:w="0" w:type="dxa"/>
            <w:vAlign w:val="bottom"/>
          </w:tcPr>
          <w:p>
            <w:pPr>
              <w:spacing w:after="0"/>
              <w:rPr>
                <w:sz w:val="1"/>
                <w:szCs w:val="1"/>
                <w:color w:val="auto"/>
              </w:rPr>
            </w:pPr>
          </w:p>
        </w:tc>
      </w:tr>
      <w:tr>
        <w:trPr>
          <w:trHeight w:val="570"/>
        </w:trPr>
        <w:tc>
          <w:tcPr>
            <w:tcW w:w="26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Non-current</w:t>
            </w:r>
          </w:p>
        </w:tc>
        <w:tc>
          <w:tcPr>
            <w:tcW w:w="4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Operating</w:t>
            </w:r>
          </w:p>
        </w:tc>
        <w:tc>
          <w:tcPr>
            <w:tcW w:w="47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Long-term lease liabilities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42,698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44,428</w:t>
            </w:r>
          </w:p>
        </w:tc>
        <w:tc>
          <w:tcPr>
            <w:tcW w:w="0" w:type="dxa"/>
            <w:vAlign w:val="bottom"/>
          </w:tcPr>
          <w:p>
            <w:pPr>
              <w:spacing w:after="0"/>
              <w:rPr>
                <w:sz w:val="1"/>
                <w:szCs w:val="1"/>
                <w:color w:val="auto"/>
              </w:rPr>
            </w:pPr>
          </w:p>
        </w:tc>
      </w:tr>
      <w:tr>
        <w:trPr>
          <w:trHeight w:val="288"/>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Finance</w:t>
            </w:r>
          </w:p>
        </w:tc>
        <w:tc>
          <w:tcPr>
            <w:tcW w:w="47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Long-term lease liabilities</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18,221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18,510</w:t>
            </w:r>
          </w:p>
        </w:tc>
        <w:tc>
          <w:tcPr>
            <w:tcW w:w="0" w:type="dxa"/>
            <w:vAlign w:val="bottom"/>
          </w:tcPr>
          <w:p>
            <w:pPr>
              <w:spacing w:after="0"/>
              <w:rPr>
                <w:sz w:val="1"/>
                <w:szCs w:val="1"/>
                <w:color w:val="auto"/>
              </w:rPr>
            </w:pPr>
          </w:p>
        </w:tc>
      </w:tr>
      <w:tr>
        <w:trPr>
          <w:trHeight w:val="245"/>
        </w:trPr>
        <w:tc>
          <w:tcPr>
            <w:tcW w:w="26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Total lease liabilities</w:t>
            </w:r>
          </w:p>
        </w:tc>
        <w:tc>
          <w:tcPr>
            <w:tcW w:w="4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64,255</w:t>
            </w:r>
          </w:p>
        </w:tc>
        <w:tc>
          <w:tcPr>
            <w:tcW w:w="60" w:type="dxa"/>
            <w:vAlign w:val="bottom"/>
          </w:tcPr>
          <w:p>
            <w:pPr>
              <w:spacing w:after="0"/>
              <w:rPr>
                <w:sz w:val="21"/>
                <w:szCs w:val="21"/>
                <w:color w:val="auto"/>
              </w:rPr>
            </w:pP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66,585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65"/>
        </w:trPr>
        <w:tc>
          <w:tcPr>
            <w:tcW w:w="26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Lease cost</w:t>
            </w:r>
          </w:p>
        </w:tc>
        <w:tc>
          <w:tcPr>
            <w:tcW w:w="470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2"/>
        </w:trPr>
        <w:tc>
          <w:tcPr>
            <w:tcW w:w="26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Operating lease cost</w:t>
            </w:r>
          </w:p>
        </w:tc>
        <w:tc>
          <w:tcPr>
            <w:tcW w:w="4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Operating lease cost</w:t>
            </w:r>
          </w:p>
        </w:tc>
        <w:tc>
          <w:tcPr>
            <w:tcW w:w="470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5,806</w:t>
            </w:r>
          </w:p>
        </w:tc>
        <w:tc>
          <w:tcPr>
            <w:tcW w:w="0" w:type="dxa"/>
            <w:vAlign w:val="bottom"/>
          </w:tcPr>
          <w:p>
            <w:pPr>
              <w:spacing w:after="0"/>
              <w:rPr>
                <w:sz w:val="1"/>
                <w:szCs w:val="1"/>
                <w:color w:val="auto"/>
              </w:rPr>
            </w:pPr>
          </w:p>
        </w:tc>
      </w:tr>
      <w:tr>
        <w:trPr>
          <w:trHeight w:val="285"/>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Short-term lease cost</w:t>
            </w:r>
          </w:p>
        </w:tc>
        <w:tc>
          <w:tcPr>
            <w:tcW w:w="4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w:t>
            </w:r>
          </w:p>
        </w:tc>
        <w:tc>
          <w:tcPr>
            <w:tcW w:w="0" w:type="dxa"/>
            <w:vAlign w:val="bottom"/>
          </w:tcPr>
          <w:p>
            <w:pPr>
              <w:spacing w:after="0"/>
              <w:rPr>
                <w:sz w:val="1"/>
                <w:szCs w:val="1"/>
                <w:color w:val="auto"/>
              </w:rPr>
            </w:pPr>
          </w:p>
        </w:tc>
      </w:tr>
      <w:tr>
        <w:trPr>
          <w:trHeight w:val="288"/>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Variable lease cost</w:t>
            </w:r>
          </w:p>
        </w:tc>
        <w:tc>
          <w:tcPr>
            <w:tcW w:w="47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1,140</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659</w:t>
            </w:r>
          </w:p>
        </w:tc>
        <w:tc>
          <w:tcPr>
            <w:tcW w:w="0" w:type="dxa"/>
            <w:vAlign w:val="bottom"/>
          </w:tcPr>
          <w:p>
            <w:pPr>
              <w:spacing w:after="0"/>
              <w:rPr>
                <w:sz w:val="1"/>
                <w:szCs w:val="1"/>
                <w:color w:val="auto"/>
              </w:rPr>
            </w:pPr>
          </w:p>
        </w:tc>
      </w:tr>
      <w:tr>
        <w:trPr>
          <w:trHeight w:val="262"/>
        </w:trPr>
        <w:tc>
          <w:tcPr>
            <w:tcW w:w="26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Total operating lease cost</w:t>
            </w:r>
          </w:p>
        </w:tc>
        <w:tc>
          <w:tcPr>
            <w:tcW w:w="4700" w:type="dxa"/>
            <w:vAlign w:val="bottom"/>
          </w:tcPr>
          <w:p>
            <w:pPr>
              <w:spacing w:after="0"/>
              <w:rPr>
                <w:sz w:val="22"/>
                <w:szCs w:val="2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7,210</w:t>
            </w:r>
          </w:p>
        </w:tc>
        <w:tc>
          <w:tcPr>
            <w:tcW w:w="0" w:type="dxa"/>
            <w:vAlign w:val="bottom"/>
          </w:tcPr>
          <w:p>
            <w:pPr>
              <w:spacing w:after="0"/>
              <w:rPr>
                <w:sz w:val="1"/>
                <w:szCs w:val="1"/>
                <w:color w:val="auto"/>
              </w:rPr>
            </w:pPr>
          </w:p>
        </w:tc>
      </w:tr>
      <w:tr>
        <w:trPr>
          <w:trHeight w:val="570"/>
        </w:trPr>
        <w:tc>
          <w:tcPr>
            <w:tcW w:w="26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Finance lease cost</w:t>
            </w:r>
          </w:p>
        </w:tc>
        <w:tc>
          <w:tcPr>
            <w:tcW w:w="4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Depreciation and amortization of leased assets</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1,970</w:t>
            </w:r>
          </w:p>
        </w:tc>
        <w:tc>
          <w:tcPr>
            <w:tcW w:w="0" w:type="dxa"/>
            <w:vAlign w:val="bottom"/>
          </w:tcPr>
          <w:p>
            <w:pPr>
              <w:spacing w:after="0"/>
              <w:rPr>
                <w:sz w:val="1"/>
                <w:szCs w:val="1"/>
                <w:color w:val="auto"/>
              </w:rPr>
            </w:pPr>
          </w:p>
        </w:tc>
      </w:tr>
      <w:tr>
        <w:trPr>
          <w:trHeight w:val="288"/>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Interest on lease liabilities</w:t>
            </w:r>
          </w:p>
        </w:tc>
        <w:tc>
          <w:tcPr>
            <w:tcW w:w="47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1,460</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1,041</w:t>
            </w:r>
          </w:p>
        </w:tc>
        <w:tc>
          <w:tcPr>
            <w:tcW w:w="0" w:type="dxa"/>
            <w:vAlign w:val="bottom"/>
          </w:tcPr>
          <w:p>
            <w:pPr>
              <w:spacing w:after="0"/>
              <w:rPr>
                <w:sz w:val="1"/>
                <w:szCs w:val="1"/>
                <w:color w:val="auto"/>
              </w:rPr>
            </w:pPr>
          </w:p>
        </w:tc>
      </w:tr>
      <w:tr>
        <w:trPr>
          <w:trHeight w:val="265"/>
        </w:trPr>
        <w:tc>
          <w:tcPr>
            <w:tcW w:w="26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Total finance lease cost</w:t>
            </w:r>
          </w:p>
        </w:tc>
        <w:tc>
          <w:tcPr>
            <w:tcW w:w="4700" w:type="dxa"/>
            <w:vAlign w:val="bottom"/>
          </w:tcPr>
          <w:p>
            <w:pPr>
              <w:spacing w:after="0"/>
              <w:rPr>
                <w:sz w:val="23"/>
                <w:szCs w:val="23"/>
                <w:color w:val="auto"/>
              </w:rPr>
            </w:pPr>
          </w:p>
        </w:tc>
        <w:tc>
          <w:tcPr>
            <w:tcW w:w="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2,107</w:t>
            </w:r>
          </w:p>
        </w:tc>
        <w:tc>
          <w:tcPr>
            <w:tcW w:w="60" w:type="dxa"/>
            <w:vAlign w:val="bottom"/>
          </w:tcPr>
          <w:p>
            <w:pPr>
              <w:spacing w:after="0"/>
              <w:rPr>
                <w:sz w:val="23"/>
                <w:szCs w:val="23"/>
                <w:color w:val="auto"/>
              </w:rPr>
            </w:pP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3,011</w:t>
            </w:r>
          </w:p>
        </w:tc>
        <w:tc>
          <w:tcPr>
            <w:tcW w:w="0" w:type="dxa"/>
            <w:vAlign w:val="bottom"/>
          </w:tcPr>
          <w:p>
            <w:pPr>
              <w:spacing w:after="0"/>
              <w:rPr>
                <w:sz w:val="1"/>
                <w:szCs w:val="1"/>
                <w:color w:val="auto"/>
              </w:rPr>
            </w:pPr>
          </w:p>
        </w:tc>
      </w:tr>
      <w:tr>
        <w:trPr>
          <w:trHeight w:val="245"/>
        </w:trPr>
        <w:tc>
          <w:tcPr>
            <w:tcW w:w="2620" w:type="dxa"/>
            <w:vAlign w:val="bottom"/>
            <w:gridSpan w:val="3"/>
          </w:tcPr>
          <w:p>
            <w:pPr>
              <w:ind w:left="360"/>
              <w:spacing w:after="0"/>
              <w:rPr>
                <w:sz w:val="20"/>
                <w:szCs w:val="20"/>
                <w:color w:val="auto"/>
              </w:rPr>
            </w:pPr>
            <w:r>
              <w:rPr>
                <w:rFonts w:ascii="Times New Roman" w:cs="Times New Roman" w:eastAsia="Times New Roman" w:hAnsi="Times New Roman"/>
                <w:sz w:val="20"/>
                <w:szCs w:val="20"/>
                <w:b w:val="1"/>
                <w:bCs w:val="1"/>
                <w:color w:val="auto"/>
              </w:rPr>
              <w:t>Total lease cost</w:t>
            </w:r>
          </w:p>
        </w:tc>
        <w:tc>
          <w:tcPr>
            <w:tcW w:w="4700" w:type="dxa"/>
            <w:vAlign w:val="bottom"/>
          </w:tcPr>
          <w:p>
            <w:pPr>
              <w:spacing w:after="0"/>
              <w:rPr>
                <w:sz w:val="21"/>
                <w:szCs w:val="21"/>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9,198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10,221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-5095240</wp:posOffset>
            </wp:positionV>
            <wp:extent cx="6667500" cy="2584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0">
                      <a:extLst>
                        <a:ext uri="{28A0092B-C50C-407E-A947-70E740481C1C}"/>
                      </a:extLst>
                    </a:blip>
                    <a:srcRect/>
                    <a:stretch>
                      <a:fillRect/>
                    </a:stretch>
                  </pic:blipFill>
                  <pic:spPr bwMode="auto">
                    <a:xfrm>
                      <a:off x="0" y="0"/>
                      <a:ext cx="6667500" cy="25844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-2021840</wp:posOffset>
            </wp:positionV>
            <wp:extent cx="6667500" cy="2041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1">
                      <a:extLst>
                        <a:ext uri="{28A0092B-C50C-407E-A947-70E740481C1C}"/>
                      </a:extLst>
                    </a:blip>
                    <a:srcRect/>
                    <a:stretch>
                      <a:fillRect/>
                    </a:stretch>
                  </pic:blipFill>
                  <pic:spPr bwMode="auto">
                    <a:xfrm>
                      <a:off x="0" y="0"/>
                      <a:ext cx="6667500" cy="2041525"/>
                    </a:xfrm>
                    <a:prstGeom prst="rect">
                      <a:avLst/>
                    </a:prstGeom>
                    <a:noFill/>
                  </pic:spPr>
                </pic:pic>
              </a:graphicData>
            </a:graphic>
          </wp:anchor>
        </w:drawing>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440"/>
          </w:cols>
          <w:pgMar w:left="900" w:top="208" w:right="90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Future minimum lease payments under non-cancellable leases as of December 31, 2024 are as follows: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5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Maturity of lease liabilities</w:t>
            </w: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Operating lease</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Finance lease</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62"/>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4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8,871</w:t>
            </w:r>
          </w:p>
        </w:tc>
      </w:tr>
      <w:tr>
        <w:trPr>
          <w:trHeight w:val="285"/>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6,292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8,295</w:t>
            </w:r>
          </w:p>
        </w:tc>
      </w:tr>
      <w:tr>
        <w:trPr>
          <w:trHeight w:val="285"/>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8,308</w:t>
            </w:r>
          </w:p>
        </w:tc>
      </w:tr>
      <w:tr>
        <w:trPr>
          <w:trHeight w:val="285"/>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8,554</w:t>
            </w:r>
          </w:p>
        </w:tc>
      </w:tr>
      <w:tr>
        <w:trPr>
          <w:trHeight w:val="285"/>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8,771</w:t>
            </w:r>
          </w:p>
        </w:tc>
      </w:tr>
      <w:tr>
        <w:trPr>
          <w:trHeight w:val="288"/>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30,539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20,877</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51,416</w:t>
            </w:r>
          </w:p>
        </w:tc>
      </w:tr>
      <w:tr>
        <w:trPr>
          <w:trHeight w:val="262"/>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62,343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31,872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94,215</w:t>
            </w:r>
          </w:p>
        </w:tc>
      </w:tr>
      <w:tr>
        <w:trPr>
          <w:trHeight w:val="288"/>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(17,037)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(12,923)</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(29,960)</w:t>
            </w:r>
          </w:p>
        </w:tc>
      </w:tr>
      <w:tr>
        <w:trPr>
          <w:trHeight w:val="245"/>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Present value of lease liabilities</w:t>
            </w:r>
          </w:p>
        </w:tc>
        <w:tc>
          <w:tcPr>
            <w:tcW w:w="4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18,949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64,255</w:t>
            </w:r>
          </w:p>
        </w:tc>
      </w:tr>
      <w:tr>
        <w:trPr>
          <w:trHeight w:val="20"/>
        </w:trPr>
        <w:tc>
          <w:tcPr>
            <w:tcW w:w="57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-1659890</wp:posOffset>
            </wp:positionV>
            <wp:extent cx="6667500" cy="1679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2">
                      <a:extLst>
                        <a:ext uri="{28A0092B-C50C-407E-A947-70E740481C1C}"/>
                      </a:extLst>
                    </a:blip>
                    <a:srcRect/>
                    <a:stretch>
                      <a:fillRect/>
                    </a:stretch>
                  </pic:blipFill>
                  <pic:spPr bwMode="auto">
                    <a:xfrm>
                      <a:off x="0" y="0"/>
                      <a:ext cx="6667500" cy="167957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information related to leases as of and for the year ended December 31, 2024 and 2023 and are as follows: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320" w:type="dxa"/>
            <w:vAlign w:val="bottom"/>
          </w:tcPr>
          <w:p>
            <w:pPr>
              <w:spacing w:after="0"/>
              <w:rPr>
                <w:sz w:val="23"/>
                <w:szCs w:val="23"/>
                <w:color w:val="auto"/>
              </w:rPr>
            </w:pPr>
          </w:p>
        </w:tc>
        <w:tc>
          <w:tcPr>
            <w:tcW w:w="3060" w:type="dxa"/>
            <w:vAlign w:val="bottom"/>
            <w:tcBorders>
              <w:bottom w:val="single" w:sz="8" w:color="auto"/>
            </w:tcBorders>
            <w:gridSpan w:val="3"/>
          </w:tcPr>
          <w:p>
            <w:pPr>
              <w:jc w:val="right"/>
              <w:ind w:right="94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5"/>
        </w:trPr>
        <w:tc>
          <w:tcPr>
            <w:tcW w:w="73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2023</w:t>
            </w:r>
          </w:p>
        </w:tc>
      </w:tr>
      <w:tr>
        <w:trPr>
          <w:trHeight w:val="262"/>
        </w:trPr>
        <w:tc>
          <w:tcPr>
            <w:tcW w:w="7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Weighted-average remaining lease term (years)</w:t>
            </w:r>
          </w:p>
        </w:tc>
        <w:tc>
          <w:tcPr>
            <w:tcW w:w="15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r>
      <w:tr>
        <w:trPr>
          <w:trHeight w:val="285"/>
        </w:trPr>
        <w:tc>
          <w:tcPr>
            <w:tcW w:w="7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leases</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9.0</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10.0</w:t>
            </w:r>
          </w:p>
        </w:tc>
      </w:tr>
      <w:tr>
        <w:trPr>
          <w:trHeight w:val="285"/>
        </w:trPr>
        <w:tc>
          <w:tcPr>
            <w:tcW w:w="7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Finance leases</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11.4</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11.8</w:t>
            </w:r>
          </w:p>
        </w:tc>
      </w:tr>
      <w:tr>
        <w:trPr>
          <w:trHeight w:val="570"/>
        </w:trPr>
        <w:tc>
          <w:tcPr>
            <w:tcW w:w="7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Weighted-average discount rate</w:t>
            </w: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5"/>
        </w:trPr>
        <w:tc>
          <w:tcPr>
            <w:tcW w:w="7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leases</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6.4%</w:t>
            </w:r>
          </w:p>
        </w:tc>
        <w:tc>
          <w:tcPr>
            <w:tcW w:w="156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rPr>
              <w:t>6.4%</w:t>
            </w:r>
          </w:p>
        </w:tc>
      </w:tr>
      <w:tr>
        <w:trPr>
          <w:trHeight w:val="285"/>
        </w:trPr>
        <w:tc>
          <w:tcPr>
            <w:tcW w:w="7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Finance leases</w:t>
            </w:r>
          </w:p>
        </w:tc>
        <w:tc>
          <w:tcPr>
            <w:tcW w:w="150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8.4%</w:t>
            </w:r>
          </w:p>
        </w:tc>
        <w:tc>
          <w:tcPr>
            <w:tcW w:w="156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-1270635</wp:posOffset>
            </wp:positionV>
            <wp:extent cx="6654800" cy="2197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3">
                      <a:extLst>
                        <a:ext uri="{28A0092B-C50C-407E-A947-70E740481C1C}"/>
                      </a:extLst>
                    </a:blip>
                    <a:srcRect/>
                    <a:stretch>
                      <a:fillRect/>
                    </a:stretch>
                  </pic:blipFill>
                  <pic:spPr bwMode="auto">
                    <a:xfrm>
                      <a:off x="0" y="0"/>
                      <a:ext cx="6654800" cy="2197100"/>
                    </a:xfrm>
                    <a:prstGeom prst="rect">
                      <a:avLst/>
                    </a:prstGeom>
                    <a:noFill/>
                  </pic:spPr>
                </pic:pic>
              </a:graphicData>
            </a:graphic>
          </wp:anchor>
        </w:drawing>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264"/>
        </w:trPr>
        <w:tc>
          <w:tcPr>
            <w:tcW w:w="66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paid for amounts included in the measurement of lease liabilities</w:t>
            </w:r>
          </w:p>
        </w:tc>
        <w:tc>
          <w:tcPr>
            <w:tcW w:w="1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85"/>
        </w:trPr>
        <w:tc>
          <w:tcPr>
            <w:tcW w:w="6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122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5,231</w:t>
            </w:r>
          </w:p>
        </w:tc>
        <w:tc>
          <w:tcPr>
            <w:tcW w:w="60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5,482</w:t>
            </w:r>
          </w:p>
        </w:tc>
      </w:tr>
      <w:tr>
        <w:trPr>
          <w:trHeight w:val="285"/>
        </w:trPr>
        <w:tc>
          <w:tcPr>
            <w:tcW w:w="6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cash flows from finance leases</w:t>
            </w:r>
          </w:p>
        </w:tc>
        <w:tc>
          <w:tcPr>
            <w:tcW w:w="1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3,029</w:t>
            </w:r>
          </w:p>
        </w:tc>
        <w:tc>
          <w:tcPr>
            <w:tcW w:w="6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1,874</w:t>
            </w:r>
          </w:p>
        </w:tc>
      </w:tr>
      <w:tr>
        <w:trPr>
          <w:trHeight w:val="285"/>
        </w:trPr>
        <w:tc>
          <w:tcPr>
            <w:tcW w:w="6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Financing cash flows from finance lease</w:t>
            </w:r>
          </w:p>
        </w:tc>
        <w:tc>
          <w:tcPr>
            <w:tcW w:w="1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2,728</w:t>
            </w:r>
          </w:p>
        </w:tc>
        <w:tc>
          <w:tcPr>
            <w:tcW w:w="6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3,598</w:t>
            </w: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Purchase Commitments and Contingencies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 Commitments</w:t>
      </w:r>
    </w:p>
    <w:p>
      <w:pPr>
        <w:spacing w:after="0" w:line="19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 following sets forth purchase commitments with software and equipment providers as of December 31, 2024 with a remaining term of at least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103505</wp:posOffset>
            </wp:positionV>
            <wp:extent cx="6667500" cy="13176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4">
                      <a:extLst>
                        <a:ext uri="{28A0092B-C50C-407E-A947-70E740481C1C}"/>
                      </a:extLst>
                    </a:blip>
                    <a:srcRect/>
                    <a:stretch>
                      <a:fillRect/>
                    </a:stretch>
                  </pic:blipFill>
                  <pic:spPr bwMode="auto">
                    <a:xfrm>
                      <a:off x="0" y="0"/>
                      <a:ext cx="6667500" cy="1317625"/>
                    </a:xfrm>
                    <a:prstGeom prst="rect">
                      <a:avLst/>
                    </a:prstGeom>
                    <a:noFill/>
                  </pic:spPr>
                </pic:pic>
              </a:graphicData>
            </a:graphic>
          </wp:anchor>
        </w:drawing>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5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15,699</w:t>
            </w:r>
          </w:p>
        </w:tc>
      </w:tr>
      <w:tr>
        <w:trPr>
          <w:trHeight w:val="285"/>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8,394</w:t>
            </w:r>
          </w:p>
        </w:tc>
      </w:tr>
      <w:tr>
        <w:trPr>
          <w:trHeight w:val="285"/>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4,592</w:t>
            </w:r>
          </w:p>
        </w:tc>
      </w:tr>
      <w:tr>
        <w:trPr>
          <w:trHeight w:val="285"/>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4,021</w:t>
            </w:r>
          </w:p>
        </w:tc>
      </w:tr>
      <w:tr>
        <w:trPr>
          <w:trHeight w:val="285"/>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3,914</w:t>
            </w:r>
          </w:p>
        </w:tc>
      </w:tr>
      <w:tr>
        <w:trPr>
          <w:trHeight w:val="288"/>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978</w:t>
            </w:r>
          </w:p>
        </w:tc>
      </w:tr>
      <w:tr>
        <w:trPr>
          <w:trHeight w:val="245"/>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Total purchase commitments</w:t>
            </w:r>
          </w:p>
        </w:tc>
        <w:tc>
          <w:tcPr>
            <w:tcW w:w="5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37,598</w:t>
            </w:r>
          </w:p>
        </w:tc>
      </w:tr>
      <w:tr>
        <w:trPr>
          <w:trHeight w:val="20"/>
        </w:trPr>
        <w:tc>
          <w:tcPr>
            <w:tcW w:w="8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Company enters into contracts with suppliers to purchase materials needed for diagnostic testing. These contracts generally do not require multi-year purchase commitments.</w:t>
      </w:r>
    </w:p>
    <w:p>
      <w:pPr>
        <w:spacing w:after="0" w:line="118" w:lineRule="exact"/>
        <w:rPr>
          <w:sz w:val="20"/>
          <w:szCs w:val="20"/>
          <w:color w:val="auto"/>
        </w:rPr>
      </w:pPr>
    </w:p>
    <w:p>
      <w:pPr>
        <w:ind w:right="420"/>
        <w:spacing w:after="0" w:line="440" w:lineRule="auto"/>
        <w:rPr>
          <w:sz w:val="20"/>
          <w:szCs w:val="20"/>
          <w:color w:val="auto"/>
        </w:rPr>
      </w:pPr>
      <w:r>
        <w:rPr>
          <w:rFonts w:ascii="Times New Roman" w:cs="Times New Roman" w:eastAsia="Times New Roman" w:hAnsi="Times New Roman"/>
          <w:sz w:val="20"/>
          <w:szCs w:val="20"/>
          <w:color w:val="auto"/>
        </w:rPr>
        <w:t>For further information regarding the Company’s lease obligations, see Note 9,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xml:space="preserve">” included within this Annual Report. </w:t>
      </w:r>
      <w:r>
        <w:rPr>
          <w:rFonts w:ascii="Times New Roman" w:cs="Times New Roman" w:eastAsia="Times New Roman" w:hAnsi="Times New Roman"/>
          <w:sz w:val="20"/>
          <w:szCs w:val="20"/>
          <w:b w:val="1"/>
          <w:bCs w:val="1"/>
          <w:i w:val="1"/>
          <w:iCs w:val="1"/>
          <w:color w:val="auto"/>
        </w:rPr>
        <w:t>Contingencies</w:t>
      </w:r>
    </w:p>
    <w:p>
      <w:pPr>
        <w:spacing w:after="0" w:line="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Company is or may become subject to various claims and legal actions arising in the ordinary course of business. The Company does not believe that the outcome of any existing matters will have a material effect on the Company’s consolidated</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440"/>
          </w:cols>
          <w:pgMar w:left="900" w:top="208" w:right="90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financial statements. However, no assurance can be given that the ultimate resolution of such proceedings will not materially impact the Company’s consolidated financial statements.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Except as described below, the Company was not a party to any material legal proceedings as of December 31, 2024, nor is it a party to any material legal proceedings as of the date of issuance of these consolidated financial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September 7, 2022, a shareholder class action lawsuit was filed in the United States District Court for the District of Connecticut, styled Helo v. Sema4 Holdings Corp., et al, 22-cv-1131 (D. Conn.) against the Company and certain of the Company’s current and former officers. Following the appointment of a lead plaintiff, an amended complaint was filed on January 30, 2023. The defendants moved to dismiss the amended complaint on August 21, 2023, and that motion was granted on July 31, 2024. A second amended complaint was filed on September 13, 2024. As amended, the complaint purports to bring suit on behalf of the stockholders who purchased the Company’s publicly traded securities between January 18, 2022 and August 15, 2022. The second amended complaint purports to allege that the defendants made false and misleading statements about the Company’s business, operations, and prospects in violation of Sections 10(b) and 20(a) of the Securities Exchange Act of 1934, as amended (the “Exchange Act”), and seeks unspecified compensatory damages, fees, and costs. The Company believes the allegations and claims are without merit.</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November 28, 2023, a stockholder filed a derivative suit, allegedly on behalf of the Company, based largely on the same allegations in the securities class action referenced above. The suit was filed in federal court in the District of Delaware, styled Ghazaleh v. Schadt, et al, 23-cv-01357 (D. Del.), and purports to assert claims against certain of the Company’s former and current officers and directors under Section 10(b) of the Exchange Act, and for breach of fiduciary duty, aiding and abetting breach of fiduciary duty, unjust enrichment and corporate waste. The Company is named only as a nominal defendant. The complaint seeks damages on the Company’s behalf, and seeks corporate governance and other relief. On March 11, 2024, the Court issued an order staying this suit pending resolution of the Helo class action referenced above.</w:t>
      </w:r>
    </w:p>
    <w:p>
      <w:pPr>
        <w:spacing w:after="0" w:line="1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June 25, 2024, a substantially similar stockholder derivative suit was filed in federal court in the District of Connecticut, styled Scinto v. Schadt, et al, 2:24-cv-01100 (D. Conn.). The suit, also purportedly brought on the Company’s behalf against certain of its former or current officers and directors, asserts claims for breach of fiduciary duty, unjust enrichment, corporate waste, and violations of Sections 10(b) and 14(a) of the Exchange Act. The Company is named only as a nominal defendant. The complaint seeks damages on the Company’s behalf, as well as corporate governance reforms and other relief. On August 8, 2024, the Court issued an order staying this suit until the earlier of a commencement of discovery, announcement of settlement, or dismissal with prejudice in the Helo class action referenced above.</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February 7, 2023, a stockholder commenced a lawsuit in the Delaware Court of Chancery. The suit is brought as a class action on behalf of stockholders of CMLS who did not redeem their shares in connection with the Business Combination between CMLS and Legacy Sema4. The defendants named in the amended complaint include and directors of CMLS at the time of the transaction, including certain directors who continue to serve on the Company’s Board of Directors, as well as CMLS Holdings LLC, Corvex Management LP, and Casdin Capital, LLC. The Company is not named as a defendant. The complaint alleges that the July 2, 2021 proxy statement mailed to CMLS stockholders in connection with the transaction contained false and misleading statements, and purports to assert a claim of breach of fiduciary duty against all individual defendants, and a similar claim against CMLS Holdings LLC and certain individuals for breach of fiduciary duty as control persons. The suit seeks to recover unspecified damages on behalf of the alleged class, among other relief. After defendants moved to dismiss the case, the plaintiff filed an amended complaint on July 6, 2023, revising certain allegations and adding third parties as defendants. The defendants answered the amended complaint on September 15, 2023. The Company is subject to certain claims for advancement and indemnification by the individual defendants in this proceeding.</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During the second quarter of 2024, the parties reached an agreement in principle through mediation to resolve all claims for approximately $21 million, and during the third quarter of 2024, the parties executed a formal stipulation of settlement reflecting such agreement in principle. The settlement was paid into escrow on November 12, 2024 and was funded by the Company (based on its indemnification obligations), available insurance of approximately $10 million and proceeds of approximately $1.4 million from the insurance of a third-party defendant. The Delaware Court of Chancery approved the settlement on December 2, 2024. As of December 31, 2024, remaining unpaid litigation and indemnification costs were nominal.</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Defined Contribution Plan</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Substantially all of the Company’s employees in the U.S. are eligible to participate in the defined contribution plan the Company sponsors. The defined contribution plan allows employees to contribute a portion of their compensation in accordance with specified guidelines. The Company, at its discretion, makes matching contributions. The Company contributed $5.9 million and $6.5 million for the years ended December 31, 2024 and 2023, respectively.</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440"/>
          </w:cols>
          <w:pgMar w:left="900" w:top="208" w:right="90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Stock-Based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9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Stock-based compensation expense is included within the consolidated statements of operations and comprehensive loss as follows: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7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65"/>
        </w:trPr>
        <w:tc>
          <w:tcPr>
            <w:tcW w:w="77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(1,217)</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(2,585)</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Selling and marketing</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(1,266)</w:t>
            </w:r>
          </w:p>
        </w:tc>
      </w:tr>
      <w:tr>
        <w:trPr>
          <w:trHeight w:val="288"/>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6,426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4,742</w:t>
            </w:r>
          </w:p>
        </w:tc>
      </w:tr>
      <w:tr>
        <w:trPr>
          <w:trHeight w:val="245"/>
        </w:trPr>
        <w:tc>
          <w:tcPr>
            <w:tcW w:w="7720" w:type="dxa"/>
            <w:vAlign w:val="bottom"/>
          </w:tcPr>
          <w:p>
            <w:pPr>
              <w:spacing w:after="0" w:line="245" w:lineRule="exact"/>
              <w:rPr>
                <w:sz w:val="20"/>
                <w:szCs w:val="20"/>
                <w:color w:val="auto"/>
              </w:rPr>
            </w:pPr>
            <w:r>
              <w:rPr>
                <w:rFonts w:ascii="Times New Roman" w:cs="Times New Roman" w:eastAsia="Times New Roman" w:hAnsi="Times New Roman"/>
                <w:sz w:val="20"/>
                <w:szCs w:val="20"/>
                <w:color w:val="auto"/>
              </w:rPr>
              <w:t>Total stock-based compensation expense</w:t>
            </w:r>
            <w:r>
              <w:rPr>
                <w:rFonts w:ascii="Times New Roman" w:cs="Times New Roman" w:eastAsia="Times New Roman" w:hAnsi="Times New Roman"/>
                <w:sz w:val="26"/>
                <w:szCs w:val="26"/>
                <w:color w:val="auto"/>
                <w:vertAlign w:val="superscript"/>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9,138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w:t>
            </w:r>
          </w:p>
        </w:tc>
      </w:tr>
      <w:tr>
        <w:trPr>
          <w:trHeight w:val="20"/>
        </w:trPr>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667500" cy="9556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5">
                      <a:extLst>
                        <a:ext uri="{28A0092B-C50C-407E-A947-70E740481C1C}"/>
                      </a:extLst>
                    </a:blip>
                    <a:srcRect/>
                    <a:stretch>
                      <a:fillRect/>
                    </a:stretch>
                  </pic:blipFill>
                  <pic:spPr bwMode="auto">
                    <a:xfrm>
                      <a:off x="0" y="0"/>
                      <a:ext cx="6667500" cy="955675"/>
                    </a:xfrm>
                    <a:prstGeom prst="rect">
                      <a:avLst/>
                    </a:prstGeom>
                    <a:noFill/>
                  </pic:spPr>
                </pic:pic>
              </a:graphicData>
            </a:graphic>
          </wp:anchor>
        </w:drawing>
      </w:r>
    </w:p>
    <w:p>
      <w:pPr>
        <w:spacing w:after="0" w:line="178" w:lineRule="exact"/>
        <w:rPr>
          <w:sz w:val="20"/>
          <w:szCs w:val="20"/>
          <w:color w:val="auto"/>
        </w:rPr>
      </w:pPr>
    </w:p>
    <w:p>
      <w:pPr>
        <w:spacing w:after="0" w:line="227" w:lineRule="auto"/>
        <w:tabs>
          <w:tab w:leader="none" w:pos="103" w:val="left"/>
        </w:tabs>
        <w:numPr>
          <w:ilvl w:val="0"/>
          <w:numId w:val="40"/>
        </w:numPr>
        <w:rPr>
          <w:rFonts w:ascii="Times New Roman" w:cs="Times New Roman" w:eastAsia="Times New Roman" w:hAnsi="Times New Roman"/>
          <w:sz w:val="21"/>
          <w:szCs w:val="21"/>
          <w:b w:val="1"/>
          <w:bCs w:val="1"/>
          <w:i w:val="1"/>
          <w:iCs w:val="1"/>
          <w:color w:val="auto"/>
          <w:vertAlign w:val="superscript"/>
        </w:rPr>
      </w:pPr>
      <w:r>
        <w:rPr>
          <w:rFonts w:ascii="Times New Roman" w:cs="Times New Roman" w:eastAsia="Times New Roman" w:hAnsi="Times New Roman"/>
          <w:sz w:val="16"/>
          <w:szCs w:val="16"/>
          <w:b w:val="1"/>
          <w:bCs w:val="1"/>
          <w:i w:val="1"/>
          <w:iCs w:val="1"/>
          <w:color w:val="auto"/>
        </w:rPr>
        <w:t>The Company recorded an aggregate reversal of stock-based compensation of $3.9 million and $24.7 million during the years ended December 31, 2024 and 2023, respectively, due to forfeiture activities upon employee terminations.</w:t>
      </w:r>
    </w:p>
    <w:p>
      <w:pPr>
        <w:spacing w:after="0"/>
        <w:rPr>
          <w:rFonts w:ascii="Times New Roman" w:cs="Times New Roman" w:eastAsia="Times New Roman" w:hAnsi="Times New Roman"/>
          <w:sz w:val="21"/>
          <w:szCs w:val="21"/>
          <w:b w:val="1"/>
          <w:bCs w:val="1"/>
          <w:i w:val="1"/>
          <w:iCs w:val="1"/>
          <w:color w:val="auto"/>
          <w:vertAlign w:val="superscript"/>
        </w:rPr>
      </w:pPr>
      <w:r>
        <w:rPr>
          <w:rFonts w:ascii="Times New Roman" w:cs="Times New Roman" w:eastAsia="Times New Roman" w:hAnsi="Times New Roman"/>
          <w:sz w:val="20"/>
          <w:szCs w:val="20"/>
          <w:b w:val="1"/>
          <w:bCs w:val="1"/>
          <w:i w:val="1"/>
          <w:iCs w:val="1"/>
          <w:color w:val="auto"/>
          <w:vertAlign w:val="superscript"/>
        </w:rPr>
        <w:t>2</w:t>
      </w:r>
      <w:r>
        <w:rPr>
          <w:rFonts w:ascii="Times New Roman" w:cs="Times New Roman" w:eastAsia="Times New Roman" w:hAnsi="Times New Roman"/>
          <w:sz w:val="16"/>
          <w:szCs w:val="16"/>
          <w:b w:val="1"/>
          <w:bCs w:val="1"/>
          <w:i w:val="1"/>
          <w:iCs w:val="1"/>
          <w:color w:val="auto"/>
        </w:rPr>
        <w:t xml:space="preserve"> Includes $0.6 million of expense related to the 2021 Employee Stock Purchase Plan during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Incentive Plans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maintains the Amended and Restated 2021 Equity Incentive Plan (as amended and restated, the “2021 Plan”), which allows for grants of stock-based awards. No awards granted under the 2021 Plan are exercisable after 10 years from the date of grant, and the awards granted under the 2021 Plan generally vest over a four-year period on a graded vesting basis; however, the Company has also granted certain restricted stock units (“RSUs”) with vesting terms beginning 12 months from the grant date and vesting immediately on the grant date. On January 1 of each year through 2031, the aggregate number of shares of Class A common stock reserved for issuance under the 2021 Plan may be increased automatically by the number of shares equal to 5% of the total number of shares of all classes of common stock issued and outstanding immediately preceding December 31. In January 2024, the number of Class A common stock reserved for future issuance under the 2021 Plan automatically increased by 1,298,943 shares.</w:t>
      </w:r>
    </w:p>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also maintains the 2023 Equity Inducement Plan (the “Equity Inducement Plan”), which allows for grants of equity awards of the Company’s Class A common stock to individuals who were not previously an employee or director of the Company, or following a bona fide period of non-employment, as an inducement material to such persons entering into employment with the Company.</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As of December 31, 2024, there was an aggregate of 1,857,260 shares available for grants of stock options or other awards under the 2021 Plan and Equity Inducement Plan. In January 2025, the number of Class A common stock reserved for future issuance under the 2021 Plan automatically increased by 1,400,827 shares.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 Activity</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All stock options granted under the 2021 Plan are accounted for as time-based equity awards. The following summarizes the stock option activity during the year ended December 31, 2024:</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680" w:type="dxa"/>
            <w:vAlign w:val="bottom"/>
          </w:tcPr>
          <w:p>
            <w:pPr>
              <w:spacing w:after="0"/>
              <w:rPr>
                <w:sz w:val="13"/>
                <w:szCs w:val="13"/>
                <w:color w:val="auto"/>
              </w:rPr>
            </w:pPr>
          </w:p>
        </w:tc>
        <w:tc>
          <w:tcPr>
            <w:tcW w:w="1380" w:type="dxa"/>
            <w:vAlign w:val="bottom"/>
            <w:vMerge w:val="restart"/>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60" w:type="dxa"/>
            <w:vAlign w:val="bottom"/>
          </w:tcPr>
          <w:p>
            <w:pPr>
              <w:spacing w:after="0"/>
              <w:rPr>
                <w:sz w:val="13"/>
                <w:szCs w:val="13"/>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60" w:type="dxa"/>
            <w:vAlign w:val="bottom"/>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0"/>
        </w:trPr>
        <w:tc>
          <w:tcPr>
            <w:tcW w:w="468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Contractual Life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680" w:type="dxa"/>
            <w:vAlign w:val="bottom"/>
          </w:tcPr>
          <w:p>
            <w:pPr>
              <w:spacing w:after="0"/>
              <w:rPr>
                <w:sz w:val="18"/>
                <w:szCs w:val="18"/>
                <w:color w:val="auto"/>
              </w:rPr>
            </w:pPr>
          </w:p>
        </w:tc>
        <w:tc>
          <w:tcPr>
            <w:tcW w:w="13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6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0" w:type="dxa"/>
            <w:vAlign w:val="bottom"/>
          </w:tcPr>
          <w:p>
            <w:pPr>
              <w:spacing w:after="0"/>
              <w:rPr>
                <w:sz w:val="1"/>
                <w:szCs w:val="1"/>
                <w:color w:val="auto"/>
              </w:rPr>
            </w:pPr>
          </w:p>
        </w:tc>
      </w:tr>
      <w:tr>
        <w:trPr>
          <w:trHeight w:val="262"/>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497,976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4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Options 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Options exercised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(68,453)</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w:t>
            </w: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Options forfeited and canceled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(88,243)</w:t>
            </w:r>
          </w:p>
        </w:tc>
        <w:tc>
          <w:tcPr>
            <w:tcW w:w="60" w:type="dxa"/>
            <w:vAlign w:val="bottom"/>
          </w:tcPr>
          <w:p>
            <w:pPr>
              <w:spacing w:after="0"/>
              <w:rPr>
                <w:sz w:val="24"/>
                <w:szCs w:val="24"/>
                <w:color w:val="auto"/>
              </w:rPr>
            </w:pP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63.45</w:t>
            </w:r>
          </w:p>
        </w:tc>
        <w:tc>
          <w:tcPr>
            <w:tcW w:w="6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341,280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12,429</w:t>
            </w:r>
          </w:p>
        </w:tc>
        <w:tc>
          <w:tcPr>
            <w:tcW w:w="0" w:type="dxa"/>
            <w:vAlign w:val="bottom"/>
          </w:tcPr>
          <w:p>
            <w:pPr>
              <w:spacing w:after="0"/>
              <w:rPr>
                <w:sz w:val="1"/>
                <w:szCs w:val="1"/>
                <w:color w:val="auto"/>
              </w:rPr>
            </w:pPr>
          </w:p>
        </w:tc>
      </w:tr>
      <w:tr>
        <w:trPr>
          <w:trHeight w:val="285"/>
        </w:trPr>
        <w:tc>
          <w:tcPr>
            <w:tcW w:w="4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Options exercisable at December 31, 2024</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290,963</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-1089660</wp:posOffset>
            </wp:positionV>
            <wp:extent cx="6654800" cy="11112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6">
                      <a:extLst>
                        <a:ext uri="{28A0092B-C50C-407E-A947-70E740481C1C}"/>
                      </a:extLst>
                    </a:blip>
                    <a:srcRect/>
                    <a:stretch>
                      <a:fillRect/>
                    </a:stretch>
                  </pic:blipFill>
                  <pic:spPr bwMode="auto">
                    <a:xfrm>
                      <a:off x="0" y="0"/>
                      <a:ext cx="6654800" cy="1111250"/>
                    </a:xfrm>
                    <a:prstGeom prst="rect">
                      <a:avLst/>
                    </a:prstGeom>
                    <a:noFill/>
                  </pic:spPr>
                </pic:pic>
              </a:graphicData>
            </a:graphic>
          </wp:anchor>
        </w:drawing>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Non-vested options outstanding at the end of the year were 50,317 with weighted average grant-date fair value of $14.52. As of December 31, 2024, unrecognized stock-based compensation cost related to the unvested portion of the Company’s stock options was $0.5 million, which is expected to be recognized on a graded-vesting basis over a weighted-average period of 1.0 years.</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440"/>
          </w:cols>
          <w:pgMar w:left="900" w:top="208" w:right="90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auto"/>
        </w:rPr>
        <w:t>The weighted-average grant-date fair value and total fair value of options with tranches vested was $34.42 and $0.7 million for the year ended December 31, 2024, respectively, and $25.07 and $1.5 million for the year ended December 31, 2023, respectively.</w:t>
      </w:r>
    </w:p>
    <w:p>
      <w:pPr>
        <w:spacing w:after="0" w:line="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aggregate intrinsic value of exercised options was $2.3 million and $0.3 million in the years ended December 31, 2024 and 2023, respectively, and is calculated based on the difference between the exercise price and the fair value of the Company’s common stock as of the exercise date. The weighted-average grant-date fair value of options forfeited and canceled was $7.46 for the year ended December 31, 2024.</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There were no options granted during the year ended December 31, 2024. The fair value of the stock option awards granted during the year ended December 31, 2023 were estimated using the Black-Scholes option pricing model with the following assumptions:</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8480" w:type="dxa"/>
            <w:vAlign w:val="bottom"/>
          </w:tcPr>
          <w:p>
            <w:pPr>
              <w:spacing w:after="0"/>
              <w:rPr>
                <w:sz w:val="23"/>
                <w:szCs w:val="23"/>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2023</w:t>
            </w:r>
          </w:p>
        </w:tc>
      </w:tr>
      <w:tr>
        <w:trPr>
          <w:trHeight w:val="262"/>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105.0%</w:t>
            </w:r>
          </w:p>
        </w:tc>
      </w:tr>
      <w:tr>
        <w:trPr>
          <w:trHeight w:val="285"/>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expected volatility</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105.0%</w:t>
            </w:r>
          </w:p>
        </w:tc>
      </w:tr>
      <w:tr>
        <w:trPr>
          <w:trHeight w:val="285"/>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5.5</w:t>
            </w:r>
          </w:p>
        </w:tc>
      </w:tr>
      <w:tr>
        <w:trPr>
          <w:trHeight w:val="285"/>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4.03%</w:t>
            </w:r>
          </w:p>
        </w:tc>
      </w:tr>
      <w:tr>
        <w:trPr>
          <w:trHeight w:val="285"/>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85"/>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Class A common stock</w:t>
            </w:r>
          </w:p>
        </w:tc>
        <w:tc>
          <w:tcPr>
            <w:tcW w:w="1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-1089660</wp:posOffset>
            </wp:positionV>
            <wp:extent cx="6654800" cy="11112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7">
                      <a:extLst>
                        <a:ext uri="{28A0092B-C50C-407E-A947-70E740481C1C}"/>
                      </a:extLst>
                    </a:blip>
                    <a:srcRect/>
                    <a:stretch>
                      <a:fillRect/>
                    </a:stretch>
                  </pic:blipFill>
                  <pic:spPr bwMode="auto">
                    <a:xfrm>
                      <a:off x="0" y="0"/>
                      <a:ext cx="6654800" cy="111125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 (RSU)</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issued time-based RSUs to employees under the 2021 Plan. The RSUs automatically convert to common stock on a one-for-one basis as the awards vest. The Company measures the value of RSUs at fair value based on the closing price of the underlying common stock on the grant date. The RSUs granted generally vest over a four-year vesting period from the grant date, however, the Company also granted certain RSUs with vesting term beginning 12 months from the grant date and vesting immediately on the grant date. The following table summarizes the activity related to the Company’s time-based RSUs:</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1900" w:type="dxa"/>
            <w:vAlign w:val="bottom"/>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60" w:type="dxa"/>
            <w:vAlign w:val="bottom"/>
          </w:tcPr>
          <w:p>
            <w:pPr>
              <w:spacing w:after="0"/>
              <w:rPr>
                <w:sz w:val="16"/>
                <w:szCs w:val="16"/>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r>
      <w:tr>
        <w:trPr>
          <w:trHeight w:val="214"/>
        </w:trPr>
        <w:tc>
          <w:tcPr>
            <w:tcW w:w="6540" w:type="dxa"/>
            <w:vAlign w:val="bottom"/>
          </w:tcPr>
          <w:p>
            <w:pPr>
              <w:spacing w:after="0"/>
              <w:rPr>
                <w:sz w:val="18"/>
                <w:szCs w:val="18"/>
                <w:color w:val="auto"/>
              </w:rPr>
            </w:pPr>
          </w:p>
        </w:tc>
        <w:tc>
          <w:tcPr>
            <w:tcW w:w="190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Pr>
          <w:p>
            <w:pPr>
              <w:spacing w:after="0"/>
              <w:rPr>
                <w:sz w:val="18"/>
                <w:szCs w:val="18"/>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Date Fair Value Per Unit</w:t>
            </w:r>
          </w:p>
        </w:tc>
      </w:tr>
      <w:tr>
        <w:trPr>
          <w:trHeight w:val="262"/>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19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1,507,877</w:t>
            </w:r>
          </w:p>
        </w:tc>
        <w:tc>
          <w:tcPr>
            <w:tcW w:w="800" w:type="dxa"/>
            <w:vAlign w:val="bottom"/>
            <w:gridSpan w:val="2"/>
          </w:tcPr>
          <w:p>
            <w:pPr>
              <w:jc w:val="right"/>
              <w:ind w:right="513"/>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15.48</w:t>
            </w:r>
          </w:p>
        </w:tc>
      </w:tr>
      <w:tr>
        <w:trPr>
          <w:trHeight w:val="285"/>
        </w:trPr>
        <w:tc>
          <w:tcPr>
            <w:tcW w:w="6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Restricted Stock Units granted</w:t>
            </w:r>
          </w:p>
        </w:tc>
        <w:tc>
          <w:tcPr>
            <w:tcW w:w="19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1,187,165</w:t>
            </w:r>
          </w:p>
        </w:tc>
        <w:tc>
          <w:tcPr>
            <w:tcW w:w="800" w:type="dxa"/>
            <w:vAlign w:val="bottom"/>
            <w:gridSpan w:val="2"/>
          </w:tcPr>
          <w:p>
            <w:pPr>
              <w:jc w:val="right"/>
              <w:ind w:right="513"/>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11.37</w:t>
            </w:r>
          </w:p>
        </w:tc>
      </w:tr>
      <w:tr>
        <w:trPr>
          <w:trHeight w:val="285"/>
        </w:trPr>
        <w:tc>
          <w:tcPr>
            <w:tcW w:w="6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Restricted Stock Units vested</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(471,663)</w:t>
            </w:r>
          </w:p>
        </w:tc>
        <w:tc>
          <w:tcPr>
            <w:tcW w:w="800" w:type="dxa"/>
            <w:vAlign w:val="bottom"/>
            <w:gridSpan w:val="2"/>
          </w:tcPr>
          <w:p>
            <w:pPr>
              <w:jc w:val="right"/>
              <w:ind w:right="513"/>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17.72</w:t>
            </w:r>
          </w:p>
        </w:tc>
      </w:tr>
      <w:tr>
        <w:trPr>
          <w:trHeight w:val="288"/>
        </w:trPr>
        <w:tc>
          <w:tcPr>
            <w:tcW w:w="6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Restricted Stock Units forfeited</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(353,818)</w:t>
            </w:r>
          </w:p>
        </w:tc>
        <w:tc>
          <w:tcPr>
            <w:tcW w:w="60" w:type="dxa"/>
            <w:vAlign w:val="bottom"/>
          </w:tcPr>
          <w:p>
            <w:pPr>
              <w:spacing w:after="0"/>
              <w:rPr>
                <w:sz w:val="24"/>
                <w:szCs w:val="24"/>
                <w:color w:val="auto"/>
              </w:rPr>
            </w:pPr>
          </w:p>
        </w:tc>
        <w:tc>
          <w:tcPr>
            <w:tcW w:w="7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15.63</w:t>
            </w:r>
          </w:p>
        </w:tc>
      </w:tr>
      <w:tr>
        <w:trPr>
          <w:trHeight w:val="262"/>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19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1,869,561</w:t>
            </w:r>
          </w:p>
        </w:tc>
        <w:tc>
          <w:tcPr>
            <w:tcW w:w="800" w:type="dxa"/>
            <w:vAlign w:val="bottom"/>
            <w:gridSpan w:val="2"/>
          </w:tcPr>
          <w:p>
            <w:pPr>
              <w:jc w:val="right"/>
              <w:ind w:right="513"/>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-908685</wp:posOffset>
            </wp:positionV>
            <wp:extent cx="6654800" cy="930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8">
                      <a:extLst>
                        <a:ext uri="{28A0092B-C50C-407E-A947-70E740481C1C}"/>
                      </a:extLst>
                    </a:blip>
                    <a:srcRect/>
                    <a:stretch>
                      <a:fillRect/>
                    </a:stretch>
                  </pic:blipFill>
                  <pic:spPr bwMode="auto">
                    <a:xfrm>
                      <a:off x="0" y="0"/>
                      <a:ext cx="6654800" cy="930275"/>
                    </a:xfrm>
                    <a:prstGeom prst="rect">
                      <a:avLst/>
                    </a:prstGeom>
                    <a:noFill/>
                  </pic:spPr>
                </pic:pic>
              </a:graphicData>
            </a:graphic>
          </wp:anchor>
        </w:drawing>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total fair value of RSUs vested for the years ended December 31, 2024 and 2023 was $2.1 million and $6.6 million, respectively. As of December 31, 2024, unrecognized stock-based compensation cost related to the Company’s RSUs was $10.7 million, which is expected to be recognized on a graded-vesting basis over a weighted-average period of 1.8 years.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2021 Employee Stock Purchase Plan (the “2021 ESPP”) authorizes the issuance of shares of Class A common stock pursuant to purchase rights granted to employees. On January 1 of each year through 2031, the aggregate number of shares of Class A common stock reserved for issuance under the 2021 ESPP may be increased automatically by the number of shares equal to 1% of the total number of shares of all classes of common stock issued and outstanding immediately preceding December 31.</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2021 ESPP became open for enrollment in April 2024. Under the 2021 ESPP, eligible employees may purchase shares of the Company’s Class A common stock at a discount through payroll deductions during each discrete six-month offering period. The purchase price under each discrete offering period is equal to 85% of the lesser of the fair market value of the Class A common stock on the first and last day of the offering period.</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first offering period was completed on October 31, 2024 and the Company issued 26,773 shares under the 2021 ESPP during the year ended December 31, 2024. A total of 569,831 shares of Class A common stock were reserved for future issuance under the 2021 ESPP as of December 31, 2024. In January 2025, the number of Class A common stock reserved for future issuance under the 2021 ESPP automatically increased by 280,165 shares.</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440"/>
          </w:cols>
          <w:pgMar w:left="900" w:top="208" w:right="900" w:bottom="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30"/>
        </w:trPr>
        <w:tc>
          <w:tcPr>
            <w:tcW w:w="14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9"/>
              </w:rPr>
              <w:t>Table of Contents</w:t>
            </w:r>
          </w:p>
        </w:tc>
        <w:tc>
          <w:tcPr>
            <w:tcW w:w="6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650"/>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12. Income Taxes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23"/>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components of income before incomes taxes consisted of the following:</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96"/>
        </w:trPr>
        <w:tc>
          <w:tcPr>
            <w:tcW w:w="14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65"/>
        </w:trPr>
        <w:tc>
          <w:tcPr>
            <w:tcW w:w="1440" w:type="dxa"/>
            <w:vAlign w:val="bottom"/>
          </w:tcPr>
          <w:p>
            <w:pPr>
              <w:spacing w:after="0"/>
              <w:rPr>
                <w:sz w:val="23"/>
                <w:szCs w:val="23"/>
                <w:color w:val="auto"/>
              </w:rPr>
            </w:pPr>
          </w:p>
        </w:tc>
        <w:tc>
          <w:tcPr>
            <w:tcW w:w="63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Foreign</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w:t>
            </w:r>
          </w:p>
        </w:tc>
      </w:tr>
      <w:tr>
        <w:trPr>
          <w:trHeight w:val="288"/>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Domestic</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(53,558)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(177,316)</w:t>
            </w:r>
          </w:p>
        </w:tc>
      </w:tr>
      <w:tr>
        <w:trPr>
          <w:trHeight w:val="262"/>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Loss before income tax provision (benefit)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(52,629)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(176,693)</w:t>
            </w:r>
          </w:p>
        </w:tc>
      </w:tr>
      <w:tr>
        <w:trPr>
          <w:trHeight w:val="568"/>
        </w:trPr>
        <w:tc>
          <w:tcPr>
            <w:tcW w:w="14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65"/>
        </w:trPr>
        <w:tc>
          <w:tcPr>
            <w:tcW w:w="1440" w:type="dxa"/>
            <w:vAlign w:val="bottom"/>
          </w:tcPr>
          <w:p>
            <w:pPr>
              <w:spacing w:after="0"/>
              <w:rPr>
                <w:sz w:val="23"/>
                <w:szCs w:val="23"/>
                <w:color w:val="auto"/>
              </w:rPr>
            </w:pPr>
          </w:p>
        </w:tc>
        <w:tc>
          <w:tcPr>
            <w:tcW w:w="63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Federal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State and Local</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Foreign</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w:t>
            </w:r>
          </w:p>
        </w:tc>
      </w:tr>
      <w:tr>
        <w:trPr>
          <w:trHeight w:val="26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Total 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r>
      <w:tr>
        <w:trPr>
          <w:trHeight w:val="547"/>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Federal</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w:t>
            </w:r>
          </w:p>
        </w:tc>
      </w:tr>
      <w:tr>
        <w:trPr>
          <w:trHeight w:val="28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State and Local</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(2,032)</w:t>
            </w:r>
          </w:p>
        </w:tc>
      </w:tr>
      <w:tr>
        <w:trPr>
          <w:trHeight w:val="288"/>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Foreign</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Total Deferred</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(1,090)</w:t>
            </w:r>
          </w:p>
        </w:tc>
      </w:tr>
      <w:tr>
        <w:trPr>
          <w:trHeight w:val="245"/>
        </w:trPr>
        <w:tc>
          <w:tcPr>
            <w:tcW w:w="778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Total income tax provision (benefit)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(926)</w:t>
            </w:r>
          </w:p>
        </w:tc>
      </w:tr>
      <w:tr>
        <w:trPr>
          <w:trHeight w:val="20"/>
        </w:trPr>
        <w:tc>
          <w:tcPr>
            <w:tcW w:w="14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-3285490</wp:posOffset>
            </wp:positionV>
            <wp:extent cx="6654800" cy="5683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9">
                      <a:extLst>
                        <a:ext uri="{28A0092B-C50C-407E-A947-70E740481C1C}"/>
                      </a:extLst>
                    </a:blip>
                    <a:srcRect/>
                    <a:stretch>
                      <a:fillRect/>
                    </a:stretch>
                  </pic:blipFill>
                  <pic:spPr bwMode="auto">
                    <a:xfrm>
                      <a:off x="0" y="0"/>
                      <a:ext cx="6654800" cy="5683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-2202815</wp:posOffset>
            </wp:positionV>
            <wp:extent cx="6667500" cy="2222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0">
                      <a:extLst>
                        <a:ext uri="{28A0092B-C50C-407E-A947-70E740481C1C}"/>
                      </a:extLst>
                    </a:blip>
                    <a:srcRect/>
                    <a:stretch>
                      <a:fillRect/>
                    </a:stretch>
                  </pic:blipFill>
                  <pic:spPr bwMode="auto">
                    <a:xfrm>
                      <a:off x="0" y="0"/>
                      <a:ext cx="6667500" cy="2222500"/>
                    </a:xfrm>
                    <a:prstGeom prst="rect">
                      <a:avLst/>
                    </a:prstGeom>
                    <a:noFill/>
                  </pic:spPr>
                </pic:pic>
              </a:graphicData>
            </a:graphic>
          </wp:anchor>
        </w:drawing>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the years ended December 31, 2024 and 2023, the Company recorded a total income tax benefit of $0.3 million and $0.9 million, respectively. Accordingly, the effective tax rate for the Company for the years ended December 31, 2024 and 2023 was 0.6% and 0.5%, respectively. A reconciliation of the anticipated income tax expense/(benefit) computed by applying the statutory federal income tax rate of 21% to loss before income taxes to the amount reported in the statement of operations and comprehensive loss is as follows:</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720" w:type="dxa"/>
            <w:vAlign w:val="bottom"/>
          </w:tcPr>
          <w:p>
            <w:pPr>
              <w:spacing w:after="0"/>
              <w:rPr>
                <w:sz w:val="23"/>
                <w:szCs w:val="23"/>
                <w:color w:val="auto"/>
              </w:rPr>
            </w:pPr>
          </w:p>
        </w:tc>
        <w:tc>
          <w:tcPr>
            <w:tcW w:w="26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5"/>
        </w:trPr>
        <w:tc>
          <w:tcPr>
            <w:tcW w:w="772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U.S. federal taxes at statutory rate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21.0%</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21.0%</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State taxes (net of federal benefit)</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0.6</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1.1</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tax credits</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(0.8)</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Non-deductible stock-based compensation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(3.8)</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(2.4)</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162(m) limitation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(2.7)</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(0.1)</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Permanent items</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(0.5)</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(0.1)</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Unrealized fair market value gain on warrants</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(5.4)</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0.1</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Goodwill impairment</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(0.1)</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(10.7)</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(18.4)</w:t>
            </w:r>
          </w:p>
        </w:tc>
      </w:tr>
      <w:tr>
        <w:trPr>
          <w:trHeight w:val="288"/>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2.1</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0.2</w:t>
            </w:r>
          </w:p>
        </w:tc>
      </w:tr>
      <w:tr>
        <w:trPr>
          <w:trHeight w:val="24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Effective tax rate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0.6%</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0.5%</w:t>
            </w:r>
          </w:p>
        </w:tc>
      </w:tr>
      <w:tr>
        <w:trPr>
          <w:trHeight w:val="20"/>
        </w:trPr>
        <w:tc>
          <w:tcPr>
            <w:tcW w:w="77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-2021840</wp:posOffset>
            </wp:positionV>
            <wp:extent cx="6667500" cy="2041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1">
                      <a:extLst>
                        <a:ext uri="{28A0092B-C50C-407E-A947-70E740481C1C}"/>
                      </a:extLst>
                    </a:blip>
                    <a:srcRect/>
                    <a:stretch>
                      <a:fillRect/>
                    </a:stretch>
                  </pic:blipFill>
                  <pic:spPr bwMode="auto">
                    <a:xfrm>
                      <a:off x="0" y="0"/>
                      <a:ext cx="6667500" cy="2041525"/>
                    </a:xfrm>
                    <a:prstGeom prst="rect">
                      <a:avLst/>
                    </a:prstGeom>
                    <a:noFill/>
                  </pic:spPr>
                </pic:pic>
              </a:graphicData>
            </a:graphic>
          </wp:anchor>
        </w:drawing>
      </w:r>
    </w:p>
    <w:p>
      <w:pPr>
        <w:sectPr>
          <w:pgSz w:w="12240" w:h="15840" w:orient="portrait"/>
          <w:cols w:equalWidth="0" w:num="1">
            <w:col w:w="10440"/>
          </w:cols>
          <w:pgMar w:left="900" w:top="19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440"/>
          </w:cols>
          <w:pgMar w:left="900" w:top="195" w:right="90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 tax effects of temporary differences and carryforwards that give rise to significant portions of the net deferred tax assets and liabilities were as follows:</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77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65"/>
        </w:trPr>
        <w:tc>
          <w:tcPr>
            <w:tcW w:w="77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7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tax assets: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5"/>
        </w:trPr>
        <w:tc>
          <w:tcPr>
            <w:tcW w:w="77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257,047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257,960</w:t>
            </w:r>
          </w:p>
        </w:tc>
      </w:tr>
      <w:tr>
        <w:trPr>
          <w:trHeight w:val="285"/>
        </w:trPr>
        <w:tc>
          <w:tcPr>
            <w:tcW w:w="77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Stock-based compensation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7,690</w:t>
            </w:r>
          </w:p>
        </w:tc>
      </w:tr>
      <w:tr>
        <w:trPr>
          <w:trHeight w:val="285"/>
        </w:trPr>
        <w:tc>
          <w:tcPr>
            <w:tcW w:w="77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Accrued compensation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1,269</w:t>
            </w:r>
          </w:p>
        </w:tc>
      </w:tr>
      <w:tr>
        <w:trPr>
          <w:trHeight w:val="285"/>
        </w:trPr>
        <w:tc>
          <w:tcPr>
            <w:tcW w:w="77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Accrued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3,470</w:t>
            </w:r>
          </w:p>
        </w:tc>
      </w:tr>
      <w:tr>
        <w:trPr>
          <w:trHeight w:val="285"/>
        </w:trPr>
        <w:tc>
          <w:tcPr>
            <w:tcW w:w="77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6,374</w:t>
            </w:r>
          </w:p>
        </w:tc>
      </w:tr>
      <w:tr>
        <w:trPr>
          <w:trHeight w:val="285"/>
        </w:trPr>
        <w:tc>
          <w:tcPr>
            <w:tcW w:w="77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Leases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14,801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14,054</w:t>
            </w:r>
          </w:p>
        </w:tc>
      </w:tr>
      <w:tr>
        <w:trPr>
          <w:trHeight w:val="285"/>
        </w:trPr>
        <w:tc>
          <w:tcPr>
            <w:tcW w:w="77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Obsolete inventory reserve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85"/>
        </w:trPr>
        <w:tc>
          <w:tcPr>
            <w:tcW w:w="77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Third party liability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7,514</w:t>
            </w:r>
          </w:p>
        </w:tc>
      </w:tr>
      <w:tr>
        <w:trPr>
          <w:trHeight w:val="285"/>
        </w:trPr>
        <w:tc>
          <w:tcPr>
            <w:tcW w:w="77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Section 174 amortization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29,484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25,993</w:t>
            </w:r>
          </w:p>
        </w:tc>
      </w:tr>
      <w:tr>
        <w:trPr>
          <w:trHeight w:val="285"/>
        </w:trPr>
        <w:tc>
          <w:tcPr>
            <w:tcW w:w="77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Capitalized software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w:t>
            </w:r>
          </w:p>
        </w:tc>
      </w:tr>
      <w:tr>
        <w:trPr>
          <w:trHeight w:val="288"/>
        </w:trPr>
        <w:tc>
          <w:tcPr>
            <w:tcW w:w="77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814</w:t>
            </w:r>
          </w:p>
        </w:tc>
      </w:tr>
      <w:tr>
        <w:trPr>
          <w:trHeight w:val="262"/>
        </w:trPr>
        <w:tc>
          <w:tcPr>
            <w:tcW w:w="77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317,599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326,485</w:t>
            </w:r>
          </w:p>
        </w:tc>
      </w:tr>
      <w:tr>
        <w:trPr>
          <w:trHeight w:val="288"/>
        </w:trPr>
        <w:tc>
          <w:tcPr>
            <w:tcW w:w="77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Valuation allowance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(272,275)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(271,567)</w:t>
            </w:r>
          </w:p>
        </w:tc>
      </w:tr>
      <w:tr>
        <w:trPr>
          <w:trHeight w:val="265"/>
        </w:trPr>
        <w:tc>
          <w:tcPr>
            <w:tcW w:w="7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tax assets, net of valuation allowance</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45,324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54,918</w:t>
            </w:r>
          </w:p>
        </w:tc>
      </w:tr>
      <w:tr>
        <w:trPr>
          <w:trHeight w:val="547"/>
        </w:trPr>
        <w:tc>
          <w:tcPr>
            <w:tcW w:w="7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tax liabilities: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5"/>
        </w:trPr>
        <w:tc>
          <w:tcPr>
            <w:tcW w:w="77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Property and equipment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(1,279)</w:t>
            </w:r>
          </w:p>
        </w:tc>
      </w:tr>
      <w:tr>
        <w:trPr>
          <w:trHeight w:val="285"/>
        </w:trPr>
        <w:tc>
          <w:tcPr>
            <w:tcW w:w="77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ROU asset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(7,353)</w:t>
            </w:r>
          </w:p>
        </w:tc>
      </w:tr>
      <w:tr>
        <w:trPr>
          <w:trHeight w:val="288"/>
        </w:trPr>
        <w:tc>
          <w:tcPr>
            <w:tcW w:w="77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Intangible amortization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(47,846)</w:t>
            </w:r>
          </w:p>
        </w:tc>
      </w:tr>
      <w:tr>
        <w:trPr>
          <w:trHeight w:val="265"/>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(46,289)</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(56,478)</w:t>
            </w:r>
          </w:p>
        </w:tc>
      </w:tr>
      <w:tr>
        <w:trPr>
          <w:trHeight w:val="245"/>
        </w:trPr>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liability after valuation allowance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(1,560)</w:t>
            </w:r>
          </w:p>
        </w:tc>
      </w:tr>
      <w:tr>
        <w:trPr>
          <w:trHeight w:val="20"/>
        </w:trPr>
        <w:tc>
          <w:tcPr>
            <w:tcW w:w="7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-4012565</wp:posOffset>
            </wp:positionV>
            <wp:extent cx="6667500" cy="40322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2">
                      <a:extLst>
                        <a:ext uri="{28A0092B-C50C-407E-A947-70E740481C1C}"/>
                      </a:extLst>
                    </a:blip>
                    <a:srcRect/>
                    <a:stretch>
                      <a:fillRect/>
                    </a:stretch>
                  </pic:blipFill>
                  <pic:spPr bwMode="auto">
                    <a:xfrm>
                      <a:off x="0" y="0"/>
                      <a:ext cx="6667500" cy="4032250"/>
                    </a:xfrm>
                    <a:prstGeom prst="rect">
                      <a:avLst/>
                    </a:prstGeom>
                    <a:noFill/>
                  </pic:spPr>
                </pic:pic>
              </a:graphicData>
            </a:graphic>
          </wp:anchor>
        </w:drawing>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As of December 31, 2024, the Company had the following tax net operating loss carryforwards available to reduce future federal and state taxable income, and tax credit carryforwards available to offset future federal and Connecticut income taxes: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Expiration</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period</w:t>
            </w:r>
          </w:p>
        </w:tc>
        <w:tc>
          <w:tcPr>
            <w:tcW w:w="0" w:type="dxa"/>
            <w:vAlign w:val="bottom"/>
          </w:tcPr>
          <w:p>
            <w:pPr>
              <w:spacing w:after="0"/>
              <w:rPr>
                <w:sz w:val="1"/>
                <w:szCs w:val="1"/>
                <w:color w:val="auto"/>
              </w:rPr>
            </w:pPr>
          </w:p>
        </w:tc>
      </w:tr>
      <w:tr>
        <w:trPr>
          <w:trHeight w:val="262"/>
        </w:trPr>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Tax net operating loss carryforwards:</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Federal (pre-2018 net operating losses)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33,056</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2036-2037</w:t>
            </w:r>
          </w:p>
        </w:tc>
        <w:tc>
          <w:tcPr>
            <w:tcW w:w="0" w:type="dxa"/>
            <w:vAlign w:val="bottom"/>
          </w:tcPr>
          <w:p>
            <w:pPr>
              <w:spacing w:after="0"/>
              <w:rPr>
                <w:sz w:val="1"/>
                <w:szCs w:val="1"/>
                <w:color w:val="auto"/>
              </w:rPr>
            </w:pPr>
          </w:p>
        </w:tc>
      </w:tr>
      <w:tr>
        <w:trPr>
          <w:trHeight w:val="285"/>
        </w:trPr>
        <w:tc>
          <w:tcPr>
            <w:tcW w:w="7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Federal (post-2017 net operating losses)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871,367</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 expiration</w:t>
            </w:r>
          </w:p>
        </w:tc>
        <w:tc>
          <w:tcPr>
            <w:tcW w:w="0" w:type="dxa"/>
            <w:vAlign w:val="bottom"/>
          </w:tcPr>
          <w:p>
            <w:pPr>
              <w:spacing w:after="0"/>
              <w:rPr>
                <w:sz w:val="1"/>
                <w:szCs w:val="1"/>
                <w:color w:val="auto"/>
              </w:rPr>
            </w:pPr>
          </w:p>
        </w:tc>
      </w:tr>
      <w:tr>
        <w:trPr>
          <w:trHeight w:val="285"/>
        </w:trPr>
        <w:tc>
          <w:tcPr>
            <w:tcW w:w="7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State and Local</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1,179,626</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2027-2044</w:t>
            </w:r>
          </w:p>
        </w:tc>
        <w:tc>
          <w:tcPr>
            <w:tcW w:w="0" w:type="dxa"/>
            <w:vAlign w:val="bottom"/>
          </w:tcPr>
          <w:p>
            <w:pPr>
              <w:spacing w:after="0"/>
              <w:rPr>
                <w:sz w:val="1"/>
                <w:szCs w:val="1"/>
                <w:color w:val="auto"/>
              </w:rPr>
            </w:pPr>
          </w:p>
        </w:tc>
      </w:tr>
      <w:tr>
        <w:trPr>
          <w:trHeight w:val="285"/>
        </w:trPr>
        <w:tc>
          <w:tcPr>
            <w:tcW w:w="7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State and Local</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100,363</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 expiration</w:t>
            </w:r>
          </w:p>
        </w:tc>
        <w:tc>
          <w:tcPr>
            <w:tcW w:w="0" w:type="dxa"/>
            <w:vAlign w:val="bottom"/>
          </w:tcPr>
          <w:p>
            <w:pPr>
              <w:spacing w:after="0"/>
              <w:rPr>
                <w:sz w:val="1"/>
                <w:szCs w:val="1"/>
                <w:color w:val="auto"/>
              </w:rPr>
            </w:pPr>
          </w:p>
        </w:tc>
      </w:tr>
      <w:tr>
        <w:trPr>
          <w:trHeight w:val="285"/>
        </w:trPr>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Tax credit carryforwards: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Federal research and development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5,460</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2038-2041</w:t>
            </w:r>
          </w:p>
        </w:tc>
        <w:tc>
          <w:tcPr>
            <w:tcW w:w="0" w:type="dxa"/>
            <w:vAlign w:val="bottom"/>
          </w:tcPr>
          <w:p>
            <w:pPr>
              <w:spacing w:after="0"/>
              <w:rPr>
                <w:sz w:val="1"/>
                <w:szCs w:val="1"/>
                <w:color w:val="auto"/>
              </w:rPr>
            </w:pPr>
          </w:p>
        </w:tc>
      </w:tr>
      <w:tr>
        <w:trPr>
          <w:trHeight w:val="285"/>
        </w:trPr>
        <w:tc>
          <w:tcPr>
            <w:tcW w:w="7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Connecticut research and development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2036</w:t>
            </w:r>
          </w:p>
        </w:tc>
        <w:tc>
          <w:tcPr>
            <w:tcW w:w="0" w:type="dxa"/>
            <w:vAlign w:val="bottom"/>
          </w:tcPr>
          <w:p>
            <w:pPr>
              <w:spacing w:after="0"/>
              <w:rPr>
                <w:sz w:val="1"/>
                <w:szCs w:val="1"/>
                <w:color w:val="auto"/>
              </w:rPr>
            </w:pPr>
          </w:p>
        </w:tc>
      </w:tr>
      <w:tr>
        <w:trPr>
          <w:trHeight w:val="285"/>
        </w:trPr>
        <w:tc>
          <w:tcPr>
            <w:tcW w:w="7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Connecticut research and development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 expiration</w:t>
            </w:r>
          </w:p>
        </w:tc>
        <w:tc>
          <w:tcPr>
            <w:tcW w:w="0" w:type="dxa"/>
            <w:vAlign w:val="bottom"/>
          </w:tcPr>
          <w:p>
            <w:pPr>
              <w:spacing w:after="0"/>
              <w:rPr>
                <w:sz w:val="1"/>
                <w:szCs w:val="1"/>
                <w:color w:val="auto"/>
              </w:rPr>
            </w:pPr>
          </w:p>
        </w:tc>
      </w:tr>
      <w:tr>
        <w:trPr>
          <w:trHeight w:val="492"/>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The Company had the following deferred tax valuation allowance balances: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-1945005</wp:posOffset>
            </wp:positionV>
            <wp:extent cx="6654800" cy="1654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3">
                      <a:extLst>
                        <a:ext uri="{28A0092B-C50C-407E-A947-70E740481C1C}"/>
                      </a:extLst>
                    </a:blip>
                    <a:srcRect/>
                    <a:stretch>
                      <a:fillRect/>
                    </a:stretch>
                  </pic:blipFill>
                  <pic:spPr bwMode="auto">
                    <a:xfrm>
                      <a:off x="0" y="0"/>
                      <a:ext cx="6654800" cy="1654175"/>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Year</w:t>
            </w:r>
          </w:p>
        </w:tc>
        <w:tc>
          <w:tcPr>
            <w:tcW w:w="2300" w:type="dxa"/>
            <w:vAlign w:val="bottom"/>
          </w:tcPr>
          <w:p>
            <w:pPr>
              <w:spacing w:after="0"/>
              <w:rPr>
                <w:sz w:val="19"/>
                <w:szCs w:val="19"/>
                <w:color w:val="auto"/>
              </w:rPr>
            </w:pPr>
          </w:p>
        </w:tc>
        <w:tc>
          <w:tcPr>
            <w:tcW w:w="1900" w:type="dxa"/>
            <w:vAlign w:val="bottom"/>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Balance at the</w:t>
            </w:r>
          </w:p>
        </w:tc>
        <w:tc>
          <w:tcPr>
            <w:tcW w:w="1740" w:type="dxa"/>
            <w:vAlign w:val="bottom"/>
            <w:vMerge w:val="restart"/>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Additions</w:t>
            </w: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Balance at the End</w:t>
            </w:r>
          </w:p>
        </w:tc>
        <w:tc>
          <w:tcPr>
            <w:tcW w:w="0" w:type="dxa"/>
            <w:vAlign w:val="bottom"/>
          </w:tcPr>
          <w:p>
            <w:pPr>
              <w:spacing w:after="0"/>
              <w:rPr>
                <w:sz w:val="1"/>
                <w:szCs w:val="1"/>
                <w:color w:val="auto"/>
              </w:rPr>
            </w:pPr>
          </w:p>
        </w:tc>
      </w:tr>
      <w:tr>
        <w:trPr>
          <w:trHeight w:val="263"/>
        </w:trPr>
        <w:tc>
          <w:tcPr>
            <w:tcW w:w="2560" w:type="dxa"/>
            <w:vAlign w:val="bottom"/>
            <w:tcBorders>
              <w:bottom w:val="single" w:sz="8" w:color="auto"/>
            </w:tcBorders>
            <w:vMerge w:val="continue"/>
          </w:tcPr>
          <w:p>
            <w:pPr>
              <w:spacing w:after="0"/>
              <w:rPr>
                <w:sz w:val="22"/>
                <w:szCs w:val="22"/>
                <w:color w:val="auto"/>
              </w:rPr>
            </w:pPr>
          </w:p>
        </w:tc>
        <w:tc>
          <w:tcPr>
            <w:tcW w:w="42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Beginning of Period</w:t>
            </w:r>
          </w:p>
        </w:tc>
        <w:tc>
          <w:tcPr>
            <w:tcW w:w="1740" w:type="dxa"/>
            <w:vAlign w:val="bottom"/>
            <w:tcBorders>
              <w:bottom w:val="single" w:sz="8" w:color="auto"/>
            </w:tcBorders>
            <w:vMerge w:val="continue"/>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of Period</w:t>
            </w:r>
          </w:p>
        </w:tc>
        <w:tc>
          <w:tcPr>
            <w:tcW w:w="0" w:type="dxa"/>
            <w:vAlign w:val="bottom"/>
          </w:tcPr>
          <w:p>
            <w:pPr>
              <w:spacing w:after="0"/>
              <w:rPr>
                <w:sz w:val="1"/>
                <w:szCs w:val="1"/>
                <w:color w:val="auto"/>
              </w:rPr>
            </w:pPr>
          </w:p>
        </w:tc>
      </w:tr>
      <w:tr>
        <w:trPr>
          <w:trHeight w:val="262"/>
        </w:trPr>
        <w:tc>
          <w:tcPr>
            <w:tcW w:w="2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2024</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271,567</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w:t>
            </w:r>
          </w:p>
        </w:tc>
        <w:tc>
          <w:tcPr>
            <w:tcW w:w="4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272,275</w:t>
            </w:r>
          </w:p>
        </w:tc>
        <w:tc>
          <w:tcPr>
            <w:tcW w:w="0" w:type="dxa"/>
            <w:vAlign w:val="bottom"/>
          </w:tcPr>
          <w:p>
            <w:pPr>
              <w:spacing w:after="0"/>
              <w:rPr>
                <w:sz w:val="1"/>
                <w:szCs w:val="1"/>
                <w:color w:val="auto"/>
              </w:rPr>
            </w:pPr>
          </w:p>
        </w:tc>
      </w:tr>
      <w:tr>
        <w:trPr>
          <w:trHeight w:val="285"/>
        </w:trPr>
        <w:tc>
          <w:tcPr>
            <w:tcW w:w="2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2023</w:t>
            </w: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226,644</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44,923</w:t>
            </w:r>
          </w:p>
        </w:tc>
        <w:tc>
          <w:tcPr>
            <w:tcW w:w="40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271,567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-365760</wp:posOffset>
            </wp:positionV>
            <wp:extent cx="6654800" cy="387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4">
                      <a:extLst>
                        <a:ext uri="{28A0092B-C50C-407E-A947-70E740481C1C}"/>
                      </a:extLst>
                    </a:blip>
                    <a:srcRect/>
                    <a:stretch>
                      <a:fillRect/>
                    </a:stretch>
                  </pic:blipFill>
                  <pic:spPr bwMode="auto">
                    <a:xfrm>
                      <a:off x="0" y="0"/>
                      <a:ext cx="6654800" cy="387350"/>
                    </a:xfrm>
                    <a:prstGeom prst="rect">
                      <a:avLst/>
                    </a:prstGeom>
                    <a:noFill/>
                  </pic:spPr>
                </pic:pic>
              </a:graphicData>
            </a:graphic>
          </wp:anchor>
        </w:drawing>
      </w:r>
    </w:p>
    <w:p>
      <w:pPr>
        <w:spacing w:after="0" w:line="21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Future realization of the tax benefits of existing temporary differences and carryforwards ultimately depends on the existence of sufficient taxable income within the carryforward period. As of December 31, 2024 and 2023 the Company performed an</w:t>
      </w:r>
    </w:p>
    <w:p>
      <w:pPr>
        <w:sectPr>
          <w:pgSz w:w="12240" w:h="15840" w:orient="portrait"/>
          <w:cols w:equalWidth="0" w:num="1">
            <w:col w:w="10440"/>
          </w:cols>
          <w:pgMar w:left="900" w:top="208" w:right="900" w:bottom="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440"/>
          </w:cols>
          <w:pgMar w:left="900" w:top="208" w:right="90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evaluation to determine whether a valuation allowance was needed. Based on the Company’s analysis, which considered all available evidence, both positive and negative, the Company determined that it is more likely than not that a significant portion of its deferred tax assets will not be realized. Accordingly, the Company maintained a full valuation allowance as of December 31, 2024 and 2023. The valuation allowance increased by $0.7 million in 2024 and $44.9 million in 2023, primarily due to the increase in net operating loss carryforwards.</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 ownership by more than 50 percentage points over their lowest ownership percentage in a testing period (typically three years).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spacing w:after="0" w:line="15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A reconciliation of the beginning and ending amounts of unrecognized tax benefits for the years ended December 31, 2024 and 2023 is as follows: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720" w:type="dxa"/>
            <w:vAlign w:val="bottom"/>
          </w:tcPr>
          <w:p>
            <w:pPr>
              <w:spacing w:after="0"/>
              <w:rPr>
                <w:sz w:val="23"/>
                <w:szCs w:val="23"/>
                <w:color w:val="auto"/>
              </w:rPr>
            </w:pPr>
          </w:p>
        </w:tc>
        <w:tc>
          <w:tcPr>
            <w:tcW w:w="2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420" w:type="dxa"/>
            <w:vAlign w:val="bottom"/>
            <w:tcBorders>
              <w:bottom w:val="single" w:sz="8" w:color="auto"/>
            </w:tcBorders>
          </w:tcPr>
          <w:p>
            <w:pPr>
              <w:spacing w:after="0"/>
              <w:rPr>
                <w:sz w:val="23"/>
                <w:szCs w:val="23"/>
                <w:color w:val="auto"/>
              </w:rPr>
            </w:pPr>
          </w:p>
        </w:tc>
      </w:tr>
      <w:tr>
        <w:trPr>
          <w:trHeight w:val="265"/>
        </w:trPr>
        <w:tc>
          <w:tcPr>
            <w:tcW w:w="7720" w:type="dxa"/>
            <w:vAlign w:val="bottom"/>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4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420" w:type="dxa"/>
            <w:vAlign w:val="bottom"/>
            <w:tcBorders>
              <w:bottom w:val="single" w:sz="8" w:color="auto"/>
            </w:tcBorders>
          </w:tcPr>
          <w:p>
            <w:pPr>
              <w:spacing w:after="0"/>
              <w:rPr>
                <w:sz w:val="23"/>
                <w:szCs w:val="23"/>
                <w:color w:val="auto"/>
              </w:rPr>
            </w:pPr>
          </w:p>
        </w:tc>
      </w:tr>
      <w:tr>
        <w:trPr>
          <w:trHeight w:val="262"/>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Unrecognized tax benefits – January 1</w:t>
            </w:r>
          </w:p>
        </w:tc>
        <w:tc>
          <w:tcPr>
            <w:tcW w:w="88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w:t>
            </w:r>
          </w:p>
        </w:tc>
        <w:tc>
          <w:tcPr>
            <w:tcW w:w="940" w:type="dxa"/>
            <w:vAlign w:val="bottom"/>
            <w:gridSpan w:val="2"/>
          </w:tcPr>
          <w:p>
            <w:pPr>
              <w:jc w:val="right"/>
              <w:ind w:right="64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w:t>
            </w:r>
          </w:p>
        </w:tc>
      </w:tr>
      <w:tr>
        <w:trPr>
          <w:trHeight w:val="288"/>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Gross increases – tax positions in current period</w:t>
            </w: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2"/>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Unrecognized tax benefits – December 31</w:t>
            </w:r>
          </w:p>
        </w:tc>
        <w:tc>
          <w:tcPr>
            <w:tcW w:w="88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w:t>
            </w:r>
          </w:p>
        </w:tc>
        <w:tc>
          <w:tcPr>
            <w:tcW w:w="940" w:type="dxa"/>
            <w:vAlign w:val="bottom"/>
            <w:gridSpan w:val="2"/>
          </w:tcPr>
          <w:p>
            <w:pPr>
              <w:jc w:val="right"/>
              <w:ind w:right="640"/>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-546735</wp:posOffset>
            </wp:positionV>
            <wp:extent cx="6654800" cy="5683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5">
                      <a:extLst>
                        <a:ext uri="{28A0092B-C50C-407E-A947-70E740481C1C}"/>
                      </a:extLst>
                    </a:blip>
                    <a:srcRect/>
                    <a:stretch>
                      <a:fillRect/>
                    </a:stretch>
                  </pic:blipFill>
                  <pic:spPr bwMode="auto">
                    <a:xfrm>
                      <a:off x="0" y="0"/>
                      <a:ext cx="6654800" cy="568325"/>
                    </a:xfrm>
                    <a:prstGeom prst="rect">
                      <a:avLst/>
                    </a:prstGeom>
                    <a:noFill/>
                  </pic:spPr>
                </pic:pic>
              </a:graphicData>
            </a:graphic>
          </wp:anchor>
        </w:drawing>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To the extent penalties and interest would be assessed on any underpayment of income tax, the Company’s policy is that such amounts would be accrued and classified as a component of income tax expense in the financial statements. The Company had a nominal amount of accrued interest or penalties related to uncertain tax positions as of December 31, 2024 and 2023.</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files income tax returns for U.S federal jurisdiction, various state jurisdictions, and various foreign countries. In the normal course of business, the Company is subject to examination by federal, state and foreign jurisdictions, where applicable. There are currently no pending federal, state or foreign income tax examinations. As a result of the Company’s net operating loss carryforwards, the Company’s federal and state statutes of limitations remain open from 2016 and forward until the net operating loss carryforwards are utilized or expire prior to utilization.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Net Loss per Share</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Basic net loss per share is computed by dividing the net loss attributable to common stockholders by the weighted-average number of shares of common stock outstanding for the period. The following table sets forth the computation of basic and diluted net loss per share attributable to common stockholders:</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7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65"/>
        </w:trPr>
        <w:tc>
          <w:tcPr>
            <w:tcW w:w="77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7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Net loss attributable to common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(52,286)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(175,767)</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8"/>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Basic and diluted weighted-average common shares outstanding</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26,891,213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24,311,989</w:t>
            </w:r>
          </w:p>
        </w:tc>
      </w:tr>
      <w:tr>
        <w:trPr>
          <w:trHeight w:val="26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Basic and diluted loss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-923290</wp:posOffset>
            </wp:positionV>
            <wp:extent cx="6654800" cy="930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6">
                      <a:extLst>
                        <a:ext uri="{28A0092B-C50C-407E-A947-70E740481C1C}"/>
                      </a:extLst>
                    </a:blip>
                    <a:srcRect/>
                    <a:stretch>
                      <a:fillRect/>
                    </a:stretch>
                  </pic:blipFill>
                  <pic:spPr bwMode="auto">
                    <a:xfrm>
                      <a:off x="0" y="0"/>
                      <a:ext cx="6654800" cy="930275"/>
                    </a:xfrm>
                    <a:prstGeom prst="rect">
                      <a:avLst/>
                    </a:prstGeom>
                    <a:noFill/>
                  </pic:spPr>
                </pic:pic>
              </a:graphicData>
            </a:graphic>
          </wp:anchor>
        </w:drawing>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440"/>
          </w:cols>
          <w:pgMar w:left="900" w:top="208" w:right="90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following tables summarize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720" w:type="dxa"/>
            <w:vAlign w:val="bottom"/>
          </w:tcPr>
          <w:p>
            <w:pPr>
              <w:spacing w:after="0"/>
              <w:rPr>
                <w:sz w:val="23"/>
                <w:szCs w:val="23"/>
                <w:color w:val="auto"/>
              </w:rPr>
            </w:pPr>
          </w:p>
        </w:tc>
        <w:tc>
          <w:tcPr>
            <w:tcW w:w="26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5"/>
        </w:trPr>
        <w:tc>
          <w:tcPr>
            <w:tcW w:w="772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Outstanding options and RSUs to purchase Class A common stock</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2,210,841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2,005,853</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Outstanding warrants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666,515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1,466,515</w:t>
            </w:r>
          </w:p>
        </w:tc>
      </w:tr>
      <w:tr>
        <w:trPr>
          <w:trHeight w:val="288"/>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Outstanding 2021 ESPP shares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20,566</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2,897,922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3,472,368</w:t>
            </w:r>
          </w:p>
        </w:tc>
      </w:tr>
      <w:tr>
        <w:trPr>
          <w:trHeight w:val="20"/>
        </w:trPr>
        <w:tc>
          <w:tcPr>
            <w:tcW w:w="77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667500" cy="774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7">
                      <a:extLst>
                        <a:ext uri="{28A0092B-C50C-407E-A947-70E740481C1C}"/>
                      </a:extLst>
                    </a:blip>
                    <a:srcRect/>
                    <a:stretch>
                      <a:fillRect/>
                    </a:stretch>
                  </pic:blipFill>
                  <pic:spPr bwMode="auto">
                    <a:xfrm>
                      <a:off x="0" y="0"/>
                      <a:ext cx="6667500" cy="77470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Restructuring Costs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provides certain information concerning restructuring activity during the year ended December 31, 2024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Reserve Balance at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9"/>
              </w:rPr>
              <w:t>Charged to Costs and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vMerge w:val="restart"/>
          </w:tcPr>
          <w:p>
            <w:pPr>
              <w:jc w:val="right"/>
              <w:ind w:right="187"/>
              <w:spacing w:after="0"/>
              <w:rPr>
                <w:sz w:val="20"/>
                <w:szCs w:val="20"/>
                <w:color w:val="auto"/>
              </w:rPr>
            </w:pPr>
            <w:r>
              <w:rPr>
                <w:rFonts w:ascii="Times New Roman" w:cs="Times New Roman" w:eastAsia="Times New Roman" w:hAnsi="Times New Roman"/>
                <w:sz w:val="16"/>
                <w:szCs w:val="16"/>
                <w:b w:val="1"/>
                <w:bCs w:val="1"/>
                <w:color w:val="auto"/>
              </w:rPr>
              <w:t>Payments and Other</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Reserve Balance at</w:t>
            </w: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vMerge w:val="restart"/>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8"/>
              </w:rPr>
              <w:t>Expenses</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vMerge w:val="restart"/>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83"/>
        </w:trPr>
        <w:tc>
          <w:tcPr>
            <w:tcW w:w="2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2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2280" w:type="dxa"/>
            <w:vAlign w:val="bottom"/>
          </w:tcPr>
          <w:p>
            <w:pPr>
              <w:spacing w:after="0"/>
              <w:rPr>
                <w:sz w:val="20"/>
                <w:szCs w:val="20"/>
                <w:color w:val="auto"/>
              </w:rPr>
            </w:pPr>
            <w:r>
              <w:rPr>
                <w:rFonts w:ascii="Times New Roman" w:cs="Times New Roman" w:eastAsia="Times New Roman" w:hAnsi="Times New Roman"/>
                <w:sz w:val="20"/>
                <w:szCs w:val="20"/>
                <w:color w:val="auto"/>
              </w:rPr>
              <w:t>Severance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w:t>
            </w:r>
          </w:p>
        </w:tc>
        <w:tc>
          <w:tcPr>
            <w:tcW w:w="0" w:type="dxa"/>
            <w:vAlign w:val="bottom"/>
          </w:tcPr>
          <w:p>
            <w:pPr>
              <w:spacing w:after="0"/>
              <w:rPr>
                <w:sz w:val="1"/>
                <w:szCs w:val="1"/>
                <w:color w:val="auto"/>
              </w:rPr>
            </w:pPr>
          </w:p>
        </w:tc>
      </w:tr>
      <w:tr>
        <w:trPr>
          <w:trHeight w:val="494"/>
        </w:trPr>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Reserve Balance at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9"/>
              </w:rPr>
              <w:t>Charged to Costs and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vMerge w:val="restart"/>
          </w:tcPr>
          <w:p>
            <w:pPr>
              <w:jc w:val="right"/>
              <w:ind w:right="187"/>
              <w:spacing w:after="0"/>
              <w:rPr>
                <w:sz w:val="20"/>
                <w:szCs w:val="20"/>
                <w:color w:val="auto"/>
              </w:rPr>
            </w:pPr>
            <w:r>
              <w:rPr>
                <w:rFonts w:ascii="Times New Roman" w:cs="Times New Roman" w:eastAsia="Times New Roman" w:hAnsi="Times New Roman"/>
                <w:sz w:val="16"/>
                <w:szCs w:val="16"/>
                <w:b w:val="1"/>
                <w:bCs w:val="1"/>
                <w:color w:val="auto"/>
              </w:rPr>
              <w:t>Payments and Other</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Reserve Balance at</w:t>
            </w: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vMerge w:val="restart"/>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8"/>
              </w:rPr>
              <w:t>Expenses</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vMerge w:val="restart"/>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83"/>
        </w:trPr>
        <w:tc>
          <w:tcPr>
            <w:tcW w:w="2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2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2280" w:type="dxa"/>
            <w:vAlign w:val="bottom"/>
          </w:tcPr>
          <w:p>
            <w:pPr>
              <w:spacing w:after="0"/>
              <w:rPr>
                <w:sz w:val="20"/>
                <w:szCs w:val="20"/>
                <w:color w:val="auto"/>
              </w:rPr>
            </w:pPr>
            <w:r>
              <w:rPr>
                <w:rFonts w:ascii="Times New Roman" w:cs="Times New Roman" w:eastAsia="Times New Roman" w:hAnsi="Times New Roman"/>
                <w:sz w:val="20"/>
                <w:szCs w:val="20"/>
                <w:color w:val="auto"/>
              </w:rPr>
              <w:t>Severance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1,853</w:t>
            </w:r>
          </w:p>
        </w:tc>
        <w:tc>
          <w:tcPr>
            <w:tcW w:w="0" w:type="dxa"/>
            <w:vAlign w:val="bottom"/>
          </w:tcPr>
          <w:p>
            <w:pPr>
              <w:spacing w:after="0"/>
              <w:rPr>
                <w:sz w:val="1"/>
                <w:szCs w:val="1"/>
                <w:color w:val="auto"/>
              </w:rPr>
            </w:pPr>
          </w:p>
        </w:tc>
      </w:tr>
      <w:tr>
        <w:trPr>
          <w:trHeight w:val="318"/>
        </w:trPr>
        <w:tc>
          <w:tcPr>
            <w:tcW w:w="22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5"/>
        </w:trPr>
        <w:tc>
          <w:tcPr>
            <w:tcW w:w="22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1,853</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-1304290</wp:posOffset>
            </wp:positionV>
            <wp:extent cx="6654800" cy="2254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8">
                      <a:extLst>
                        <a:ext uri="{28A0092B-C50C-407E-A947-70E740481C1C}"/>
                      </a:extLst>
                    </a:blip>
                    <a:srcRect/>
                    <a:stretch>
                      <a:fillRect/>
                    </a:stretch>
                  </pic:blipFill>
                  <pic:spPr bwMode="auto">
                    <a:xfrm>
                      <a:off x="0" y="0"/>
                      <a:ext cx="6654800" cy="2254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-631190</wp:posOffset>
            </wp:positionV>
            <wp:extent cx="6667500" cy="650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9">
                      <a:extLst>
                        <a:ext uri="{28A0092B-C50C-407E-A947-70E740481C1C}"/>
                      </a:extLst>
                    </a:blip>
                    <a:srcRect/>
                    <a:stretch>
                      <a:fillRect/>
                    </a:stretch>
                  </pic:blipFill>
                  <pic:spPr bwMode="auto">
                    <a:xfrm>
                      <a:off x="0" y="0"/>
                      <a:ext cx="6667500" cy="650875"/>
                    </a:xfrm>
                    <a:prstGeom prst="rect">
                      <a:avLst/>
                    </a:prstGeom>
                    <a:noFill/>
                  </pic:spPr>
                </pic:pic>
              </a:graphicData>
            </a:graphic>
          </wp:anchor>
        </w:drawing>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Expenses related to restructuring activities are included within the consolidated statements of operations and comprehensive loss as follows:</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7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65"/>
        </w:trPr>
        <w:tc>
          <w:tcPr>
            <w:tcW w:w="77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3,176</w:t>
            </w:r>
          </w:p>
        </w:tc>
      </w:tr>
      <w:tr>
        <w:trPr>
          <w:trHeight w:val="28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Selling and marketing</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w:t>
            </w:r>
          </w:p>
        </w:tc>
      </w:tr>
      <w:tr>
        <w:trPr>
          <w:trHeight w:val="288"/>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1,846</w:t>
            </w:r>
          </w:p>
        </w:tc>
      </w:tr>
      <w:tr>
        <w:trPr>
          <w:trHeight w:val="24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Total restructuring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6,532</w:t>
            </w:r>
          </w:p>
        </w:tc>
      </w:tr>
      <w:tr>
        <w:trPr>
          <w:trHeight w:val="20"/>
        </w:trPr>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667500" cy="9556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0">
                      <a:extLst>
                        <a:ext uri="{28A0092B-C50C-407E-A947-70E740481C1C}"/>
                      </a:extLst>
                    </a:blip>
                    <a:srcRect/>
                    <a:stretch>
                      <a:fillRect/>
                    </a:stretch>
                  </pic:blipFill>
                  <pic:spPr bwMode="auto">
                    <a:xfrm>
                      <a:off x="0" y="0"/>
                      <a:ext cx="6667500" cy="955675"/>
                    </a:xfrm>
                    <a:prstGeom prst="rect">
                      <a:avLst/>
                    </a:prstGeom>
                    <a:noFill/>
                  </pic:spPr>
                </pic:pic>
              </a:graphicData>
            </a:graphic>
          </wp:anchor>
        </w:drawing>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October 30, 2023, the Company announced a continued strategic realignment of its organization to key priorities which includes the elimination of approximately 50 positions impacted on August 23, 2023, and approximately 35 positions impacted on October 30, 2023. Together these actions reduced the size of the Company’s workforce by 10% from the total number that existed at the time of the August reduction in force.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Supplemental Financial Information</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following table provides a reconciliation of cash, cash equivalents and restricted cash reported on the consolidated balance sheets to the total of the same amounts shown on the consolidated statements of cash flows: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7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65"/>
        </w:trPr>
        <w:tc>
          <w:tcPr>
            <w:tcW w:w="77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85,212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99,681</w:t>
            </w:r>
          </w:p>
        </w:tc>
      </w:tr>
      <w:tr>
        <w:trPr>
          <w:trHeight w:val="288"/>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 (included in other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987</w:t>
            </w:r>
          </w:p>
        </w:tc>
      </w:tr>
      <w:tr>
        <w:trPr>
          <w:trHeight w:val="24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86,202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100,668</w:t>
            </w:r>
          </w:p>
        </w:tc>
      </w:tr>
      <w:tr>
        <w:trPr>
          <w:trHeight w:val="20"/>
        </w:trPr>
        <w:tc>
          <w:tcPr>
            <w:tcW w:w="7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667500" cy="593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1">
                      <a:extLst>
                        <a:ext uri="{28A0092B-C50C-407E-A947-70E740481C1C}"/>
                      </a:extLst>
                    </a:blip>
                    <a:srcRect/>
                    <a:stretch>
                      <a:fillRect/>
                    </a:stretch>
                  </pic:blipFill>
                  <pic:spPr bwMode="auto">
                    <a:xfrm>
                      <a:off x="0" y="0"/>
                      <a:ext cx="6667500" cy="593725"/>
                    </a:xfrm>
                    <a:prstGeom prst="rect">
                      <a:avLst/>
                    </a:prstGeom>
                    <a:noFill/>
                  </pic:spPr>
                </pic:pic>
              </a:graphicData>
            </a:graphic>
          </wp:anchor>
        </w:drawing>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440"/>
          </w:cols>
          <w:pgMar w:left="900" w:top="208" w:right="90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Restricted cash included in other assets as of December 31, 2024 and 2023 primarily consists of money market deposit accounts that secure an irrevocable standby letter of credit that serves as collateral for security deposit operating leases.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Prepaid expenses and other current assets consisted of the following:</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6"/>
        </w:trPr>
        <w:tc>
          <w:tcPr>
            <w:tcW w:w="7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2"/>
        </w:trPr>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Prepaid expenses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7,425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8,640</w:t>
            </w:r>
          </w:p>
        </w:tc>
        <w:tc>
          <w:tcPr>
            <w:tcW w:w="0" w:type="dxa"/>
            <w:vAlign w:val="bottom"/>
          </w:tcPr>
          <w:p>
            <w:pPr>
              <w:spacing w:after="0"/>
              <w:rPr>
                <w:sz w:val="1"/>
                <w:szCs w:val="1"/>
                <w:color w:val="auto"/>
              </w:rPr>
            </w:pPr>
          </w:p>
        </w:tc>
      </w:tr>
      <w:tr>
        <w:trPr>
          <w:trHeight w:val="288"/>
        </w:trPr>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current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1,958</w:t>
            </w:r>
          </w:p>
        </w:tc>
        <w:tc>
          <w:tcPr>
            <w:tcW w:w="0" w:type="dxa"/>
            <w:vAlign w:val="bottom"/>
          </w:tcPr>
          <w:p>
            <w:pPr>
              <w:spacing w:after="0"/>
              <w:rPr>
                <w:sz w:val="1"/>
                <w:szCs w:val="1"/>
                <w:color w:val="auto"/>
              </w:rPr>
            </w:pPr>
          </w:p>
        </w:tc>
      </w:tr>
      <w:tr>
        <w:trPr>
          <w:trHeight w:val="245"/>
        </w:trPr>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10,598</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Accounts payable and accrued expenses consisted of the following: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7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-859155</wp:posOffset>
            </wp:positionV>
            <wp:extent cx="6667500" cy="5937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2">
                      <a:extLst>
                        <a:ext uri="{28A0092B-C50C-407E-A947-70E740481C1C}"/>
                      </a:extLst>
                    </a:blip>
                    <a:srcRect/>
                    <a:stretch>
                      <a:fillRect/>
                    </a:stretch>
                  </pic:blipFill>
                  <pic:spPr bwMode="auto">
                    <a:xfrm>
                      <a:off x="0" y="0"/>
                      <a:ext cx="6667500" cy="59372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7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2"/>
        </w:trPr>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Accounts payable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10,238</w:t>
            </w:r>
          </w:p>
        </w:tc>
        <w:tc>
          <w:tcPr>
            <w:tcW w:w="0" w:type="dxa"/>
            <w:vAlign w:val="bottom"/>
          </w:tcPr>
          <w:p>
            <w:pPr>
              <w:spacing w:after="0"/>
              <w:rPr>
                <w:sz w:val="1"/>
                <w:szCs w:val="1"/>
                <w:color w:val="auto"/>
              </w:rPr>
            </w:pPr>
          </w:p>
        </w:tc>
      </w:tr>
      <w:tr>
        <w:trPr>
          <w:trHeight w:val="285"/>
        </w:trPr>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Accrued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12,179</w:t>
            </w:r>
          </w:p>
        </w:tc>
        <w:tc>
          <w:tcPr>
            <w:tcW w:w="0" w:type="dxa"/>
            <w:vAlign w:val="bottom"/>
          </w:tcPr>
          <w:p>
            <w:pPr>
              <w:spacing w:after="0"/>
              <w:rPr>
                <w:sz w:val="1"/>
                <w:szCs w:val="1"/>
                <w:color w:val="auto"/>
              </w:rPr>
            </w:pPr>
          </w:p>
        </w:tc>
      </w:tr>
      <w:tr>
        <w:trPr>
          <w:trHeight w:val="288"/>
        </w:trPr>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Reserves for refunds to insurance carriers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10,586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15,039</w:t>
            </w:r>
          </w:p>
        </w:tc>
        <w:tc>
          <w:tcPr>
            <w:tcW w:w="0" w:type="dxa"/>
            <w:vAlign w:val="bottom"/>
          </w:tcPr>
          <w:p>
            <w:pPr>
              <w:spacing w:after="0"/>
              <w:rPr>
                <w:sz w:val="1"/>
                <w:szCs w:val="1"/>
                <w:color w:val="auto"/>
              </w:rPr>
            </w:pPr>
          </w:p>
        </w:tc>
      </w:tr>
      <w:tr>
        <w:trPr>
          <w:trHeight w:val="245"/>
        </w:trPr>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30,044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37,456</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current liabilities consisted of the following: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7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-1040130</wp:posOffset>
            </wp:positionV>
            <wp:extent cx="6667500" cy="774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3">
                      <a:extLst>
                        <a:ext uri="{28A0092B-C50C-407E-A947-70E740481C1C}"/>
                      </a:extLst>
                    </a:blip>
                    <a:srcRect/>
                    <a:stretch>
                      <a:fillRect/>
                    </a:stretch>
                  </pic:blipFill>
                  <pic:spPr bwMode="auto">
                    <a:xfrm>
                      <a:off x="0" y="0"/>
                      <a:ext cx="6667500" cy="77470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7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0" w:type="dxa"/>
            <w:vAlign w:val="bottom"/>
          </w:tcPr>
          <w:p>
            <w:pPr>
              <w:spacing w:after="0"/>
              <w:rPr>
                <w:sz w:val="1"/>
                <w:szCs w:val="1"/>
                <w:color w:val="auto"/>
              </w:rPr>
            </w:pPr>
          </w:p>
        </w:tc>
      </w:tr>
      <w:tr>
        <w:trPr>
          <w:trHeight w:val="265"/>
        </w:trPr>
        <w:tc>
          <w:tcPr>
            <w:tcW w:w="77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2"/>
        </w:trPr>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Accrued compensation</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16,241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12,465</w:t>
            </w:r>
          </w:p>
        </w:tc>
        <w:tc>
          <w:tcPr>
            <w:tcW w:w="0" w:type="dxa"/>
            <w:vAlign w:val="bottom"/>
          </w:tcPr>
          <w:p>
            <w:pPr>
              <w:spacing w:after="0"/>
              <w:rPr>
                <w:sz w:val="1"/>
                <w:szCs w:val="1"/>
                <w:color w:val="auto"/>
              </w:rPr>
            </w:pPr>
          </w:p>
        </w:tc>
      </w:tr>
      <w:tr>
        <w:trPr>
          <w:trHeight w:val="285"/>
        </w:trPr>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Accrued severance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1,853</w:t>
            </w:r>
          </w:p>
        </w:tc>
        <w:tc>
          <w:tcPr>
            <w:tcW w:w="0" w:type="dxa"/>
            <w:vAlign w:val="bottom"/>
          </w:tcPr>
          <w:p>
            <w:pPr>
              <w:spacing w:after="0"/>
              <w:rPr>
                <w:sz w:val="1"/>
                <w:szCs w:val="1"/>
                <w:color w:val="auto"/>
              </w:rPr>
            </w:pPr>
          </w:p>
        </w:tc>
      </w:tr>
      <w:tr>
        <w:trPr>
          <w:trHeight w:val="288"/>
        </w:trPr>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2,843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2,018</w:t>
            </w:r>
          </w:p>
        </w:tc>
        <w:tc>
          <w:tcPr>
            <w:tcW w:w="0" w:type="dxa"/>
            <w:vAlign w:val="bottom"/>
          </w:tcPr>
          <w:p>
            <w:pPr>
              <w:spacing w:after="0"/>
              <w:rPr>
                <w:sz w:val="1"/>
                <w:szCs w:val="1"/>
                <w:color w:val="auto"/>
              </w:rPr>
            </w:pPr>
          </w:p>
        </w:tc>
      </w:tr>
      <w:tr>
        <w:trPr>
          <w:trHeight w:val="245"/>
        </w:trPr>
        <w:tc>
          <w:tcPr>
            <w:tcW w:w="7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19,830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16,336</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liabilities consisted of the following: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7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-1040130</wp:posOffset>
            </wp:positionV>
            <wp:extent cx="6667500" cy="774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4">
                      <a:extLst>
                        <a:ext uri="{28A0092B-C50C-407E-A947-70E740481C1C}"/>
                      </a:extLst>
                    </a:blip>
                    <a:srcRect/>
                    <a:stretch>
                      <a:fillRect/>
                    </a:stretch>
                  </pic:blipFill>
                  <pic:spPr bwMode="auto">
                    <a:xfrm>
                      <a:off x="0" y="0"/>
                      <a:ext cx="6667500" cy="774700"/>
                    </a:xfrm>
                    <a:prstGeom prst="rect">
                      <a:avLst/>
                    </a:prstGeom>
                    <a:noFill/>
                  </pic:spPr>
                </pic:pic>
              </a:graphicData>
            </a:graphic>
          </wp:anchor>
        </w:drawing>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7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65"/>
        </w:trPr>
        <w:tc>
          <w:tcPr>
            <w:tcW w:w="77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Warrant liability</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2,735</w:t>
            </w:r>
          </w:p>
        </w:tc>
      </w:tr>
      <w:tr>
        <w:trPr>
          <w:trHeight w:val="288"/>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Third party payor reserve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12,000</w:t>
            </w:r>
          </w:p>
        </w:tc>
      </w:tr>
      <w:tr>
        <w:trPr>
          <w:trHeight w:val="245"/>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14,735</w:t>
            </w:r>
          </w:p>
        </w:tc>
      </w:tr>
      <w:tr>
        <w:trPr>
          <w:trHeight w:val="20"/>
        </w:trPr>
        <w:tc>
          <w:tcPr>
            <w:tcW w:w="7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667500" cy="5937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5">
                      <a:extLst>
                        <a:ext uri="{28A0092B-C50C-407E-A947-70E740481C1C}"/>
                      </a:extLst>
                    </a:blip>
                    <a:srcRect/>
                    <a:stretch>
                      <a:fillRect/>
                    </a:stretch>
                  </pic:blipFill>
                  <pic:spPr bwMode="auto">
                    <a:xfrm>
                      <a:off x="0" y="0"/>
                      <a:ext cx="6667500" cy="59372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2023 Capital Raise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January 31, 2023, the Company raised approximately $150.0 million in gross proceeds and announced the closing of an underwritten public offering of 9,962,316 shares of its Class A common stock and a concurrent registered direct offering of 2,353,436 shares of its Class A common stock. The net offering proceeds received after deducting underwriters’ discounts and commissions payable by the Company were approximately $135.4 million. On April 17, 2023, following the Company’s receipt of stockholder approval for the issuance, the Company issued the remaining 676,868 shares of its Class A common stock to Corvex Select Equity Master Fund LP, Corvex Master Fund LP and Corvex Dynamic Equity Select Master Fund LP in its previously announced registered direct offering for gross proceeds of approximately $7.6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2024 Sales Agreement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entered into a sales agreement (the “Sales Agreement”) with TD Securities (USA) LLC (“TD Cowen”) in April 2024, pursuant to which the Company may, but is not obligated to, offer and sell, from time to time, shares of its Class A common stock with an aggregate offering price up to $75.0 million through TD Cowen, as sales agent, subject to the terms and conditions described in the Sales Agreement and SEC rules and regulations (the “ATM offering”). During the year ended December 31, 2024, the Company issued 825,379 shares of its Class A common stock in connection with the ATM offering at an average price</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440"/>
          </w:cols>
          <w:pgMar w:left="900" w:top="208" w:right="90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of $58.41 per share. Proceeds received, net of agent fees and other offering expenses, were $46.5 million. As of December 31, 2024, approximately $26.8 million of capacity remained available under this ATM offering.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Segment Reporting</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Company’s structure is aligned with how the chief operating decision maker (“CODM”) reviews the business, makes investing and resource allocation decisions and assesses operating performance. The Company’s CODM is its Chief Executive Officer. At December 31, 2024, the Company has identified one reportable segment: GeneDx inclusive of Legacy GeneDx and Legacy Sema4 data revenues and associated costs. The GeneDx segment primarily provides pediatric and rare disease diagnostics with a focus on whole exome and genome sequencing and, to a lesser extent, data and information services. Other represents the revenues and costs associated with the Legacy Sema4 diagnostics business which was completely shut down in 2023.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CODM evaluates segment performance based on revenue and adjusted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147320</wp:posOffset>
            </wp:positionV>
            <wp:extent cx="6667500" cy="22225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6">
                      <a:extLst>
                        <a:ext uri="{28A0092B-C50C-407E-A947-70E740481C1C}"/>
                      </a:extLst>
                    </a:blip>
                    <a:srcRect/>
                    <a:stretch>
                      <a:fillRect/>
                    </a:stretch>
                  </pic:blipFill>
                  <pic:spPr bwMode="auto">
                    <a:xfrm>
                      <a:off x="0" y="0"/>
                      <a:ext cx="6667500" cy="2222500"/>
                    </a:xfrm>
                    <a:prstGeom prst="rect">
                      <a:avLst/>
                    </a:prstGeom>
                    <a:noFill/>
                  </pic:spPr>
                </pic:pic>
              </a:graphicData>
            </a:graphic>
          </wp:anchor>
        </w:drawing>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32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r>
      <w:tr>
        <w:trPr>
          <w:trHeight w:val="265"/>
        </w:trPr>
        <w:tc>
          <w:tcPr>
            <w:tcW w:w="32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r>
      <w:tr>
        <w:trPr>
          <w:trHeight w:val="265"/>
        </w:trPr>
        <w:tc>
          <w:tcPr>
            <w:tcW w:w="32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GeneDx</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Other</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GeneDx</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Other</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62"/>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302,293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3,157</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305,450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194,376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202,566</w:t>
            </w:r>
          </w:p>
        </w:tc>
      </w:tr>
      <w:tr>
        <w:trPr>
          <w:trHeight w:val="288"/>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Adjusted cost of services</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106,376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106,521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106,983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109,288</w:t>
            </w:r>
          </w:p>
        </w:tc>
      </w:tr>
      <w:tr>
        <w:trPr>
          <w:trHeight w:val="325"/>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Adjusted gross profit </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195,917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198,929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87,393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93,278</w:t>
            </w:r>
          </w:p>
        </w:tc>
      </w:tr>
      <w:tr>
        <w:trPr>
          <w:trHeight w:val="507"/>
        </w:trPr>
        <w:tc>
          <w:tcPr>
            <w:tcW w:w="32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Reconciliations: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5"/>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4,350</w:t>
            </w:r>
          </w:p>
        </w:tc>
      </w:tr>
      <w:tr>
        <w:trPr>
          <w:trHeight w:val="285"/>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(1,217)</w:t>
            </w:r>
          </w:p>
        </w:tc>
      </w:tr>
      <w:tr>
        <w:trPr>
          <w:trHeight w:val="288"/>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charges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45"/>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194,397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90,006</w:t>
            </w:r>
          </w:p>
        </w:tc>
      </w:tr>
      <w:tr>
        <w:trPr>
          <w:trHeight w:val="20"/>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60" w:hanging="360"/>
        <w:spacing w:after="0" w:line="282" w:lineRule="auto"/>
        <w:tabs>
          <w:tab w:leader="none" w:pos="3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cost of services and adjusted gross profit exclude depreciation and amortization expense, stock-based compensation expense and restructuring costs.</w:t>
      </w:r>
    </w:p>
    <w:p>
      <w:pPr>
        <w:spacing w:after="0" w:line="12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Management manages assets on a total company basis, not by reporting segment. The CODM does not regularly review any asset information by reporting segment and, accordingly, the Company does not report asset information by reporting segment.</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440"/>
          </w:cols>
          <w:pgMar w:left="900" w:top="208" w:right="90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As required by Rules 13a-15 and 15d-15 under the Exchange Act, our Chief Executive Officer and Chief Financial Officer carried out an evaluation of the effectiveness of the design and operation of our disclosure controls and procedures as of December 31, 2024. Based on that evaluation, our Chief Executive Officer and Chief Financial Officer concluded that our disclosure controls and procedures were effective as of December 31, 2024, the end of the period covered by this Annual Report on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financial reporting and the preparation of financial statements for external purposes in accordance with accounting principles generally accepted in the United States.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do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Under the supervision and with the participation of our Chief Executive Officer and our Chief Financial Officer and oversight of the Board of Directors, our management conducted an evaluation of the effectiveness of our internal control over financial reporting as of December 31, 2024, based on the criteria set forth in Internal Control-Integrated Framework issued by the Committee of Sponsoring Organizations of the Treadway Commission (2013 COSO framework). Based on this evaluation, management concluded that the Company’s internal control over financial reporting was effective as of December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Previously Reported Material Weakness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In connection with the preparation of the Annual Report on Form 10-K as of December 31, 2023, we previously reported the following material weakness in our internal control over financial reporting:</w:t>
      </w:r>
    </w:p>
    <w:p>
      <w:pPr>
        <w:spacing w:after="0" w:line="143" w:lineRule="exact"/>
        <w:rPr>
          <w:sz w:val="20"/>
          <w:szCs w:val="20"/>
          <w:color w:val="auto"/>
        </w:rPr>
      </w:pPr>
    </w:p>
    <w:p>
      <w:pPr>
        <w:jc w:val="both"/>
        <w:ind w:left="720" w:hanging="360"/>
        <w:spacing w:after="0" w:line="258"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accounting and operating systems lacked controls over access, and program change management that are needed to ensure access to financial data is adequately restricted to appropriate personnel, including consideration of the appropriate segregation of duties. As a result, it is possible that our business process controls that depend on the accuracy and completeness of data or financial reports generated by our information technology system could be adversely affected due to the lack of operating effectiveness of the information technology general controls (“ITGCs”).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Remediation of Previously-Reported Material Weakness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remediate this material weakness, we completed the following actions:</w:t>
      </w:r>
    </w:p>
    <w:p>
      <w:pPr>
        <w:spacing w:after="0" w:line="190" w:lineRule="exact"/>
        <w:rPr>
          <w:sz w:val="20"/>
          <w:szCs w:val="20"/>
          <w:color w:val="auto"/>
        </w:rPr>
      </w:pPr>
    </w:p>
    <w:p>
      <w:pPr>
        <w:ind w:left="720" w:hanging="360"/>
        <w:spacing w:after="0" w:line="260"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hired key personnel and expanded available resources with experience designing and implementing ITGCs, and through the use of outside consultants.</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performed a risk assessment over the IT systems used as part of financial reporting.</w:t>
      </w:r>
    </w:p>
    <w:p>
      <w:pPr>
        <w:spacing w:after="0" w:line="1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rationalized user roles and permissions and established appropriate segregation of duties, where applicable.</w:t>
      </w:r>
    </w:p>
    <w:p>
      <w:pPr>
        <w:spacing w:after="0" w:line="10" w:lineRule="exact"/>
        <w:rPr>
          <w:rFonts w:ascii="Times New Roman" w:cs="Times New Roman" w:eastAsia="Times New Roman" w:hAnsi="Times New Roman"/>
          <w:sz w:val="20"/>
          <w:szCs w:val="20"/>
          <w:color w:val="auto"/>
        </w:rPr>
      </w:pPr>
    </w:p>
    <w:p>
      <w:pPr>
        <w:ind w:left="720" w:hanging="360"/>
        <w:spacing w:after="0" w:line="260"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implemented process improvements and standardized certain practices across relevant systems, including access provisioning, deprovisioning and user access review processes.</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440"/>
          </w:cols>
          <w:pgMar w:left="900" w:top="208" w:right="90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400" w:lineRule="exact"/>
        <w:rPr>
          <w:sz w:val="20"/>
          <w:szCs w:val="20"/>
          <w:color w:val="auto"/>
        </w:rPr>
      </w:pPr>
    </w:p>
    <w:p>
      <w:pPr>
        <w:ind w:left="720" w:hanging="360"/>
        <w:spacing w:after="0" w:line="260"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conducted training for personnel responsible for internal control performers to deepen their comprehension of risk assessment concepts and to refine their execution of controls pertaining to financial reporting.</w:t>
      </w:r>
    </w:p>
    <w:p>
      <w:pPr>
        <w:spacing w:after="0" w:line="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strengthened and documented our procedures around ITGCs and communicated them to relevant personnel.</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Management believes it has effectively designed and tested the operating effectiveness related to the previously-reported material weakness noted above. Accordingly, management has concluded that the material weaknesses has been remediated because each component of the material weakness has been operating effectively for a sufficient period of time.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that occurred during the quarter ended December 31, 2024 that have materially affected, or are reasonably likely to materially affect, our internal control over financial reporting.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Rule 10b5-1 Plan Adoptions and Modifications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November 7, 2024, a grantor annuity trust (the “GRAT”) of which Jason Ryan, our chairman and a director, is the trustee, entered into a written plan for the potential transfer of up to an aggregate of 141,356 shares of our Class A common stock (the “Ryan GRAT 10b5-1 Plan”). The Ryan GRAT 10b5-1 Plan is intended to satisfy the affirmative defense conditions of Rule 10b5-1(c) under the Exchange Act and will be effective from November 19, 2025 to March 5, 2027.</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Ryan GRAT 10b5-1 plan included a representation from the GRAT to the broker administering the plan that the GRAT was not in possession of any material nonpublic information regarding the Company or the securities subject to the plan. A similar representation was made to us in a certification from Mr. Ryan provided to us in connection with the adoption of the applicable plan under our insider trading policy. Those representations were made as of the date of adoption of the Ryan GRAT 10b5-1 Plan or the certification, as applicable, and speak only as of those dates. In making those representations, there is no assurance with respect to any material non-public information of which the GRAT or Mr. Ryan was unaware, or with respect to any material non-public information acquired by the GRAT, Mr. Ryan or us after the applicable date of the representation.</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Other than as disclosed above, during the quarter ended December 31, 2024, none of our directors or officers adopted or terminated any “Rule 10b5-1 trading arrangements” or any “non-Rule 10b5-1 trading arrangements,” as each term is defined in Item 408 of Regulation S-K.</w:t>
      </w:r>
    </w:p>
    <w:p>
      <w:pPr>
        <w:spacing w:after="0" w:line="128" w:lineRule="exact"/>
        <w:rPr>
          <w:sz w:val="20"/>
          <w:szCs w:val="20"/>
          <w:color w:val="auto"/>
        </w:rPr>
      </w:pPr>
    </w:p>
    <w:p>
      <w:pPr>
        <w:ind w:right="3820"/>
        <w:spacing w:after="0" w:line="477" w:lineRule="auto"/>
        <w:rPr>
          <w:sz w:val="20"/>
          <w:szCs w:val="20"/>
          <w:color w:val="auto"/>
        </w:rPr>
      </w:pPr>
      <w:r>
        <w:rPr>
          <w:rFonts w:ascii="Times New Roman" w:cs="Times New Roman" w:eastAsia="Times New Roman" w:hAnsi="Times New Roman"/>
          <w:sz w:val="20"/>
          <w:szCs w:val="20"/>
          <w:b w:val="1"/>
          <w:bCs w:val="1"/>
          <w:color w:val="auto"/>
        </w:rPr>
        <w:t xml:space="preserve">Item 9C. Disclosure Regarding Foreign Jurisdictions that Prevent Inspections </w:t>
      </w:r>
      <w:r>
        <w:rPr>
          <w:rFonts w:ascii="Times New Roman" w:cs="Times New Roman" w:eastAsia="Times New Roman" w:hAnsi="Times New Roman"/>
          <w:sz w:val="20"/>
          <w:szCs w:val="20"/>
          <w:color w:val="auto"/>
        </w:rPr>
        <w:t>None.</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440"/>
          </w:cols>
          <w:pgMar w:left="900" w:top="208" w:right="90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Except as set forth below, the information required by this Item is incorporated by reference from our definitive proxy statement for our 2025 Annual Meeting of Stockholders to be filed with the SEC within 120 days after the end of our fiscal year ended December 31, 2024.</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9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for our 2025 Annual Meeting of Stockholders to be filed with the SEC within 120 days after the end of our fiscal year ended December 31, 2024.</w:t>
      </w:r>
    </w:p>
    <w:p>
      <w:pPr>
        <w:spacing w:after="0" w:line="11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for our 2025 Annual Meeting of Stockholders to be filed with the SEC within 120 days after the end of our fiscal year ended December 31,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9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for our 2025 Annual Meeting of Stockholders to be filed with the SEC within 120 days after the end of our fiscal year ended December 31,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9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for our 2025 Annual Meeting of Stockholders to be filed with the SEC within 120 days after the end of our fiscal year ended December 31, 2024.</w:t>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440"/>
          </w:cols>
          <w:pgMar w:left="900" w:top="208" w:right="90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197" w:lineRule="exact"/>
        <w:rPr>
          <w:sz w:val="20"/>
          <w:szCs w:val="20"/>
          <w:color w:val="auto"/>
        </w:rPr>
      </w:pPr>
    </w:p>
    <w:p>
      <w:pPr>
        <w:ind w:left="200" w:hanging="200"/>
        <w:spacing w:after="0"/>
        <w:tabs>
          <w:tab w:leader="none" w:pos="2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a part of this Annual Report.</w:t>
      </w:r>
    </w:p>
    <w:p>
      <w:pPr>
        <w:spacing w:after="0" w:line="190" w:lineRule="exact"/>
        <w:rPr>
          <w:rFonts w:ascii="Times New Roman" w:cs="Times New Roman" w:eastAsia="Times New Roman" w:hAnsi="Times New Roman"/>
          <w:sz w:val="20"/>
          <w:szCs w:val="20"/>
          <w:color w:val="auto"/>
        </w:rPr>
      </w:pPr>
    </w:p>
    <w:p>
      <w:pPr>
        <w:ind w:left="720" w:hanging="270"/>
        <w:spacing w:after="0" w:line="260" w:lineRule="auto"/>
        <w:tabs>
          <w:tab w:leader="none" w:pos="653"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financial statements: The consolidated financial statements are set forth under “Item 8. Financial Statements and Supplementary Data” of this Annual Report on Form 10-K.</w:t>
      </w:r>
    </w:p>
    <w:p>
      <w:pPr>
        <w:spacing w:after="0" w:line="1" w:lineRule="exact"/>
        <w:rPr>
          <w:rFonts w:ascii="Times New Roman" w:cs="Times New Roman" w:eastAsia="Times New Roman" w:hAnsi="Times New Roman"/>
          <w:sz w:val="20"/>
          <w:szCs w:val="20"/>
          <w:color w:val="auto"/>
        </w:rPr>
      </w:pPr>
    </w:p>
    <w:p>
      <w:pPr>
        <w:ind w:left="720" w:hanging="270"/>
        <w:spacing w:after="0" w:line="250" w:lineRule="auto"/>
        <w:tabs>
          <w:tab w:leader="none" w:pos="681"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All schedules have been omitted because they are not required, not applicable, or the required information is included in the consolidated financial statements or notes thereto.</w:t>
      </w:r>
    </w:p>
    <w:p>
      <w:pPr>
        <w:ind w:left="720" w:hanging="270"/>
        <w:spacing w:after="0" w:line="260" w:lineRule="auto"/>
        <w:tabs>
          <w:tab w:leader="none" w:pos="677"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The exhibits listed in the accompanying Exhibit Index are filed or incorporated by reference as part of this Annual Report on Form 10-K.</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9"/>
          </w:tcPr>
          <w:p>
            <w:pPr>
              <w:ind w:left="38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08"/>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center"/>
              <w:spacing w:after="0" w:line="207" w:lineRule="exact"/>
              <w:rPr>
                <w:sz w:val="20"/>
                <w:szCs w:val="20"/>
                <w:color w:val="auto"/>
              </w:rPr>
            </w:pPr>
            <w:r>
              <w:rPr>
                <w:rFonts w:ascii="Times New Roman" w:cs="Times New Roman" w:eastAsia="Times New Roman" w:hAnsi="Times New Roman"/>
                <w:sz w:val="20"/>
                <w:szCs w:val="20"/>
                <w:b w:val="1"/>
                <w:bCs w:val="1"/>
                <w:color w:val="auto"/>
                <w:w w:val="99"/>
              </w:rPr>
              <w:t>Filing</w:t>
            </w:r>
          </w:p>
        </w:tc>
        <w:tc>
          <w:tcPr>
            <w:tcW w:w="60" w:type="dxa"/>
            <w:vAlign w:val="bottom"/>
          </w:tcPr>
          <w:p>
            <w:pPr>
              <w:spacing w:after="0"/>
              <w:rPr>
                <w:sz w:val="18"/>
                <w:szCs w:val="18"/>
                <w:color w:val="auto"/>
              </w:rPr>
            </w:pPr>
          </w:p>
        </w:tc>
        <w:tc>
          <w:tcPr>
            <w:tcW w:w="1000" w:type="dxa"/>
            <w:vAlign w:val="bottom"/>
          </w:tcPr>
          <w:p>
            <w:pPr>
              <w:jc w:val="center"/>
              <w:spacing w:after="0" w:line="207" w:lineRule="exact"/>
              <w:rPr>
                <w:sz w:val="20"/>
                <w:szCs w:val="20"/>
                <w:color w:val="auto"/>
              </w:rPr>
            </w:pPr>
            <w:r>
              <w:rPr>
                <w:rFonts w:ascii="Times New Roman" w:cs="Times New Roman" w:eastAsia="Times New Roman" w:hAnsi="Times New Roman"/>
                <w:sz w:val="20"/>
                <w:szCs w:val="20"/>
                <w:b w:val="1"/>
                <w:bCs w:val="1"/>
                <w:color w:val="auto"/>
              </w:rPr>
              <w:t>Filed</w:t>
            </w:r>
          </w:p>
        </w:tc>
      </w:tr>
      <w:tr>
        <w:trPr>
          <w:trHeight w:val="267"/>
        </w:trPr>
        <w:tc>
          <w:tcPr>
            <w:tcW w:w="900" w:type="dxa"/>
            <w:vAlign w:val="bottom"/>
            <w:gridSpan w:val="3"/>
          </w:tcPr>
          <w:p>
            <w:pPr>
              <w:ind w:left="260"/>
              <w:spacing w:after="0"/>
              <w:rPr>
                <w:sz w:val="20"/>
                <w:szCs w:val="20"/>
                <w:color w:val="auto"/>
              </w:rPr>
            </w:pPr>
            <w:r>
              <w:rPr>
                <w:rFonts w:ascii="Times New Roman" w:cs="Times New Roman" w:eastAsia="Times New Roman" w:hAnsi="Times New Roman"/>
                <w:sz w:val="20"/>
                <w:szCs w:val="20"/>
                <w:b w:val="1"/>
                <w:bCs w:val="1"/>
                <w:color w:val="auto"/>
              </w:rPr>
              <w:t>No.</w:t>
            </w:r>
          </w:p>
        </w:tc>
        <w:tc>
          <w:tcPr>
            <w:tcW w:w="5660" w:type="dxa"/>
            <w:vAlign w:val="bottom"/>
            <w:gridSpan w:val="38"/>
          </w:tcPr>
          <w:p>
            <w:pPr>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Form</w:t>
            </w:r>
          </w:p>
        </w:tc>
        <w:tc>
          <w:tcPr>
            <w:tcW w:w="60" w:type="dxa"/>
            <w:vAlign w:val="bottom"/>
          </w:tcPr>
          <w:p>
            <w:pPr>
              <w:spacing w:after="0"/>
              <w:rPr>
                <w:sz w:val="23"/>
                <w:szCs w:val="23"/>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6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6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Herewith</w:t>
            </w:r>
          </w:p>
        </w:tc>
      </w:tr>
      <w:tr>
        <w:trPr>
          <w:trHeight w:val="182"/>
        </w:trPr>
        <w:tc>
          <w:tcPr>
            <w:tcW w:w="8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5660" w:type="dxa"/>
            <w:vAlign w:val="bottom"/>
            <w:tcBorders>
              <w:top w:val="single" w:sz="8" w:color="auto"/>
            </w:tcBorders>
            <w:gridSpan w:val="38"/>
          </w:tcPr>
          <w:p>
            <w:pPr>
              <w:spacing w:after="0" w:line="182" w:lineRule="exact"/>
              <w:rPr>
                <w:sz w:val="20"/>
                <w:szCs w:val="20"/>
                <w:color w:val="auto"/>
              </w:rPr>
            </w:pPr>
            <w:r>
              <w:rPr>
                <w:rFonts w:ascii="Times New Roman" w:cs="Times New Roman" w:eastAsia="Times New Roman" w:hAnsi="Times New Roman"/>
                <w:sz w:val="18"/>
                <w:szCs w:val="18"/>
                <w:color w:val="0000FF"/>
              </w:rPr>
              <w:t>Underwriting Agreement by and between GeneDx Holdings Corp. and</w:t>
            </w: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60" w:type="dxa"/>
            <w:vAlign w:val="bottom"/>
          </w:tcPr>
          <w:p>
            <w:pPr>
              <w:spacing w:after="0"/>
              <w:rPr>
                <w:sz w:val="15"/>
                <w:szCs w:val="15"/>
                <w:color w:val="auto"/>
              </w:rPr>
            </w:pPr>
          </w:p>
        </w:tc>
        <w:tc>
          <w:tcPr>
            <w:tcW w:w="8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15"/>
                <w:szCs w:val="15"/>
                <w:color w:val="auto"/>
              </w:rPr>
            </w:pPr>
          </w:p>
        </w:tc>
        <w:tc>
          <w:tcPr>
            <w:tcW w:w="10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01/30/2023</w:t>
            </w:r>
          </w:p>
        </w:tc>
        <w:tc>
          <w:tcPr>
            <w:tcW w:w="6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60" w:type="dxa"/>
            <w:vAlign w:val="bottom"/>
            <w:tcBorders>
              <w:top w:val="single" w:sz="8" w:color="0000FF"/>
            </w:tcBorders>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Jefferies LLC, dated January 26, 2023.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Sales Agreement, dated April 29, 2024, by and between GeneDx Holdings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04/29/2024</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20" w:type="dxa"/>
            <w:vAlign w:val="bottom"/>
            <w:tcBorders>
              <w:top w:val="single" w:sz="8" w:color="0000FF"/>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9"/>
              </w:rPr>
              <w:t>Corp. and TD Securities (USA) LLC.</w:t>
            </w:r>
          </w:p>
        </w:tc>
        <w:tc>
          <w:tcPr>
            <w:tcW w:w="2700" w:type="dxa"/>
            <w:vAlign w:val="bottom"/>
            <w:tcBorders>
              <w:top w:val="single" w:sz="8" w:color="0000FF"/>
            </w:tcBorders>
            <w:gridSpan w:val="2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Agreement and Plan of Merger, dated February 9, 2021, by and among</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DEF14M</w:t>
            </w:r>
          </w:p>
        </w:tc>
        <w:tc>
          <w:tcPr>
            <w:tcW w:w="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Annex A</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07/02/2021</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80" w:type="dxa"/>
            <w:vAlign w:val="bottom"/>
            <w:tcBorders>
              <w:top w:val="single" w:sz="8" w:color="0000FF"/>
              <w:bottom w:val="single" w:sz="8" w:color="0000FF"/>
            </w:tcBorders>
            <w:gridSpan w:val="23"/>
          </w:tcPr>
          <w:p>
            <w:pPr>
              <w:spacing w:after="0" w:line="182" w:lineRule="exact"/>
              <w:rPr>
                <w:sz w:val="20"/>
                <w:szCs w:val="20"/>
                <w:color w:val="auto"/>
              </w:rPr>
            </w:pPr>
            <w:r>
              <w:rPr>
                <w:rFonts w:ascii="Times New Roman" w:cs="Times New Roman" w:eastAsia="Times New Roman" w:hAnsi="Times New Roman"/>
                <w:sz w:val="18"/>
                <w:szCs w:val="18"/>
                <w:color w:val="0000FF"/>
              </w:rPr>
              <w:t>CMLS, Merger Sub and Legacy Sema4, as amended by Amendment to</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0" w:type="dxa"/>
            <w:vAlign w:val="bottom"/>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Agreement and Plan of Merger dated May 3, 2021.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Agreement and Plan of Merger and Reorganization, dated as of January 14,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01/18/2022</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80" w:type="dxa"/>
            <w:vAlign w:val="bottom"/>
            <w:tcBorders>
              <w:top w:val="single" w:sz="8" w:color="0000FF"/>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FF"/>
              </w:rPr>
              <w:t>2022, by and among, Orion Merger Sub I, Inc., Orion Merger Sub II, LLC,</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40" w:type="dxa"/>
            <w:vAlign w:val="bottom"/>
            <w:tcBorders>
              <w:top w:val="single" w:sz="8" w:color="0000FF"/>
            </w:tcBorders>
            <w:gridSpan w:val="29"/>
          </w:tcPr>
          <w:p>
            <w:pPr>
              <w:spacing w:after="0" w:line="182" w:lineRule="exact"/>
              <w:rPr>
                <w:sz w:val="20"/>
                <w:szCs w:val="20"/>
                <w:color w:val="auto"/>
              </w:rPr>
            </w:pPr>
            <w:r>
              <w:rPr>
                <w:rFonts w:ascii="Times New Roman" w:cs="Times New Roman" w:eastAsia="Times New Roman" w:hAnsi="Times New Roman"/>
                <w:sz w:val="18"/>
                <w:szCs w:val="18"/>
                <w:color w:val="0000FF"/>
              </w:rPr>
              <w:t>GeneDx, Inc., GeneDx Holding 2, Inc. and OPKO Health, Inc.</w:t>
            </w: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Amendment to Agreement and Plan of Merger and Reorganization, dated as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05/02/2022</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560" w:type="dxa"/>
            <w:vAlign w:val="bottom"/>
            <w:tcBorders>
              <w:top w:val="single" w:sz="8" w:color="0000FF"/>
              <w:bottom w:val="single" w:sz="8" w:color="0000FF"/>
            </w:tcBorders>
            <w:gridSpan w:val="34"/>
          </w:tcPr>
          <w:p>
            <w:pPr>
              <w:spacing w:after="0" w:line="182" w:lineRule="exact"/>
              <w:rPr>
                <w:sz w:val="20"/>
                <w:szCs w:val="20"/>
                <w:color w:val="auto"/>
              </w:rPr>
            </w:pPr>
            <w:r>
              <w:rPr>
                <w:rFonts w:ascii="Times New Roman" w:cs="Times New Roman" w:eastAsia="Times New Roman" w:hAnsi="Times New Roman"/>
                <w:sz w:val="18"/>
                <w:szCs w:val="18"/>
                <w:color w:val="0000FF"/>
              </w:rPr>
              <w:t>of April 29, 2022, by and among, Sema4 Holdings Corp., Orion Merger Sub</w:t>
            </w:r>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60" w:type="dxa"/>
            <w:vAlign w:val="bottom"/>
            <w:tcBorders>
              <w:bottom w:val="single" w:sz="8" w:color="0000FF"/>
            </w:tcBorders>
            <w:gridSpan w:val="38"/>
          </w:tcPr>
          <w:p>
            <w:pPr>
              <w:spacing w:after="0" w:line="182" w:lineRule="exact"/>
              <w:rPr>
                <w:sz w:val="20"/>
                <w:szCs w:val="20"/>
                <w:color w:val="auto"/>
              </w:rPr>
            </w:pPr>
            <w:r>
              <w:rPr>
                <w:rFonts w:ascii="Times New Roman" w:cs="Times New Roman" w:eastAsia="Times New Roman" w:hAnsi="Times New Roman"/>
                <w:sz w:val="18"/>
                <w:szCs w:val="18"/>
                <w:color w:val="0000FF"/>
              </w:rPr>
              <w:t>I, Inc., Orion Merger Sub II, LLC, GeneDx, Inc., GeneDx Holding 2, Inc. and</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60" w:type="dxa"/>
            <w:vAlign w:val="bottom"/>
            <w:gridSpan w:val="38"/>
          </w:tcPr>
          <w:p>
            <w:pPr>
              <w:spacing w:after="0" w:line="182" w:lineRule="exact"/>
              <w:rPr>
                <w:sz w:val="20"/>
                <w:szCs w:val="20"/>
                <w:color w:val="auto"/>
              </w:rPr>
            </w:pPr>
            <w:r>
              <w:rPr>
                <w:rFonts w:ascii="Times New Roman" w:cs="Times New Roman" w:eastAsia="Times New Roman" w:hAnsi="Times New Roman"/>
                <w:sz w:val="18"/>
                <w:szCs w:val="18"/>
                <w:color w:val="0000FF"/>
              </w:rPr>
              <w:t>OPKO Health, Inc.</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Third Amended and Restated Certificate of Incorporation of Sema4 Holdings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07/28/2021</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Corp.</w:t>
            </w:r>
          </w:p>
        </w:tc>
        <w:tc>
          <w:tcPr>
            <w:tcW w:w="5200" w:type="dxa"/>
            <w:vAlign w:val="bottom"/>
            <w:tcBorders>
              <w:top w:val="single" w:sz="8" w:color="0000FF"/>
            </w:tcBorders>
            <w:gridSpan w:val="3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First Certificate of Amendment of Restated Certificate of Incorporation of</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01/09/2023</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6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9"/>
              </w:rPr>
              <w:t>Sema4 Holdings Corp.</w:t>
            </w:r>
          </w:p>
        </w:tc>
        <w:tc>
          <w:tcPr>
            <w:tcW w:w="3740" w:type="dxa"/>
            <w:vAlign w:val="bottom"/>
            <w:tcBorders>
              <w:top w:val="single" w:sz="8" w:color="0000FF"/>
            </w:tcBorders>
            <w:gridSpan w:val="23"/>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Second Certificate of Amendment to the Third Amended and Restated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04/17/2023</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2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Certificate of Incorporation of GeneDx Holdings Corp.</w:t>
            </w: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Third Certificate of Amendment to the Third Amended and Restated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04/28/2023</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Certificate of Incorporation of GeneDx Holdings Corp.</w:t>
            </w:r>
          </w:p>
        </w:tc>
        <w:tc>
          <w:tcPr>
            <w:tcW w:w="1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Amended and Restated Bylaws of GeneDx Holdings Corp.</w:t>
            </w:r>
          </w:p>
        </w:tc>
        <w:tc>
          <w:tcPr>
            <w:tcW w:w="1400" w:type="dxa"/>
            <w:vAlign w:val="bottom"/>
            <w:gridSpan w:val="23"/>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01/09/2023</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Specimen Class A Common Stock Certificate.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08/24/2020</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Specimen Warrant Certificate.</w:t>
            </w:r>
          </w:p>
        </w:tc>
        <w:tc>
          <w:tcPr>
            <w:tcW w:w="2320" w:type="dxa"/>
            <w:vAlign w:val="bottom"/>
            <w:gridSpan w:val="28"/>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08/24/2020</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Warrant Agreement, dated as of September 1, 2020, by and between CM Life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09/04/2020</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40" w:type="dxa"/>
            <w:vAlign w:val="bottom"/>
            <w:tcBorders>
              <w:top w:val="single" w:sz="8" w:color="0000FF"/>
            </w:tcBorders>
            <w:gridSpan w:val="37"/>
          </w:tcPr>
          <w:p>
            <w:pPr>
              <w:spacing w:after="0" w:line="182" w:lineRule="exact"/>
              <w:rPr>
                <w:sz w:val="20"/>
                <w:szCs w:val="20"/>
                <w:color w:val="auto"/>
              </w:rPr>
            </w:pPr>
            <w:r>
              <w:rPr>
                <w:rFonts w:ascii="Times New Roman" w:cs="Times New Roman" w:eastAsia="Times New Roman" w:hAnsi="Times New Roman"/>
                <w:sz w:val="18"/>
                <w:szCs w:val="18"/>
                <w:color w:val="0000FF"/>
              </w:rPr>
              <w:t>Sciences, Inc. and Continental Stock Transfer &amp; Trust Company, as warrant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540" w:type="dxa"/>
            <w:vAlign w:val="bottom"/>
            <w:tcBorders>
              <w:top w:val="single" w:sz="8" w:color="0000FF"/>
            </w:tcBorders>
            <w:gridSpan w:val="33"/>
          </w:tcPr>
          <w:p>
            <w:pPr>
              <w:spacing w:after="0" w:line="182" w:lineRule="exact"/>
              <w:rPr>
                <w:sz w:val="20"/>
                <w:szCs w:val="20"/>
                <w:color w:val="auto"/>
              </w:rPr>
            </w:pPr>
            <w:r>
              <w:rPr>
                <w:rFonts w:ascii="Times New Roman" w:cs="Times New Roman" w:eastAsia="Times New Roman" w:hAnsi="Times New Roman"/>
                <w:sz w:val="18"/>
                <w:szCs w:val="18"/>
                <w:color w:val="0000FF"/>
              </w:rPr>
              <w:t>agent.</w:t>
            </w:r>
          </w:p>
        </w:tc>
        <w:tc>
          <w:tcPr>
            <w:tcW w:w="12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Warrant to Purchase Stock, dated October 27, 2023, by and among the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10/30/2023</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0" w:type="dxa"/>
            <w:vAlign w:val="bottom"/>
            <w:tcBorders>
              <w:top w:val="single" w:sz="8" w:color="0000FF"/>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9"/>
              </w:rPr>
              <w:t>Company and Perceptive Credit Holdings IV, LP.</w:t>
            </w:r>
          </w:p>
        </w:tc>
        <w:tc>
          <w:tcPr>
            <w:tcW w:w="1540" w:type="dxa"/>
            <w:vAlign w:val="bottom"/>
            <w:tcBorders>
              <w:top w:val="single" w:sz="8" w:color="0000FF"/>
            </w:tcBorders>
            <w:gridSpan w:val="10"/>
          </w:tcPr>
          <w:p>
            <w:pPr>
              <w:spacing w:after="0"/>
              <w:rPr>
                <w:sz w:val="15"/>
                <w:szCs w:val="15"/>
                <w:color w:val="auto"/>
              </w:rPr>
            </w:pPr>
          </w:p>
        </w:tc>
        <w:tc>
          <w:tcPr>
            <w:tcW w:w="80" w:type="dxa"/>
            <w:vAlign w:val="bottom"/>
            <w:gridSpan w:val="4"/>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3"/>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Amended and Restated Registration Rights Agreement, dated as of July 22,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07/28/2021</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500" w:type="dxa"/>
            <w:vAlign w:val="bottom"/>
            <w:tcBorders>
              <w:top w:val="single" w:sz="8" w:color="0000FF"/>
            </w:tcBorders>
            <w:gridSpan w:val="31"/>
          </w:tcPr>
          <w:p>
            <w:pPr>
              <w:spacing w:after="0" w:line="182" w:lineRule="exact"/>
              <w:rPr>
                <w:sz w:val="20"/>
                <w:szCs w:val="20"/>
                <w:color w:val="auto"/>
              </w:rPr>
            </w:pPr>
            <w:r>
              <w:rPr>
                <w:rFonts w:ascii="Times New Roman" w:cs="Times New Roman" w:eastAsia="Times New Roman" w:hAnsi="Times New Roman"/>
                <w:sz w:val="18"/>
                <w:szCs w:val="18"/>
                <w:color w:val="0000FF"/>
              </w:rPr>
              <w:t>2021, by and among the Company, certain equity holders of the Company</w:t>
            </w:r>
          </w:p>
        </w:tc>
        <w:tc>
          <w:tcPr>
            <w:tcW w:w="20" w:type="dxa"/>
            <w:vAlign w:val="bottom"/>
          </w:tcPr>
          <w:p>
            <w:pPr>
              <w:spacing w:after="0"/>
              <w:rPr>
                <w:sz w:val="15"/>
                <w:szCs w:val="15"/>
                <w:color w:val="auto"/>
              </w:rPr>
            </w:pPr>
          </w:p>
        </w:tc>
        <w:tc>
          <w:tcPr>
            <w:tcW w:w="14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380" w:type="dxa"/>
            <w:vAlign w:val="bottom"/>
            <w:tcBorders>
              <w:top w:val="single" w:sz="8" w:color="0000FF"/>
            </w:tcBorders>
            <w:gridSpan w:val="26"/>
          </w:tcPr>
          <w:p>
            <w:pPr>
              <w:spacing w:after="0" w:line="182" w:lineRule="exact"/>
              <w:rPr>
                <w:sz w:val="20"/>
                <w:szCs w:val="20"/>
                <w:color w:val="auto"/>
              </w:rPr>
            </w:pPr>
            <w:r>
              <w:rPr>
                <w:rFonts w:ascii="Times New Roman" w:cs="Times New Roman" w:eastAsia="Times New Roman" w:hAnsi="Times New Roman"/>
                <w:sz w:val="18"/>
                <w:szCs w:val="18"/>
                <w:color w:val="0000FF"/>
              </w:rPr>
              <w:t>named therein and certain equity holders of Sema4 named therein.</w:t>
            </w:r>
          </w:p>
        </w:tc>
        <w:tc>
          <w:tcPr>
            <w:tcW w:w="140" w:type="dxa"/>
            <w:vAlign w:val="bottom"/>
            <w:gridSpan w:val="6"/>
          </w:tcPr>
          <w:p>
            <w:pPr>
              <w:spacing w:after="0"/>
              <w:rPr>
                <w:sz w:val="15"/>
                <w:szCs w:val="15"/>
                <w:color w:val="auto"/>
              </w:rPr>
            </w:pPr>
          </w:p>
        </w:tc>
        <w:tc>
          <w:tcPr>
            <w:tcW w:w="14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97"/>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Form Director of and Officer Indemnification Agreement.</w:t>
            </w:r>
          </w:p>
        </w:tc>
        <w:tc>
          <w:tcPr>
            <w:tcW w:w="580" w:type="dxa"/>
            <w:vAlign w:val="bottom"/>
            <w:tcBorders>
              <w:top w:val="single" w:sz="8" w:color="0000FF"/>
            </w:tcBorders>
            <w:gridSpan w:val="4"/>
          </w:tcPr>
          <w:p>
            <w:pPr>
              <w:spacing w:after="0"/>
              <w:rPr>
                <w:sz w:val="24"/>
                <w:szCs w:val="24"/>
                <w:color w:val="auto"/>
              </w:rPr>
            </w:pPr>
          </w:p>
        </w:tc>
        <w:tc>
          <w:tcPr>
            <w:tcW w:w="880" w:type="dxa"/>
            <w:vAlign w:val="bottom"/>
            <w:gridSpan w:val="20"/>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07/28/2021</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GeneDx Holdings Corp. Amended and Restated 2021 Equity Incentive Plan.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04/17/2023</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20" w:type="dxa"/>
            <w:vAlign w:val="bottom"/>
            <w:tcBorders>
              <w:top w:val="single" w:sz="8" w:color="0000FF"/>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Form of Stock Option Agreement under the 2021 Equity Incentive Plan.</w:t>
            </w:r>
          </w:p>
        </w:tc>
        <w:tc>
          <w:tcPr>
            <w:tcW w:w="300" w:type="dxa"/>
            <w:vAlign w:val="bottom"/>
            <w:tcBorders>
              <w:top w:val="single" w:sz="8" w:color="0000FF"/>
            </w:tcBorders>
            <w:gridSpan w:val="7"/>
          </w:tcPr>
          <w:p>
            <w:pPr>
              <w:spacing w:after="0"/>
              <w:rPr>
                <w:sz w:val="24"/>
                <w:szCs w:val="24"/>
                <w:color w:val="auto"/>
              </w:rPr>
            </w:pPr>
          </w:p>
        </w:tc>
        <w:tc>
          <w:tcPr>
            <w:tcW w:w="14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07/28/2021</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Form of RSU Agreement under the 2021 Equity Incentive Plan.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07/28/2021</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Form of Earn-Out RSU Agreement.</w:t>
            </w:r>
          </w:p>
        </w:tc>
        <w:tc>
          <w:tcPr>
            <w:tcW w:w="2000" w:type="dxa"/>
            <w:vAlign w:val="bottom"/>
            <w:tcBorders>
              <w:top w:val="single" w:sz="8" w:color="0000FF"/>
            </w:tcBorders>
            <w:gridSpan w:val="10"/>
          </w:tcPr>
          <w:p>
            <w:pPr>
              <w:spacing w:after="0"/>
              <w:rPr>
                <w:sz w:val="24"/>
                <w:szCs w:val="24"/>
                <w:color w:val="auto"/>
              </w:rPr>
            </w:pPr>
          </w:p>
        </w:tc>
        <w:tc>
          <w:tcPr>
            <w:tcW w:w="1060" w:type="dxa"/>
            <w:vAlign w:val="bottom"/>
            <w:gridSpan w:val="21"/>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07/28/2021</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-6483350</wp:posOffset>
            </wp:positionV>
            <wp:extent cx="6654800" cy="65563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7">
                      <a:extLst>
                        <a:ext uri="{28A0092B-C50C-407E-A947-70E740481C1C}"/>
                      </a:extLst>
                    </a:blip>
                    <a:srcRect/>
                    <a:stretch>
                      <a:fillRect/>
                    </a:stretch>
                  </pic:blipFill>
                  <pic:spPr bwMode="auto">
                    <a:xfrm>
                      <a:off x="0" y="0"/>
                      <a:ext cx="6654800" cy="6556375"/>
                    </a:xfrm>
                    <a:prstGeom prst="rect">
                      <a:avLst/>
                    </a:prstGeom>
                    <a:noFill/>
                  </pic:spPr>
                </pic:pic>
              </a:graphicData>
            </a:graphic>
          </wp:anchor>
        </w:drawing>
      </w: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440"/>
          </w:cols>
          <w:pgMar w:left="900" w:top="208" w:right="90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280670</wp:posOffset>
            </wp:positionV>
            <wp:extent cx="6654800" cy="87185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8">
                      <a:extLst>
                        <a:ext uri="{28A0092B-C50C-407E-A947-70E740481C1C}"/>
                      </a:extLst>
                    </a:blip>
                    <a:srcRect/>
                    <a:stretch>
                      <a:fillRect/>
                    </a:stretch>
                  </pic:blipFill>
                  <pic:spPr bwMode="auto">
                    <a:xfrm>
                      <a:off x="0" y="0"/>
                      <a:ext cx="6654800" cy="87185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10.7*</w:t>
            </w:r>
          </w:p>
        </w:tc>
        <w:tc>
          <w:tcPr>
            <w:tcW w:w="56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2021 Employee Stock Purchase Plan.</w:t>
            </w:r>
          </w:p>
        </w:tc>
        <w:tc>
          <w:tcPr>
            <w:tcW w:w="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20"/>
        </w:trPr>
        <w:tc>
          <w:tcPr>
            <w:tcW w:w="7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5"/>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10.8*</w:t>
            </w:r>
          </w:p>
        </w:tc>
        <w:tc>
          <w:tcPr>
            <w:tcW w:w="4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GeneDx Holdings Corp. 2023 Equity Inducement Plan.</w:t>
            </w:r>
          </w:p>
        </w:tc>
        <w:tc>
          <w:tcPr>
            <w:tcW w:w="1660" w:type="dxa"/>
            <w:vAlign w:val="bottom"/>
            <w:gridSpan w:val="27"/>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07/24/2023</w:t>
            </w:r>
          </w:p>
        </w:tc>
      </w:tr>
      <w:tr>
        <w:trPr>
          <w:trHeight w:val="295"/>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10.9*</w:t>
            </w:r>
          </w:p>
        </w:tc>
        <w:tc>
          <w:tcPr>
            <w:tcW w:w="548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Form of Option Award Agreement under the 2023 Equity Inducement Plan.</w:t>
            </w:r>
          </w:p>
        </w:tc>
        <w:tc>
          <w:tcPr>
            <w:tcW w:w="18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07/24/2023</w:t>
            </w:r>
          </w:p>
        </w:tc>
      </w:tr>
      <w:tr>
        <w:trPr>
          <w:trHeight w:val="295"/>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10.10*</w:t>
            </w:r>
          </w:p>
        </w:tc>
        <w:tc>
          <w:tcPr>
            <w:tcW w:w="56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Form of Restricted Stock Unit Award Agreement under the 2023 Equity</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07/24/2023</w:t>
            </w:r>
          </w:p>
        </w:tc>
      </w:tr>
      <w:tr>
        <w:trPr>
          <w:trHeight w:val="182"/>
        </w:trPr>
        <w:tc>
          <w:tcPr>
            <w:tcW w:w="760" w:type="dxa"/>
            <w:vAlign w:val="bottom"/>
          </w:tcPr>
          <w:p>
            <w:pPr>
              <w:spacing w:after="0"/>
              <w:rPr>
                <w:sz w:val="15"/>
                <w:szCs w:val="15"/>
                <w:color w:val="auto"/>
              </w:rPr>
            </w:pPr>
          </w:p>
        </w:tc>
        <w:tc>
          <w:tcPr>
            <w:tcW w:w="5260" w:type="dxa"/>
            <w:vAlign w:val="bottom"/>
            <w:tcBorders>
              <w:top w:val="single" w:sz="8" w:color="0000FF"/>
            </w:tcBorders>
            <w:gridSpan w:val="26"/>
          </w:tcPr>
          <w:p>
            <w:pPr>
              <w:spacing w:after="0" w:line="182" w:lineRule="exact"/>
              <w:rPr>
                <w:sz w:val="20"/>
                <w:szCs w:val="20"/>
                <w:color w:val="auto"/>
              </w:rPr>
            </w:pPr>
            <w:r>
              <w:rPr>
                <w:rFonts w:ascii="Times New Roman" w:cs="Times New Roman" w:eastAsia="Times New Roman" w:hAnsi="Times New Roman"/>
                <w:sz w:val="18"/>
                <w:szCs w:val="18"/>
                <w:color w:val="0000FF"/>
              </w:rPr>
              <w:t>Inducement Plan.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3"/>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10.11</w:t>
            </w:r>
          </w:p>
        </w:tc>
        <w:tc>
          <w:tcPr>
            <w:tcW w:w="56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Sub-Sublease, dated as of June 6, 2017, by and between Icahn School of</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60" w:type="dxa"/>
            <w:vAlign w:val="bottom"/>
          </w:tcPr>
          <w:p>
            <w:pPr>
              <w:spacing w:after="0"/>
              <w:rPr>
                <w:sz w:val="15"/>
                <w:szCs w:val="15"/>
                <w:color w:val="auto"/>
              </w:rPr>
            </w:pPr>
          </w:p>
        </w:tc>
        <w:tc>
          <w:tcPr>
            <w:tcW w:w="5120" w:type="dxa"/>
            <w:vAlign w:val="bottom"/>
            <w:tcBorders>
              <w:top w:val="single" w:sz="8" w:color="0000FF"/>
              <w:bottom w:val="single" w:sz="8" w:color="0000FF"/>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FF"/>
                <w:w w:val="99"/>
              </w:rPr>
              <w:t>Medicine at Mount Sinai and the Company, as amended July 31, 2019.</w:t>
            </w:r>
          </w:p>
        </w:tc>
        <w:tc>
          <w:tcPr>
            <w:tcW w:w="16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3"/>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10.12</w:t>
            </w:r>
          </w:p>
        </w:tc>
        <w:tc>
          <w:tcPr>
            <w:tcW w:w="566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18"/>
                <w:szCs w:val="18"/>
                <w:color w:val="0000FF"/>
              </w:rPr>
              <w:t>Sublease Agreement, dated as of November 8, 2019, by and between Marriott</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60" w:type="dxa"/>
            <w:vAlign w:val="bottom"/>
          </w:tcPr>
          <w:p>
            <w:pPr>
              <w:spacing w:after="0"/>
              <w:rPr>
                <w:sz w:val="15"/>
                <w:szCs w:val="15"/>
                <w:color w:val="auto"/>
              </w:rPr>
            </w:pPr>
          </w:p>
        </w:tc>
        <w:tc>
          <w:tcPr>
            <w:tcW w:w="2700" w:type="dxa"/>
            <w:vAlign w:val="bottom"/>
            <w:tcBorders>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International, Inc. and the Company.</w:t>
            </w:r>
          </w:p>
        </w:tc>
        <w:tc>
          <w:tcPr>
            <w:tcW w:w="2960" w:type="dxa"/>
            <w:vAlign w:val="bottom"/>
            <w:gridSpan w:val="35"/>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3"/>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10.13</w:t>
            </w:r>
          </w:p>
        </w:tc>
        <w:tc>
          <w:tcPr>
            <w:tcW w:w="56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Sublease, dated as of June 1, 2017, by and between Icahn School of Medicine</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60" w:type="dxa"/>
            <w:vAlign w:val="bottom"/>
          </w:tcPr>
          <w:p>
            <w:pPr>
              <w:spacing w:after="0"/>
              <w:rPr>
                <w:sz w:val="15"/>
                <w:szCs w:val="15"/>
                <w:color w:val="auto"/>
              </w:rPr>
            </w:pPr>
          </w:p>
        </w:tc>
        <w:tc>
          <w:tcPr>
            <w:tcW w:w="4840" w:type="dxa"/>
            <w:vAlign w:val="bottom"/>
            <w:tcBorders>
              <w:top w:val="single" w:sz="8" w:color="0000FF"/>
              <w:bottom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w w:val="99"/>
              </w:rPr>
              <w:t>at Mount Sinai and the Company, as amended December 22, 2017.</w:t>
            </w:r>
          </w:p>
        </w:tc>
        <w:tc>
          <w:tcPr>
            <w:tcW w:w="800" w:type="dxa"/>
            <w:vAlign w:val="bottom"/>
            <w:tcBorders>
              <w:top w:val="single" w:sz="8" w:color="0000FF"/>
            </w:tcBorders>
            <w:gridSpan w:val="2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3"/>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10.14</w:t>
            </w:r>
          </w:p>
        </w:tc>
        <w:tc>
          <w:tcPr>
            <w:tcW w:w="56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Sublease, dated as of April 23, 2019, by and between Icahn School of</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60" w:type="dxa"/>
            <w:vAlign w:val="bottom"/>
          </w:tcPr>
          <w:p>
            <w:pPr>
              <w:spacing w:after="0"/>
              <w:rPr>
                <w:sz w:val="15"/>
                <w:szCs w:val="15"/>
                <w:color w:val="auto"/>
              </w:rPr>
            </w:pPr>
          </w:p>
        </w:tc>
        <w:tc>
          <w:tcPr>
            <w:tcW w:w="5080" w:type="dxa"/>
            <w:vAlign w:val="bottom"/>
            <w:tcBorders>
              <w:top w:val="single" w:sz="8" w:color="0000FF"/>
            </w:tcBorders>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Medicine at Mount Sinai and the Company.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3"/>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10.15</w:t>
            </w:r>
          </w:p>
        </w:tc>
        <w:tc>
          <w:tcPr>
            <w:tcW w:w="56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Lease Agreement, dated as of January 31, 2020, by and between 1</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60" w:type="dxa"/>
            <w:vAlign w:val="bottom"/>
          </w:tcPr>
          <w:p>
            <w:pPr>
              <w:spacing w:after="0"/>
              <w:rPr>
                <w:sz w:val="15"/>
                <w:szCs w:val="15"/>
                <w:color w:val="auto"/>
              </w:rPr>
            </w:pPr>
          </w:p>
        </w:tc>
        <w:tc>
          <w:tcPr>
            <w:tcW w:w="482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Commercial Street Associates, LLC and the Company.</w:t>
            </w:r>
          </w:p>
        </w:tc>
        <w:tc>
          <w:tcPr>
            <w:tcW w:w="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3"/>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10.16#</w:t>
            </w:r>
          </w:p>
        </w:tc>
        <w:tc>
          <w:tcPr>
            <w:tcW w:w="56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Master Services Agreement, dated as of April 2, 2018, by and among the</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60" w:type="dxa"/>
            <w:vAlign w:val="bottom"/>
          </w:tcPr>
          <w:p>
            <w:pPr>
              <w:spacing w:after="0"/>
              <w:rPr>
                <w:sz w:val="15"/>
                <w:szCs w:val="15"/>
                <w:color w:val="auto"/>
              </w:rPr>
            </w:pPr>
          </w:p>
        </w:tc>
        <w:tc>
          <w:tcPr>
            <w:tcW w:w="5300" w:type="dxa"/>
            <w:vAlign w:val="bottom"/>
            <w:tcBorders>
              <w:top w:val="single" w:sz="8" w:color="0000FF"/>
            </w:tcBorders>
            <w:gridSpan w:val="28"/>
          </w:tcPr>
          <w:p>
            <w:pPr>
              <w:spacing w:after="0" w:line="182" w:lineRule="exact"/>
              <w:rPr>
                <w:sz w:val="20"/>
                <w:szCs w:val="20"/>
                <w:color w:val="auto"/>
              </w:rPr>
            </w:pPr>
            <w:r>
              <w:rPr>
                <w:rFonts w:ascii="Times New Roman" w:cs="Times New Roman" w:eastAsia="Times New Roman" w:hAnsi="Times New Roman"/>
                <w:sz w:val="18"/>
                <w:szCs w:val="18"/>
                <w:color w:val="0000FF"/>
              </w:rPr>
              <w:t>Company, Icahn School of Medicine at Mount Sinai, The Mount Sinai</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760" w:type="dxa"/>
            <w:vAlign w:val="bottom"/>
          </w:tcPr>
          <w:p>
            <w:pPr>
              <w:spacing w:after="0"/>
              <w:rPr>
                <w:sz w:val="15"/>
                <w:szCs w:val="15"/>
                <w:color w:val="auto"/>
              </w:rPr>
            </w:pPr>
          </w:p>
        </w:tc>
        <w:tc>
          <w:tcPr>
            <w:tcW w:w="5120" w:type="dxa"/>
            <w:vAlign w:val="bottom"/>
            <w:tcBorders>
              <w:top w:val="single" w:sz="8" w:color="0000FF"/>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Hospital, and the parties thereto, as amended July 31, 2019.</w:t>
            </w:r>
          </w:p>
        </w:tc>
        <w:tc>
          <w:tcPr>
            <w:tcW w:w="10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7"/>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10.17#</w:t>
            </w:r>
          </w:p>
        </w:tc>
        <w:tc>
          <w:tcPr>
            <w:tcW w:w="546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Master Services Agreement, dated as of May 10, 2018, by and between the</w:t>
            </w:r>
          </w:p>
        </w:tc>
        <w:tc>
          <w:tcPr>
            <w:tcW w:w="200" w:type="dxa"/>
            <w:vAlign w:val="bottom"/>
            <w:gridSpan w:val="9"/>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60" w:type="dxa"/>
            <w:vAlign w:val="bottom"/>
          </w:tcPr>
          <w:p>
            <w:pPr>
              <w:spacing w:after="0"/>
              <w:rPr>
                <w:sz w:val="15"/>
                <w:szCs w:val="15"/>
                <w:color w:val="auto"/>
              </w:rPr>
            </w:pPr>
          </w:p>
        </w:tc>
        <w:tc>
          <w:tcPr>
            <w:tcW w:w="5660" w:type="dxa"/>
            <w:vAlign w:val="bottom"/>
            <w:gridSpan w:val="39"/>
          </w:tcPr>
          <w:p>
            <w:pPr>
              <w:spacing w:after="0" w:line="182" w:lineRule="exact"/>
              <w:rPr>
                <w:sz w:val="20"/>
                <w:szCs w:val="20"/>
                <w:color w:val="auto"/>
              </w:rPr>
            </w:pPr>
            <w:r>
              <w:rPr>
                <w:rFonts w:ascii="Times New Roman" w:cs="Times New Roman" w:eastAsia="Times New Roman" w:hAnsi="Times New Roman"/>
                <w:sz w:val="18"/>
                <w:szCs w:val="18"/>
                <w:color w:val="0000FF"/>
              </w:rPr>
              <w:t>Company and Icahn School of Medicine at Mount Sinai, as amended July 31,</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760" w:type="dxa"/>
            <w:vAlign w:val="bottom"/>
          </w:tcPr>
          <w:p>
            <w:pPr>
              <w:spacing w:after="0"/>
              <w:rPr>
                <w:sz w:val="15"/>
                <w:szCs w:val="15"/>
                <w:color w:val="auto"/>
              </w:rPr>
            </w:pPr>
          </w:p>
        </w:tc>
        <w:tc>
          <w:tcPr>
            <w:tcW w:w="42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2019.</w:t>
            </w:r>
          </w:p>
        </w:tc>
        <w:tc>
          <w:tcPr>
            <w:tcW w:w="84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97"/>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10.18#</w:t>
            </w:r>
          </w:p>
        </w:tc>
        <w:tc>
          <w:tcPr>
            <w:tcW w:w="566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18"/>
                <w:szCs w:val="18"/>
                <w:color w:val="0000FF"/>
              </w:rPr>
              <w:t>Data Structuring and Curation Agreement, dated as of August 1, 2019, by and</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60" w:type="dxa"/>
            <w:vAlign w:val="bottom"/>
          </w:tcPr>
          <w:p>
            <w:pPr>
              <w:spacing w:after="0"/>
              <w:rPr>
                <w:sz w:val="15"/>
                <w:szCs w:val="15"/>
                <w:color w:val="auto"/>
              </w:rPr>
            </w:pPr>
          </w:p>
        </w:tc>
        <w:tc>
          <w:tcPr>
            <w:tcW w:w="5660" w:type="dxa"/>
            <w:vAlign w:val="bottom"/>
            <w:gridSpan w:val="39"/>
          </w:tcPr>
          <w:p>
            <w:pPr>
              <w:spacing w:after="0" w:line="182" w:lineRule="exact"/>
              <w:rPr>
                <w:sz w:val="20"/>
                <w:szCs w:val="20"/>
                <w:color w:val="auto"/>
              </w:rPr>
            </w:pPr>
            <w:r>
              <w:rPr>
                <w:rFonts w:ascii="Times New Roman" w:cs="Times New Roman" w:eastAsia="Times New Roman" w:hAnsi="Times New Roman"/>
                <w:sz w:val="18"/>
                <w:szCs w:val="18"/>
                <w:color w:val="0000FF"/>
              </w:rPr>
              <w:t>between Icahn School of Medicine at Mount Sinai and the Company, as</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760" w:type="dxa"/>
            <w:vAlign w:val="bottom"/>
          </w:tcPr>
          <w:p>
            <w:pPr>
              <w:spacing w:after="0"/>
              <w:rPr>
                <w:sz w:val="15"/>
                <w:szCs w:val="15"/>
                <w:color w:val="auto"/>
              </w:rPr>
            </w:pPr>
          </w:p>
        </w:tc>
        <w:tc>
          <w:tcPr>
            <w:tcW w:w="190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amended March 11, 2020.</w:t>
            </w:r>
          </w:p>
        </w:tc>
        <w:tc>
          <w:tcPr>
            <w:tcW w:w="3320" w:type="dxa"/>
            <w:vAlign w:val="bottom"/>
            <w:tcBorders>
              <w:top w:val="single" w:sz="8" w:color="0000FF"/>
            </w:tcBorders>
            <w:gridSpan w:val="22"/>
          </w:tcPr>
          <w:p>
            <w:pPr>
              <w:spacing w:after="0"/>
              <w:rPr>
                <w:sz w:val="15"/>
                <w:szCs w:val="15"/>
                <w:color w:val="auto"/>
              </w:rPr>
            </w:pPr>
          </w:p>
        </w:tc>
        <w:tc>
          <w:tcPr>
            <w:tcW w:w="100" w:type="dxa"/>
            <w:vAlign w:val="bottom"/>
            <w:gridSpan w:val="4"/>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97"/>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10.19#</w:t>
            </w:r>
          </w:p>
        </w:tc>
        <w:tc>
          <w:tcPr>
            <w:tcW w:w="56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BioMe Biospecimen and Data Access Agreement, dated as of July 19, 2019,</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60" w:type="dxa"/>
            <w:vAlign w:val="bottom"/>
          </w:tcPr>
          <w:p>
            <w:pPr>
              <w:spacing w:after="0"/>
              <w:rPr>
                <w:sz w:val="15"/>
                <w:szCs w:val="15"/>
                <w:color w:val="auto"/>
              </w:rPr>
            </w:pPr>
          </w:p>
        </w:tc>
        <w:tc>
          <w:tcPr>
            <w:tcW w:w="5580" w:type="dxa"/>
            <w:vAlign w:val="bottom"/>
            <w:tcBorders>
              <w:top w:val="single" w:sz="8" w:color="0000FF"/>
            </w:tcBorders>
            <w:gridSpan w:val="35"/>
          </w:tcPr>
          <w:p>
            <w:pPr>
              <w:spacing w:after="0" w:line="182" w:lineRule="exact"/>
              <w:rPr>
                <w:sz w:val="20"/>
                <w:szCs w:val="20"/>
                <w:color w:val="auto"/>
              </w:rPr>
            </w:pPr>
            <w:r>
              <w:rPr>
                <w:rFonts w:ascii="Times New Roman" w:cs="Times New Roman" w:eastAsia="Times New Roman" w:hAnsi="Times New Roman"/>
                <w:sz w:val="18"/>
                <w:szCs w:val="18"/>
                <w:color w:val="0000FF"/>
              </w:rPr>
              <w:t>by and between Icahn School of Medicine at Mount Sinai and the Company.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3"/>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10.20#</w:t>
            </w:r>
          </w:p>
        </w:tc>
        <w:tc>
          <w:tcPr>
            <w:tcW w:w="5520" w:type="dxa"/>
            <w:vAlign w:val="bottom"/>
            <w:tcBorders>
              <w:top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rPr>
              <w:t>Non-Exclusive Patent License Agreement, dated as of June 1, 2017, by and</w:t>
            </w:r>
          </w:p>
        </w:tc>
        <w:tc>
          <w:tcPr>
            <w:tcW w:w="14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60" w:type="dxa"/>
            <w:vAlign w:val="bottom"/>
          </w:tcPr>
          <w:p>
            <w:pPr>
              <w:spacing w:after="0"/>
              <w:rPr>
                <w:sz w:val="15"/>
                <w:szCs w:val="15"/>
                <w:color w:val="auto"/>
              </w:rPr>
            </w:pPr>
          </w:p>
        </w:tc>
        <w:tc>
          <w:tcPr>
            <w:tcW w:w="5000" w:type="dxa"/>
            <w:vAlign w:val="bottom"/>
            <w:tcBorders>
              <w:top w:val="single" w:sz="8" w:color="0000FF"/>
              <w:bottom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w w:val="99"/>
              </w:rPr>
              <w:t>between the Company and Icahn School of Medicine at Mount Sinai.</w:t>
            </w:r>
          </w:p>
        </w:tc>
        <w:tc>
          <w:tcPr>
            <w:tcW w:w="50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3"/>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10.21#</w:t>
            </w:r>
          </w:p>
        </w:tc>
        <w:tc>
          <w:tcPr>
            <w:tcW w:w="56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Supply Agreement, dated as of June 20, 2014, by and between the Company</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07/28/2021</w:t>
            </w:r>
          </w:p>
        </w:tc>
      </w:tr>
      <w:tr>
        <w:trPr>
          <w:trHeight w:val="182"/>
        </w:trPr>
        <w:tc>
          <w:tcPr>
            <w:tcW w:w="760" w:type="dxa"/>
            <w:vAlign w:val="bottom"/>
          </w:tcPr>
          <w:p>
            <w:pPr>
              <w:spacing w:after="0"/>
              <w:rPr>
                <w:sz w:val="15"/>
                <w:szCs w:val="15"/>
                <w:color w:val="auto"/>
              </w:rPr>
            </w:pPr>
          </w:p>
        </w:tc>
        <w:tc>
          <w:tcPr>
            <w:tcW w:w="3200" w:type="dxa"/>
            <w:vAlign w:val="bottom"/>
            <w:tcBorders>
              <w:top w:val="single" w:sz="8" w:color="0000FF"/>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and Illumina, Inc., and amendments thereto.</w:t>
            </w:r>
          </w:p>
        </w:tc>
        <w:tc>
          <w:tcPr>
            <w:tcW w:w="2360" w:type="dxa"/>
            <w:vAlign w:val="bottom"/>
            <w:tcBorders>
              <w:top w:val="single" w:sz="8" w:color="0000FF"/>
            </w:tcBorders>
            <w:gridSpan w:val="2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3"/>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10.22*</w:t>
            </w:r>
          </w:p>
        </w:tc>
        <w:tc>
          <w:tcPr>
            <w:tcW w:w="566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18"/>
                <w:szCs w:val="18"/>
                <w:color w:val="0000FF"/>
              </w:rPr>
              <w:t>Mount Sinai Genomics, Inc. 2017 Equity Incentive Plan, as amended, and</w:t>
            </w:r>
          </w:p>
        </w:tc>
        <w:tc>
          <w:tcPr>
            <w:tcW w:w="40" w:type="dxa"/>
            <w:vAlign w:val="bottom"/>
            <w:tcBorders>
              <w:bottom w:val="single" w:sz="8" w:color="0000FF"/>
            </w:tcBorders>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09/27/2021</w:t>
            </w:r>
          </w:p>
        </w:tc>
      </w:tr>
      <w:tr>
        <w:trPr>
          <w:trHeight w:val="182"/>
        </w:trPr>
        <w:tc>
          <w:tcPr>
            <w:tcW w:w="760" w:type="dxa"/>
            <w:vAlign w:val="bottom"/>
          </w:tcPr>
          <w:p>
            <w:pPr>
              <w:spacing w:after="0"/>
              <w:rPr>
                <w:sz w:val="15"/>
                <w:szCs w:val="15"/>
                <w:color w:val="auto"/>
              </w:rPr>
            </w:pPr>
          </w:p>
        </w:tc>
        <w:tc>
          <w:tcPr>
            <w:tcW w:w="2880" w:type="dxa"/>
            <w:vAlign w:val="bottom"/>
            <w:tcBorders>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forms of equity agreements thereunder.</w:t>
            </w:r>
          </w:p>
        </w:tc>
        <w:tc>
          <w:tcPr>
            <w:tcW w:w="2780" w:type="dxa"/>
            <w:vAlign w:val="bottom"/>
            <w:gridSpan w:val="33"/>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3"/>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10.23</w:t>
            </w:r>
          </w:p>
        </w:tc>
        <w:tc>
          <w:tcPr>
            <w:tcW w:w="566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18"/>
                <w:szCs w:val="18"/>
                <w:color w:val="0000FF"/>
              </w:rPr>
              <w:t>Loan and Security Agreement, dated as of November 15, 2021, between</w:t>
            </w:r>
          </w:p>
        </w:tc>
        <w:tc>
          <w:tcPr>
            <w:tcW w:w="40" w:type="dxa"/>
            <w:vAlign w:val="bottom"/>
            <w:tcBorders>
              <w:bottom w:val="single" w:sz="8" w:color="0000FF"/>
            </w:tcBorders>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11/15/2021</w:t>
            </w:r>
          </w:p>
        </w:tc>
      </w:tr>
      <w:tr>
        <w:trPr>
          <w:trHeight w:val="182"/>
        </w:trPr>
        <w:tc>
          <w:tcPr>
            <w:tcW w:w="760" w:type="dxa"/>
            <w:vAlign w:val="bottom"/>
          </w:tcPr>
          <w:p>
            <w:pPr>
              <w:spacing w:after="0"/>
              <w:rPr>
                <w:sz w:val="15"/>
                <w:szCs w:val="15"/>
                <w:color w:val="auto"/>
              </w:rPr>
            </w:pPr>
          </w:p>
        </w:tc>
        <w:tc>
          <w:tcPr>
            <w:tcW w:w="4240" w:type="dxa"/>
            <w:vAlign w:val="bottom"/>
            <w:tcBorders>
              <w:bottom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Silicon Valley Bank, the Company and Sema4 OpCo, Inc.</w:t>
            </w:r>
          </w:p>
        </w:tc>
        <w:tc>
          <w:tcPr>
            <w:tcW w:w="1420" w:type="dxa"/>
            <w:vAlign w:val="bottom"/>
            <w:gridSpan w:val="25"/>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3"/>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10.24</w:t>
            </w:r>
          </w:p>
        </w:tc>
        <w:tc>
          <w:tcPr>
            <w:tcW w:w="56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Subscription Agreement, dated as of February 9, 2021, by and among the</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02/11/2021</w:t>
            </w:r>
          </w:p>
        </w:tc>
      </w:tr>
      <w:tr>
        <w:trPr>
          <w:trHeight w:val="182"/>
        </w:trPr>
        <w:tc>
          <w:tcPr>
            <w:tcW w:w="760" w:type="dxa"/>
            <w:vAlign w:val="bottom"/>
          </w:tcPr>
          <w:p>
            <w:pPr>
              <w:spacing w:after="0"/>
              <w:rPr>
                <w:sz w:val="15"/>
                <w:szCs w:val="15"/>
                <w:color w:val="auto"/>
              </w:rPr>
            </w:pPr>
          </w:p>
        </w:tc>
        <w:tc>
          <w:tcPr>
            <w:tcW w:w="3180" w:type="dxa"/>
            <w:vAlign w:val="bottom"/>
            <w:tcBorders>
              <w:top w:val="single" w:sz="8" w:color="0000FF"/>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9"/>
              </w:rPr>
              <w:t>Company and the subscriber parties thereto.</w:t>
            </w:r>
          </w:p>
        </w:tc>
        <w:tc>
          <w:tcPr>
            <w:tcW w:w="2140" w:type="dxa"/>
            <w:vAlign w:val="bottom"/>
            <w:tcBorders>
              <w:top w:val="single" w:sz="8" w:color="0000FF"/>
            </w:tcBorders>
            <w:gridSpan w:val="21"/>
          </w:tcPr>
          <w:p>
            <w:pPr>
              <w:spacing w:after="0"/>
              <w:rPr>
                <w:sz w:val="15"/>
                <w:szCs w:val="15"/>
                <w:color w:val="auto"/>
              </w:rPr>
            </w:pPr>
          </w:p>
        </w:tc>
        <w:tc>
          <w:tcPr>
            <w:tcW w:w="1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3"/>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10.25</w:t>
            </w:r>
          </w:p>
        </w:tc>
        <w:tc>
          <w:tcPr>
            <w:tcW w:w="566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18"/>
                <w:szCs w:val="18"/>
                <w:color w:val="0000FF"/>
              </w:rPr>
              <w:t>Form of Subscription Agreement, dated as of January 14, 2022 by and among</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01/18/2022</w:t>
            </w:r>
          </w:p>
        </w:tc>
      </w:tr>
      <w:tr>
        <w:trPr>
          <w:trHeight w:val="182"/>
        </w:trPr>
        <w:tc>
          <w:tcPr>
            <w:tcW w:w="760" w:type="dxa"/>
            <w:vAlign w:val="bottom"/>
          </w:tcPr>
          <w:p>
            <w:pPr>
              <w:spacing w:after="0"/>
              <w:rPr>
                <w:sz w:val="15"/>
                <w:szCs w:val="15"/>
                <w:color w:val="auto"/>
              </w:rPr>
            </w:pPr>
          </w:p>
        </w:tc>
        <w:tc>
          <w:tcPr>
            <w:tcW w:w="5660" w:type="dxa"/>
            <w:vAlign w:val="bottom"/>
            <w:gridSpan w:val="39"/>
          </w:tcPr>
          <w:p>
            <w:pPr>
              <w:spacing w:after="0" w:line="182" w:lineRule="exact"/>
              <w:rPr>
                <w:sz w:val="20"/>
                <w:szCs w:val="20"/>
                <w:color w:val="auto"/>
              </w:rPr>
            </w:pPr>
            <w:r>
              <w:rPr>
                <w:rFonts w:ascii="Times New Roman" w:cs="Times New Roman" w:eastAsia="Times New Roman" w:hAnsi="Times New Roman"/>
                <w:sz w:val="18"/>
                <w:szCs w:val="18"/>
                <w:color w:val="0000FF"/>
              </w:rPr>
              <w:t>the Company and the subscriber parties thereto.</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27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3"/>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10.26</w:t>
            </w:r>
          </w:p>
        </w:tc>
        <w:tc>
          <w:tcPr>
            <w:tcW w:w="56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Form of Shareholder Agreement, dated as of January 14, 2022 by and among</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01/18/2022</w:t>
            </w:r>
          </w:p>
        </w:tc>
      </w:tr>
      <w:tr>
        <w:trPr>
          <w:trHeight w:val="182"/>
        </w:trPr>
        <w:tc>
          <w:tcPr>
            <w:tcW w:w="760" w:type="dxa"/>
            <w:vAlign w:val="bottom"/>
          </w:tcPr>
          <w:p>
            <w:pPr>
              <w:spacing w:after="0"/>
              <w:rPr>
                <w:sz w:val="15"/>
                <w:szCs w:val="15"/>
                <w:color w:val="auto"/>
              </w:rPr>
            </w:pPr>
          </w:p>
        </w:tc>
        <w:tc>
          <w:tcPr>
            <w:tcW w:w="4300" w:type="dxa"/>
            <w:vAlign w:val="bottom"/>
            <w:tcBorders>
              <w:top w:val="single" w:sz="8" w:color="0000FF"/>
              <w:bottom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w w:val="99"/>
              </w:rPr>
              <w:t>the Company and the stockholder parties identified therein.</w:t>
            </w:r>
          </w:p>
        </w:tc>
        <w:tc>
          <w:tcPr>
            <w:tcW w:w="1320" w:type="dxa"/>
            <w:vAlign w:val="bottom"/>
            <w:tcBorders>
              <w:top w:val="single" w:sz="8" w:color="0000FF"/>
            </w:tcBorders>
            <w:gridSpan w:val="2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3"/>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10.27</w:t>
            </w:r>
          </w:p>
        </w:tc>
        <w:tc>
          <w:tcPr>
            <w:tcW w:w="56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Form of Support Agreement dated as of January 14, 2022 by and among the</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01/18/2022</w:t>
            </w:r>
          </w:p>
        </w:tc>
      </w:tr>
      <w:tr>
        <w:trPr>
          <w:trHeight w:val="182"/>
        </w:trPr>
        <w:tc>
          <w:tcPr>
            <w:tcW w:w="760" w:type="dxa"/>
            <w:vAlign w:val="bottom"/>
          </w:tcPr>
          <w:p>
            <w:pPr>
              <w:spacing w:after="0"/>
              <w:rPr>
                <w:sz w:val="15"/>
                <w:szCs w:val="15"/>
                <w:color w:val="auto"/>
              </w:rPr>
            </w:pPr>
          </w:p>
        </w:tc>
        <w:tc>
          <w:tcPr>
            <w:tcW w:w="4020" w:type="dxa"/>
            <w:vAlign w:val="bottom"/>
            <w:tcBorders>
              <w:top w:val="single" w:sz="8" w:color="0000FF"/>
              <w:bottom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w w:val="99"/>
              </w:rPr>
              <w:t>Company and the stockholder parties identified therein.</w:t>
            </w:r>
          </w:p>
        </w:tc>
        <w:tc>
          <w:tcPr>
            <w:tcW w:w="1500" w:type="dxa"/>
            <w:vAlign w:val="bottom"/>
            <w:tcBorders>
              <w:top w:val="single" w:sz="8" w:color="0000FF"/>
            </w:tcBorders>
            <w:gridSpan w:val="20"/>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3"/>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10.28</w:t>
            </w:r>
          </w:p>
        </w:tc>
        <w:tc>
          <w:tcPr>
            <w:tcW w:w="56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Form of Lock-Up Agreement, by and among the Company and the</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01/18/2022</w:t>
            </w:r>
          </w:p>
        </w:tc>
      </w:tr>
      <w:tr>
        <w:trPr>
          <w:trHeight w:val="182"/>
        </w:trPr>
        <w:tc>
          <w:tcPr>
            <w:tcW w:w="760" w:type="dxa"/>
            <w:vAlign w:val="bottom"/>
          </w:tcPr>
          <w:p>
            <w:pPr>
              <w:spacing w:after="0"/>
              <w:rPr>
                <w:sz w:val="15"/>
                <w:szCs w:val="15"/>
                <w:color w:val="auto"/>
              </w:rPr>
            </w:pPr>
          </w:p>
        </w:tc>
        <w:tc>
          <w:tcPr>
            <w:tcW w:w="270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8"/>
              </w:rPr>
              <w:t>stockholder parties identified therein.</w:t>
            </w:r>
          </w:p>
        </w:tc>
        <w:tc>
          <w:tcPr>
            <w:tcW w:w="2160" w:type="dxa"/>
            <w:vAlign w:val="bottom"/>
            <w:tcBorders>
              <w:top w:val="single" w:sz="8" w:color="0000FF"/>
            </w:tcBorders>
            <w:gridSpan w:val="15"/>
          </w:tcPr>
          <w:p>
            <w:pPr>
              <w:spacing w:after="0"/>
              <w:rPr>
                <w:sz w:val="15"/>
                <w:szCs w:val="15"/>
                <w:color w:val="auto"/>
              </w:rPr>
            </w:pPr>
          </w:p>
        </w:tc>
        <w:tc>
          <w:tcPr>
            <w:tcW w:w="20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380" w:type="dxa"/>
            <w:vAlign w:val="bottom"/>
            <w:gridSpan w:val="8"/>
          </w:tcPr>
          <w:p>
            <w:pPr>
              <w:spacing w:after="0"/>
              <w:rPr>
                <w:sz w:val="15"/>
                <w:szCs w:val="15"/>
                <w:color w:val="auto"/>
              </w:rPr>
            </w:pPr>
          </w:p>
        </w:tc>
        <w:tc>
          <w:tcPr>
            <w:tcW w:w="12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3"/>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10.29*</w:t>
            </w:r>
          </w:p>
        </w:tc>
        <w:tc>
          <w:tcPr>
            <w:tcW w:w="56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Executive Chairman Agreement, dated as of January 17, 2022, by and</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03/14/2022</w:t>
            </w:r>
          </w:p>
        </w:tc>
      </w:tr>
      <w:tr>
        <w:trPr>
          <w:trHeight w:val="182"/>
        </w:trPr>
        <w:tc>
          <w:tcPr>
            <w:tcW w:w="760" w:type="dxa"/>
            <w:vAlign w:val="bottom"/>
          </w:tcPr>
          <w:p>
            <w:pPr>
              <w:spacing w:after="0"/>
              <w:rPr>
                <w:sz w:val="15"/>
                <w:szCs w:val="15"/>
                <w:color w:val="auto"/>
              </w:rPr>
            </w:pPr>
          </w:p>
        </w:tc>
        <w:tc>
          <w:tcPr>
            <w:tcW w:w="284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9"/>
              </w:rPr>
              <w:t>between the Company and Jason Ryan.</w:t>
            </w:r>
          </w:p>
        </w:tc>
        <w:tc>
          <w:tcPr>
            <w:tcW w:w="2260" w:type="dxa"/>
            <w:vAlign w:val="bottom"/>
            <w:tcBorders>
              <w:top w:val="single" w:sz="8" w:color="0000FF"/>
            </w:tcBorders>
            <w:gridSpan w:val="18"/>
          </w:tcPr>
          <w:p>
            <w:pPr>
              <w:spacing w:after="0"/>
              <w:rPr>
                <w:sz w:val="15"/>
                <w:szCs w:val="15"/>
                <w:color w:val="auto"/>
              </w:rPr>
            </w:pPr>
          </w:p>
        </w:tc>
        <w:tc>
          <w:tcPr>
            <w:tcW w:w="380" w:type="dxa"/>
            <w:vAlign w:val="bottom"/>
            <w:gridSpan w:val="8"/>
          </w:tcPr>
          <w:p>
            <w:pPr>
              <w:spacing w:after="0"/>
              <w:rPr>
                <w:sz w:val="15"/>
                <w:szCs w:val="15"/>
                <w:color w:val="auto"/>
              </w:rPr>
            </w:pPr>
          </w:p>
        </w:tc>
        <w:tc>
          <w:tcPr>
            <w:tcW w:w="12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3"/>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10.30*</w:t>
            </w:r>
          </w:p>
        </w:tc>
        <w:tc>
          <w:tcPr>
            <w:tcW w:w="39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Amendment No. 1 to Executive Chairman Agreement.</w:t>
            </w:r>
          </w:p>
        </w:tc>
        <w:tc>
          <w:tcPr>
            <w:tcW w:w="1700" w:type="dxa"/>
            <w:vAlign w:val="bottom"/>
            <w:gridSpan w:val="28"/>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04/14/2023</w:t>
            </w:r>
          </w:p>
        </w:tc>
      </w:tr>
      <w:tr>
        <w:trPr>
          <w:trHeight w:val="295"/>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10.31+</w:t>
            </w:r>
          </w:p>
        </w:tc>
        <w:tc>
          <w:tcPr>
            <w:tcW w:w="56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Transition Services Agreement, dated as of April 29, 2022, by and between</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05/02/2022</w:t>
            </w:r>
          </w:p>
        </w:tc>
      </w:tr>
      <w:tr>
        <w:trPr>
          <w:trHeight w:val="182"/>
        </w:trPr>
        <w:tc>
          <w:tcPr>
            <w:tcW w:w="760" w:type="dxa"/>
            <w:vAlign w:val="bottom"/>
          </w:tcPr>
          <w:p>
            <w:pPr>
              <w:spacing w:after="0"/>
              <w:rPr>
                <w:sz w:val="15"/>
                <w:szCs w:val="15"/>
                <w:color w:val="auto"/>
              </w:rPr>
            </w:pPr>
          </w:p>
        </w:tc>
        <w:tc>
          <w:tcPr>
            <w:tcW w:w="5480" w:type="dxa"/>
            <w:vAlign w:val="bottom"/>
            <w:tcBorders>
              <w:top w:val="single" w:sz="8" w:color="0000FF"/>
            </w:tcBorders>
            <w:gridSpan w:val="31"/>
          </w:tcPr>
          <w:p>
            <w:pPr>
              <w:spacing w:after="0" w:line="182" w:lineRule="exact"/>
              <w:rPr>
                <w:sz w:val="20"/>
                <w:szCs w:val="20"/>
                <w:color w:val="auto"/>
              </w:rPr>
            </w:pPr>
            <w:r>
              <w:rPr>
                <w:rFonts w:ascii="Times New Roman" w:cs="Times New Roman" w:eastAsia="Times New Roman" w:hAnsi="Times New Roman"/>
                <w:sz w:val="18"/>
                <w:szCs w:val="18"/>
                <w:color w:val="0000FF"/>
              </w:rPr>
              <w:t>GeneDx, Inc. and OPKO Health, Inc.</w:t>
            </w:r>
          </w:p>
        </w:tc>
        <w:tc>
          <w:tcPr>
            <w:tcW w:w="12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2700" w:type="dxa"/>
            <w:vAlign w:val="bottom"/>
            <w:tcBorders>
              <w:right w:val="single" w:sz="8" w:color="0000FF"/>
            </w:tcBorders>
            <w:gridSpan w:val="4"/>
            <w:shd w:val="clear" w:color="auto" w:fill="0000FF"/>
          </w:tcPr>
          <w:p>
            <w:pPr>
              <w:spacing w:after="0" w:line="20" w:lineRule="exact"/>
              <w:rPr>
                <w:sz w:val="1"/>
                <w:szCs w:val="1"/>
                <w:color w:val="auto"/>
              </w:rPr>
            </w:pPr>
          </w:p>
        </w:tc>
        <w:tc>
          <w:tcPr>
            <w:tcW w:w="2100" w:type="dxa"/>
            <w:vAlign w:val="bottom"/>
            <w:gridSpan w:val="1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540" w:type="dxa"/>
            <w:vAlign w:val="bottom"/>
            <w:gridSpan w:val="1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3"/>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10.32*</w:t>
            </w:r>
          </w:p>
        </w:tc>
        <w:tc>
          <w:tcPr>
            <w:tcW w:w="56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Employment Agreement, dated as of January 14, 2022, as amended April 29,</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05/02/2022</w:t>
            </w:r>
          </w:p>
        </w:tc>
      </w:tr>
      <w:tr>
        <w:trPr>
          <w:trHeight w:val="182"/>
        </w:trPr>
        <w:tc>
          <w:tcPr>
            <w:tcW w:w="760" w:type="dxa"/>
            <w:vAlign w:val="bottom"/>
          </w:tcPr>
          <w:p>
            <w:pPr>
              <w:spacing w:after="0"/>
              <w:rPr>
                <w:sz w:val="15"/>
                <w:szCs w:val="15"/>
                <w:color w:val="auto"/>
              </w:rPr>
            </w:pPr>
          </w:p>
        </w:tc>
        <w:tc>
          <w:tcPr>
            <w:tcW w:w="5060" w:type="dxa"/>
            <w:vAlign w:val="bottom"/>
            <w:tcBorders>
              <w:top w:val="single" w:sz="8" w:color="0000FF"/>
              <w:bottom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w w:val="99"/>
              </w:rPr>
              <w:t>2022, by and between Sema4 Holdings Corp. and Katherine Stueland.</w:t>
            </w:r>
          </w:p>
        </w:tc>
        <w:tc>
          <w:tcPr>
            <w:tcW w:w="540" w:type="dxa"/>
            <w:vAlign w:val="bottom"/>
            <w:tcBorders>
              <w:top w:val="single" w:sz="8" w:color="0000FF"/>
            </w:tcBorders>
            <w:gridSpan w:val="15"/>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3"/>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6"/>
              </w:rPr>
              <w:t>10.33*</w:t>
            </w:r>
          </w:p>
        </w:tc>
        <w:tc>
          <w:tcPr>
            <w:tcW w:w="48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Employment Agreement of Kevin Feeley, dated January 14, 2022.</w:t>
            </w:r>
          </w:p>
        </w:tc>
        <w:tc>
          <w:tcPr>
            <w:tcW w:w="860" w:type="dxa"/>
            <w:vAlign w:val="bottom"/>
            <w:gridSpan w:val="23"/>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03/16/2023</w:t>
            </w:r>
          </w:p>
        </w:tc>
      </w:tr>
    </w:tbl>
    <w:p>
      <w:pPr>
        <w:spacing w:after="0" w:line="200" w:lineRule="exact"/>
        <w:rPr>
          <w:sz w:val="20"/>
          <w:szCs w:val="20"/>
          <w:color w:val="auto"/>
        </w:rPr>
      </w:pPr>
    </w:p>
    <w:p>
      <w:pPr>
        <w:sectPr>
          <w:pgSz w:w="12240" w:h="15840" w:orient="portrait"/>
          <w:cols w:equalWidth="0" w:num="1">
            <w:col w:w="9900"/>
          </w:cols>
          <w:pgMar w:left="900" w:top="20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900"/>
          </w:cols>
          <w:pgMar w:left="900" w:top="208" w:right="144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280670</wp:posOffset>
            </wp:positionV>
            <wp:extent cx="6654800" cy="73469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9">
                      <a:extLst>
                        <a:ext uri="{28A0092B-C50C-407E-A947-70E740481C1C}"/>
                      </a:extLst>
                    </a:blip>
                    <a:srcRect/>
                    <a:stretch>
                      <a:fillRect/>
                    </a:stretch>
                  </pic:blipFill>
                  <pic:spPr bwMode="auto">
                    <a:xfrm>
                      <a:off x="0" y="0"/>
                      <a:ext cx="6654800" cy="73469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10.34*</w:t>
            </w:r>
          </w:p>
        </w:tc>
        <w:tc>
          <w:tcPr>
            <w:tcW w:w="56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Amendment No. 1 to the Employment Agreement of Kevin Feeley, dated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08/26/2022</w:t>
            </w:r>
          </w:p>
        </w:tc>
      </w:tr>
      <w:tr>
        <w:trPr>
          <w:trHeight w:val="182"/>
        </w:trPr>
        <w:tc>
          <w:tcPr>
            <w:tcW w:w="840" w:type="dxa"/>
            <w:vAlign w:val="bottom"/>
          </w:tcPr>
          <w:p>
            <w:pPr>
              <w:spacing w:after="0"/>
              <w:rPr>
                <w:sz w:val="15"/>
                <w:szCs w:val="15"/>
                <w:color w:val="auto"/>
              </w:rPr>
            </w:pPr>
          </w:p>
        </w:tc>
        <w:tc>
          <w:tcPr>
            <w:tcW w:w="534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August 25, 2022.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10.35#</w:t>
            </w:r>
          </w:p>
        </w:tc>
        <w:tc>
          <w:tcPr>
            <w:tcW w:w="566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Amendment No. 1 to BioMe Biospecimen and Data Access Agreement, dated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03/16/2023</w:t>
            </w:r>
          </w:p>
        </w:tc>
      </w:tr>
      <w:tr>
        <w:trPr>
          <w:trHeight w:val="182"/>
        </w:trPr>
        <w:tc>
          <w:tcPr>
            <w:tcW w:w="840" w:type="dxa"/>
            <w:vAlign w:val="bottom"/>
          </w:tcPr>
          <w:p>
            <w:pPr>
              <w:spacing w:after="0"/>
              <w:rPr>
                <w:sz w:val="15"/>
                <w:szCs w:val="15"/>
                <w:color w:val="auto"/>
              </w:rPr>
            </w:pPr>
          </w:p>
        </w:tc>
        <w:tc>
          <w:tcPr>
            <w:tcW w:w="5660" w:type="dxa"/>
            <w:vAlign w:val="bottom"/>
            <w:gridSpan w:val="29"/>
          </w:tcPr>
          <w:p>
            <w:pPr>
              <w:spacing w:after="0" w:line="182" w:lineRule="exact"/>
              <w:rPr>
                <w:sz w:val="20"/>
                <w:szCs w:val="20"/>
                <w:color w:val="auto"/>
              </w:rPr>
            </w:pPr>
            <w:r>
              <w:rPr>
                <w:rFonts w:ascii="Times New Roman" w:cs="Times New Roman" w:eastAsia="Times New Roman" w:hAnsi="Times New Roman"/>
                <w:sz w:val="18"/>
                <w:szCs w:val="18"/>
                <w:color w:val="0000FF"/>
              </w:rPr>
              <w:t>as of January 19, 2023, by and between Icahn School of Medicine at Mount</w:t>
            </w: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206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9"/>
              </w:rPr>
              <w:t>Sinai and Sema4 OpCo, Inc.</w:t>
            </w:r>
          </w:p>
        </w:tc>
        <w:tc>
          <w:tcPr>
            <w:tcW w:w="3480" w:type="dxa"/>
            <w:vAlign w:val="bottom"/>
            <w:tcBorders>
              <w:top w:val="single" w:sz="8" w:color="0000FF"/>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97"/>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10.36</w:t>
            </w:r>
          </w:p>
        </w:tc>
        <w:tc>
          <w:tcPr>
            <w:tcW w:w="2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2022 Replacement Promissory Note.</w:t>
            </w:r>
          </w:p>
        </w:tc>
        <w:tc>
          <w:tcPr>
            <w:tcW w:w="3000" w:type="dxa"/>
            <w:vAlign w:val="bottom"/>
            <w:gridSpan w:val="18"/>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03/16/2023</w:t>
            </w:r>
          </w:p>
        </w:tc>
      </w:tr>
      <w:tr>
        <w:trPr>
          <w:trHeight w:val="29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10.37</w:t>
            </w:r>
          </w:p>
        </w:tc>
        <w:tc>
          <w:tcPr>
            <w:tcW w:w="56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Credit Agreement and Guaranty, dated October 27, 2023, by and among the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10/30/2023</w:t>
            </w:r>
          </w:p>
        </w:tc>
      </w:tr>
      <w:tr>
        <w:trPr>
          <w:trHeight w:val="182"/>
        </w:trPr>
        <w:tc>
          <w:tcPr>
            <w:tcW w:w="840" w:type="dxa"/>
            <w:vAlign w:val="bottom"/>
          </w:tcPr>
          <w:p>
            <w:pPr>
              <w:spacing w:after="0"/>
              <w:rPr>
                <w:sz w:val="15"/>
                <w:szCs w:val="15"/>
                <w:color w:val="auto"/>
              </w:rPr>
            </w:pPr>
          </w:p>
        </w:tc>
        <w:tc>
          <w:tcPr>
            <w:tcW w:w="3600" w:type="dxa"/>
            <w:vAlign w:val="bottom"/>
            <w:tcBorders>
              <w:top w:val="single" w:sz="8" w:color="0000FF"/>
              <w:bottom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w w:val="99"/>
              </w:rPr>
              <w:t>Company and Perceptive Credit Holdings IV, LP.</w:t>
            </w:r>
          </w:p>
        </w:tc>
        <w:tc>
          <w:tcPr>
            <w:tcW w:w="198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03"/>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10.38</w:t>
            </w:r>
          </w:p>
        </w:tc>
        <w:tc>
          <w:tcPr>
            <w:tcW w:w="56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Security Agreement, dated October 27, 2023, by and among the Company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10/30/2023</w:t>
            </w:r>
          </w:p>
        </w:tc>
      </w:tr>
      <w:tr>
        <w:trPr>
          <w:trHeight w:val="182"/>
        </w:trPr>
        <w:tc>
          <w:tcPr>
            <w:tcW w:w="840" w:type="dxa"/>
            <w:vAlign w:val="bottom"/>
          </w:tcPr>
          <w:p>
            <w:pPr>
              <w:spacing w:after="0"/>
              <w:rPr>
                <w:sz w:val="15"/>
                <w:szCs w:val="15"/>
                <w:color w:val="auto"/>
              </w:rPr>
            </w:pPr>
          </w:p>
        </w:tc>
        <w:tc>
          <w:tcPr>
            <w:tcW w:w="2860" w:type="dxa"/>
            <w:vAlign w:val="bottom"/>
            <w:tcBorders>
              <w:top w:val="single" w:sz="8" w:color="0000FF"/>
              <w:bottom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9"/>
              </w:rPr>
              <w:t>and Perceptive Credit Holdings IV, LP.</w:t>
            </w:r>
          </w:p>
        </w:tc>
        <w:tc>
          <w:tcPr>
            <w:tcW w:w="2540" w:type="dxa"/>
            <w:vAlign w:val="bottom"/>
            <w:tcBorders>
              <w:top w:val="single" w:sz="8" w:color="0000FF"/>
            </w:tcBorders>
            <w:gridSpan w:val="6"/>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03"/>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10.39</w:t>
            </w:r>
          </w:p>
        </w:tc>
        <w:tc>
          <w:tcPr>
            <w:tcW w:w="2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Form of Subscription Agreement.</w:t>
            </w:r>
          </w:p>
        </w:tc>
        <w:tc>
          <w:tcPr>
            <w:tcW w:w="3220" w:type="dxa"/>
            <w:vAlign w:val="bottom"/>
            <w:gridSpan w:val="20"/>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01/30/2023</w:t>
            </w:r>
          </w:p>
        </w:tc>
      </w:tr>
      <w:tr>
        <w:trPr>
          <w:trHeight w:val="29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10.40+</w:t>
            </w:r>
          </w:p>
        </w:tc>
        <w:tc>
          <w:tcPr>
            <w:tcW w:w="56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Letter Agreement, Amendment No. 2 to Sub-Sublease, dated as of March 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05/09/2023</w:t>
            </w:r>
          </w:p>
        </w:tc>
      </w:tr>
      <w:tr>
        <w:trPr>
          <w:trHeight w:val="182"/>
        </w:trPr>
        <w:tc>
          <w:tcPr>
            <w:tcW w:w="840" w:type="dxa"/>
            <w:vAlign w:val="bottom"/>
          </w:tcPr>
          <w:p>
            <w:pPr>
              <w:spacing w:after="0"/>
              <w:rPr>
                <w:sz w:val="15"/>
                <w:szCs w:val="15"/>
                <w:color w:val="auto"/>
              </w:rPr>
            </w:pPr>
          </w:p>
        </w:tc>
        <w:tc>
          <w:tcPr>
            <w:tcW w:w="5640" w:type="dxa"/>
            <w:vAlign w:val="bottom"/>
            <w:tcBorders>
              <w:top w:val="single" w:sz="8" w:color="0000FF"/>
            </w:tcBorders>
            <w:gridSpan w:val="28"/>
          </w:tcPr>
          <w:p>
            <w:pPr>
              <w:spacing w:after="0" w:line="182" w:lineRule="exact"/>
              <w:rPr>
                <w:sz w:val="20"/>
                <w:szCs w:val="20"/>
                <w:color w:val="auto"/>
              </w:rPr>
            </w:pPr>
            <w:r>
              <w:rPr>
                <w:rFonts w:ascii="Times New Roman" w:cs="Times New Roman" w:eastAsia="Times New Roman" w:hAnsi="Times New Roman"/>
                <w:sz w:val="18"/>
                <w:szCs w:val="18"/>
                <w:color w:val="0000FF"/>
              </w:rPr>
              <w:t>2023, by and between Icahn School of Medicine at Mount Sinai and the</w:t>
            </w: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76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Company.</w:t>
            </w:r>
          </w:p>
        </w:tc>
        <w:tc>
          <w:tcPr>
            <w:tcW w:w="4460" w:type="dxa"/>
            <w:vAlign w:val="bottom"/>
            <w:tcBorders>
              <w:top w:val="single" w:sz="8" w:color="0000FF"/>
            </w:tcBorders>
            <w:gridSpan w:val="13"/>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97"/>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10.41*</w:t>
            </w:r>
          </w:p>
        </w:tc>
        <w:tc>
          <w:tcPr>
            <w:tcW w:w="56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Employment Agreement by and between Dr. Bryan Dechairo and GeneDx,</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01/02/2025</w:t>
            </w:r>
          </w:p>
        </w:tc>
      </w:tr>
      <w:tr>
        <w:trPr>
          <w:trHeight w:val="182"/>
        </w:trPr>
        <w:tc>
          <w:tcPr>
            <w:tcW w:w="840" w:type="dxa"/>
            <w:vAlign w:val="bottom"/>
          </w:tcPr>
          <w:p>
            <w:pPr>
              <w:spacing w:after="0"/>
              <w:rPr>
                <w:sz w:val="15"/>
                <w:szCs w:val="15"/>
                <w:color w:val="auto"/>
              </w:rPr>
            </w:pPr>
          </w:p>
        </w:tc>
        <w:tc>
          <w:tcPr>
            <w:tcW w:w="546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LLC, dated as of October 10, 2024.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8"/>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10.42*</w:t>
            </w:r>
          </w:p>
        </w:tc>
        <w:tc>
          <w:tcPr>
            <w:tcW w:w="56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Amendment to Form of Restricted Stock Unit Award Agreement under the</w:t>
            </w:r>
          </w:p>
        </w:tc>
        <w:tc>
          <w:tcPr>
            <w:tcW w:w="9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76"/>
              </w:rPr>
              <w:t>X</w:t>
            </w:r>
          </w:p>
        </w:tc>
      </w:tr>
      <w:tr>
        <w:trPr>
          <w:trHeight w:val="182"/>
        </w:trPr>
        <w:tc>
          <w:tcPr>
            <w:tcW w:w="840" w:type="dxa"/>
            <w:vAlign w:val="bottom"/>
          </w:tcPr>
          <w:p>
            <w:pPr>
              <w:spacing w:after="0"/>
              <w:rPr>
                <w:sz w:val="15"/>
                <w:szCs w:val="15"/>
                <w:color w:val="auto"/>
              </w:rPr>
            </w:pPr>
          </w:p>
        </w:tc>
        <w:tc>
          <w:tcPr>
            <w:tcW w:w="2200" w:type="dxa"/>
            <w:vAlign w:val="bottom"/>
            <w:tcBorders>
              <w:top w:val="single" w:sz="8" w:color="0000FF"/>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9"/>
              </w:rPr>
              <w:t>2023 Equity Inducement Plan.</w:t>
            </w:r>
          </w:p>
        </w:tc>
        <w:tc>
          <w:tcPr>
            <w:tcW w:w="3240" w:type="dxa"/>
            <w:vAlign w:val="bottom"/>
            <w:tcBorders>
              <w:top w:val="single" w:sz="8" w:color="0000FF"/>
            </w:tcBorders>
            <w:gridSpan w:val="1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03"/>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19.1</w:t>
            </w:r>
          </w:p>
        </w:tc>
        <w:tc>
          <w:tcPr>
            <w:tcW w:w="1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Insider Trading Policy.</w:t>
            </w:r>
          </w:p>
        </w:tc>
        <w:tc>
          <w:tcPr>
            <w:tcW w:w="3980" w:type="dxa"/>
            <w:vAlign w:val="bottom"/>
            <w:gridSpan w:val="26"/>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76"/>
              </w:rPr>
              <w:t>X</w:t>
            </w:r>
          </w:p>
        </w:tc>
      </w:tr>
      <w:tr>
        <w:trPr>
          <w:trHeight w:val="29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21.1</w:t>
            </w:r>
          </w:p>
        </w:tc>
        <w:tc>
          <w:tcPr>
            <w:tcW w:w="2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Subsidiaries of the Company.</w:t>
            </w:r>
          </w:p>
        </w:tc>
        <w:tc>
          <w:tcPr>
            <w:tcW w:w="3520" w:type="dxa"/>
            <w:vAlign w:val="bottom"/>
            <w:gridSpan w:val="23"/>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76"/>
              </w:rPr>
              <w:t>X</w:t>
            </w:r>
          </w:p>
        </w:tc>
      </w:tr>
      <w:tr>
        <w:trPr>
          <w:trHeight w:val="29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23.1</w:t>
            </w:r>
          </w:p>
        </w:tc>
        <w:tc>
          <w:tcPr>
            <w:tcW w:w="56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accounting firm for</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76"/>
              </w:rPr>
              <w:t>X</w:t>
            </w:r>
          </w:p>
        </w:tc>
      </w:tr>
      <w:tr>
        <w:trPr>
          <w:trHeight w:val="182"/>
        </w:trPr>
        <w:tc>
          <w:tcPr>
            <w:tcW w:w="840" w:type="dxa"/>
            <w:vAlign w:val="bottom"/>
          </w:tcPr>
          <w:p>
            <w:pPr>
              <w:spacing w:after="0"/>
              <w:rPr>
                <w:sz w:val="15"/>
                <w:szCs w:val="15"/>
                <w:color w:val="auto"/>
              </w:rPr>
            </w:pPr>
          </w:p>
        </w:tc>
        <w:tc>
          <w:tcPr>
            <w:tcW w:w="5560" w:type="dxa"/>
            <w:vAlign w:val="bottom"/>
            <w:tcBorders>
              <w:top w:val="single" w:sz="8" w:color="0000FF"/>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GeneDx Holdings Corp.</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10"/>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24.1</w:t>
            </w:r>
          </w:p>
        </w:tc>
        <w:tc>
          <w:tcPr>
            <w:tcW w:w="56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 to this Annual Report on Form</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840" w:type="dxa"/>
            <w:vAlign w:val="bottom"/>
          </w:tcPr>
          <w:p>
            <w:pPr>
              <w:spacing w:after="0"/>
              <w:rPr>
                <w:sz w:val="20"/>
                <w:szCs w:val="20"/>
                <w:color w:val="auto"/>
              </w:rPr>
            </w:pPr>
          </w:p>
        </w:tc>
        <w:tc>
          <w:tcPr>
            <w:tcW w:w="56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10-K).</w:t>
            </w: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84"/>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31.1</w:t>
            </w:r>
          </w:p>
        </w:tc>
        <w:tc>
          <w:tcPr>
            <w:tcW w:w="56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Securities Exchange</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76"/>
              </w:rPr>
              <w:t>X</w:t>
            </w:r>
          </w:p>
        </w:tc>
      </w:tr>
      <w:tr>
        <w:trPr>
          <w:trHeight w:val="182"/>
        </w:trPr>
        <w:tc>
          <w:tcPr>
            <w:tcW w:w="840" w:type="dxa"/>
            <w:vAlign w:val="bottom"/>
          </w:tcPr>
          <w:p>
            <w:pPr>
              <w:spacing w:after="0"/>
              <w:rPr>
                <w:sz w:val="15"/>
                <w:szCs w:val="15"/>
                <w:color w:val="auto"/>
              </w:rPr>
            </w:pPr>
          </w:p>
        </w:tc>
        <w:tc>
          <w:tcPr>
            <w:tcW w:w="5600" w:type="dxa"/>
            <w:vAlign w:val="bottom"/>
            <w:tcBorders>
              <w:top w:val="single" w:sz="8" w:color="0000FF"/>
            </w:tcBorders>
            <w:gridSpan w:val="26"/>
          </w:tcPr>
          <w:p>
            <w:pPr>
              <w:spacing w:after="0" w:line="182" w:lineRule="exact"/>
              <w:rPr>
                <w:sz w:val="20"/>
                <w:szCs w:val="20"/>
                <w:color w:val="auto"/>
              </w:rPr>
            </w:pPr>
            <w:r>
              <w:rPr>
                <w:rFonts w:ascii="Times New Roman" w:cs="Times New Roman" w:eastAsia="Times New Roman" w:hAnsi="Times New Roman"/>
                <w:sz w:val="18"/>
                <w:szCs w:val="18"/>
                <w:color w:val="0000FF"/>
              </w:rPr>
              <w:t>Act Rules 13a-14(a) and 15(d)-14(a), as adopted Pursuant to Section 302 of</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2380" w:type="dxa"/>
            <w:vAlign w:val="bottom"/>
            <w:tcBorders>
              <w:top w:val="single" w:sz="8" w:color="0000FF"/>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3140" w:type="dxa"/>
            <w:vAlign w:val="bottom"/>
            <w:tcBorders>
              <w:top w:val="single" w:sz="8" w:color="0000FF"/>
            </w:tcBorders>
            <w:gridSpan w:val="14"/>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97"/>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31.2</w:t>
            </w:r>
          </w:p>
        </w:tc>
        <w:tc>
          <w:tcPr>
            <w:tcW w:w="56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Securities Exchange</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76"/>
              </w:rPr>
              <w:t>X</w:t>
            </w:r>
          </w:p>
        </w:tc>
      </w:tr>
      <w:tr>
        <w:trPr>
          <w:trHeight w:val="182"/>
        </w:trPr>
        <w:tc>
          <w:tcPr>
            <w:tcW w:w="840" w:type="dxa"/>
            <w:vAlign w:val="bottom"/>
          </w:tcPr>
          <w:p>
            <w:pPr>
              <w:spacing w:after="0"/>
              <w:rPr>
                <w:sz w:val="15"/>
                <w:szCs w:val="15"/>
                <w:color w:val="auto"/>
              </w:rPr>
            </w:pPr>
          </w:p>
        </w:tc>
        <w:tc>
          <w:tcPr>
            <w:tcW w:w="550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Act Rules 13a-14(a) and 15(d)-14(a), as adopted Pursuant to Section 302 of</w:t>
            </w:r>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2380" w:type="dxa"/>
            <w:vAlign w:val="bottom"/>
            <w:tcBorders>
              <w:top w:val="single" w:sz="8" w:color="0000FF"/>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3140" w:type="dxa"/>
            <w:vAlign w:val="bottom"/>
            <w:tcBorders>
              <w:top w:val="single" w:sz="8" w:color="0000FF"/>
            </w:tcBorders>
            <w:gridSpan w:val="14"/>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97"/>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32.1**</w:t>
            </w:r>
          </w:p>
        </w:tc>
        <w:tc>
          <w:tcPr>
            <w:tcW w:w="53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280" w:type="dxa"/>
            <w:vAlign w:val="bottom"/>
            <w:gridSpan w:val="12"/>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76"/>
              </w:rPr>
              <w:t>X</w:t>
            </w:r>
          </w:p>
        </w:tc>
      </w:tr>
      <w:tr>
        <w:trPr>
          <w:trHeight w:val="182"/>
        </w:trPr>
        <w:tc>
          <w:tcPr>
            <w:tcW w:w="840" w:type="dxa"/>
            <w:vAlign w:val="bottom"/>
          </w:tcPr>
          <w:p>
            <w:pPr>
              <w:spacing w:after="0"/>
              <w:rPr>
                <w:sz w:val="15"/>
                <w:szCs w:val="15"/>
                <w:color w:val="auto"/>
              </w:rPr>
            </w:pPr>
          </w:p>
        </w:tc>
        <w:tc>
          <w:tcPr>
            <w:tcW w:w="5620" w:type="dxa"/>
            <w:vAlign w:val="bottom"/>
            <w:tcBorders>
              <w:bottom w:val="single" w:sz="8" w:color="0000FF"/>
            </w:tcBorders>
            <w:gridSpan w:val="27"/>
          </w:tcPr>
          <w:p>
            <w:pPr>
              <w:spacing w:after="0" w:line="182"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 2002.</w:t>
            </w:r>
          </w:p>
        </w:tc>
        <w:tc>
          <w:tcPr>
            <w:tcW w:w="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03"/>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32.2**</w:t>
            </w:r>
          </w:p>
        </w:tc>
        <w:tc>
          <w:tcPr>
            <w:tcW w:w="5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340" w:type="dxa"/>
            <w:vAlign w:val="bottom"/>
            <w:gridSpan w:val="14"/>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76"/>
              </w:rPr>
              <w:t>X</w:t>
            </w:r>
          </w:p>
        </w:tc>
      </w:tr>
      <w:tr>
        <w:trPr>
          <w:trHeight w:val="182"/>
        </w:trPr>
        <w:tc>
          <w:tcPr>
            <w:tcW w:w="840" w:type="dxa"/>
            <w:vAlign w:val="bottom"/>
          </w:tcPr>
          <w:p>
            <w:pPr>
              <w:spacing w:after="0"/>
              <w:rPr>
                <w:sz w:val="15"/>
                <w:szCs w:val="15"/>
                <w:color w:val="auto"/>
              </w:rPr>
            </w:pPr>
          </w:p>
        </w:tc>
        <w:tc>
          <w:tcPr>
            <w:tcW w:w="5620" w:type="dxa"/>
            <w:vAlign w:val="bottom"/>
            <w:tcBorders>
              <w:bottom w:val="single" w:sz="8" w:color="0000FF"/>
            </w:tcBorders>
            <w:gridSpan w:val="27"/>
          </w:tcPr>
          <w:p>
            <w:pPr>
              <w:spacing w:after="0" w:line="182"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 2002.</w:t>
            </w:r>
          </w:p>
        </w:tc>
        <w:tc>
          <w:tcPr>
            <w:tcW w:w="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42"/>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97.1</w:t>
            </w:r>
          </w:p>
        </w:tc>
        <w:tc>
          <w:tcPr>
            <w:tcW w:w="56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Policy Relating to Recovery of Erroneously Awarded Compensation.</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76"/>
              </w:rPr>
              <w:t>X</w:t>
            </w:r>
          </w:p>
        </w:tc>
      </w:tr>
      <w:tr>
        <w:trPr>
          <w:trHeight w:val="31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101.INS</w:t>
            </w:r>
          </w:p>
        </w:tc>
        <w:tc>
          <w:tcPr>
            <w:tcW w:w="56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76"/>
              </w:rPr>
              <w:t>X</w:t>
            </w:r>
          </w:p>
        </w:tc>
      </w:tr>
      <w:tr>
        <w:trPr>
          <w:trHeight w:val="31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101.CAL</w:t>
            </w:r>
          </w:p>
        </w:tc>
        <w:tc>
          <w:tcPr>
            <w:tcW w:w="56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76"/>
              </w:rPr>
              <w:t>X</w:t>
            </w:r>
          </w:p>
        </w:tc>
      </w:tr>
      <w:tr>
        <w:trPr>
          <w:trHeight w:val="31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101.SCH</w:t>
            </w:r>
          </w:p>
        </w:tc>
        <w:tc>
          <w:tcPr>
            <w:tcW w:w="56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76"/>
              </w:rPr>
              <w:t>X</w:t>
            </w:r>
          </w:p>
        </w:tc>
      </w:tr>
      <w:tr>
        <w:trPr>
          <w:trHeight w:val="31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101.DEF</w:t>
            </w:r>
          </w:p>
        </w:tc>
        <w:tc>
          <w:tcPr>
            <w:tcW w:w="56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76"/>
              </w:rPr>
              <w:t>X</w:t>
            </w:r>
          </w:p>
        </w:tc>
      </w:tr>
      <w:tr>
        <w:trPr>
          <w:trHeight w:val="31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101.LAB</w:t>
            </w:r>
          </w:p>
        </w:tc>
        <w:tc>
          <w:tcPr>
            <w:tcW w:w="56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76"/>
              </w:rPr>
              <w:t>X</w:t>
            </w:r>
          </w:p>
        </w:tc>
      </w:tr>
      <w:tr>
        <w:trPr>
          <w:trHeight w:val="315"/>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101.PRE</w:t>
            </w:r>
          </w:p>
        </w:tc>
        <w:tc>
          <w:tcPr>
            <w:tcW w:w="56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76"/>
              </w:rPr>
              <w:t>X</w:t>
            </w:r>
          </w:p>
        </w:tc>
      </w:tr>
      <w:tr>
        <w:trPr>
          <w:trHeight w:val="282"/>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104</w:t>
            </w:r>
          </w:p>
        </w:tc>
        <w:tc>
          <w:tcPr>
            <w:tcW w:w="56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840" w:type="dxa"/>
            <w:vAlign w:val="bottom"/>
          </w:tcPr>
          <w:p>
            <w:pPr>
              <w:spacing w:after="0"/>
              <w:rPr>
                <w:sz w:val="20"/>
                <w:szCs w:val="20"/>
                <w:color w:val="auto"/>
              </w:rPr>
            </w:pPr>
          </w:p>
        </w:tc>
        <w:tc>
          <w:tcPr>
            <w:tcW w:w="56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taxonomy extension information contained in Exhibits 101.)</w:t>
            </w: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183" w:lineRule="exact"/>
        <w:rPr>
          <w:sz w:val="20"/>
          <w:szCs w:val="20"/>
          <w:color w:val="auto"/>
        </w:rPr>
      </w:pPr>
    </w:p>
    <w:p>
      <w:pPr>
        <w:ind w:left="60" w:right="6320" w:hanging="7"/>
        <w:spacing w:after="0" w:line="268" w:lineRule="auto"/>
        <w:tabs>
          <w:tab w:leader="none" w:pos="4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 ** Furnished.</w:t>
      </w:r>
    </w:p>
    <w:p>
      <w:pPr>
        <w:spacing w:after="0" w:line="2" w:lineRule="exact"/>
        <w:rPr>
          <w:sz w:val="20"/>
          <w:szCs w:val="20"/>
          <w:color w:val="auto"/>
        </w:rPr>
      </w:pPr>
    </w:p>
    <w:p>
      <w:pPr>
        <w:ind w:left="420" w:right="40" w:hanging="367"/>
        <w:spacing w:after="0" w:line="255" w:lineRule="auto"/>
        <w:tabs>
          <w:tab w:leader="none" w:pos="4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1" w:lineRule="exact"/>
        <w:rPr>
          <w:sz w:val="20"/>
          <w:szCs w:val="20"/>
          <w:color w:val="auto"/>
        </w:rPr>
      </w:pPr>
    </w:p>
    <w:p>
      <w:pPr>
        <w:ind w:left="420" w:hanging="367"/>
        <w:spacing w:after="0"/>
        <w:tabs>
          <w:tab w:leader="none" w:pos="4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omitted portions of the exhibit as permitted under Regulation S-K Item 601(b)(10).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9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We may voluntarily include a summary of information required by Form 10-K under this Item 16. We have elected not to include such summary information.</w:t>
      </w:r>
    </w:p>
    <w:p>
      <w:pPr>
        <w:sectPr>
          <w:pgSz w:w="12240" w:h="15840" w:orient="portrait"/>
          <w:cols w:equalWidth="0" w:num="1">
            <w:col w:w="10360"/>
          </w:cols>
          <w:pgMar w:left="900" w:top="208" w:right="980" w:bottom="0" w:gutter="0" w:footer="0" w:header="0"/>
        </w:sect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360"/>
          </w:cols>
          <w:pgMar w:left="900" w:top="208" w:right="980"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7"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64"/>
        </w:trPr>
        <w:tc>
          <w:tcPr>
            <w:tcW w:w="3740" w:type="dxa"/>
            <w:vAlign w:val="bottom"/>
          </w:tcPr>
          <w:p>
            <w:pPr>
              <w:spacing w:after="0"/>
              <w:rPr>
                <w:sz w:val="22"/>
                <w:szCs w:val="22"/>
                <w:color w:val="auto"/>
              </w:rPr>
            </w:pPr>
          </w:p>
        </w:tc>
        <w:tc>
          <w:tcPr>
            <w:tcW w:w="6620" w:type="dxa"/>
            <w:vAlign w:val="bottom"/>
            <w:gridSpan w:val="2"/>
          </w:tcPr>
          <w:p>
            <w:pPr>
              <w:ind w:left="1480"/>
              <w:spacing w:after="0"/>
              <w:rPr>
                <w:sz w:val="20"/>
                <w:szCs w:val="20"/>
                <w:color w:val="auto"/>
              </w:rPr>
            </w:pPr>
            <w:r>
              <w:rPr>
                <w:rFonts w:ascii="Times New Roman" w:cs="Times New Roman" w:eastAsia="Times New Roman" w:hAnsi="Times New Roman"/>
                <w:sz w:val="20"/>
                <w:szCs w:val="20"/>
                <w:b w:val="1"/>
                <w:bCs w:val="1"/>
                <w:color w:val="auto"/>
              </w:rPr>
              <w:t>GENEDX HOLDINGS CORP.</w:t>
            </w:r>
          </w:p>
        </w:tc>
        <w:tc>
          <w:tcPr>
            <w:tcW w:w="0" w:type="dxa"/>
            <w:vAlign w:val="bottom"/>
          </w:tcPr>
          <w:p>
            <w:pPr>
              <w:spacing w:after="0"/>
              <w:rPr>
                <w:sz w:val="1"/>
                <w:szCs w:val="1"/>
                <w:color w:val="auto"/>
              </w:rPr>
            </w:pPr>
          </w:p>
        </w:tc>
      </w:tr>
      <w:tr>
        <w:trPr>
          <w:trHeight w:val="573"/>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20, 2025</w:t>
            </w:r>
          </w:p>
        </w:tc>
        <w:tc>
          <w:tcPr>
            <w:tcW w:w="222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By:</w:t>
            </w:r>
          </w:p>
        </w:tc>
        <w:tc>
          <w:tcPr>
            <w:tcW w:w="4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Katherine Stueland</w:t>
            </w:r>
          </w:p>
        </w:tc>
        <w:tc>
          <w:tcPr>
            <w:tcW w:w="0" w:type="dxa"/>
            <w:vAlign w:val="bottom"/>
          </w:tcPr>
          <w:p>
            <w:pPr>
              <w:spacing w:after="0"/>
              <w:rPr>
                <w:sz w:val="1"/>
                <w:szCs w:val="1"/>
                <w:color w:val="auto"/>
              </w:rPr>
            </w:pPr>
          </w:p>
        </w:tc>
      </w:tr>
      <w:tr>
        <w:trPr>
          <w:trHeight w:val="24"/>
        </w:trPr>
        <w:tc>
          <w:tcPr>
            <w:tcW w:w="3740" w:type="dxa"/>
            <w:vAlign w:val="bottom"/>
          </w:tcPr>
          <w:p>
            <w:pPr>
              <w:spacing w:after="0"/>
              <w:rPr>
                <w:sz w:val="2"/>
                <w:szCs w:val="2"/>
                <w:color w:val="auto"/>
              </w:rPr>
            </w:pPr>
          </w:p>
        </w:tc>
        <w:tc>
          <w:tcPr>
            <w:tcW w:w="2220" w:type="dxa"/>
            <w:vAlign w:val="bottom"/>
            <w:vMerge w:val="restart"/>
          </w:tcPr>
          <w:p>
            <w:pPr>
              <w:ind w:left="1480"/>
              <w:spacing w:after="0"/>
              <w:rPr>
                <w:sz w:val="20"/>
                <w:szCs w:val="20"/>
                <w:color w:val="auto"/>
              </w:rPr>
            </w:pPr>
            <w:r>
              <w:rPr>
                <w:rFonts w:ascii="Times New Roman" w:cs="Times New Roman" w:eastAsia="Times New Roman" w:hAnsi="Times New Roman"/>
                <w:sz w:val="20"/>
                <w:szCs w:val="20"/>
                <w:color w:val="auto"/>
              </w:rPr>
              <w:t>Name:</w:t>
            </w: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740" w:type="dxa"/>
            <w:vAlign w:val="bottom"/>
          </w:tcPr>
          <w:p>
            <w:pPr>
              <w:spacing w:after="0"/>
              <w:rPr>
                <w:sz w:val="22"/>
                <w:szCs w:val="22"/>
                <w:color w:val="auto"/>
              </w:rPr>
            </w:pPr>
          </w:p>
        </w:tc>
        <w:tc>
          <w:tcPr>
            <w:tcW w:w="2220" w:type="dxa"/>
            <w:vAlign w:val="bottom"/>
            <w:vMerge w:val="continue"/>
          </w:tcPr>
          <w:p>
            <w:pPr>
              <w:spacing w:after="0"/>
              <w:rPr>
                <w:sz w:val="22"/>
                <w:szCs w:val="22"/>
                <w:color w:val="auto"/>
              </w:rPr>
            </w:pPr>
          </w:p>
        </w:tc>
        <w:tc>
          <w:tcPr>
            <w:tcW w:w="4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Katherine Stueland</w:t>
            </w:r>
          </w:p>
        </w:tc>
        <w:tc>
          <w:tcPr>
            <w:tcW w:w="0" w:type="dxa"/>
            <w:vAlign w:val="bottom"/>
          </w:tcPr>
          <w:p>
            <w:pPr>
              <w:spacing w:after="0"/>
              <w:rPr>
                <w:sz w:val="1"/>
                <w:szCs w:val="1"/>
                <w:color w:val="auto"/>
              </w:rPr>
            </w:pPr>
          </w:p>
        </w:tc>
      </w:tr>
      <w:tr>
        <w:trPr>
          <w:trHeight w:val="204"/>
        </w:trPr>
        <w:tc>
          <w:tcPr>
            <w:tcW w:w="3740" w:type="dxa"/>
            <w:vAlign w:val="bottom"/>
          </w:tcPr>
          <w:p>
            <w:pPr>
              <w:spacing w:after="0"/>
              <w:rPr>
                <w:sz w:val="17"/>
                <w:szCs w:val="17"/>
                <w:color w:val="auto"/>
              </w:rPr>
            </w:pPr>
          </w:p>
        </w:tc>
        <w:tc>
          <w:tcPr>
            <w:tcW w:w="2220" w:type="dxa"/>
            <w:vAlign w:val="bottom"/>
          </w:tcPr>
          <w:p>
            <w:pPr>
              <w:ind w:left="1480"/>
              <w:spacing w:after="0" w:line="205" w:lineRule="exact"/>
              <w:rPr>
                <w:sz w:val="20"/>
                <w:szCs w:val="20"/>
                <w:color w:val="auto"/>
              </w:rPr>
            </w:pPr>
            <w:r>
              <w:rPr>
                <w:rFonts w:ascii="Times New Roman" w:cs="Times New Roman" w:eastAsia="Times New Roman" w:hAnsi="Times New Roman"/>
                <w:sz w:val="20"/>
                <w:szCs w:val="20"/>
                <w:color w:val="auto"/>
              </w:rPr>
              <w:t>Title:</w:t>
            </w:r>
          </w:p>
        </w:tc>
        <w:tc>
          <w:tcPr>
            <w:tcW w:w="4400" w:type="dxa"/>
            <w:vAlign w:val="bottom"/>
          </w:tcPr>
          <w:p>
            <w:pPr>
              <w:ind w:left="40"/>
              <w:spacing w:after="0" w:line="205" w:lineRule="exact"/>
              <w:rPr>
                <w:sz w:val="20"/>
                <w:szCs w:val="20"/>
                <w:color w:val="auto"/>
              </w:rPr>
            </w:pPr>
            <w:r>
              <w:rPr>
                <w:rFonts w:ascii="Times New Roman" w:cs="Times New Roman" w:eastAsia="Times New Roman" w:hAnsi="Times New Roman"/>
                <w:sz w:val="20"/>
                <w:szCs w:val="20"/>
                <w:color w:val="auto"/>
              </w:rPr>
              <w:t>Chief Executive Officer and Director</w:t>
            </w:r>
          </w:p>
        </w:tc>
        <w:tc>
          <w:tcPr>
            <w:tcW w:w="0" w:type="dxa"/>
            <w:vAlign w:val="bottom"/>
          </w:tcPr>
          <w:p>
            <w:pPr>
              <w:spacing w:after="0"/>
              <w:rPr>
                <w:sz w:val="1"/>
                <w:szCs w:val="1"/>
                <w:color w:val="auto"/>
              </w:rPr>
            </w:pPr>
          </w:p>
        </w:tc>
      </w:tr>
      <w:tr>
        <w:trPr>
          <w:trHeight w:val="260"/>
        </w:trPr>
        <w:tc>
          <w:tcPr>
            <w:tcW w:w="37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4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Katherine Stueland, Kevin Feeley and Heidi Chen, and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4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60" w:type="dxa"/>
            <w:vAlign w:val="bottom"/>
          </w:tcPr>
          <w:p>
            <w:pPr>
              <w:spacing w:after="0"/>
              <w:rPr>
                <w:sz w:val="23"/>
                <w:szCs w:val="23"/>
                <w:color w:val="auto"/>
              </w:rPr>
            </w:pP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Title</w:t>
            </w:r>
          </w:p>
        </w:tc>
        <w:tc>
          <w:tcPr>
            <w:tcW w:w="60" w:type="dxa"/>
            <w:vAlign w:val="bottom"/>
          </w:tcPr>
          <w:p>
            <w:pPr>
              <w:spacing w:after="0"/>
              <w:rPr>
                <w:sz w:val="23"/>
                <w:szCs w:val="23"/>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0" w:type="dxa"/>
            <w:vAlign w:val="bottom"/>
          </w:tcPr>
          <w:p>
            <w:pPr>
              <w:spacing w:after="0"/>
              <w:rPr>
                <w:sz w:val="1"/>
                <w:szCs w:val="1"/>
                <w:color w:val="auto"/>
              </w:rPr>
            </w:pPr>
          </w:p>
        </w:tc>
      </w:tr>
      <w:tr>
        <w:trPr>
          <w:trHeight w:val="34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Katherine Stueland</w:t>
            </w:r>
          </w:p>
        </w:tc>
        <w:tc>
          <w:tcPr>
            <w:tcW w:w="6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Executive Officer and Director</w:t>
            </w:r>
          </w:p>
        </w:tc>
        <w:tc>
          <w:tcPr>
            <w:tcW w:w="60" w:type="dxa"/>
            <w:vAlign w:val="bottom"/>
          </w:tcPr>
          <w:p>
            <w:pPr>
              <w:spacing w:after="0"/>
              <w:rPr>
                <w:sz w:val="24"/>
                <w:szCs w:val="24"/>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February 20, 2025</w:t>
            </w:r>
          </w:p>
        </w:tc>
        <w:tc>
          <w:tcPr>
            <w:tcW w:w="0" w:type="dxa"/>
            <w:vAlign w:val="bottom"/>
          </w:tcPr>
          <w:p>
            <w:pPr>
              <w:spacing w:after="0"/>
              <w:rPr>
                <w:sz w:val="1"/>
                <w:szCs w:val="1"/>
                <w:color w:val="auto"/>
              </w:rPr>
            </w:pPr>
          </w:p>
        </w:tc>
      </w:tr>
      <w:tr>
        <w:trPr>
          <w:trHeight w:val="109"/>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Katherine Stueland</w:t>
            </w:r>
          </w:p>
        </w:tc>
        <w:tc>
          <w:tcPr>
            <w:tcW w:w="60" w:type="dxa"/>
            <w:vAlign w:val="bottom"/>
          </w:tcPr>
          <w:p>
            <w:pPr>
              <w:spacing w:after="0"/>
              <w:rPr>
                <w:sz w:val="9"/>
                <w:szCs w:val="9"/>
                <w:color w:val="auto"/>
              </w:rPr>
            </w:pPr>
          </w:p>
        </w:tc>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6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Kevin Feeley</w:t>
            </w:r>
          </w:p>
        </w:tc>
        <w:tc>
          <w:tcPr>
            <w:tcW w:w="6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c>
          <w:tcPr>
            <w:tcW w:w="60" w:type="dxa"/>
            <w:vAlign w:val="bottom"/>
          </w:tcPr>
          <w:p>
            <w:pPr>
              <w:spacing w:after="0"/>
              <w:rPr>
                <w:sz w:val="24"/>
                <w:szCs w:val="24"/>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February 20, 2025</w:t>
            </w:r>
          </w:p>
        </w:tc>
        <w:tc>
          <w:tcPr>
            <w:tcW w:w="0" w:type="dxa"/>
            <w:vAlign w:val="bottom"/>
          </w:tcPr>
          <w:p>
            <w:pPr>
              <w:spacing w:after="0"/>
              <w:rPr>
                <w:sz w:val="1"/>
                <w:szCs w:val="1"/>
                <w:color w:val="auto"/>
              </w:rPr>
            </w:pPr>
          </w:p>
        </w:tc>
      </w:tr>
      <w:tr>
        <w:trPr>
          <w:trHeight w:val="109"/>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Kevin Feeley</w:t>
            </w:r>
          </w:p>
        </w:tc>
        <w:tc>
          <w:tcPr>
            <w:tcW w:w="60" w:type="dxa"/>
            <w:vAlign w:val="bottom"/>
          </w:tcPr>
          <w:p>
            <w:pPr>
              <w:spacing w:after="0"/>
              <w:rPr>
                <w:sz w:val="9"/>
                <w:szCs w:val="9"/>
                <w:color w:val="auto"/>
              </w:rPr>
            </w:pPr>
          </w:p>
        </w:tc>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(Principal Financial Officer)</w:t>
            </w:r>
          </w:p>
        </w:tc>
        <w:tc>
          <w:tcPr>
            <w:tcW w:w="6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Jason Ryan</w:t>
            </w:r>
          </w:p>
        </w:tc>
        <w:tc>
          <w:tcPr>
            <w:tcW w:w="60" w:type="dxa"/>
            <w:vAlign w:val="bottom"/>
          </w:tcPr>
          <w:p>
            <w:pPr>
              <w:spacing w:after="0"/>
              <w:rPr>
                <w:sz w:val="24"/>
                <w:szCs w:val="24"/>
                <w:color w:val="auto"/>
              </w:rPr>
            </w:pPr>
          </w:p>
        </w:tc>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Chairman of the Board</w:t>
            </w:r>
          </w:p>
        </w:tc>
        <w:tc>
          <w:tcPr>
            <w:tcW w:w="60" w:type="dxa"/>
            <w:vAlign w:val="bottom"/>
          </w:tcPr>
          <w:p>
            <w:pPr>
              <w:spacing w:after="0"/>
              <w:rPr>
                <w:sz w:val="24"/>
                <w:szCs w:val="24"/>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February 20, 2025</w:t>
            </w:r>
          </w:p>
        </w:tc>
        <w:tc>
          <w:tcPr>
            <w:tcW w:w="0" w:type="dxa"/>
            <w:vAlign w:val="bottom"/>
          </w:tcPr>
          <w:p>
            <w:pPr>
              <w:spacing w:after="0"/>
              <w:rPr>
                <w:sz w:val="1"/>
                <w:szCs w:val="1"/>
                <w:color w:val="auto"/>
              </w:rPr>
            </w:pPr>
          </w:p>
        </w:tc>
      </w:tr>
      <w:tr>
        <w:trPr>
          <w:trHeight w:val="109"/>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Jason Ryan</w:t>
            </w:r>
          </w:p>
        </w:tc>
        <w:tc>
          <w:tcPr>
            <w:tcW w:w="60" w:type="dxa"/>
            <w:vAlign w:val="bottom"/>
          </w:tcPr>
          <w:p>
            <w:pPr>
              <w:spacing w:after="0"/>
              <w:rPr>
                <w:sz w:val="9"/>
                <w:szCs w:val="9"/>
                <w:color w:val="auto"/>
              </w:rPr>
            </w:pPr>
          </w:p>
        </w:tc>
        <w:tc>
          <w:tcPr>
            <w:tcW w:w="38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Eli D. Casdin</w:t>
            </w:r>
          </w:p>
        </w:tc>
        <w:tc>
          <w:tcPr>
            <w:tcW w:w="60" w:type="dxa"/>
            <w:vAlign w:val="bottom"/>
          </w:tcPr>
          <w:p>
            <w:pPr>
              <w:spacing w:after="0"/>
              <w:rPr>
                <w:sz w:val="24"/>
                <w:szCs w:val="24"/>
                <w:color w:val="auto"/>
              </w:rPr>
            </w:pPr>
          </w:p>
        </w:tc>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4"/>
                <w:szCs w:val="24"/>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February 20, 2025</w:t>
            </w:r>
          </w:p>
        </w:tc>
        <w:tc>
          <w:tcPr>
            <w:tcW w:w="0" w:type="dxa"/>
            <w:vAlign w:val="bottom"/>
          </w:tcPr>
          <w:p>
            <w:pPr>
              <w:spacing w:after="0"/>
              <w:rPr>
                <w:sz w:val="1"/>
                <w:szCs w:val="1"/>
                <w:color w:val="auto"/>
              </w:rPr>
            </w:pPr>
          </w:p>
        </w:tc>
      </w:tr>
      <w:tr>
        <w:trPr>
          <w:trHeight w:val="109"/>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Eli D. Casdin</w:t>
            </w:r>
          </w:p>
        </w:tc>
        <w:tc>
          <w:tcPr>
            <w:tcW w:w="60" w:type="dxa"/>
            <w:vAlign w:val="bottom"/>
          </w:tcPr>
          <w:p>
            <w:pPr>
              <w:spacing w:after="0"/>
              <w:rPr>
                <w:sz w:val="9"/>
                <w:szCs w:val="9"/>
                <w:color w:val="auto"/>
              </w:rPr>
            </w:pPr>
          </w:p>
        </w:tc>
        <w:tc>
          <w:tcPr>
            <w:tcW w:w="38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Emily Leproust</w:t>
            </w:r>
          </w:p>
        </w:tc>
        <w:tc>
          <w:tcPr>
            <w:tcW w:w="60" w:type="dxa"/>
            <w:vAlign w:val="bottom"/>
          </w:tcPr>
          <w:p>
            <w:pPr>
              <w:spacing w:after="0"/>
              <w:rPr>
                <w:sz w:val="24"/>
                <w:szCs w:val="24"/>
                <w:color w:val="auto"/>
              </w:rPr>
            </w:pPr>
          </w:p>
        </w:tc>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4"/>
                <w:szCs w:val="24"/>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February 20, 2025</w:t>
            </w:r>
          </w:p>
        </w:tc>
        <w:tc>
          <w:tcPr>
            <w:tcW w:w="0" w:type="dxa"/>
            <w:vAlign w:val="bottom"/>
          </w:tcPr>
          <w:p>
            <w:pPr>
              <w:spacing w:after="0"/>
              <w:rPr>
                <w:sz w:val="1"/>
                <w:szCs w:val="1"/>
                <w:color w:val="auto"/>
              </w:rPr>
            </w:pPr>
          </w:p>
        </w:tc>
      </w:tr>
      <w:tr>
        <w:trPr>
          <w:trHeight w:val="109"/>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Emily Leproust</w:t>
            </w:r>
          </w:p>
        </w:tc>
        <w:tc>
          <w:tcPr>
            <w:tcW w:w="60" w:type="dxa"/>
            <w:vAlign w:val="bottom"/>
          </w:tcPr>
          <w:p>
            <w:pPr>
              <w:spacing w:after="0"/>
              <w:rPr>
                <w:sz w:val="9"/>
                <w:szCs w:val="9"/>
                <w:color w:val="auto"/>
              </w:rPr>
            </w:pPr>
          </w:p>
        </w:tc>
        <w:tc>
          <w:tcPr>
            <w:tcW w:w="38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Keith Meister</w:t>
            </w:r>
          </w:p>
        </w:tc>
        <w:tc>
          <w:tcPr>
            <w:tcW w:w="60" w:type="dxa"/>
            <w:vAlign w:val="bottom"/>
          </w:tcPr>
          <w:p>
            <w:pPr>
              <w:spacing w:after="0"/>
              <w:rPr>
                <w:sz w:val="24"/>
                <w:szCs w:val="24"/>
                <w:color w:val="auto"/>
              </w:rPr>
            </w:pPr>
          </w:p>
        </w:tc>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4"/>
                <w:szCs w:val="24"/>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February 20, 2025</w:t>
            </w:r>
          </w:p>
        </w:tc>
        <w:tc>
          <w:tcPr>
            <w:tcW w:w="0" w:type="dxa"/>
            <w:vAlign w:val="bottom"/>
          </w:tcPr>
          <w:p>
            <w:pPr>
              <w:spacing w:after="0"/>
              <w:rPr>
                <w:sz w:val="1"/>
                <w:szCs w:val="1"/>
                <w:color w:val="auto"/>
              </w:rPr>
            </w:pPr>
          </w:p>
        </w:tc>
      </w:tr>
      <w:tr>
        <w:trPr>
          <w:trHeight w:val="109"/>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Keith Meister</w:t>
            </w:r>
          </w:p>
        </w:tc>
        <w:tc>
          <w:tcPr>
            <w:tcW w:w="60" w:type="dxa"/>
            <w:vAlign w:val="bottom"/>
          </w:tcPr>
          <w:p>
            <w:pPr>
              <w:spacing w:after="0"/>
              <w:rPr>
                <w:sz w:val="9"/>
                <w:szCs w:val="9"/>
                <w:color w:val="auto"/>
              </w:rPr>
            </w:pPr>
          </w:p>
        </w:tc>
        <w:tc>
          <w:tcPr>
            <w:tcW w:w="38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Joshua Ruch</w:t>
            </w:r>
          </w:p>
        </w:tc>
        <w:tc>
          <w:tcPr>
            <w:tcW w:w="60" w:type="dxa"/>
            <w:vAlign w:val="bottom"/>
          </w:tcPr>
          <w:p>
            <w:pPr>
              <w:spacing w:after="0"/>
              <w:rPr>
                <w:sz w:val="24"/>
                <w:szCs w:val="24"/>
                <w:color w:val="auto"/>
              </w:rPr>
            </w:pPr>
          </w:p>
        </w:tc>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4"/>
                <w:szCs w:val="24"/>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February 20, 2025</w:t>
            </w:r>
          </w:p>
        </w:tc>
        <w:tc>
          <w:tcPr>
            <w:tcW w:w="0" w:type="dxa"/>
            <w:vAlign w:val="bottom"/>
          </w:tcPr>
          <w:p>
            <w:pPr>
              <w:spacing w:after="0"/>
              <w:rPr>
                <w:sz w:val="1"/>
                <w:szCs w:val="1"/>
                <w:color w:val="auto"/>
              </w:rPr>
            </w:pPr>
          </w:p>
        </w:tc>
      </w:tr>
      <w:tr>
        <w:trPr>
          <w:trHeight w:val="109"/>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Joshua Ruch</w:t>
            </w:r>
          </w:p>
        </w:tc>
        <w:tc>
          <w:tcPr>
            <w:tcW w:w="60" w:type="dxa"/>
            <w:vAlign w:val="bottom"/>
          </w:tcPr>
          <w:p>
            <w:pPr>
              <w:spacing w:after="0"/>
              <w:rPr>
                <w:sz w:val="9"/>
                <w:szCs w:val="9"/>
                <w:color w:val="auto"/>
              </w:rPr>
            </w:pPr>
          </w:p>
        </w:tc>
        <w:tc>
          <w:tcPr>
            <w:tcW w:w="38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Richard Pfenninger, Jr.</w:t>
            </w:r>
          </w:p>
        </w:tc>
        <w:tc>
          <w:tcPr>
            <w:tcW w:w="60" w:type="dxa"/>
            <w:vAlign w:val="bottom"/>
          </w:tcPr>
          <w:p>
            <w:pPr>
              <w:spacing w:after="0"/>
              <w:rPr>
                <w:sz w:val="24"/>
                <w:szCs w:val="24"/>
                <w:color w:val="auto"/>
              </w:rPr>
            </w:pPr>
          </w:p>
        </w:tc>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60" w:type="dxa"/>
            <w:vAlign w:val="bottom"/>
          </w:tcPr>
          <w:p>
            <w:pPr>
              <w:spacing w:after="0"/>
              <w:rPr>
                <w:sz w:val="24"/>
                <w:szCs w:val="24"/>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February 20, 2025</w:t>
            </w:r>
          </w:p>
        </w:tc>
        <w:tc>
          <w:tcPr>
            <w:tcW w:w="0" w:type="dxa"/>
            <w:vAlign w:val="bottom"/>
          </w:tcPr>
          <w:p>
            <w:pPr>
              <w:spacing w:after="0"/>
              <w:rPr>
                <w:sz w:val="1"/>
                <w:szCs w:val="1"/>
                <w:color w:val="auto"/>
              </w:rPr>
            </w:pPr>
          </w:p>
        </w:tc>
      </w:tr>
      <w:tr>
        <w:trPr>
          <w:trHeight w:val="109"/>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Richard Pfenninger, Jr.</w:t>
            </w:r>
          </w:p>
        </w:tc>
        <w:tc>
          <w:tcPr>
            <w:tcW w:w="60" w:type="dxa"/>
            <w:vAlign w:val="bottom"/>
          </w:tcPr>
          <w:p>
            <w:pPr>
              <w:spacing w:after="0"/>
              <w:rPr>
                <w:sz w:val="9"/>
                <w:szCs w:val="9"/>
                <w:color w:val="auto"/>
              </w:rPr>
            </w:pPr>
          </w:p>
        </w:tc>
        <w:tc>
          <w:tcPr>
            <w:tcW w:w="38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4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440"/>
          </w:cols>
          <w:pgMar w:left="900" w:top="2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sectPr>
      <w:pgSz w:w="12240" w:h="15840" w:orient="portrait"/>
      <w:cols w:equalWidth="0" w:num="1">
        <w:col w:w="10440"/>
      </w:cols>
      <w:pgMar w:left="900" w:top="208" w:right="90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lvl w:ilvl="1">
      <w:lvlJc w:val="left"/>
      <w:lvlText w:val="◦"/>
      <w:numFmt w:val="bullet"/>
      <w:start w:val="1"/>
    </w:lvl>
  </w:abstractNum>
  <w:abstractNum w:abstractNumId="7">
    <w:nsid w:val="2CA88611"/>
    <w:multiLevelType w:val="hybridMultilevel"/>
    <w:lvl w:ilvl="0">
      <w:lvlJc w:val="left"/>
      <w:lvlText w:val="•"/>
      <w:numFmt w:val="bullet"/>
      <w:start w:val="1"/>
    </w:lvl>
    <w:lvl w:ilvl="1">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lowerLetter"/>
      <w:start w:val="3"/>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bullet"/>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lowerLetter"/>
      <w:start w:val="1"/>
    </w:lvl>
    <w:lvl w:ilvl="1">
      <w:lvlJc w:val="left"/>
      <w:lvlText w:val="%2."/>
      <w:numFmt w:val="decimal"/>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2025-05-04T03:29:50Z</dcterms:created>
  <dcterms:modified xsi:type="dcterms:W3CDTF">2025-05-04T03:29:50Z</dcterms:modified>
</cp:coreProperties>
</file>