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8746</w:t>
      </w:r>
      <w:r>
        <w:rPr>
          <w:sz w:val="20"/>
          <w:szCs w:val="20"/>
          <w:color w:val="auto"/>
        </w:rPr>
        <w:tab/>
      </w:r>
      <w:r>
        <w:rPr>
          <w:rFonts w:ascii="Times New Roman" w:cs="Times New Roman" w:eastAsia="Times New Roman" w:hAnsi="Times New Roman"/>
          <w:sz w:val="21"/>
          <w:szCs w:val="21"/>
          <w:color w:val="auto"/>
        </w:rPr>
        <w:t>836200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28503891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03/26/2025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8746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03/26/2025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87"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01/02/2025 1430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108700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35506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01/29/2025 275</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03/03/2025 261</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03/10/2025 922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03/13/2025 402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03/17/2025 3749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362600</w:t>
            </w:r>
          </w:p>
        </w:tc>
      </w:tr>
    </w:tbl>
    <w:p>
      <w:pPr>
        <w:spacing w:after="0" w:line="559" w:lineRule="exact"/>
        <w:rPr>
          <w:sz w:val="20"/>
          <w:szCs w:val="20"/>
          <w:color w:val="auto"/>
        </w:rPr>
      </w:pPr>
    </w:p>
    <w:p>
      <w:pPr>
        <w:sectPr>
          <w:pgSz w:w="11900" w:h="16887"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7"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Represents 8,746 shares to be sold on behalf of the Reporting Person to cover tax withholding obligations in connection with the vesting of restricted stock units, and shares sold in the past 3 months by the Reporting Person, including: 1) 5,609 shares sold to cover tax withholding obligations in connection with the vesting and settlement of RSUs; and 2) 36,936 shares in connection with sales pursuant to the Reporting Person's Rule 10b5-1 trading plan adopted on August 21,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03/26/2025</w:t>
      </w:r>
    </w:p>
    <w:p>
      <w:pPr>
        <w:spacing w:after="0" w:line="159" w:lineRule="exact"/>
        <w:rPr>
          <w:sz w:val="20"/>
          <w:szCs w:val="20"/>
          <w:color w:val="auto"/>
        </w:rPr>
      </w:pPr>
    </w:p>
    <w:p>
      <w:pPr>
        <w:sectPr>
          <w:pgSz w:w="11900" w:h="16887"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87"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2025-03-26T17:39:37Z</dcterms:created>
  <dcterms:modified xsi:type="dcterms:W3CDTF">2025-03-26T17:39:37Z</dcterms:modified>
</cp:coreProperties>
</file>