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August 26, 2022</w:t>
      </w:r>
    </w:p>
    <w:p>
      <w:pPr>
        <w:spacing w:after="0" w:line="28" w:lineRule="exact"/>
        <w:rPr>
          <w:sz w:val="24"/>
          <w:szCs w:val="24"/>
          <w:color w:val="auto"/>
        </w:rPr>
      </w:pPr>
    </w:p>
    <w:p>
      <w:pPr>
        <w:ind w:left="8540"/>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S-3</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 xml:space="preserve">REGISTRATION </w:t>
      </w:r>
      <w:r>
        <w:rPr>
          <w:rFonts w:ascii="Times New Roman" w:cs="Times New Roman" w:eastAsia="Times New Roman" w:hAnsi="Times New Roman"/>
          <w:sz w:val="30"/>
          <w:szCs w:val="30"/>
          <w:b w:val="1"/>
          <w:bCs w:val="1"/>
          <w:color w:val="auto"/>
        </w:rPr>
        <w:t>STATEMENT</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Sema4 Holdings Corp.</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3960" w:type="dxa"/>
            <w:vAlign w:val="bottom"/>
          </w:tcPr>
          <w:p>
            <w:pPr>
              <w:jc w:val="center"/>
              <w:ind w:right="12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280" w:type="dxa"/>
            <w:vAlign w:val="bottom"/>
          </w:tcPr>
          <w:p>
            <w:pPr>
              <w:jc w:val="center"/>
              <w:ind w:left="3440"/>
              <w:spacing w:after="0"/>
              <w:rPr>
                <w:sz w:val="20"/>
                <w:szCs w:val="20"/>
                <w:color w:val="auto"/>
              </w:rPr>
            </w:pPr>
            <w:r>
              <w:rPr>
                <w:rFonts w:ascii="Times New Roman" w:cs="Times New Roman" w:eastAsia="Times New Roman" w:hAnsi="Times New Roman"/>
                <w:sz w:val="18"/>
                <w:szCs w:val="18"/>
                <w:b w:val="1"/>
                <w:bCs w:val="1"/>
                <w:color w:val="auto"/>
              </w:rPr>
              <w:t>85-1966622</w:t>
            </w:r>
          </w:p>
        </w:tc>
      </w:tr>
      <w:tr>
        <w:trPr>
          <w:trHeight w:val="148"/>
        </w:trPr>
        <w:tc>
          <w:tcPr>
            <w:tcW w:w="3960" w:type="dxa"/>
            <w:vAlign w:val="bottom"/>
          </w:tcPr>
          <w:p>
            <w:pPr>
              <w:jc w:val="center"/>
              <w:ind w:right="123"/>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7280" w:type="dxa"/>
            <w:vAlign w:val="bottom"/>
          </w:tcPr>
          <w:p>
            <w:pPr>
              <w:jc w:val="center"/>
              <w:ind w:left="344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6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7280" w:type="dxa"/>
            <w:vAlign w:val="bottom"/>
          </w:tcPr>
          <w:p>
            <w:pPr>
              <w:jc w:val="center"/>
              <w:ind w:left="344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78"/>
        </w:trPr>
        <w:tc>
          <w:tcPr>
            <w:tcW w:w="3960" w:type="dxa"/>
            <w:vAlign w:val="bottom"/>
          </w:tcPr>
          <w:p>
            <w:pPr>
              <w:spacing w:after="0"/>
              <w:rPr>
                <w:sz w:val="24"/>
                <w:szCs w:val="24"/>
                <w:color w:val="auto"/>
              </w:rPr>
            </w:pPr>
          </w:p>
        </w:tc>
        <w:tc>
          <w:tcPr>
            <w:tcW w:w="7280" w:type="dxa"/>
            <w:vAlign w:val="bottom"/>
          </w:tcPr>
          <w:p>
            <w:pPr>
              <w:jc w:val="center"/>
              <w:ind w:right="3860"/>
              <w:spacing w:after="0"/>
              <w:rPr>
                <w:sz w:val="20"/>
                <w:szCs w:val="20"/>
                <w:color w:val="auto"/>
              </w:rPr>
            </w:pPr>
            <w:r>
              <w:rPr>
                <w:rFonts w:ascii="Times New Roman" w:cs="Times New Roman" w:eastAsia="Times New Roman" w:hAnsi="Times New Roman"/>
                <w:sz w:val="16"/>
                <w:szCs w:val="16"/>
                <w:b w:val="1"/>
                <w:bCs w:val="1"/>
                <w:color w:val="auto"/>
                <w:w w:val="99"/>
              </w:rPr>
              <w:t>333 Ludlow Street, North Tower, 8th Floor</w:t>
            </w:r>
          </w:p>
        </w:tc>
      </w:tr>
      <w:tr>
        <w:trPr>
          <w:trHeight w:val="203"/>
        </w:trPr>
        <w:tc>
          <w:tcPr>
            <w:tcW w:w="3960" w:type="dxa"/>
            <w:vAlign w:val="bottom"/>
          </w:tcPr>
          <w:p>
            <w:pPr>
              <w:spacing w:after="0"/>
              <w:rPr>
                <w:sz w:val="17"/>
                <w:szCs w:val="17"/>
                <w:color w:val="auto"/>
              </w:rPr>
            </w:pPr>
          </w:p>
        </w:tc>
        <w:tc>
          <w:tcPr>
            <w:tcW w:w="7280" w:type="dxa"/>
            <w:vAlign w:val="bottom"/>
          </w:tcPr>
          <w:p>
            <w:pPr>
              <w:jc w:val="center"/>
              <w:ind w:right="3860"/>
              <w:spacing w:after="0"/>
              <w:rPr>
                <w:sz w:val="20"/>
                <w:szCs w:val="20"/>
                <w:color w:val="auto"/>
              </w:rPr>
            </w:pPr>
            <w:r>
              <w:rPr>
                <w:rFonts w:ascii="Times New Roman" w:cs="Times New Roman" w:eastAsia="Times New Roman" w:hAnsi="Times New Roman"/>
                <w:sz w:val="16"/>
                <w:szCs w:val="16"/>
                <w:b w:val="1"/>
                <w:bCs w:val="1"/>
                <w:color w:val="auto"/>
              </w:rPr>
              <w:t>Stamford, Connecticut 06902</w:t>
            </w:r>
          </w:p>
        </w:tc>
      </w:tr>
      <w:tr>
        <w:trPr>
          <w:trHeight w:val="185"/>
        </w:trPr>
        <w:tc>
          <w:tcPr>
            <w:tcW w:w="3960" w:type="dxa"/>
            <w:vAlign w:val="bottom"/>
          </w:tcPr>
          <w:p>
            <w:pPr>
              <w:spacing w:after="0"/>
              <w:rPr>
                <w:sz w:val="16"/>
                <w:szCs w:val="16"/>
                <w:color w:val="auto"/>
              </w:rPr>
            </w:pPr>
          </w:p>
        </w:tc>
        <w:tc>
          <w:tcPr>
            <w:tcW w:w="7280" w:type="dxa"/>
            <w:vAlign w:val="bottom"/>
          </w:tcPr>
          <w:p>
            <w:pPr>
              <w:jc w:val="center"/>
              <w:ind w:right="3860"/>
              <w:spacing w:after="0"/>
              <w:rPr>
                <w:sz w:val="20"/>
                <w:szCs w:val="20"/>
                <w:color w:val="auto"/>
              </w:rPr>
            </w:pPr>
            <w:r>
              <w:rPr>
                <w:rFonts w:ascii="Times New Roman" w:cs="Times New Roman" w:eastAsia="Times New Roman" w:hAnsi="Times New Roman"/>
                <w:sz w:val="16"/>
                <w:szCs w:val="16"/>
                <w:b w:val="1"/>
                <w:bCs w:val="1"/>
                <w:color w:val="auto"/>
              </w:rPr>
              <w:t>(800) 298-6470</w:t>
            </w:r>
          </w:p>
        </w:tc>
      </w:tr>
      <w:tr>
        <w:trPr>
          <w:trHeight w:val="166"/>
        </w:trPr>
        <w:tc>
          <w:tcPr>
            <w:tcW w:w="112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(Address, including zip code, and telephone number, including area code, of registrant’s principal executive offices)</w:t>
            </w:r>
          </w:p>
        </w:tc>
      </w:tr>
      <w:tr>
        <w:trPr>
          <w:trHeight w:val="83"/>
        </w:trPr>
        <w:tc>
          <w:tcPr>
            <w:tcW w:w="3960" w:type="dxa"/>
            <w:vAlign w:val="bottom"/>
            <w:tcBorders>
              <w:bottom w:val="single" w:sz="8" w:color="auto"/>
            </w:tcBorders>
          </w:tcPr>
          <w:p>
            <w:pPr>
              <w:spacing w:after="0"/>
              <w:rPr>
                <w:sz w:val="7"/>
                <w:szCs w:val="7"/>
                <w:color w:val="auto"/>
              </w:rPr>
            </w:pPr>
          </w:p>
        </w:tc>
        <w:tc>
          <w:tcPr>
            <w:tcW w:w="7280" w:type="dxa"/>
            <w:vAlign w:val="bottom"/>
            <w:tcBorders>
              <w:bottom w:val="single" w:sz="8" w:color="auto"/>
            </w:tcBorders>
          </w:tcPr>
          <w:p>
            <w:pPr>
              <w:spacing w:after="0"/>
              <w:rPr>
                <w:sz w:val="7"/>
                <w:szCs w:val="7"/>
                <w:color w:val="auto"/>
              </w:rPr>
            </w:pPr>
          </w:p>
        </w:tc>
      </w:tr>
      <w:tr>
        <w:trPr>
          <w:trHeight w:val="261"/>
        </w:trPr>
        <w:tc>
          <w:tcPr>
            <w:tcW w:w="3960" w:type="dxa"/>
            <w:vAlign w:val="bottom"/>
          </w:tcPr>
          <w:p>
            <w:pPr>
              <w:spacing w:after="0"/>
              <w:rPr>
                <w:sz w:val="22"/>
                <w:szCs w:val="22"/>
                <w:color w:val="auto"/>
              </w:rPr>
            </w:pPr>
          </w:p>
        </w:tc>
        <w:tc>
          <w:tcPr>
            <w:tcW w:w="7280" w:type="dxa"/>
            <w:vAlign w:val="bottom"/>
          </w:tcPr>
          <w:p>
            <w:pPr>
              <w:jc w:val="center"/>
              <w:ind w:right="3880"/>
              <w:spacing w:after="0"/>
              <w:rPr>
                <w:sz w:val="20"/>
                <w:szCs w:val="20"/>
                <w:color w:val="auto"/>
              </w:rPr>
            </w:pPr>
            <w:r>
              <w:rPr>
                <w:rFonts w:ascii="Times New Roman" w:cs="Times New Roman" w:eastAsia="Times New Roman" w:hAnsi="Times New Roman"/>
                <w:sz w:val="16"/>
                <w:szCs w:val="16"/>
                <w:b w:val="1"/>
                <w:bCs w:val="1"/>
                <w:color w:val="auto"/>
              </w:rPr>
              <w:t>Katherine Stueland</w:t>
            </w:r>
          </w:p>
        </w:tc>
      </w:tr>
      <w:tr>
        <w:trPr>
          <w:trHeight w:val="202"/>
        </w:trPr>
        <w:tc>
          <w:tcPr>
            <w:tcW w:w="3960" w:type="dxa"/>
            <w:vAlign w:val="bottom"/>
          </w:tcPr>
          <w:p>
            <w:pPr>
              <w:spacing w:after="0"/>
              <w:rPr>
                <w:sz w:val="17"/>
                <w:szCs w:val="17"/>
                <w:color w:val="auto"/>
              </w:rPr>
            </w:pPr>
          </w:p>
        </w:tc>
        <w:tc>
          <w:tcPr>
            <w:tcW w:w="7280" w:type="dxa"/>
            <w:vAlign w:val="bottom"/>
          </w:tcPr>
          <w:p>
            <w:pPr>
              <w:jc w:val="center"/>
              <w:ind w:right="3880"/>
              <w:spacing w:after="0"/>
              <w:rPr>
                <w:sz w:val="20"/>
                <w:szCs w:val="20"/>
                <w:color w:val="auto"/>
              </w:rPr>
            </w:pPr>
            <w:r>
              <w:rPr>
                <w:rFonts w:ascii="Times New Roman" w:cs="Times New Roman" w:eastAsia="Times New Roman" w:hAnsi="Times New Roman"/>
                <w:sz w:val="16"/>
                <w:szCs w:val="16"/>
                <w:b w:val="1"/>
                <w:bCs w:val="1"/>
                <w:color w:val="auto"/>
              </w:rPr>
              <w:t>Chief Executive Officer</w:t>
            </w:r>
          </w:p>
        </w:tc>
      </w:tr>
      <w:tr>
        <w:trPr>
          <w:trHeight w:val="189"/>
        </w:trPr>
        <w:tc>
          <w:tcPr>
            <w:tcW w:w="3960" w:type="dxa"/>
            <w:vAlign w:val="bottom"/>
          </w:tcPr>
          <w:p>
            <w:pPr>
              <w:spacing w:after="0"/>
              <w:rPr>
                <w:sz w:val="16"/>
                <w:szCs w:val="16"/>
                <w:color w:val="auto"/>
              </w:rPr>
            </w:pPr>
          </w:p>
        </w:tc>
        <w:tc>
          <w:tcPr>
            <w:tcW w:w="7280" w:type="dxa"/>
            <w:vAlign w:val="bottom"/>
          </w:tcPr>
          <w:p>
            <w:pPr>
              <w:jc w:val="center"/>
              <w:ind w:right="3860"/>
              <w:spacing w:after="0"/>
              <w:rPr>
                <w:sz w:val="20"/>
                <w:szCs w:val="20"/>
                <w:color w:val="auto"/>
              </w:rPr>
            </w:pPr>
            <w:r>
              <w:rPr>
                <w:rFonts w:ascii="Times New Roman" w:cs="Times New Roman" w:eastAsia="Times New Roman" w:hAnsi="Times New Roman"/>
                <w:sz w:val="16"/>
                <w:szCs w:val="16"/>
                <w:b w:val="1"/>
                <w:bCs w:val="1"/>
                <w:color w:val="auto"/>
                <w:w w:val="99"/>
              </w:rPr>
              <w:t>333 Ludlow Street, North Tower, 8th Floor</w:t>
            </w:r>
          </w:p>
        </w:tc>
      </w:tr>
      <w:tr>
        <w:trPr>
          <w:trHeight w:val="203"/>
        </w:trPr>
        <w:tc>
          <w:tcPr>
            <w:tcW w:w="3960" w:type="dxa"/>
            <w:vAlign w:val="bottom"/>
          </w:tcPr>
          <w:p>
            <w:pPr>
              <w:spacing w:after="0"/>
              <w:rPr>
                <w:sz w:val="17"/>
                <w:szCs w:val="17"/>
                <w:color w:val="auto"/>
              </w:rPr>
            </w:pPr>
          </w:p>
        </w:tc>
        <w:tc>
          <w:tcPr>
            <w:tcW w:w="7280" w:type="dxa"/>
            <w:vAlign w:val="bottom"/>
          </w:tcPr>
          <w:p>
            <w:pPr>
              <w:jc w:val="center"/>
              <w:ind w:right="3860"/>
              <w:spacing w:after="0"/>
              <w:rPr>
                <w:sz w:val="20"/>
                <w:szCs w:val="20"/>
                <w:color w:val="auto"/>
              </w:rPr>
            </w:pPr>
            <w:r>
              <w:rPr>
                <w:rFonts w:ascii="Times New Roman" w:cs="Times New Roman" w:eastAsia="Times New Roman" w:hAnsi="Times New Roman"/>
                <w:sz w:val="16"/>
                <w:szCs w:val="16"/>
                <w:b w:val="1"/>
                <w:bCs w:val="1"/>
                <w:color w:val="auto"/>
              </w:rPr>
              <w:t>Stamford, Connecticut 06902</w:t>
            </w:r>
          </w:p>
        </w:tc>
      </w:tr>
      <w:tr>
        <w:trPr>
          <w:trHeight w:val="185"/>
        </w:trPr>
        <w:tc>
          <w:tcPr>
            <w:tcW w:w="3960" w:type="dxa"/>
            <w:vAlign w:val="bottom"/>
          </w:tcPr>
          <w:p>
            <w:pPr>
              <w:spacing w:after="0"/>
              <w:rPr>
                <w:sz w:val="16"/>
                <w:szCs w:val="16"/>
                <w:color w:val="auto"/>
              </w:rPr>
            </w:pPr>
          </w:p>
        </w:tc>
        <w:tc>
          <w:tcPr>
            <w:tcW w:w="7280" w:type="dxa"/>
            <w:vAlign w:val="bottom"/>
          </w:tcPr>
          <w:p>
            <w:pPr>
              <w:jc w:val="center"/>
              <w:ind w:right="3860"/>
              <w:spacing w:after="0"/>
              <w:rPr>
                <w:sz w:val="20"/>
                <w:szCs w:val="20"/>
                <w:color w:val="auto"/>
              </w:rPr>
            </w:pPr>
            <w:r>
              <w:rPr>
                <w:rFonts w:ascii="Times New Roman" w:cs="Times New Roman" w:eastAsia="Times New Roman" w:hAnsi="Times New Roman"/>
                <w:sz w:val="16"/>
                <w:szCs w:val="16"/>
                <w:b w:val="1"/>
                <w:bCs w:val="1"/>
                <w:color w:val="auto"/>
              </w:rPr>
              <w:t>(800) 298-6470</w:t>
            </w:r>
          </w:p>
        </w:tc>
      </w:tr>
      <w:tr>
        <w:trPr>
          <w:trHeight w:val="166"/>
        </w:trPr>
        <w:tc>
          <w:tcPr>
            <w:tcW w:w="112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address, including zip code, and telephone number, including area code, of agent for service)</w:t>
            </w:r>
          </w:p>
        </w:tc>
      </w:tr>
      <w:tr>
        <w:trPr>
          <w:trHeight w:val="84"/>
        </w:trPr>
        <w:tc>
          <w:tcPr>
            <w:tcW w:w="3960" w:type="dxa"/>
            <w:vAlign w:val="bottom"/>
            <w:tcBorders>
              <w:bottom w:val="single" w:sz="8" w:color="auto"/>
            </w:tcBorders>
          </w:tcPr>
          <w:p>
            <w:pPr>
              <w:spacing w:after="0"/>
              <w:rPr>
                <w:sz w:val="7"/>
                <w:szCs w:val="7"/>
                <w:color w:val="auto"/>
              </w:rPr>
            </w:pPr>
          </w:p>
        </w:tc>
        <w:tc>
          <w:tcPr>
            <w:tcW w:w="7280" w:type="dxa"/>
            <w:vAlign w:val="bottom"/>
            <w:tcBorders>
              <w:bottom w:val="single" w:sz="8" w:color="auto"/>
            </w:tcBorders>
          </w:tcPr>
          <w:p>
            <w:pPr>
              <w:spacing w:after="0"/>
              <w:rPr>
                <w:sz w:val="7"/>
                <w:szCs w:val="7"/>
                <w:color w:val="auto"/>
              </w:rPr>
            </w:pPr>
          </w:p>
        </w:tc>
      </w:tr>
      <w:tr>
        <w:trPr>
          <w:trHeight w:val="284"/>
        </w:trPr>
        <w:tc>
          <w:tcPr>
            <w:tcW w:w="3960" w:type="dxa"/>
            <w:vAlign w:val="bottom"/>
          </w:tcPr>
          <w:p>
            <w:pPr>
              <w:spacing w:after="0"/>
              <w:rPr>
                <w:sz w:val="24"/>
                <w:szCs w:val="24"/>
                <w:color w:val="auto"/>
              </w:rPr>
            </w:pPr>
          </w:p>
        </w:tc>
        <w:tc>
          <w:tcPr>
            <w:tcW w:w="7280" w:type="dxa"/>
            <w:vAlign w:val="bottom"/>
          </w:tcPr>
          <w:p>
            <w:pPr>
              <w:jc w:val="center"/>
              <w:ind w:right="3880"/>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tc>
      </w:tr>
      <w:tr>
        <w:trPr>
          <w:trHeight w:val="233"/>
        </w:trPr>
        <w:tc>
          <w:tcPr>
            <w:tcW w:w="3960" w:type="dxa"/>
            <w:vAlign w:val="bottom"/>
          </w:tcPr>
          <w:p>
            <w:pPr>
              <w:jc w:val="center"/>
              <w:ind w:left="1583"/>
              <w:spacing w:after="0"/>
              <w:rPr>
                <w:sz w:val="20"/>
                <w:szCs w:val="20"/>
                <w:color w:val="auto"/>
              </w:rPr>
            </w:pPr>
            <w:r>
              <w:rPr>
                <w:rFonts w:ascii="Times New Roman" w:cs="Times New Roman" w:eastAsia="Times New Roman" w:hAnsi="Times New Roman"/>
                <w:sz w:val="16"/>
                <w:szCs w:val="16"/>
                <w:b w:val="1"/>
                <w:bCs w:val="1"/>
                <w:color w:val="auto"/>
              </w:rPr>
              <w:t>Ethan Skerry</w:t>
            </w:r>
          </w:p>
        </w:tc>
        <w:tc>
          <w:tcPr>
            <w:tcW w:w="7280" w:type="dxa"/>
            <w:vAlign w:val="bottom"/>
          </w:tcPr>
          <w:p>
            <w:pPr>
              <w:jc w:val="center"/>
              <w:ind w:left="1580"/>
              <w:spacing w:after="0"/>
              <w:rPr>
                <w:sz w:val="20"/>
                <w:szCs w:val="20"/>
                <w:color w:val="auto"/>
              </w:rPr>
            </w:pPr>
            <w:r>
              <w:rPr>
                <w:rFonts w:ascii="Times New Roman" w:cs="Times New Roman" w:eastAsia="Times New Roman" w:hAnsi="Times New Roman"/>
                <w:sz w:val="16"/>
                <w:szCs w:val="16"/>
                <w:b w:val="1"/>
                <w:bCs w:val="1"/>
                <w:color w:val="auto"/>
              </w:rPr>
              <w:t>Katherine Stueland</w:t>
            </w:r>
          </w:p>
        </w:tc>
      </w:tr>
      <w:tr>
        <w:trPr>
          <w:trHeight w:val="189"/>
        </w:trPr>
        <w:tc>
          <w:tcPr>
            <w:tcW w:w="3960" w:type="dxa"/>
            <w:vAlign w:val="bottom"/>
          </w:tcPr>
          <w:p>
            <w:pPr>
              <w:jc w:val="center"/>
              <w:ind w:left="1603"/>
              <w:spacing w:after="0"/>
              <w:rPr>
                <w:sz w:val="20"/>
                <w:szCs w:val="20"/>
                <w:color w:val="auto"/>
              </w:rPr>
            </w:pPr>
            <w:r>
              <w:rPr>
                <w:rFonts w:ascii="Times New Roman" w:cs="Times New Roman" w:eastAsia="Times New Roman" w:hAnsi="Times New Roman"/>
                <w:sz w:val="16"/>
                <w:szCs w:val="16"/>
                <w:b w:val="1"/>
                <w:bCs w:val="1"/>
                <w:color w:val="auto"/>
                <w:w w:val="99"/>
              </w:rPr>
              <w:t>Per B. Chilstrom</w:t>
            </w:r>
          </w:p>
        </w:tc>
        <w:tc>
          <w:tcPr>
            <w:tcW w:w="7280" w:type="dxa"/>
            <w:vAlign w:val="bottom"/>
          </w:tcPr>
          <w:p>
            <w:pPr>
              <w:jc w:val="center"/>
              <w:ind w:left="1580"/>
              <w:spacing w:after="0"/>
              <w:rPr>
                <w:sz w:val="20"/>
                <w:szCs w:val="20"/>
                <w:color w:val="auto"/>
              </w:rPr>
            </w:pPr>
            <w:r>
              <w:rPr>
                <w:rFonts w:ascii="Times New Roman" w:cs="Times New Roman" w:eastAsia="Times New Roman" w:hAnsi="Times New Roman"/>
                <w:sz w:val="16"/>
                <w:szCs w:val="16"/>
                <w:b w:val="1"/>
                <w:bCs w:val="1"/>
                <w:color w:val="auto"/>
              </w:rPr>
              <w:t>Chief Executive Officer</w:t>
            </w:r>
          </w:p>
        </w:tc>
      </w:tr>
      <w:tr>
        <w:trPr>
          <w:trHeight w:val="189"/>
        </w:trPr>
        <w:tc>
          <w:tcPr>
            <w:tcW w:w="3960" w:type="dxa"/>
            <w:vAlign w:val="bottom"/>
          </w:tcPr>
          <w:p>
            <w:pPr>
              <w:jc w:val="center"/>
              <w:ind w:left="1583"/>
              <w:spacing w:after="0"/>
              <w:rPr>
                <w:sz w:val="20"/>
                <w:szCs w:val="20"/>
                <w:color w:val="auto"/>
              </w:rPr>
            </w:pPr>
            <w:r>
              <w:rPr>
                <w:rFonts w:ascii="Times New Roman" w:cs="Times New Roman" w:eastAsia="Times New Roman" w:hAnsi="Times New Roman"/>
                <w:sz w:val="16"/>
                <w:szCs w:val="16"/>
                <w:b w:val="1"/>
                <w:bCs w:val="1"/>
                <w:color w:val="auto"/>
              </w:rPr>
              <w:t>Fenwick &amp; West LLP</w:t>
            </w:r>
          </w:p>
        </w:tc>
        <w:tc>
          <w:tcPr>
            <w:tcW w:w="7280" w:type="dxa"/>
            <w:vAlign w:val="bottom"/>
          </w:tcPr>
          <w:p>
            <w:pPr>
              <w:jc w:val="center"/>
              <w:ind w:left="1600"/>
              <w:spacing w:after="0"/>
              <w:rPr>
                <w:sz w:val="20"/>
                <w:szCs w:val="20"/>
                <w:color w:val="auto"/>
              </w:rPr>
            </w:pPr>
            <w:r>
              <w:rPr>
                <w:rFonts w:ascii="Times New Roman" w:cs="Times New Roman" w:eastAsia="Times New Roman" w:hAnsi="Times New Roman"/>
                <w:sz w:val="16"/>
                <w:szCs w:val="16"/>
                <w:b w:val="1"/>
                <w:bCs w:val="1"/>
                <w:color w:val="auto"/>
              </w:rPr>
              <w:t>Sema4 Holdings Corp.</w:t>
            </w:r>
          </w:p>
        </w:tc>
      </w:tr>
      <w:tr>
        <w:trPr>
          <w:trHeight w:val="203"/>
        </w:trPr>
        <w:tc>
          <w:tcPr>
            <w:tcW w:w="3960" w:type="dxa"/>
            <w:vAlign w:val="bottom"/>
          </w:tcPr>
          <w:p>
            <w:pPr>
              <w:jc w:val="center"/>
              <w:ind w:left="1603"/>
              <w:spacing w:after="0"/>
              <w:rPr>
                <w:sz w:val="20"/>
                <w:szCs w:val="20"/>
                <w:color w:val="auto"/>
              </w:rPr>
            </w:pPr>
            <w:r>
              <w:rPr>
                <w:rFonts w:ascii="Times New Roman" w:cs="Times New Roman" w:eastAsia="Times New Roman" w:hAnsi="Times New Roman"/>
                <w:sz w:val="16"/>
                <w:szCs w:val="16"/>
                <w:b w:val="1"/>
                <w:bCs w:val="1"/>
                <w:color w:val="auto"/>
              </w:rPr>
              <w:t>902 Broadway</w:t>
            </w:r>
          </w:p>
        </w:tc>
        <w:tc>
          <w:tcPr>
            <w:tcW w:w="7280" w:type="dxa"/>
            <w:vAlign w:val="bottom"/>
          </w:tcPr>
          <w:p>
            <w:pPr>
              <w:jc w:val="center"/>
              <w:ind w:left="1580"/>
              <w:spacing w:after="0"/>
              <w:rPr>
                <w:sz w:val="20"/>
                <w:szCs w:val="20"/>
                <w:color w:val="auto"/>
              </w:rPr>
            </w:pPr>
            <w:r>
              <w:rPr>
                <w:rFonts w:ascii="Times New Roman" w:cs="Times New Roman" w:eastAsia="Times New Roman" w:hAnsi="Times New Roman"/>
                <w:sz w:val="16"/>
                <w:szCs w:val="16"/>
                <w:b w:val="1"/>
                <w:bCs w:val="1"/>
                <w:color w:val="auto"/>
                <w:w w:val="99"/>
              </w:rPr>
              <w:t>333 Ludlow Street, North Tower, 8th Floor</w:t>
            </w:r>
          </w:p>
        </w:tc>
      </w:tr>
      <w:tr>
        <w:trPr>
          <w:trHeight w:val="189"/>
        </w:trPr>
        <w:tc>
          <w:tcPr>
            <w:tcW w:w="3960" w:type="dxa"/>
            <w:vAlign w:val="bottom"/>
          </w:tcPr>
          <w:p>
            <w:pPr>
              <w:jc w:val="center"/>
              <w:ind w:left="1583"/>
              <w:spacing w:after="0"/>
              <w:rPr>
                <w:sz w:val="20"/>
                <w:szCs w:val="20"/>
                <w:color w:val="auto"/>
              </w:rPr>
            </w:pPr>
            <w:r>
              <w:rPr>
                <w:rFonts w:ascii="Times New Roman" w:cs="Times New Roman" w:eastAsia="Times New Roman" w:hAnsi="Times New Roman"/>
                <w:sz w:val="16"/>
                <w:szCs w:val="16"/>
                <w:b w:val="1"/>
                <w:bCs w:val="1"/>
                <w:color w:val="auto"/>
                <w:w w:val="99"/>
              </w:rPr>
              <w:t>New York, New York 10010</w:t>
            </w:r>
          </w:p>
        </w:tc>
        <w:tc>
          <w:tcPr>
            <w:tcW w:w="7280" w:type="dxa"/>
            <w:vAlign w:val="bottom"/>
          </w:tcPr>
          <w:p>
            <w:pPr>
              <w:jc w:val="center"/>
              <w:ind w:left="1580"/>
              <w:spacing w:after="0"/>
              <w:rPr>
                <w:sz w:val="20"/>
                <w:szCs w:val="20"/>
                <w:color w:val="auto"/>
              </w:rPr>
            </w:pPr>
            <w:r>
              <w:rPr>
                <w:rFonts w:ascii="Times New Roman" w:cs="Times New Roman" w:eastAsia="Times New Roman" w:hAnsi="Times New Roman"/>
                <w:sz w:val="16"/>
                <w:szCs w:val="16"/>
                <w:b w:val="1"/>
                <w:bCs w:val="1"/>
                <w:color w:val="auto"/>
              </w:rPr>
              <w:t>Stamford, Connecticut 06902</w:t>
            </w:r>
          </w:p>
        </w:tc>
      </w:tr>
      <w:tr>
        <w:trPr>
          <w:trHeight w:val="212"/>
        </w:trPr>
        <w:tc>
          <w:tcPr>
            <w:tcW w:w="3960" w:type="dxa"/>
            <w:vAlign w:val="bottom"/>
          </w:tcPr>
          <w:p>
            <w:pPr>
              <w:jc w:val="center"/>
              <w:ind w:left="1583"/>
              <w:spacing w:after="0"/>
              <w:rPr>
                <w:sz w:val="20"/>
                <w:szCs w:val="20"/>
                <w:color w:val="auto"/>
              </w:rPr>
            </w:pPr>
            <w:r>
              <w:rPr>
                <w:rFonts w:ascii="Times New Roman" w:cs="Times New Roman" w:eastAsia="Times New Roman" w:hAnsi="Times New Roman"/>
                <w:sz w:val="16"/>
                <w:szCs w:val="16"/>
                <w:b w:val="1"/>
                <w:bCs w:val="1"/>
                <w:color w:val="auto"/>
              </w:rPr>
              <w:t>(212) 430-2600</w:t>
            </w:r>
          </w:p>
        </w:tc>
        <w:tc>
          <w:tcPr>
            <w:tcW w:w="7280" w:type="dxa"/>
            <w:vAlign w:val="bottom"/>
          </w:tcPr>
          <w:p>
            <w:pPr>
              <w:jc w:val="center"/>
              <w:ind w:left="1580"/>
              <w:spacing w:after="0"/>
              <w:rPr>
                <w:sz w:val="20"/>
                <w:szCs w:val="20"/>
                <w:color w:val="auto"/>
              </w:rPr>
            </w:pPr>
            <w:r>
              <w:rPr>
                <w:rFonts w:ascii="Times New Roman" w:cs="Times New Roman" w:eastAsia="Times New Roman" w:hAnsi="Times New Roman"/>
                <w:sz w:val="16"/>
                <w:szCs w:val="16"/>
                <w:b w:val="1"/>
                <w:bCs w:val="1"/>
                <w:color w:val="auto"/>
              </w:rPr>
              <w:t>(800) 298-6470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7"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w:t>
      </w:r>
      <w:r>
        <w:rPr>
          <w:rFonts w:ascii="Times New Roman" w:cs="Times New Roman" w:eastAsia="Times New Roman" w:hAnsi="Times New Roman"/>
          <w:sz w:val="16"/>
          <w:szCs w:val="16"/>
          <w:color w:val="auto"/>
        </w:rPr>
        <w:t>: From time to time after the effective date of this Registration Statement.</w:t>
      </w:r>
    </w:p>
    <w:p>
      <w:pPr>
        <w:spacing w:after="0" w:line="28" w:lineRule="exact"/>
        <w:rPr>
          <w:sz w:val="24"/>
          <w:szCs w:val="24"/>
          <w:color w:val="auto"/>
        </w:rPr>
      </w:pPr>
    </w:p>
    <w:p>
      <w:pPr>
        <w:ind w:left="500"/>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65" w:lineRule="exact"/>
        <w:rPr>
          <w:sz w:val="24"/>
          <w:szCs w:val="24"/>
          <w:color w:val="auto"/>
        </w:rPr>
      </w:pPr>
    </w:p>
    <w:p>
      <w:pPr>
        <w:ind w:right="340" w:firstLine="486"/>
        <w:spacing w:after="0" w:line="209"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 w:lineRule="exact"/>
        <w:rPr>
          <w:sz w:val="24"/>
          <w:szCs w:val="24"/>
          <w:color w:val="auto"/>
        </w:rPr>
      </w:pPr>
    </w:p>
    <w:p>
      <w:pPr>
        <w:ind w:right="440" w:firstLine="486"/>
        <w:spacing w:after="0" w:line="209"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 w:lineRule="exact"/>
        <w:rPr>
          <w:sz w:val="24"/>
          <w:szCs w:val="24"/>
          <w:color w:val="auto"/>
        </w:rPr>
      </w:pPr>
    </w:p>
    <w:p>
      <w:pPr>
        <w:ind w:right="340" w:firstLine="486"/>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 w:lineRule="exact"/>
        <w:rPr>
          <w:sz w:val="24"/>
          <w:szCs w:val="24"/>
          <w:color w:val="auto"/>
        </w:rPr>
      </w:pPr>
    </w:p>
    <w:p>
      <w:pPr>
        <w:ind w:right="320" w:firstLine="486"/>
        <w:spacing w:after="0" w:line="209"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1" w:lineRule="exact"/>
        <w:rPr>
          <w:sz w:val="24"/>
          <w:szCs w:val="24"/>
          <w:color w:val="auto"/>
        </w:rPr>
      </w:pPr>
    </w:p>
    <w:p>
      <w:pPr>
        <w:ind w:right="340" w:firstLine="486"/>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1" w:lineRule="exact"/>
        <w:rPr>
          <w:sz w:val="24"/>
          <w:szCs w:val="24"/>
          <w:color w:val="auto"/>
        </w:rPr>
      </w:pPr>
    </w:p>
    <w:p>
      <w:pPr>
        <w:jc w:val="both"/>
        <w:ind w:right="260" w:firstLine="486"/>
        <w:spacing w:after="0" w:line="26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59"/>
        </w:trPr>
        <w:tc>
          <w:tcPr>
            <w:tcW w:w="18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12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2" w:lineRule="exact"/>
        <w:rPr>
          <w:sz w:val="24"/>
          <w:szCs w:val="24"/>
          <w:color w:val="auto"/>
        </w:rPr>
      </w:pPr>
    </w:p>
    <w:p>
      <w:pPr>
        <w:ind w:right="100" w:firstLine="486"/>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6" w:lineRule="exact"/>
        <w:rPr>
          <w:sz w:val="24"/>
          <w:szCs w:val="24"/>
          <w:color w:val="auto"/>
        </w:rPr>
      </w:pPr>
    </w:p>
    <w:p>
      <w:pPr>
        <w:ind w:right="120" w:firstLine="486"/>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1" w:name="page2"/>
    <w:bookmarkEnd w:id="1"/>
    <w:p>
      <w:pPr>
        <w:ind w:right="60"/>
        <w:spacing w:after="0" w:line="268" w:lineRule="auto"/>
        <w:rPr>
          <w:sz w:val="20"/>
          <w:szCs w:val="20"/>
          <w:color w:val="auto"/>
        </w:rPr>
      </w:pPr>
      <w:r>
        <w:rPr>
          <w:rFonts w:ascii="Times New Roman" w:cs="Times New Roman" w:eastAsia="Times New Roman" w:hAnsi="Times New Roman"/>
          <w:sz w:val="18"/>
          <w:szCs w:val="18"/>
          <w:b w:val="1"/>
          <w:bCs w:val="1"/>
          <w:color w:val="F1665F"/>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1665F"/>
        </w:rPr>
        <w:t>SUBJECT TO COMPLETION, DATED AUGUST 26,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36195</wp:posOffset>
            </wp:positionV>
            <wp:extent cx="1465580"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55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Sema4 Holdings Corp.</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 Preferred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 Warrants, Subscription Rights and Units</w:t>
      </w:r>
    </w:p>
    <w:p>
      <w:pPr>
        <w:spacing w:after="0" w:line="15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From time to time, we may offer up to $300,000,000 aggregate dollar amount of shares of our Class A common stock (the “Class A common stock”) or preferred stock, debt securities, warrants to purchase our Class A common stock, preferred stock or debt securities, subscription rights to purchase our Class A common stock, preferred stock or debt securities and/or units consisting of some or all of these securities, in any combination, together or separately, in one or more offerings, in amounts, at prices and on the terms that we will determine at the time of the offering and which will be set forth in a prospectus supplement and, if permitted, any related free writing prospectus. The prospectus supplement and, if permitted, any related free writing prospectus may also add, update or change information contained in this prospectus. The total amount of these securities will have an initial aggregate offering price of up to $300,000,000.</w:t>
      </w:r>
    </w:p>
    <w:p>
      <w:pPr>
        <w:spacing w:after="0" w:line="13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You should read this prospectus, the information incorporated, or deemed to be incorporated, by reference in this prospectus, and any applicable prospectus supplement and, if permitted, related free writing prospectus carefully before you invest.</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Class A common stock and public warrants are traded on The Nasdaq Global Select Market (the “Nasdaq”) under the symbols “SMFR” and “SMFRW,” respectively. On August 25, 2022, the last reported sales price of our Class A common stock was $1.22 per share and the last reported sales price of our public warrants was $0.31 per warrant. The applicable prospectus supplement and, if permitted, any related free writing prospectus will contain information, where applicable, as to any other listing on The Nasdaq Global Select Market or any securities market or exchange of the securities covered by the prospectus supplement and, if permitted, any related free writing prospectus.</w:t>
      </w:r>
    </w:p>
    <w:p>
      <w:pPr>
        <w:spacing w:after="0" w:line="12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in Section 2(a) of the Securities Act of 1933, as amended, and, as such, have elected to comply with certain reduced disclosure and regulatory requirements. An investment in our securities involves a high degree of risk. You should carefully consider the information under the heading “</w:t>
      </w:r>
      <w:r>
        <w:rPr>
          <w:rFonts w:ascii="Times New Roman" w:cs="Times New Roman" w:eastAsia="Times New Roman" w:hAnsi="Times New Roman"/>
          <w:sz w:val="18"/>
          <w:szCs w:val="18"/>
          <w:b w:val="1"/>
          <w:bCs w:val="1"/>
          <w:i w:val="1"/>
          <w:iCs w:val="1"/>
          <w:u w:val="single" w:color="auto"/>
          <w:color w:val="0000FF"/>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FF"/>
        </w:rPr>
        <w:t>5</w:t>
      </w:r>
      <w:r>
        <w:rPr>
          <w:rFonts w:ascii="Times New Roman" w:cs="Times New Roman" w:eastAsia="Times New Roman" w:hAnsi="Times New Roman"/>
          <w:sz w:val="18"/>
          <w:szCs w:val="18"/>
          <w:b w:val="1"/>
          <w:bCs w:val="1"/>
          <w:color w:val="auto"/>
        </w:rPr>
        <w:t xml:space="preserve"> of this prospectus, as well as the sections entitled “Risk Factors” beginning on page 30 of our Annual Report on Form 10-K for the year ended December 31, 2021, beginning on page 46 of our Quarterly Report on Form 10-Q for the quarter ended March 31, 2022 and beginning on page 60 of our Quarterly Report on Form 10-Q for the quarter ended June 30, 2022, which reports are incorporated by reference in this prospectus, before investing in our securities.</w:t>
      </w:r>
    </w:p>
    <w:p>
      <w:pPr>
        <w:spacing w:after="0" w:line="13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Class A common stock, preferred stock, debt securities, warrants, subscription rights and/or units may be sold by us to or through underwriters or dealers, directly to purchasers or through agents designated from time to time. For additional information on the methods of sale, you should refer to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this prospectus. If any underwriters, dealers or agents are involved in the sale of any securities with respect to which this prospectus is being delivered, the names of such underwriters or agents and any applicable fees, discounts or commissions, details regarding over-allotment options, if any, and the net proceeds to us will be set forth in a prospectus supplement. The price to the public of such securities and the net proceeds we expect to receive from such sale will also be set forth in a prospectus supplement.</w:t>
      </w:r>
    </w:p>
    <w:p>
      <w:pPr>
        <w:spacing w:after="0" w:line="129"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01" w:lineRule="exact"/>
        <w:rPr>
          <w:sz w:val="20"/>
          <w:szCs w:val="20"/>
          <w:color w:val="auto"/>
        </w:rPr>
      </w:pPr>
    </w:p>
    <w:tbl>
      <w:tblPr>
        <w:tblLayout w:type="fixed"/>
        <w:tblInd w:w="3840"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2022</w:t>
            </w:r>
          </w:p>
        </w:tc>
      </w:tr>
    </w:tbl>
    <w:p>
      <w:pPr>
        <w:sectPr>
          <w:pgSz w:w="11900" w:h="16838" w:orient="portrait"/>
          <w:cols w:equalWidth="0" w:num="1">
            <w:col w:w="11240"/>
          </w:cols>
          <w:pgMar w:left="320" w:top="927" w:right="339" w:bottom="1440" w:gutter="0" w:footer="0" w:header="0"/>
        </w:sectPr>
      </w:pPr>
    </w:p>
    <w:bookmarkStart w:id="2" w:name="page3"/>
    <w:bookmarkEnd w:id="2"/>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9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90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2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8080" w:type="dxa"/>
            <w:vAlign w:val="bottom"/>
            <w:gridSpan w:val="8"/>
            <w:vMerge w:val="restart"/>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40" w:type="dxa"/>
            <w:vAlign w:val="bottom"/>
            <w:gridSpan w:val="6"/>
            <w:vMerge w:val="continue"/>
          </w:tcPr>
          <w:p>
            <w:pPr>
              <w:spacing w:after="0"/>
              <w:rPr>
                <w:sz w:val="15"/>
                <w:szCs w:val="15"/>
                <w:color w:val="auto"/>
              </w:rPr>
            </w:pPr>
          </w:p>
        </w:tc>
        <w:tc>
          <w:tcPr>
            <w:tcW w:w="8080" w:type="dxa"/>
            <w:vAlign w:val="bottom"/>
            <w:gridSpan w:val="8"/>
            <w:vMerge w:val="continue"/>
          </w:tcPr>
          <w:p>
            <w:pPr>
              <w:spacing w:after="0"/>
              <w:rPr>
                <w:sz w:val="15"/>
                <w:szCs w:val="15"/>
                <w:color w:val="auto"/>
              </w:rPr>
            </w:pPr>
          </w:p>
        </w:tc>
        <w:tc>
          <w:tcPr>
            <w:tcW w:w="90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SELECTED DEFINITIONS</w:t>
            </w:r>
          </w:p>
        </w:tc>
        <w:tc>
          <w:tcPr>
            <w:tcW w:w="180" w:type="dxa"/>
            <w:vAlign w:val="bottom"/>
          </w:tcPr>
          <w:p>
            <w:pPr>
              <w:spacing w:after="0"/>
              <w:rPr>
                <w:sz w:val="18"/>
                <w:szCs w:val="18"/>
                <w:color w:val="auto"/>
              </w:rPr>
            </w:pPr>
          </w:p>
        </w:tc>
        <w:tc>
          <w:tcPr>
            <w:tcW w:w="8080" w:type="dxa"/>
            <w:vAlign w:val="bottom"/>
            <w:gridSpan w:val="8"/>
          </w:tcPr>
          <w:p>
            <w:pPr>
              <w:spacing w:after="0"/>
              <w:rPr>
                <w:sz w:val="18"/>
                <w:szCs w:val="18"/>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PROSPECTUS SUMMARY</w:t>
            </w:r>
          </w:p>
        </w:tc>
        <w:tc>
          <w:tcPr>
            <w:tcW w:w="8260" w:type="dxa"/>
            <w:vAlign w:val="bottom"/>
            <w:gridSpan w:val="9"/>
          </w:tcPr>
          <w:p>
            <w:pPr>
              <w:spacing w:after="0"/>
              <w:rPr>
                <w:sz w:val="18"/>
                <w:szCs w:val="18"/>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00" w:type="dxa"/>
            <w:vAlign w:val="bottom"/>
            <w:gridSpan w:val="3"/>
          </w:tcPr>
          <w:p>
            <w:pPr>
              <w:spacing w:after="0"/>
              <w:rPr>
                <w:sz w:val="18"/>
                <w:szCs w:val="18"/>
                <w:color w:val="auto"/>
              </w:rPr>
            </w:pPr>
          </w:p>
        </w:tc>
        <w:tc>
          <w:tcPr>
            <w:tcW w:w="8260" w:type="dxa"/>
            <w:vAlign w:val="bottom"/>
            <w:gridSpan w:val="9"/>
          </w:tcPr>
          <w:p>
            <w:pPr>
              <w:spacing w:after="0"/>
              <w:rPr>
                <w:sz w:val="18"/>
                <w:szCs w:val="18"/>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1960" w:type="dxa"/>
            <w:vAlign w:val="bottom"/>
            <w:gridSpan w:val="2"/>
          </w:tcPr>
          <w:p>
            <w:pPr>
              <w:spacing w:after="0"/>
              <w:rPr>
                <w:sz w:val="18"/>
                <w:szCs w:val="18"/>
                <w:color w:val="auto"/>
              </w:rPr>
            </w:pPr>
          </w:p>
        </w:tc>
        <w:tc>
          <w:tcPr>
            <w:tcW w:w="4540" w:type="dxa"/>
            <w:vAlign w:val="bottom"/>
          </w:tcPr>
          <w:p>
            <w:pPr>
              <w:spacing w:after="0"/>
              <w:rPr>
                <w:sz w:val="18"/>
                <w:szCs w:val="18"/>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INCORPORATION OF INFORMATION BY REFERENCE</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5940" w:type="dxa"/>
            <w:vAlign w:val="bottom"/>
            <w:gridSpan w:val="2"/>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PLAN OF DISTRIBUTION</w:t>
            </w:r>
          </w:p>
        </w:tc>
        <w:tc>
          <w:tcPr>
            <w:tcW w:w="8260" w:type="dxa"/>
            <w:vAlign w:val="bottom"/>
            <w:gridSpan w:val="9"/>
          </w:tcPr>
          <w:p>
            <w:pPr>
              <w:spacing w:after="0"/>
              <w:rPr>
                <w:sz w:val="18"/>
                <w:szCs w:val="18"/>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DESCRIPTION OF CAPITAL STOCK</w:t>
            </w:r>
          </w:p>
        </w:tc>
        <w:tc>
          <w:tcPr>
            <w:tcW w:w="7440" w:type="dxa"/>
            <w:vAlign w:val="bottom"/>
            <w:gridSpan w:val="6"/>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DESCRIPTION OF DEBT SECURITIES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DESCRIPTION OF WARRANTS</w:t>
            </w:r>
          </w:p>
        </w:tc>
        <w:tc>
          <w:tcPr>
            <w:tcW w:w="7300" w:type="dxa"/>
            <w:vAlign w:val="bottom"/>
            <w:gridSpan w:val="5"/>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860" w:type="dxa"/>
            <w:vAlign w:val="bottom"/>
            <w:gridSpan w:val="4"/>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DESCRIPTION OF SUBSCRIPTION RIGHTS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DESCRIPTION OF UNITS</w:t>
            </w:r>
          </w:p>
        </w:tc>
        <w:tc>
          <w:tcPr>
            <w:tcW w:w="6860" w:type="dxa"/>
            <w:vAlign w:val="bottom"/>
            <w:gridSpan w:val="4"/>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260" w:type="dxa"/>
            <w:vAlign w:val="bottom"/>
            <w:gridSpan w:val="9"/>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tcBorders>
              <w:top w:val="single" w:sz="8" w:color="0000FF"/>
            </w:tcBorders>
            <w:gridSpan w:val="2"/>
          </w:tcPr>
          <w:p>
            <w:pPr>
              <w:spacing w:after="0"/>
              <w:rPr>
                <w:sz w:val="18"/>
                <w:szCs w:val="18"/>
                <w:color w:val="auto"/>
              </w:rPr>
            </w:pPr>
          </w:p>
        </w:tc>
        <w:tc>
          <w:tcPr>
            <w:tcW w:w="8860" w:type="dxa"/>
            <w:vAlign w:val="bottom"/>
            <w:gridSpan w:val="11"/>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440" w:right="339" w:bottom="1440" w:gutter="0" w:footer="0" w:header="0"/>
        </w:sectPr>
      </w:pPr>
    </w:p>
    <w:bookmarkStart w:id="3" w:name="page4"/>
    <w:bookmarkEnd w:id="3"/>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This prospectus is part of a registration statement on Form S-3 that we filed with the Securities and Exchange Commission (the “SEC”) using a “shelf” registration process. Under this shelf registration process, from time to time, we may sell any combination of the securities described in this prospectus in one or more offerings, up to a total dollar amount of $300,000,000. We have provided to you in this prospectus a general description of the securities we may offer. Each time we sell securities under this shelf registration process, we will provide a prospectus supplement that will contain specific information about the terms of the offering. We may also add, update or change in the prospectus supplement any of the information contained in this prospectus. To the extent there is a conflict between the information contained in this prospectus and the prospectus supplement, you should rely on the information in the prospectus supplement;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statement in one of these documents is inconsistent with a statement in another document having a later date— for example, a document incorporated by reference in this prospectus or any prospectus supplement—the statement in the document having the later date modifies or supersedes the earlier statement. You should read both this prospectus and any prospectus supplement together with additional information described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Information by Reference</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Neither we, nor any agent, underwriter or dealer have authorized anyone to give you any information or to make any representation other than the information and representations contained in or incorporated by reference into this prospectus or any applicable prospectus supplement. We and any agent, underwriter or dealer take no responsibility for, and can provide no assurance as to the reliability of, any other information others may give you. You may not imply from the delivery of this prospectus and any applicable prospectus supplement, nor from a sale made under this prospectus and any applicable prospectus supplement, that our affairs are unchanged since the date of this prospectus and any applicable prospectus supplement or that the information contained in any document incorporated by reference is accurate as of any date other than the date of the document incorporated by reference, regardless of the time of delivery of this prospectus and any applicable prospectus supplement or any sale of a security. This prospectus and any applicable prospectus supplement may only be used where it is legal to sell the securities.</w:t>
      </w:r>
    </w:p>
    <w:p>
      <w:pPr>
        <w:spacing w:after="0" w:line="134"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PROSPECTUS MAY NOT BE USED TO OFFER AND SELL SECURITIES UNLESS IT IS ACCOMPANIED BY AN ADDITIONAL PROSPECTUS OR A PROSPECTUS SUPPLEMENT.</w:t>
      </w:r>
    </w:p>
    <w:p>
      <w:pPr>
        <w:spacing w:after="0" w:line="10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Unless the context otherwise requires, references in this prospectus to the “Company,” “Sema4” and “we,” “us” and “our” refer to (i) Mount Sinai Genomics, Inc. d/b/a as Sema4 (“Legacy Sema4”) prior to the consummation of our business combination with CM Life Sciences, Inc. (“CMLS”) on July 22, 2021 (the “Business Combination”) and (ii) Sema4 Holdings Corp. (“Sema4 Holdings”) and its consolidated subsidiaries following the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1440" w:right="359" w:bottom="1440" w:gutter="0" w:footer="0" w:header="0"/>
        </w:sectPr>
      </w:pPr>
    </w:p>
    <w:bookmarkStart w:id="4" w:name="page5"/>
    <w:bookmarkEnd w:id="4"/>
    <w:p>
      <w:pPr>
        <w:spacing w:after="0" w:line="1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references to:</w:t>
      </w:r>
    </w:p>
    <w:p>
      <w:pPr>
        <w:spacing w:after="0" w:line="169"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Amended and Restated Certificate of Incorporation”</w:t>
      </w:r>
      <w:r>
        <w:rPr>
          <w:rFonts w:ascii="Times New Roman" w:cs="Times New Roman" w:eastAsia="Times New Roman" w:hAnsi="Times New Roman"/>
          <w:sz w:val="18"/>
          <w:szCs w:val="18"/>
          <w:color w:val="auto"/>
        </w:rPr>
        <w:t xml:space="preserve"> mean our Third Amended and Restated Certificate of Incorporation, dated as of July 22, 2021, as amended by the Amendment to the Amended and Restated Certificate of Incorporation, dated as of April 29,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 the board of directors of the Company.</w:t>
      </w:r>
    </w:p>
    <w:p>
      <w:pPr>
        <w:spacing w:after="0" w:line="171" w:lineRule="exact"/>
        <w:rPr>
          <w:sz w:val="20"/>
          <w:szCs w:val="20"/>
          <w:color w:val="auto"/>
        </w:rPr>
      </w:pPr>
    </w:p>
    <w:p>
      <w:pPr>
        <w:ind w:right="8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mean the transactions contemplated by the Business Combination Merger Agreement pursuant to which Legacy Sema4 consummated its business combination with CMLS on July 22, 2021.</w:t>
      </w:r>
    </w:p>
    <w:p>
      <w:pPr>
        <w:spacing w:after="0" w:line="104"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 Merger Agreement</w:t>
      </w:r>
      <w:r>
        <w:rPr>
          <w:rFonts w:ascii="Times New Roman" w:cs="Times New Roman" w:eastAsia="Times New Roman" w:hAnsi="Times New Roman"/>
          <w:sz w:val="18"/>
          <w:szCs w:val="18"/>
          <w:color w:val="auto"/>
        </w:rPr>
        <w:t>” mean that certain Agreement and Plan of Merger, dated as of February 9, 2021, as amended, by and among CMLS, S-IV Sub, Inc. and Legacy Sema4.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CMLS</w:t>
      </w:r>
      <w:r>
        <w:rPr>
          <w:rFonts w:ascii="Times New Roman" w:cs="Times New Roman" w:eastAsia="Times New Roman" w:hAnsi="Times New Roman"/>
          <w:sz w:val="18"/>
          <w:szCs w:val="18"/>
          <w:color w:val="auto"/>
        </w:rPr>
        <w:t>” mean CM Life Sciences, Inc. prior to the closing of the Business Combination.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Former Sponsor</w:t>
      </w:r>
      <w:r>
        <w:rPr>
          <w:rFonts w:ascii="Times New Roman" w:cs="Times New Roman" w:eastAsia="Times New Roman" w:hAnsi="Times New Roman"/>
          <w:sz w:val="18"/>
          <w:szCs w:val="18"/>
          <w:color w:val="auto"/>
        </w:rPr>
        <w:t>” mean CMLS Holdings LLC, a Delaware limited liability company.</w:t>
      </w:r>
    </w:p>
    <w:p>
      <w:pPr>
        <w:spacing w:after="0" w:line="171"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GeneDx</w:t>
      </w:r>
      <w:r>
        <w:rPr>
          <w:rFonts w:ascii="Times New Roman" w:cs="Times New Roman" w:eastAsia="Times New Roman" w:hAnsi="Times New Roman"/>
          <w:sz w:val="18"/>
          <w:szCs w:val="18"/>
          <w:color w:val="auto"/>
        </w:rPr>
        <w:t>” mean GeneDx, LLC, a Delaware limited liability company (formerly, GeneDx, Inc., a New Jersey corporation), which we acquired on April 29, 2022.</w:t>
      </w:r>
    </w:p>
    <w:p>
      <w:pPr>
        <w:spacing w:after="0" w:line="104" w:lineRule="exact"/>
        <w:rPr>
          <w:sz w:val="20"/>
          <w:szCs w:val="20"/>
          <w:color w:val="auto"/>
        </w:rPr>
      </w:pPr>
    </w:p>
    <w:p>
      <w:pPr>
        <w:ind w:right="7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IPO</w:t>
      </w:r>
      <w:r>
        <w:rPr>
          <w:rFonts w:ascii="Times New Roman" w:cs="Times New Roman" w:eastAsia="Times New Roman" w:hAnsi="Times New Roman"/>
          <w:sz w:val="18"/>
          <w:szCs w:val="18"/>
          <w:color w:val="auto"/>
        </w:rPr>
        <w:t>” mean the Company’s initial public offering, consummated on September 4, 2020, of 44,275,000 units (including 5,775,000 units that were subsequently issued to the underwriters in connection with the partial exercise of their over-allotment option) at $10.00 per unit.</w:t>
      </w:r>
    </w:p>
    <w:p>
      <w:pPr>
        <w:spacing w:after="0" w:line="10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private placement warrants</w:t>
      </w:r>
      <w:r>
        <w:rPr>
          <w:rFonts w:ascii="Times New Roman" w:cs="Times New Roman" w:eastAsia="Times New Roman" w:hAnsi="Times New Roman"/>
          <w:sz w:val="18"/>
          <w:szCs w:val="18"/>
          <w:color w:val="auto"/>
        </w:rPr>
        <w:t>” mean the 7,236,667 warrants originally issued to the Former Sponsor and certain of the other initial stockholders of CMLS in a private placement in connection with our IPO.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warrants</w:t>
      </w:r>
      <w:r>
        <w:rPr>
          <w:rFonts w:ascii="Times New Roman" w:cs="Times New Roman" w:eastAsia="Times New Roman" w:hAnsi="Times New Roman"/>
          <w:sz w:val="18"/>
          <w:szCs w:val="18"/>
          <w:color w:val="auto"/>
        </w:rPr>
        <w:t>” mean the 14,758,305 warrants included in the units issued in our IPO.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mean holders of shares of our Class A common stock.</w:t>
      </w:r>
    </w:p>
    <w:p>
      <w:pPr>
        <w:spacing w:after="0" w:line="171"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warrant agreement</w:t>
      </w:r>
      <w:r>
        <w:rPr>
          <w:rFonts w:ascii="Times New Roman" w:cs="Times New Roman" w:eastAsia="Times New Roman" w:hAnsi="Times New Roman"/>
          <w:sz w:val="18"/>
          <w:szCs w:val="18"/>
          <w:color w:val="auto"/>
        </w:rPr>
        <w:t>” mean the warrant agreement between us and Continental Stock Transfer &amp; Trust Company, as warrant agent, governing the terms of the private placement warrants and the public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7450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7745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This summary may not contain all the information that you should consider before investing in our securities. You should read the entire prospectus and the information incorporated by reference in this prospectus carefully, including “Risk Factors” and the financial statements and related notes incorporated by reference herein, before making an investment decision.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We are a health insights company dedicated to accelerating the use of genomics and leveraging large-scale clinical data to enhance the standard of care through the more extensive use of precision medicine. Our mission is to unlock insights from data, leading to healthier lives and a healthier society. We are one of the largest and most advanced providers of genomic testing in the U.S. and have an industry-leading health information database to transform patient care and improve therapeutic development.</w:t>
      </w:r>
    </w:p>
    <w:p>
      <w:pPr>
        <w:spacing w:after="0" w:line="12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are focused on effectively delivering our portfolio of genomic and data solutions to guide patients through their family health journey. That includes family planning, delivery, pediatrics, hereditary cancer screening, and rare disorders for children and adults. We are committed to helping families make better health decisions with our panels, exome, and genome – fueled by our interpretation platform designed for a genome’s worth of information and a data engine built to combine genomic and clinical data to deliver better insights.</w:t>
      </w:r>
    </w:p>
    <w:p>
      <w:pPr>
        <w:spacing w:after="0" w:line="1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Our integrated information platform leverages longitudinal patient data, artificial intelligence (“AI”)-driven predictive modeling, and genomics in combination with other molecular and high-dimensional data in our efforts both to deliver better outcomes for patients and to transform the practice of medicine, including how disease is diagnosed, treated, and prevented. We now maintain a database that includes patient data available for research on approximately 12 million patients from a number of public and proprietary sources, including more than five million patients available with clinical data through our partner health systems and genomic testing solutions. </w:t>
      </w:r>
      <w:r>
        <w:rPr>
          <w:rFonts w:ascii="Times New Roman" w:cs="Times New Roman" w:eastAsia="Times New Roman" w:hAnsi="Times New Roman"/>
          <w:sz w:val="18"/>
          <w:szCs w:val="18"/>
          <w:color w:val="auto"/>
          <w:highlight w:val="white"/>
        </w:rPr>
        <w:t>Our data asset also includes one of the world’s largest datasets of approximately 400,000 clinical exomes, the vast majority of which are associated with rare disease, providing us an unparalleled platform for pharmaceutical and biotech (“Biopharma”) companies to leverage.</w:t>
      </w:r>
    </w:p>
    <w:p>
      <w:pPr>
        <w:spacing w:after="0" w:line="13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Today, by providing differentiated insights through diagnostic testing solutions to physicians and patients across the United States (the “U.S.”) in areas such as reproductive and women’s health, pediatric and rare disease health, and population health, , we are reimbursed by payors, providers, and patients for providing these services. In collaboration with Biopharma companies, we receive payments for a broad range of services relating to the aggregated data on our information platform, such as consenting and recontacting patients, the development and implementation of a wide range of predictive models, including drug discovery programs, conducting real-world evidence studies, and aiding in the identification and recruitment of patients into clinical trials. Over the next several years, we expect to focus on expanding the revenue from our health system and Biopharma partners, while also working to continue to grow the volumes and revenues from our diagnostics test solutions.</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While there are many companies seeking to harness the potential of “big data” to address the challenges within the healthcare ecosystem, we believe that few have the scale of our company combined with our revenue-generating diagnostics testing business and origins as a company conceived and nurtured within a world-class health system. These characteristics have enabled us to build a significant and highly differentiated technological and informational asset positioned to drive precision medicine solutions into the standard of care in an unparalleled way.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With this prospectus, we may offer shares of our Class A common stock or preferred stock, debt securities, warrants to purchase our Class A common stock, preferred stock or debt securities, subscription rights to purchase our Class A common stock, preferred stock or debt securities, and/or units consisting of some or all of these securities in any combination. The aggregate offering price of securities that we offer with this prospectus will not exceed $300,000,000. Each time we offer securities with this prospectus, we will provide offerees with a prospectus supplement that will contain the specific terms of the securities being offered. The following is a summary of the securities we may offer with this prospectus.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880"/>
          </w:cols>
          <w:pgMar w:left="1000" w:top="1440" w:right="101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993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offer shares of our Class A common stock, par value $0.0001 per share.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may offer shares of our preferred stock, par value $0.0001 per share, in one or more series. Our board of directors (the “Board”) or a committee designated by the Board will determine the dividend, voting, conversion and other rights of the series of shares of preferred stock being offered. Each series of preferred stock will be more fully described in the particular prospectus supplement that will accompany this prospectus, including redemption provisions, rights in the event of our liquidation, dissolution or the winding up, voting rights and rights to convert into Class A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Securities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offer general obligations, which may be secured or unsecured, senior or subordinated and convertible into shares of our Class A common stock or preferred stock. In this prospectus, we refer to the senior debt securities and the subordinated debt securities together as the “debt securities.” Our Board will determine the terms of each series of debt securities being offered.</w:t>
      </w:r>
    </w:p>
    <w:p>
      <w:pPr>
        <w:spacing w:after="0" w:line="12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We will issue the debt securities under an indenture between us and a trustee. In this prospectus, we have summarized general features of the debt securities from the indenture. We encourage you to read the indenture, which is an exhibit to the registration statement of which this prospectus is a part. </w:t>
      </w:r>
      <w:r>
        <w:rPr>
          <w:rFonts w:ascii="Times New Roman" w:cs="Times New Roman" w:eastAsia="Times New Roman" w:hAnsi="Times New Roman"/>
          <w:sz w:val="18"/>
          <w:szCs w:val="18"/>
          <w:color w:val="auto"/>
          <w:highlight w:val="white"/>
        </w:rPr>
        <w:t>The actual indenture we enter into in connection with an offering of debt securities may differ significantly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the form of indenture we have filed.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may offer warrants for the purchase of debt securities, shares of preferred stock or shares of Class A common stock. We may issue warrants independently or together with other securities. Our Board will determine the terms of the warrants.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 Rights</w:t>
      </w:r>
    </w:p>
    <w:p>
      <w:pPr>
        <w:spacing w:after="0" w:line="175" w:lineRule="exact"/>
        <w:rPr>
          <w:sz w:val="20"/>
          <w:szCs w:val="20"/>
          <w:color w:val="auto"/>
        </w:rPr>
      </w:pPr>
    </w:p>
    <w:p>
      <w:pPr>
        <w:ind w:right="620"/>
        <w:spacing w:after="0" w:line="312" w:lineRule="auto"/>
        <w:rPr>
          <w:sz w:val="20"/>
          <w:szCs w:val="20"/>
          <w:color w:val="auto"/>
        </w:rPr>
      </w:pPr>
      <w:r>
        <w:rPr>
          <w:rFonts w:ascii="Times New Roman" w:cs="Times New Roman" w:eastAsia="Times New Roman" w:hAnsi="Times New Roman"/>
          <w:sz w:val="17"/>
          <w:szCs w:val="17"/>
          <w:color w:val="auto"/>
        </w:rPr>
        <w:t>We may offer subscription rights for the purchase of Class A common stock, preferred stock or debt securities. We may issue subscription rights independently or together with other securities. Our Board will determine the terms of the subscription rights.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may offer units consisting of some or all of the securities described above, in any combination, including Class A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were incorporated on July 10, 2020 as a special purpose acquisition company and a Delaware corporation under the name CM Life Sciences, Inc. (“CMLS”). On September 4, 2020, CMLS completed its initial public offering. On July 22, 2021, CMLS consummated the Business Combination with Legacy Sema4 pursuant to the Business Combination Merger Agreement. In connection with the Business Combination, CMLS changed its name to Sema4 Holdings Corp. (“Sema4 Holdings”).</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address is 333 Ludlow Street, North Tower, 8th Floor, Stamford, Connecticut 06902. Our telephone number is 1(800) 298-6470. Our website address is https://sema4.com. Information contained on our website or connected thereto does not constitute part of, and is not incorporated by reference into, this prospectus or the registration statement of which it forms a part.</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880"/>
          </w:cols>
          <w:pgMar w:left="1000" w:top="1440" w:right="1019" w:bottom="1440" w:gutter="0" w:footer="0" w:header="0"/>
          <w:type w:val="continuous"/>
        </w:sectPr>
      </w:pPr>
    </w:p>
    <w:bookmarkStart w:id="7" w:name="page8"/>
    <w:bookmarkEnd w:id="7"/>
    <w:p>
      <w:pPr>
        <w:spacing w:after="0" w:line="1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You should consider the risk factors described in the “Risk Factors” sections of our Annual Report on Form 10-K for the fiscal year ended December 31, 2021, our Quarterly Report on Form 10-Q for the quarter ended March 31, 2022 and our Quarterly Report on Form 10-Q for the quarter ended June 30, 2022, which reports are incorporated herein by reference, in addition to the factors set forth below and other information contained in or incorporated by reference in this prospectus or in any prospectus supplement or post-effective amendment, if required, before purchasing any of our securities. We may face additional risks and uncertainties that are not presently known to us, or that we currently deem immaterial, which may also impair our business or financial condition.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Incorporation of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Reference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1440" w:right="439" w:bottom="1440" w:gutter="0" w:footer="0" w:header="0"/>
        </w:sectPr>
      </w:pPr>
    </w:p>
    <w:bookmarkStart w:id="8" w:name="page9"/>
    <w:bookmarkEnd w:id="8"/>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matters discussed in this prospectus and the documents incorporated by reference in this prospectus may constitute forward-looking statements for purposes of the Securities Act of 1933, as amended (the “Securities Act”), and the Securities Exchange Act of 1934, as amended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in the section entitled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color w:val="auto"/>
        </w:rPr>
        <w:t>,” and elsewhere in this prospectus and the documents incorporated by reference herein,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34"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benefits expected from our April 2022 acquisition of GeneDx;</w:t>
      </w:r>
    </w:p>
    <w:p>
      <w:pPr>
        <w:spacing w:after="0" w:line="171" w:lineRule="exact"/>
        <w:rPr>
          <w:rFonts w:ascii="Times New Roman" w:cs="Times New Roman" w:eastAsia="Times New Roman" w:hAnsi="Times New Roman"/>
          <w:sz w:val="18"/>
          <w:szCs w:val="18"/>
          <w:color w:val="auto"/>
        </w:rPr>
      </w:pPr>
    </w:p>
    <w:p>
      <w:pPr>
        <w:ind w:left="660" w:right="9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sufficiency of our existing capital resources combined with future anticipated cash flows to finance our operating requirements;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losses;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incurring capital expenditures;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circumstances or other disruptions to normal business operations, including supply chain interruptions and manufacturing constraints, arising from or related to the ongoing COVID-19 pandemic;</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plans to exit out somatic tumor testing business and the associated cost savings and impact on our gross margins;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generating revenue or becoming profitable on a sustained basis;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service, collaboration and other partnership agreements;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build our own commercial infrastructure to scale market and sell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or authorizations by the U.S. Food and Drug Administration (the “FDA”) or other regulatory authorities;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governmental regulation and other legal obligations, including privacy, data protection, information security, consumer protection, and anti-corruption and anti-bribery;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against existing and emerging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and its volatility;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payor reimbursement and coverage decisions, negotiations and settlements;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laboratories and service providers for our test volume in connection with our diagnostic solutions and data programs;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Nasdaq listing rules;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future capital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440" w:right="359" w:bottom="1440" w:gutter="0" w:footer="0" w:header="0"/>
        </w:sectPr>
      </w:pPr>
    </w:p>
    <w:bookmarkStart w:id="9" w:name="page10"/>
    <w:bookmarkEnd w:id="9"/>
    <w:p>
      <w:pPr>
        <w:spacing w:after="0" w:line="140" w:lineRule="exact"/>
        <w:rPr>
          <w:sz w:val="20"/>
          <w:szCs w:val="20"/>
          <w:color w:val="auto"/>
        </w:rPr>
      </w:pPr>
    </w:p>
    <w:p>
      <w:pPr>
        <w:ind w:left="660" w:right="44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estimates, including the adequacy of our reserves for third party payor claims and our estimates of the fair value of milestone payments related to the April 2022 acquisition of GeneDx;</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business strategy; and</w:t>
      </w:r>
    </w:p>
    <w:p>
      <w:pPr>
        <w:spacing w:after="0" w:line="16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entitled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and the documents incorporated by reference herein reflect our views and assumptions only as of the date of this prospectus or such document, as applicable. Except as required by law, we assume no responsibility for updating any forward-looking statements.</w:t>
      </w:r>
    </w:p>
    <w:p>
      <w:pPr>
        <w:spacing w:after="0" w:line="12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00"/>
          </w:cols>
          <w:pgMar w:left="320" w:top="1440" w:right="379" w:bottom="1440" w:gutter="0" w:footer="0" w:header="0"/>
        </w:sectPr>
      </w:pPr>
    </w:p>
    <w:bookmarkStart w:id="10" w:name="page11"/>
    <w:bookmarkEnd w:id="10"/>
    <w:p>
      <w:pPr>
        <w:spacing w:after="0" w:line="13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7"/>
          <w:szCs w:val="17"/>
          <w:color w:val="auto"/>
        </w:rPr>
        <w:t>We file reports, proxy statements and other information with the SEC. The SEC maintains a website that contains reports, proxy and information statements and other information about issuers, such as us, who file electronically with the SEC. The address of that website is http://www.sec.gov.</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website address is www.sema4.com. The information on our website, however, is not, and should not be deemed to be, a part of this prospectus.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prospectus and any applicable prospectus supplement are part of a registration statement that we filed with the SEC and do not contain all of the information in the registration statement. The full registration statement may be obtained from the SEC or us, as provided below.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40"/>
          </w:cols>
          <w:pgMar w:left="320" w:top="1440" w:right="539" w:bottom="1440" w:gutter="0" w:footer="0" w:header="0"/>
        </w:sectPr>
      </w:pPr>
    </w:p>
    <w:bookmarkStart w:id="11" w:name="page12"/>
    <w:bookmarkEnd w:id="11"/>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INFORMATION BY REFERENCE</w:t>
      </w:r>
    </w:p>
    <w:p>
      <w:pPr>
        <w:spacing w:after="0" w:line="17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incorporates by reference the documents set forth below that have previously been filed with the SEC:</w:t>
      </w:r>
    </w:p>
    <w:p>
      <w:pPr>
        <w:spacing w:after="0" w:line="17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2021, filed with the SEC on </w:t>
      </w:r>
      <w:hyperlink r:id="rId17">
        <w:r>
          <w:rPr>
            <w:rFonts w:ascii="Times New Roman" w:cs="Times New Roman" w:eastAsia="Times New Roman" w:hAnsi="Times New Roman"/>
            <w:sz w:val="18"/>
            <w:szCs w:val="18"/>
            <w:u w:val="single" w:color="auto"/>
            <w:color w:val="0000FF"/>
          </w:rPr>
          <w:t>March 14, 2022</w:t>
        </w:r>
      </w:hyperlink>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quarterly period ended March 31, 2022, filed with the SEC on </w:t>
      </w:r>
      <w:hyperlink r:id="rId18">
        <w:r>
          <w:rPr>
            <w:rFonts w:ascii="Times New Roman" w:cs="Times New Roman" w:eastAsia="Times New Roman" w:hAnsi="Times New Roman"/>
            <w:sz w:val="18"/>
            <w:szCs w:val="18"/>
            <w:u w:val="single" w:color="auto"/>
            <w:color w:val="0000FF"/>
          </w:rPr>
          <w:t>May 12, 2022</w:t>
        </w:r>
      </w:hyperlink>
      <w:r>
        <w:rPr>
          <w:rFonts w:ascii="Times New Roman" w:cs="Times New Roman" w:eastAsia="Times New Roman" w:hAnsi="Times New Roman"/>
          <w:sz w:val="18"/>
          <w:szCs w:val="18"/>
          <w:color w:val="auto"/>
        </w:rPr>
        <w:t xml:space="preserve">, and our Quarterly Report on Form 10-Q for the quarterly period ended June 30, 2022, filed with the SEC on </w:t>
      </w:r>
      <w:hyperlink r:id="rId19">
        <w:r>
          <w:rPr>
            <w:rFonts w:ascii="Times New Roman" w:cs="Times New Roman" w:eastAsia="Times New Roman" w:hAnsi="Times New Roman"/>
            <w:sz w:val="18"/>
            <w:szCs w:val="18"/>
            <w:u w:val="single" w:color="auto"/>
            <w:color w:val="0000FF"/>
          </w:rPr>
          <w:t>August 15, 2022</w:t>
        </w:r>
      </w:hyperlink>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color w:val="auto"/>
        </w:rPr>
      </w:pPr>
    </w:p>
    <w:p>
      <w:pPr>
        <w:ind w:left="660" w:right="180" w:hanging="328"/>
        <w:spacing w:after="0" w:line="258" w:lineRule="auto"/>
        <w:tabs>
          <w:tab w:leader="none" w:pos="655" w:val="left"/>
        </w:tabs>
        <w:numPr>
          <w:ilvl w:val="0"/>
          <w:numId w:val="3"/>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our Current Reports on Form 8-K filed with the SEC on </w:t>
      </w:r>
      <w:hyperlink r:id="rId20">
        <w:r>
          <w:rPr>
            <w:rFonts w:ascii="Times New Roman" w:cs="Times New Roman" w:eastAsia="Times New Roman" w:hAnsi="Times New Roman"/>
            <w:sz w:val="18"/>
            <w:szCs w:val="18"/>
            <w:u w:val="single" w:color="auto"/>
            <w:color w:val="0000FF"/>
          </w:rPr>
          <w:t>January 18,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(but only with respect to Items 1.01, 3.02, 5.02 and Exhibits 2.1, 10.1, </w:t>
      </w:r>
      <w:hyperlink r:id="rId21">
        <w:r>
          <w:rPr>
            <w:rFonts w:ascii="Times New Roman" w:cs="Times New Roman" w:eastAsia="Times New Roman" w:hAnsi="Times New Roman"/>
            <w:sz w:val="18"/>
            <w:szCs w:val="18"/>
            <w:color w:val="auto"/>
          </w:rPr>
          <w:t xml:space="preserve">10.2, 10.3 and 10.4 thereto), </w:t>
        </w:r>
        <w:r>
          <w:rPr>
            <w:rFonts w:ascii="Times New Roman" w:cs="Times New Roman" w:eastAsia="Times New Roman" w:hAnsi="Times New Roman"/>
            <w:sz w:val="18"/>
            <w:szCs w:val="18"/>
            <w:u w:val="single" w:color="auto"/>
            <w:color w:val="0000FF"/>
          </w:rPr>
          <w:t>January 31,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March 14, 2022</w:t>
        </w:r>
        <w:r>
          <w:rPr>
            <w:rFonts w:ascii="Times New Roman" w:cs="Times New Roman" w:eastAsia="Times New Roman" w:hAnsi="Times New Roman"/>
            <w:sz w:val="18"/>
            <w:szCs w:val="18"/>
            <w:color w:val="auto"/>
          </w:rPr>
          <w:t xml:space="preserve"> (but only with respect to Item 4.02 and 9.01 thereto), </w:t>
        </w:r>
        <w:r>
          <w:rPr>
            <w:rFonts w:ascii="Times New Roman" w:cs="Times New Roman" w:eastAsia="Times New Roman" w:hAnsi="Times New Roman"/>
            <w:sz w:val="18"/>
            <w:szCs w:val="18"/>
            <w:u w:val="single" w:color="auto"/>
            <w:color w:val="0000FF"/>
          </w:rPr>
          <w:t>April 27,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May 2,</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FF"/>
          </w:rPr>
          <w:t>2022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(but only with respect to Items 1.01, 2.01, 3.02, 5.02, 5.03, 8.01, 9.01(a) and 9.01(b), and Exhibits 2.1, 3.1, 10.1, 10.2, 23.1, 99.2 and </w:t>
        </w:r>
      </w:hyperlink>
      <w:r>
        <w:rPr>
          <w:rFonts w:ascii="Times New Roman" w:cs="Times New Roman" w:eastAsia="Times New Roman" w:hAnsi="Times New Roman"/>
          <w:sz w:val="18"/>
          <w:szCs w:val="18"/>
          <w:color w:val="0000FF"/>
        </w:rPr>
        <w:t xml:space="preserve">99.3 </w:t>
      </w:r>
      <w:r>
        <w:rPr>
          <w:rFonts w:ascii="Times New Roman" w:cs="Times New Roman" w:eastAsia="Times New Roman" w:hAnsi="Times New Roman"/>
          <w:sz w:val="18"/>
          <w:szCs w:val="18"/>
          <w:color w:val="000000"/>
        </w:rPr>
        <w:t xml:space="preserve">thereto), </w:t>
      </w:r>
      <w:hyperlink r:id="rId22">
        <w:r>
          <w:rPr>
            <w:rFonts w:ascii="Times New Roman" w:cs="Times New Roman" w:eastAsia="Times New Roman" w:hAnsi="Times New Roman"/>
            <w:sz w:val="18"/>
            <w:szCs w:val="18"/>
            <w:u w:val="single" w:color="auto"/>
            <w:color w:val="0000FF"/>
          </w:rPr>
          <w:t>June 14, 2022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(but only with respect to Items 5.02 and 9.01), </w:t>
      </w:r>
      <w:hyperlink r:id="rId23">
        <w:r>
          <w:rPr>
            <w:rFonts w:ascii="Times New Roman" w:cs="Times New Roman" w:eastAsia="Times New Roman" w:hAnsi="Times New Roman"/>
            <w:sz w:val="18"/>
            <w:szCs w:val="18"/>
            <w:u w:val="single" w:color="auto"/>
            <w:color w:val="0000FF"/>
          </w:rPr>
          <w:t>July 1, 2022</w:t>
        </w:r>
      </w:hyperlink>
      <w:r>
        <w:rPr>
          <w:rFonts w:ascii="Times New Roman" w:cs="Times New Roman" w:eastAsia="Times New Roman" w:hAnsi="Times New Roman"/>
          <w:sz w:val="18"/>
          <w:szCs w:val="18"/>
          <w:color w:val="000000"/>
        </w:rPr>
        <w:t xml:space="preserve">, and </w:t>
      </w:r>
      <w:hyperlink r:id="rId24">
        <w:r>
          <w:rPr>
            <w:rFonts w:ascii="Times New Roman" w:cs="Times New Roman" w:eastAsia="Times New Roman" w:hAnsi="Times New Roman"/>
            <w:sz w:val="18"/>
            <w:szCs w:val="18"/>
            <w:u w:val="single" w:color="auto"/>
            <w:color w:val="0000FF"/>
          </w:rPr>
          <w:t>August 26, 2022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(but only with respect to Items 5.02, 8.01, 9.01(a) and 9.01(b), and Exhibits 10.1, 99.2 and 99.3);</w:t>
      </w:r>
    </w:p>
    <w:p>
      <w:pPr>
        <w:spacing w:after="0" w:line="129" w:lineRule="exact"/>
        <w:rPr>
          <w:rFonts w:ascii="Times New Roman" w:cs="Times New Roman" w:eastAsia="Times New Roman" w:hAnsi="Times New Roman"/>
          <w:sz w:val="18"/>
          <w:szCs w:val="18"/>
          <w:color w:val="000000"/>
        </w:rPr>
      </w:pPr>
    </w:p>
    <w:p>
      <w:pPr>
        <w:ind w:left="660" w:right="1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combined carve-out balance sheets of GeneDx and subsidiary as of December 31, 2021 and 2020, the related audited combined carve out statements of comprehensive loss, equity and cash flows for each of the two years in the period ended December 31, 2021, and the related notes are included in our definitive proxy statement filed with the SEC on March 31, 2022 beginning on page F-41; and</w:t>
      </w:r>
    </w:p>
    <w:p>
      <w:pPr>
        <w:spacing w:after="0" w:line="121"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contained in our Registration Statement on </w:t>
      </w:r>
      <w:hyperlink r:id="rId25">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August 31, 2020, as updated by the description of our Class A common stock contained in Exhibit 4.4 to our Annual Report on </w:t>
      </w:r>
      <w:hyperlink r:id="rId17">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including any subsequent amendments or reports filed for the purpose of updating such description.</w:t>
      </w:r>
    </w:p>
    <w:p>
      <w:pPr>
        <w:spacing w:after="0" w:line="122" w:lineRule="exact"/>
        <w:rPr>
          <w:rFonts w:ascii="Times New Roman" w:cs="Times New Roman" w:eastAsia="Times New Roman" w:hAnsi="Times New Roman"/>
          <w:sz w:val="18"/>
          <w:szCs w:val="18"/>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26" w:lineRule="exact"/>
        <w:rPr>
          <w:rFonts w:ascii="Times New Roman" w:cs="Times New Roman" w:eastAsia="Times New Roman" w:hAnsi="Times New Roman"/>
          <w:sz w:val="18"/>
          <w:szCs w:val="18"/>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is delivered, upon written or oral request of such person, a copy of any or all of the documents incorporated by reference in this prospectus, other than exhibits to such documents unless such exhibits are specifically incorporated by reference into such documents. Requests may be made by telephone at 1(800) 298-6470, or by sending a written request to Sema4 Holdings Corp., 333 Ludlow Street, North Tower, 8th Floor, Stamford, Connecticut 06902, Attention: Investor Relations.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4"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440" w:right="359" w:bottom="1440" w:gutter="0" w:footer="0" w:header="0"/>
        </w:sectPr>
      </w:pPr>
    </w:p>
    <w:bookmarkStart w:id="12" w:name="page13"/>
    <w:bookmarkEnd w:id="12"/>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to us from the sale of our securities under this prospectus. General corporate purposes may include additions to working capital, financing of capital expenditures, repayment or redemption of existing indebtedness, and future acquisitions and strategic investment opportunities. Unless we state otherwise in the applicable prospectus supplement, pending the application of net proceeds, we expect to invest the net proceeds in investment grade, interest-bearing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1440" w:right="439" w:bottom="1440" w:gutter="0" w:footer="0" w:header="0"/>
        </w:sectPr>
      </w:pPr>
    </w:p>
    <w:bookmarkStart w:id="13" w:name="page14"/>
    <w:bookmarkEnd w:id="13"/>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may sell the securities covered by this prospectus to one or more underwriters for public offering and sale by them, and may also sell the securities to investors directly or through agents. We will name any underwriter or agent involved in the offer and sale of securities in the applicable prospectus supplement. We have reserved the right to sell or exchange securities directly to investors on our own behalf in jurisdictions where we are authorized to do so. We may distribute the securities from time to time in one or more transactions:</w:t>
      </w:r>
    </w:p>
    <w:p>
      <w:pPr>
        <w:spacing w:after="0" w:line="12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may directly solicit offers to purchase the securities being offered by this prospectus. We may also designate agents to solicit offers to purchase the securities from time to time. We will name in a prospectus supplement any agent involved in the offer or sale of our securities. Unless otherwise indicated in a prospectus supplement, an agent will be acting on a best efforts basis, and a dealer will purchase securities as a principal for resale at varying prices to be determined by the dealer.</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we utilize an underwriter in the sale of the securities being offered by this prospectus, we will execute an underwriting agreement with the underwriter at the time of sale and we will provide the name of any underwriter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or commissions from the purchasers for whom they may act as agent.</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will provide in the applicable prospectus supplement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and to reimburse them for certain expenses. We may grant underwriters who participate in the distribution of our securities under this prospectus an option to purchase additional securities to cover any over-allotments in connection with the distribution.</w:t>
      </w:r>
    </w:p>
    <w:p>
      <w:pPr>
        <w:spacing w:after="0" w:line="13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securities we offer under this prospectus may or may not be listed through The Nasdaq Global Select Market or any other securities exchange. To facilitate the offering of securities, certain persons participating in the offering may engage in transactions that stabilize, maintain or otherwise affect the price of the securities. This may include short sales of the securities, which involves the sale by persons participating in the offering of more securities than we sold to them. In these circumstances, these persons would cover such short positions by making purchases in the open market or by exercising their option to purchase additional securities.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3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may issue to our existing security holders, through a dividend or similar distribution, subscription rights to purchase our securities, which may or may not be transferable. In any distribution of subscription rights to our existing security holders, if all of the underlying securities are not subscribed for, we may then sell the unsubscribed securities directly to third parties or may engage the services of one or more underwriters, dealers or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1440" w:right="359" w:bottom="1440" w:gutter="0" w:footer="0" w:header="0"/>
        </w:sectPr>
      </w:pPr>
    </w:p>
    <w:bookmarkStart w:id="14" w:name="page15"/>
    <w:bookmarkEnd w:id="14"/>
    <w:p>
      <w:pPr>
        <w:spacing w:after="0" w:line="14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including standby underwriters, to sell the unsubscribed securities to third parties. The applicable prospectus supplement will describe the specific terms of any offering of our securities through the issuance of subscription rights, including, if applicable, the material terms of any standby underwriting or purchase arrangement.</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short sale transactions. If so, the third party may use securities pledged by us or borrowed from us or others to settle those sales or to close out any related open borrowings of securities, and they may use securities received from us in settlement of those derivatives to close out any related open borrowings of securities. The third party in these sale transactions will be an underwriter and will be identified in the applicable prospectus supplement. In addition, we may otherwise loan or pledge securities to a financial institution or other third party that in turn may sell the securities short using this prospectus. The financial institution or other third party may transfer its economic short position to investors in our securities or in connection with a concurrent offering of other securities.</w:t>
      </w:r>
    </w:p>
    <w:p>
      <w:pPr>
        <w:spacing w:after="0" w:line="13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will file a prospectus supplement to describe the terms of any offering of our securities covered by this prospectus. The prospectus supplement will disclose:</w:t>
      </w:r>
    </w:p>
    <w:p>
      <w:pPr>
        <w:spacing w:after="0" w:line="10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including any managing underwriters, as well as any dealers or agents;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from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 from the sale of the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or other options under which underwriters, if any, may purchase additional securities from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or other items constituting underwriters’ compensation, and any commissions paid to agents;</w:t>
      </w:r>
    </w:p>
    <w:p>
      <w:pPr>
        <w:spacing w:after="0" w:line="171"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subscription rights offering, whether we have engaged dealer-managers to facilitate the offering or subscription, including their name or names and compensation;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facts material to the transaction.</w:t>
      </w:r>
    </w:p>
    <w:p>
      <w:pPr>
        <w:spacing w:after="0" w:line="171"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We will bear all or substantially all of the costs, expenses and fees in connection with the registration of our securities under this prospectus. The underwriters, dealers and agents may engage in transactions with us, or perform services for us,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20" w:top="1440" w:right="359" w:bottom="1440" w:gutter="0" w:footer="0" w:header="0"/>
        </w:sectPr>
      </w:pPr>
    </w:p>
    <w:bookmarkStart w:id="15" w:name="page16"/>
    <w:bookmarkEnd w:id="15"/>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following summary sets forth certain material terms and provisions of our capital stock. This description also summarizes relevant provisions of the General Corporation Law of Delaware (the “DGCL”). The following description is a summary and does not purport to be a complete description of the rights and preferences of our capital stock. It is subject to, and qualified in its entirety by reference to, the applicable provisions of the DGCL and our third amended and restated certificate of incorporation, as amended (our “Amended and Restated Certificate of Incorporation”) and our restated bylaws (our “Bylaws”), each of which is incorporated by reference as an exhibit to the registration statement of which this prospectus forms a part. We encourage you to read our Amended and Certificate of Incorporation, our Bylaws and the applicable provisions of the DGCL for additional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1,000,000,000 shares of Class A common stock, $0.0001 par value per share, and 1,000,000 shares of preferred stock, $0.0001 par value per share.</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June 30, 2022, there were 379,896,799 shares of our Class A common stock outstanding, no shares of preferred stock outstanding and 21,994,972 warrants outstanding. The outstanding shares of our Class A common stock are duly authorized, validly issued, fully paid and non-assessable.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each share of our Class A common stock has the same relative rights and is identical in all respects to each other share of our Class A common stock. The rights, preferences and privileges of holders of our Class A common stock are subject to the rights, preferences and privileges of the holders of shares of any series of preferred stock that we have issued or may issue in the future.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Power</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or under our Amended and Restated Certificate of Incorporation, the holders of Class A common stock possess all voting power for the election of our directors and all other matters requiring stockholder action and are entitled to one vote per share on matters to be voted on by stockholders. The holders of Class A common stock shall at all times vote together as one class on all matters submitted to a vote of the holders of Class A common stock under our Amended and Restated Certificate of Incorporation.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Subject to the rights, if any of the holders of any outstanding shares of preferred stock, under our Amended and Restated Certificate of Incorporation, holders of Class A common stock are entitled to receive such dividends and other distributions, if any, as may be declared from time to time by our Board in its discretion out of funds legally available therefor and shall share equally on a per share basis in such dividends and distributions.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17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the event of the voluntary or involuntary liquidation, dissolution or winding-up of the Company, under our Amended and Restated Certificate of Incorporation, holders of Class A common stock will be entitled to receive all the remaining assets of the Company available for distribution to stockholders, ratably in proportion to the number of shares of Class A common stock held by them, after the rights of the holders of the preferred stock have been satisfied.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our stockholders have no preemptive or other subscription rights and there are no sinking fund or redemption provisions applicable to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00"/>
          </w:cols>
          <w:pgMar w:left="320" w:top="1440" w:right="379" w:bottom="1440" w:gutter="0" w:footer="0" w:header="0"/>
        </w:sectPr>
      </w:pPr>
    </w:p>
    <w:bookmarkStart w:id="16" w:name="page17"/>
    <w:bookmarkEnd w:id="1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for a classified board of directors with staggered three-year terms, consisting of the three classes: Class I, Class II and Class III. The term of the Class I Directors will expire at our 2025 annual meeting of the stockholders, the term of the Class II Directors will expire at our 2023 annual meeting of the stockholders and the term of the Class III Directors will expire at our 2024 annual meeting of the stockholders.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shares of preferred stock may be issued from time to time in one or more series. Our Board is authorized to fix the voting rights, if any, designations, powers, preferences and relative, participating, optional, special and other rights, if any, and any qualifications, limitations and restrictions thereof, applicable to the shares of each series. Our Board is able, without stockholder approval, to issue preferred stock with voting and other rights that could adversely affect the voting power and other rights of the holders of the Class A common stock and could have anti-takeover effects. The ability of our Board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 and Our Amended and Restated Certificate of Incorporation and Bylaws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Provisions of the DGCL and our Amended and Restated Certificate of Incorporation could make it more difficult to acquire us by means of a tender offer, a proxy contest or otherwise, or to remove incumbent officers and directors. These provisions, summarized below, are intended to discourage coercive takeover practices and inadequate takeover bids and to encourage persons seeking to acquire control of us to first negotiate with the board of directors. We believe that the benefits of these provisions outweigh the disadvantages of discouraging certain takeover or acquisition proposals because, among other things, negotiation of these proposals could result in an improvement of their terms and enhance the ability of our Board to maximize stockholder value. However, these provisions may delay, deter or prevent a merger or acquisition of us that a stockholder might consider is in its best interest, including those attempts that might result in a premium over the prevailing market price of the Class A common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our Amended and Restated Certificate of Incorporation provide for certain other provisions that may have an anti-takeover effect:</w:t>
      </w:r>
    </w:p>
    <w:p>
      <w:pPr>
        <w:spacing w:after="0" w:line="17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cumulative voting with respect to the election of directors.</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is empowered to elect a director to fill a vacancy created by the expansion of the Board or the resignation, death, or removal of a director in certain circumstances.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may only be removed from the Board for cause.</w:t>
      </w:r>
    </w:p>
    <w:p>
      <w:pPr>
        <w:spacing w:after="0" w:line="171"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will be classified into three classes of directors. As a result, in most circumstances, a person can gain control of our Board by successfully engaging in a proxy contest at two or more annual meetings.</w:t>
      </w:r>
    </w:p>
    <w:p>
      <w:pPr>
        <w:spacing w:after="0" w:line="107"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07" w:lineRule="exact"/>
        <w:rPr>
          <w:rFonts w:ascii="Times New Roman" w:cs="Times New Roman" w:eastAsia="Times New Roman" w:hAnsi="Times New Roman"/>
          <w:sz w:val="18"/>
          <w:szCs w:val="18"/>
          <w:color w:val="auto"/>
        </w:rPr>
      </w:pPr>
    </w:p>
    <w:p>
      <w:pPr>
        <w:ind w:left="660" w:right="80" w:hanging="328"/>
        <w:spacing w:after="0" w:line="312" w:lineRule="auto"/>
        <w:tabs>
          <w:tab w:leader="none" w:pos="6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prohibition on stockholders calling a special meeting and the requirement that a meeting of stockholders may only be called by members of our Board, which may delay the ability of our stockholders to force consideration of a proposal or to take action, including the removal of directors.</w:t>
      </w:r>
    </w:p>
    <w:p>
      <w:pPr>
        <w:spacing w:after="0" w:line="85" w:lineRule="exact"/>
        <w:rPr>
          <w:rFonts w:ascii="Times New Roman" w:cs="Times New Roman" w:eastAsia="Times New Roman" w:hAnsi="Times New Roman"/>
          <w:sz w:val="17"/>
          <w:szCs w:val="17"/>
          <w:color w:val="auto"/>
        </w:rPr>
      </w:pPr>
    </w:p>
    <w:p>
      <w:pPr>
        <w:ind w:left="660" w:right="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authorized but unissued Class A common stock and preferred stock are available for future issuances without stockholder approval and could be utilized for a variety of corporate purposes, including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1440" w:right="359" w:bottom="1440" w:gutter="0" w:footer="0" w:header="0"/>
        </w:sectPr>
      </w:pPr>
    </w:p>
    <w:bookmarkStart w:id="17" w:name="page18"/>
    <w:bookmarkEnd w:id="17"/>
    <w:p>
      <w:pPr>
        <w:spacing w:after="0" w:line="140" w:lineRule="exact"/>
        <w:rPr>
          <w:sz w:val="20"/>
          <w:szCs w:val="20"/>
          <w:color w:val="auto"/>
        </w:rPr>
      </w:pPr>
    </w:p>
    <w:p>
      <w:pPr>
        <w:ind w:left="660" w:right="180"/>
        <w:spacing w:after="0" w:line="261" w:lineRule="auto"/>
        <w:rPr>
          <w:sz w:val="20"/>
          <w:szCs w:val="20"/>
          <w:color w:val="auto"/>
        </w:rPr>
      </w:pPr>
      <w:r>
        <w:rPr>
          <w:rFonts w:ascii="Times New Roman" w:cs="Times New Roman" w:eastAsia="Times New Roman" w:hAnsi="Times New Roman"/>
          <w:sz w:val="18"/>
          <w:szCs w:val="18"/>
          <w:color w:val="auto"/>
        </w:rPr>
        <w:t>offerings to raise additional capital, acquisitions and employee benefit plans. Our Board is entitled, without further stockholder approval, to designate one or more series of preferred stock and the associated voting rights, preferences and privileges of such series of preferred stock. The existence of authorized but unissued and unreserved Class A common stock and preferred stock could render more difficult or discourage an attempt to obtain control of us by means of a proxy contest, tender offer, merger or otherwise.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 Clause</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includes a forum selection clause. Our Amended and Restated Certificate of Incorporation provides that, subject to limited exceptions, the Court of Chancery of the State of Delaware and federal court within the State of Delaware will be exclusive forums for any:</w:t>
      </w:r>
    </w:p>
    <w:p>
      <w:pPr>
        <w:spacing w:after="0" w:line="12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action or proceeding brought on our behalf;</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of breach of a fiduciary duty owed by, or other wrongdoing by, any of our directors, officers, stockholders, employees or agents to us or our stockholders;</w:t>
      </w:r>
    </w:p>
    <w:p>
      <w:pPr>
        <w:spacing w:after="0" w:line="10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against us or any of our directors, officers, stockholders, employees or agents arising pursuant to any provision of the DGCL, our Amended and Restated Certificate of Incorporation or Bylaws or as to which the DGCL confers jurisdiction on the Court of Chancery of the State of Delaware;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to interpret, apply, enforce or determine the validity of our Amended and Restated Certificate of Incorporation or the Bylaws; or</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 asserting a claim against us or any of our directors, officers, stockholders, employees or agents that is governed by the internal affairs doctrine.</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choice of forum provision does not apply to actions brought to enforce a duty or liability created by the Exchange Act or any other claim for which federal courts have exclusive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We intend for this provision to apply to any complaints asserting a cause of action under the Securities Act despite the fact that Section 22 of the Securities Act creates concurrent jurisdiction for the federal and state courts over all actions brought to enforce any duty or liability created by the Securities Act or the rules and regulations promulgated thereunder.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transfer agent for our Class A common stock is Continental Stock Transfer &amp; Trust Company. We have agreed to indemnify Continental Stock Transfer &amp; Trust Company in its roles as transfer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Global Select Market listing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common stock is traded on The Nasdaq Global Select Market under the symbol “SMFR.”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1440" w:right="359" w:bottom="1440" w:gutter="0" w:footer="0" w:header="0"/>
        </w:sectPr>
      </w:pPr>
    </w:p>
    <w:bookmarkStart w:id="18" w:name="page19"/>
    <w:bookmarkEnd w:id="18"/>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will issue the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which we refer to as the “base indenture,” and supplemental indentures and forms of debt securities containing the terms of the debt securities being offered and sold will be filed as exhibits to the registration statement and/or will be incorporated by reference from reports that we file with the SEC. The actual base indenture we enter into in connection with an offering of debt securities may differ significantly from the form of base indenture we have filed. The base indenture, as amended or supplemented from time to time by one or more supplemental indentures, is referred to below collectively as the “indenture.” The indenture will be subject to and governed by the terms of the Trust Indenture Act of 1939.</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offer under this prospectus up to an aggregate principal amount of $300,000,000 in debt securities, or if debt securities are issued at a discount,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 foreign currency, foreign currency units or composite currency, the principal amount as may be sold for an aggregate public offering price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$300,000,000. Unless otherwise specified in the applicable prospectus supplement, the debt securities will represent our direct, unsecured obligations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rank equally with all of our other unsecured indebtedness.</w:t>
      </w:r>
    </w:p>
    <w:p>
      <w:pPr>
        <w:spacing w:after="0" w:line="15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 The prospectus supplement relating to the particular series of debt securities being offered will specify the particular amounts, prices and terms of those debt securities. These terms may include:</w:t>
      </w:r>
    </w:p>
    <w:p>
      <w:pPr>
        <w:spacing w:after="0" w:line="12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if a series, the total amount authorized and the total amount outstanding;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or prices, expressed as a percentage of the aggregate principal amount of the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is payable;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if applicable, the method used to determine such rate or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interest, if any, will be payable and any regular record date for the interest payable;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and, if applicable, premium and interest, is payable;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upon which we may, or the holders may require us to, redeem or repurchase the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such debt securities may be issuable, if other than denominations of $1,000 or any integral multiple of that number;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issuable in the form of certificated securities (as described below) or global securities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320" w:top="1440" w:right="359" w:bottom="1440" w:gutter="0" w:footer="0" w:header="0"/>
        </w:sectPr>
      </w:pPr>
    </w:p>
    <w:bookmarkStart w:id="19" w:name="page20"/>
    <w:bookmarkEnd w:id="19"/>
    <w:p>
      <w:pPr>
        <w:spacing w:after="0" w:line="140" w:lineRule="exact"/>
        <w:rPr>
          <w:sz w:val="20"/>
          <w:szCs w:val="20"/>
          <w:color w:val="auto"/>
        </w:rPr>
      </w:pPr>
    </w:p>
    <w:p>
      <w:pPr>
        <w:ind w:left="660" w:right="1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that will be payable upon declaration of acceleration of the maturity date if other than the principal amount of the debt securities;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and, if applicable, premium and interest, will be made;</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and, if applicable, premium or interest, on the debt securities are to be made in one or more currencies or currency units other than the currency of denomination, the manner in which the exchange rate with respect to such payments will be determined;</w:t>
      </w:r>
    </w:p>
    <w:p>
      <w:pPr>
        <w:spacing w:after="0" w:line="107"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any collateral provided for such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and/or the acceleration provisions described in this prospectus or in the base indenture;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if not otherwise described below under “Events of Default”;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for conversion into or exchange for shares of our Class A common stock or preferred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debt securities shall be subordinated in right of payment to our other indebtedness.</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w:t>
      </w:r>
    </w:p>
    <w:p>
      <w:pPr>
        <w:spacing w:after="0" w:line="12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12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Debt securities offered under this prospectus and any prospectus supplement may be subordinated in right of payment to certain of our outstanding senior indebtedness. In addition, we will seek the consent of the holders of any such senior indebtedness prior to issuing any debt securities under this prospectus to the extent required by the agreements evidencing such senior indebtedness.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Registrar and Paying Agent</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debt securities may be presented for registration of transfer or for exchange at the corporate trust office of the security registrar or at any other office or agency that we maintain for those purposes. In addition, the debt securities may be presented for payment of principal, interest and any premium at the office of the paying agent or at any office or agency that we maintain for those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00"/>
          </w:cols>
          <w:pgMar w:left="320" w:top="1440" w:right="379" w:bottom="1440" w:gutter="0" w:footer="0" w:header="0"/>
        </w:sectPr>
      </w:pPr>
    </w:p>
    <w:bookmarkStart w:id="20" w:name="page21"/>
    <w:bookmarkEnd w:id="2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Debt securities may be convertible into or exchangeable for shares of our Class A common stock. The terms and conditions of conversion or exchange will be stated in the applicable prospectus supplement. The terms will include, among others, the following:</w:t>
      </w:r>
    </w:p>
    <w:p>
      <w:pPr>
        <w:spacing w:after="0" w:line="10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exchange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exchange period;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regarding the convertibility or exchangeability of the debt securities, including who may convert or exchange;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requiring adjustment to the conversion or exchange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affecting conversion or exchange in the event of our redemption of the debt securities;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anti-dilution provisions, if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Global Securities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we decide to issue debt securities in the form of one or more global securities, then we will register the global securities in the name of the depositary for the global securities or the nominee of the depositary, and the global securities will be delivered by the trustee to the depositary for credit to the accounts of the holders of beneficial interests in the debt securities.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prospectus supplement will describe the specific terms of the depositary arrangement for debt securities of a series that are issued in global form. None of us, the trustee, any payment agent or the security registrar will have any responsibility or liability for any aspect of the records relating to or payments made on account of beneficial ownership interests in a global debt security or for maintaining, supervising or reviewing any records relating to these beneficial ownership interests.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Protection in the Event of Change of Control</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base indenture does not have any covenants or other provisions providing for a put or increased interest or otherwise that would afford holders of our debt securities additional protection in the event of a recapitalization transaction, a change of control or a highly leveraged transaction. If we offer any covenants or provisions of this type with respect to any debt securities covered by this prospectus, we will describe them in the applicable prospectus supplement.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Unless otherwise indicated in this prospectus or the applicable prospectus supplement, our debt securities will not have the benefit of any covenants that limit or restrict our business or operations, the pledging of our assets or the incurrence by us of indebtedness. We will describe in the applicable prospectus supplement any material covenants in respect of a series of debt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Consolidation or Sale of Assets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form of base indenture provides that we will not consolidate with or merge into any other person or convey, transfer, sell or lease our properties and assets substantially as an entirety to any person, unless:</w:t>
      </w:r>
    </w:p>
    <w:p>
      <w:pPr>
        <w:spacing w:after="0" w:line="108" w:lineRule="exact"/>
        <w:rPr>
          <w:sz w:val="20"/>
          <w:szCs w:val="20"/>
          <w:color w:val="auto"/>
        </w:rPr>
      </w:pPr>
    </w:p>
    <w:p>
      <w:pPr>
        <w:jc w:val="both"/>
        <w:ind w:left="660" w:right="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person of such merger or consolidation, or if we are not the surviving person, the person formed by the consolidation or into or with which we are merged or the person to which our properties and assets are conveyed, transferred, sold or leased, is a corporation organized and existing under the laws of the U.S., any state or the District of Columbia or a corporation or comparable legal entity organized under the laws of a foreign jurisdiction and has expressly assumed all of our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00"/>
          </w:cols>
          <w:pgMar w:left="320" w:top="1440" w:right="379" w:bottom="1440" w:gutter="0" w:footer="0" w:header="0"/>
        </w:sectPr>
      </w:pPr>
    </w:p>
    <w:bookmarkStart w:id="21" w:name="page22"/>
    <w:bookmarkEnd w:id="21"/>
    <w:p>
      <w:pPr>
        <w:spacing w:after="0" w:line="140" w:lineRule="exact"/>
        <w:rPr>
          <w:sz w:val="20"/>
          <w:szCs w:val="20"/>
          <w:color w:val="auto"/>
        </w:rPr>
      </w:pPr>
    </w:p>
    <w:p>
      <w:pPr>
        <w:ind w:left="660" w:right="320"/>
        <w:spacing w:after="0" w:line="282" w:lineRule="auto"/>
        <w:rPr>
          <w:sz w:val="20"/>
          <w:szCs w:val="20"/>
          <w:color w:val="auto"/>
        </w:rPr>
      </w:pPr>
      <w:r>
        <w:rPr>
          <w:rFonts w:ascii="Times New Roman" w:cs="Times New Roman" w:eastAsia="Times New Roman" w:hAnsi="Times New Roman"/>
          <w:sz w:val="18"/>
          <w:szCs w:val="18"/>
          <w:color w:val="auto"/>
        </w:rPr>
        <w:t>including the payment of the principal of and, premium, if any, and interest on the debt securities and the performance of the other covenants under the indenture; and</w:t>
      </w:r>
    </w:p>
    <w:p>
      <w:pPr>
        <w:spacing w:after="0" w:line="108" w:lineRule="exact"/>
        <w:rPr>
          <w:sz w:val="20"/>
          <w:szCs w:val="20"/>
          <w:color w:val="auto"/>
        </w:rPr>
      </w:pPr>
    </w:p>
    <w:p>
      <w:pPr>
        <w:ind w:left="660" w:right="3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the transaction on a pro forma basis, no event of default, and no event which, after notice or lapse of time or both, would become an event of default, has occurred and is continuing under the indenture.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following events will be events of default under the indenture with respect to debt securities of any series:</w:t>
      </w:r>
    </w:p>
    <w:p>
      <w:pPr>
        <w:spacing w:after="0" w:line="10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principal or premium, if any, when it becomes due;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interest within 30 days after it becomes due;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observe or perform any other covenant in the debt securities or the indenture for 90 days after written notice specifying the failure from the trustee or the holders of not less than 25% in aggregate principal amount of the outstanding debt securities of that series;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involving bankruptcy, insolvency or reorganization of us or any of our significant subsidiaries</w:t>
      </w:r>
    </w:p>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trustee may withhold notice to the holders of the debt securities of any series of any default, except in payment of principal of or premium, if any, or interest on the debt securities of a series, if the trustee considers it to be in the best interest of the holders of the debt securities of that series to do so.</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an event of default (other than an event of default resulting from certain events of bankruptcy, insolvency or reorganization) occurs, and is continuing, then the trustee or the holders of not less than 25% in aggregate principal amount of the outstanding debt securities of any series may accelerate the maturity of the debt securities. If this happens, the entire principal amount, plus the premium, if any, of all the outstanding debt securities of the affected series plus accrued interest to the date of acceleration will be immediately due and payable. At any time after the acceleration, but before a judgment or decree based on such acceleration is obtained by the trustee, the holders of a majority in aggregate principal amount of outstanding debt securities of such series may rescind and annul such acceleration if:</w:t>
      </w:r>
    </w:p>
    <w:p>
      <w:pPr>
        <w:spacing w:after="0" w:line="133"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nonpayment of accelerated principal, premium or interest) have been cured or waived;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lawful interest on overdue interest and overdue principal has been paid;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rescission would not conflict with any judgment or decree.</w:t>
      </w:r>
    </w:p>
    <w:p>
      <w:pPr>
        <w:spacing w:after="0" w:line="17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addition, if the acceleration occurs at any time when we have outstanding indebtedness that is senior to the debt securities, the payment of the principal amount of outstanding debt securities may be subordinated in right of payment to the prior payment of any amounts due under the senior indebtedness, in which case the holders of debt securities will be entitled to payment under the terms prescribed in the instruments evidencing the senior indebtedness and the indenture.</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If an event of default resulting from certain events of bankruptcy, insolvency or reorganization occurs, the principal, premium and interest amount with respect to all of the debt securities of any series will be due and payable immediately without any declaration or other act on the part of the trustee or the holders of the debt securities of that series.</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 series will have the right to waive any existing default or compliance with any provision of the indenture or the debt securities of that series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1440" w:right="459" w:bottom="1440" w:gutter="0" w:footer="0" w:header="0"/>
        </w:sectPr>
      </w:pPr>
    </w:p>
    <w:bookmarkStart w:id="22" w:name="page23"/>
    <w:bookmarkEnd w:id="22"/>
    <w:p>
      <w:pPr>
        <w:spacing w:after="0" w:line="14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to direct the time, method and place of conducting any proceeding for any remedy available to the trustee, subject to certain limitations specified in the indenture.</w:t>
      </w:r>
    </w:p>
    <w:p>
      <w:pPr>
        <w:spacing w:after="0" w:line="10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 series will have any right to institute any proceeding with respect to the indenture or for any remedy under the indenture, unless:</w:t>
      </w:r>
    </w:p>
    <w:p>
      <w:pPr>
        <w:spacing w:after="0" w:line="108"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to the trustee written notice of a continuing event of default;</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the affected series make a written request and offer reasonable indemnity to the trustee to institute a proceeding as trustee;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institute a proceeding within 60 days after such request; and</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outstanding debt securities of the affected series do not give the trustee a direction inconsistent with such request during such 60-day period.</w:t>
      </w:r>
    </w:p>
    <w:p>
      <w:pPr>
        <w:spacing w:after="0" w:line="10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These limitations do not, however, apply to a suit instituted for payment on debt securities of any series on or after the due dates expressed in the debt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periodically deliver certificates to the trustee regarding our compliance with our obligations under the indenture.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From time to time, we and the trustee may, without the consent of holders of the debt securities of one or more series, amend the indenture or the debt securities of one or more series, or supplement the indenture, for certain specified purposes, including:</w:t>
      </w:r>
    </w:p>
    <w:p>
      <w:pPr>
        <w:spacing w:after="0" w:line="108" w:lineRule="exact"/>
        <w:rPr>
          <w:sz w:val="20"/>
          <w:szCs w:val="20"/>
          <w:color w:val="auto"/>
        </w:rPr>
      </w:pPr>
    </w:p>
    <w:p>
      <w:pPr>
        <w:ind w:left="660" w:right="54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surviving entity following a change of control permitted under the indenture will assume all of our obligations under the indenture and debt securities;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certificated debt securities in addition to uncertificated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under the Trust Indenture Act of 1939;</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cure any ambiguity, defect or inconsistency, or make any other change that does not materially and adversely affect the rights of any holder; and</w:t>
      </w:r>
    </w:p>
    <w:p>
      <w:pPr>
        <w:spacing w:after="0" w:line="182"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a successor trustee under the indenture with respect to one or more series.</w:t>
      </w:r>
    </w:p>
    <w:p>
      <w:pPr>
        <w:spacing w:after="0" w:line="17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From time to time we and the trustee may, with the consent of holders of at least a majority in principal amount of an outstanding series of debt securities, amend or supplement the indenture or the debt securities series, or waive compliance in a particular instance by us with any provision of the indenture or the debt securities. We may not, however, without the consent of each holder affected by such action, modify or supplement the indenture or the debt securities or waive compliance with any provision of the indenture or the debt securities in order to:</w:t>
      </w:r>
    </w:p>
    <w:p>
      <w:pPr>
        <w:spacing w:after="0" w:line="126"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 to the indenture or such debt security;</w:t>
      </w:r>
    </w:p>
    <w:p>
      <w:pPr>
        <w:spacing w:after="0" w:line="171"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or reduce the amount of or postpone the date for payment of sinking fund or analogous obligations;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stated maturity of the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debt security payable in money other than that stated in the debt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00"/>
          </w:cols>
          <w:pgMar w:left="320" w:top="1440" w:right="379" w:bottom="1440" w:gutter="0" w:footer="0" w:header="0"/>
        </w:sectPr>
      </w:pPr>
    </w:p>
    <w:bookmarkStart w:id="23" w:name="page24"/>
    <w:bookmarkEnd w:id="23"/>
    <w:p>
      <w:pPr>
        <w:spacing w:after="0" w:line="140" w:lineRule="exact"/>
        <w:rPr>
          <w:sz w:val="20"/>
          <w:szCs w:val="20"/>
          <w:color w:val="auto"/>
        </w:rPr>
      </w:pPr>
    </w:p>
    <w:p>
      <w:pPr>
        <w:ind w:left="660" w:right="24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amount or time of any payment required or reduce the premium payable upon any redemption, or change the time before which no such redemption may be made;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if any, or interest on the debt securities or a redemption payment;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securities or change any provision with respect to redemption of debt securities;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otherwise prohibited by the indenture to be taken without the consent of each holder affected by the action.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indenture permits us, at any time, to elect to discharge our obligations with respect to one or more series of debt securities by following certain procedures described in the indenture. These procedures will allow us either:</w:t>
      </w:r>
    </w:p>
    <w:p>
      <w:pPr>
        <w:spacing w:after="0" w:line="108" w:lineRule="exact"/>
        <w:rPr>
          <w:sz w:val="20"/>
          <w:szCs w:val="20"/>
          <w:color w:val="auto"/>
        </w:rPr>
      </w:pPr>
    </w:p>
    <w:p>
      <w:pPr>
        <w:ind w:left="660" w:right="20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defease and be discharged from any and all of our obligations with respect to any debt securities except for the following obligations (which discharge is referred to as “legal defeasance”):</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register the transfer or exchange of such debt securities;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replace temporary or mutilated, destroyed, lost or stolen debt securities;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compensate and indemnify the trustee; or</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an office or agency in respect of the debt securities and to hold monies for payment in trust; or</w:t>
      </w:r>
    </w:p>
    <w:p>
      <w:pPr>
        <w:spacing w:after="0" w:line="171" w:lineRule="exact"/>
        <w:rPr>
          <w:rFonts w:ascii="Times New Roman" w:cs="Times New Roman" w:eastAsia="Times New Roman" w:hAnsi="Times New Roman"/>
          <w:sz w:val="18"/>
          <w:szCs w:val="18"/>
          <w:color w:val="auto"/>
        </w:rPr>
      </w:pPr>
    </w:p>
    <w:p>
      <w:pPr>
        <w:ind w:left="660" w:right="180" w:hanging="328"/>
        <w:spacing w:after="0" w:line="312" w:lineRule="auto"/>
        <w:tabs>
          <w:tab w:leader="none" w:pos="65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released from our obligations with respect to the debt securities under certain covenants contained in the base indenture, as well as any additional covenants which may be contained in the applicable supplemental indenture (which release is referred to as “covenant defeasance”).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exercise either defeasance option, we must irrevocably deposit with the trustee or other qualifying trustee, in trust for that purpose:</w:t>
      </w:r>
    </w:p>
    <w:p>
      <w:pPr>
        <w:spacing w:after="0" w:line="17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Obligations (as described below) or Foreign Government Obligations (as described below) that through the scheduled payment of principal and interest in accordance with their terms will provide money; or</w:t>
      </w:r>
    </w:p>
    <w:p>
      <w:pPr>
        <w:spacing w:after="0" w:line="10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money and/or U.S. Government Obligations and/or Foreign Government Obligations sufficient in the written opinion of a nationally-recognized firm of independent accountants to provide money;</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that, in each case specified above, provides a sufficient amount to pay the principal of, premium, if any, and interest, if any, on the debt securities of the series, on the scheduled due dates or on a selected date of redemption in accordance with the terms of the indenture.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defeasance may be effected only if, among other things:</w:t>
      </w:r>
    </w:p>
    <w:p>
      <w:pPr>
        <w:spacing w:after="0" w:line="171" w:lineRule="exact"/>
        <w:rPr>
          <w:sz w:val="20"/>
          <w:szCs w:val="20"/>
          <w:color w:val="auto"/>
        </w:rPr>
      </w:pPr>
    </w:p>
    <w:p>
      <w:pPr>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either legal or covenant defeasance, we deliver to the trustee an opinion of counsel, as specified in the indenture, stating that as a result of the defeasance neither the trust nor the trustee will be required to register as an investment company under the Investment Company Act of 1940;</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we deliver to the trustee an opinion of counsel stating that we have received from, or there has been published by, the Internal Revenue Service a ruling to the effect that, or there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1440" w:right="459" w:bottom="1440" w:gutter="0" w:footer="0" w:header="0"/>
        </w:sectPr>
      </w:pPr>
    </w:p>
    <w:bookmarkStart w:id="24" w:name="page25"/>
    <w:bookmarkEnd w:id="24"/>
    <w:p>
      <w:pPr>
        <w:spacing w:after="0" w:line="140" w:lineRule="exact"/>
        <w:rPr>
          <w:sz w:val="20"/>
          <w:szCs w:val="20"/>
          <w:color w:val="auto"/>
        </w:rPr>
      </w:pPr>
    </w:p>
    <w:p>
      <w:pPr>
        <w:ind w:left="660" w:right="140"/>
        <w:spacing w:after="0" w:line="261" w:lineRule="auto"/>
        <w:rPr>
          <w:sz w:val="20"/>
          <w:szCs w:val="20"/>
          <w:color w:val="auto"/>
        </w:rPr>
      </w:pPr>
      <w:r>
        <w:rPr>
          <w:rFonts w:ascii="Times New Roman" w:cs="Times New Roman" w:eastAsia="Times New Roman" w:hAnsi="Times New Roman"/>
          <w:sz w:val="18"/>
          <w:szCs w:val="18"/>
          <w:color w:val="auto"/>
        </w:rPr>
        <w:t>been a change in any applicable federal income tax law with the effect that (and the opinion shall confirm that), the holders of outstanding debt securities will not recognize income, gain or loss for U.S. federal income tax purposes solely as a result of such legal defeasance and will be subject to U.S. federal income tax on the same amounts, in the same manner, including as a result of prepayment, and at the same times as would have been the case if legal defeasance had not occurred;</w:t>
      </w:r>
    </w:p>
    <w:p>
      <w:pPr>
        <w:spacing w:after="0" w:line="126" w:lineRule="exact"/>
        <w:rPr>
          <w:sz w:val="20"/>
          <w:szCs w:val="20"/>
          <w:color w:val="auto"/>
        </w:rPr>
      </w:pPr>
    </w:p>
    <w:p>
      <w:pPr>
        <w:ind w:left="660" w:right="80" w:hanging="328"/>
        <w:spacing w:after="0" w:line="26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deliver to the trustee an opinion of counsel to the effect that the holders of the outstanding debt securities will not recognize income, gain or loss for U.S. federal income tax purposes as a result of covenant defeasance and will be subject to U.S. federal income tax on the same amounts, in the same manner and at the same times as would have been the case if covenant defeasance had not occurred; and</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described in the indenture are satisfied.</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fail to comply with our remaining obligations under the base indenture and applicable supplemental indenture after a covenant defeasance of the base indenture and applicable supplemental indenture, and the debt securities are declared due and payable because of the occurrence of any undefeased event of default, the amount of money and/or U.S. Government Obligations and/or Foreign Government Obligations on deposit with the trustee could be insufficient to pay amounts due under the debt securities of the affected series at the time of acceleration. We will, however, remain liable in respect of these payments.</w:t>
      </w:r>
    </w:p>
    <w:p>
      <w:pPr>
        <w:spacing w:after="0" w:line="12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term “U.S. Government Obligations” as used in the above discussion means securities that are direct obligations of or non-callable obligations guaranteed by the United States of America for the payment of which obligation or guarantee the full faith and credit of the United States of America is pledged.</w:t>
      </w:r>
    </w:p>
    <w:p>
      <w:pPr>
        <w:spacing w:after="0" w:line="12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term “Foreign Government Obligations” as used in the above discussion means, with respect to debt securities of any series that are denominated in a currency other than U.S. dollars, (1) direct obligations of the government that issued or caused to be issued such currency for the payment of which obligations its full faith and credit is pledged or (2) obligations of a person controlled or supervised by or acting as an agent or instrumentality of such government the timely payment of which is unconditionally guaranteed as a full faith and credit obligation by that government, which in either case under clauses (1) or (2), are not callable or redeemable at the option of the issuer.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will identify the trustee with respect to any series of debt securities in the prospectus supplement relating to the applicable debt securities. You should note that if the trustee becomes a creditor of ours, the indenture and the Trust Indenture Act of 1939 limit the rights of the trustee to obtain payment of claims in certain cases, or to 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of 1939, it must eliminate such conflict or resign.</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holders of a majority in principal amount of the then outstanding debt securities of any series may direct the time, method and place of conducting any proceeding for exercising any remedy available to the trustee. If an event of default occurs and is continuing, the trustee, in the exercise of its rights and powers, must use the degree of care and skill of a prudent person in the conduct of his or her own affairs. Subject to that provision, the trustee will be under no obligation to exercise any of its rights or powers under the indenture at the request of any of the holders of the debt securities, unless they have offered to the trustee reasonable indemnity or security.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Individual Liability of Incorporators, Stockholders, Officers or Directors</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indenture provides that no incorporator and no past, present or future stockholder, officer or director of our company or any successor corporation in those capacities will have any individual liability for any of our obligations, covenants or agreements under the debt securities or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indenture and the debt securities will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139"/>
          </w:cols>
          <w:pgMar w:left="320" w:top="1440" w:right="1440" w:bottom="1440" w:gutter="0" w:footer="0" w:header="0"/>
        </w:sectPr>
      </w:pPr>
    </w:p>
    <w:bookmarkStart w:id="26" w:name="page27"/>
    <w:bookmarkEnd w:id="26"/>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following summary sets forth certain material terms and provisions of our outstanding warrants to purchase 14,758,305 shares of Class A common stock that we issued in our IPO (the “public warrants”), our outstanding warrants to purchase 7,236,667 shares of Class A common stock that we issued in a private placement in connection with our IPO (the “private placement warrants”) and the warrant agreement governing our public warrants and our private placement warrants (the “warrant agreement”), which is incorporated by reference as an exhibit to the registration statement of which this prospectus forms a part. In addition, the following summary sets forth certain terms and provisions of the additional warrants we may offer pursuant to this prospectus.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Warrants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whole public warrant entitles the registered holder to purchase one share of our Class A common stock at a price of $11.50 per whole share, subject to adjustment as discussed below, at any time commencing on September 4, 2021. Pursuant to the warrant agreement, a warrant holder may exercise its public warrants only for a whole number of shares of Class A common stock. This means that only a whole public warrant may be exercised at any given time by a warrant holder. No fractional public warrants will be issued upon separation of the units and only whole public warrants will trade. The public warrants will expire September 4, 2026, at 5:00 p.m., New York City time, or earlier upon redemption or liquidation.</w:t>
      </w:r>
    </w:p>
    <w:p>
      <w:pPr>
        <w:spacing w:after="0" w:line="129"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We are not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our satisfying our obligations described below with respect to registration. No public warrant will be exercisable for cash or on a cashless basis, and we will not be obligated to issue any shares to holders seeking to exercise their public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Class A Common Stock Equals or Exceeds $18.00 - </w:t>
      </w:r>
      <w:r>
        <w:rPr>
          <w:rFonts w:ascii="Times New Roman" w:cs="Times New Roman" w:eastAsia="Times New Roman" w:hAnsi="Times New Roman"/>
          <w:sz w:val="18"/>
          <w:szCs w:val="18"/>
          <w:color w:val="auto"/>
        </w:rPr>
        <w:t>We may redeem the outstanding public warrants:</w:t>
      </w:r>
    </w:p>
    <w:p>
      <w:pPr>
        <w:spacing w:after="0" w:line="173"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$18.00 per share (as adjusted) for any 20 trading days within a 30-trading day period ending three trading days before sending the notice of redemption to warrant holders (the “Reference Value”).</w:t>
      </w:r>
    </w:p>
    <w:p>
      <w:pPr>
        <w:spacing w:after="0" w:line="10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If and when the warrants become redeemable by us, we may exercise its redemption right even if we are unable to register or qualify the underlying securities for sale under all applicable state securities laws.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Class A Common Stock Equals or Exceeds $10.00 </w:t>
      </w:r>
      <w:r>
        <w:rPr>
          <w:rFonts w:ascii="Times New Roman" w:cs="Times New Roman" w:eastAsia="Times New Roman" w:hAnsi="Times New Roman"/>
          <w:sz w:val="18"/>
          <w:szCs w:val="18"/>
          <w:color w:val="auto"/>
        </w:rPr>
        <w:t>– We may redeem the outstanding warrants:</w:t>
      </w:r>
    </w:p>
    <w:p>
      <w:pPr>
        <w:spacing w:after="0" w:line="173"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jc w:val="both"/>
        <w:ind w:left="660" w:right="18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20"/>
          </w:cols>
          <w:pgMar w:left="320" w:top="1440" w:right="359" w:bottom="1440" w:gutter="0" w:footer="0" w:header="0"/>
        </w:sectPr>
      </w:pPr>
    </w:p>
    <w:bookmarkStart w:id="27" w:name="page28"/>
    <w:bookmarkEnd w:id="27"/>
    <w:p>
      <w:pPr>
        <w:spacing w:after="0" w:line="140" w:lineRule="exact"/>
        <w:rPr>
          <w:sz w:val="20"/>
          <w:szCs w:val="20"/>
          <w:color w:val="auto"/>
        </w:rPr>
      </w:pPr>
    </w:p>
    <w:p>
      <w:pPr>
        <w:ind w:left="660" w:right="1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$10.00 per share (as adjusted) for any 20 trading days within the 30-trading day period ending three trading days before we send the notice of redemption to the warrant holders; and</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Class A common stock for any 20 trading days within a 30-trading day period ending three trading days before we send notice of redemption to the warrant holders is less than $18.00 per share (as adjusted), the private placement warrants must also be concurrently called for redemption on the same terms as the outstanding public warrants, as described above.</w:t>
      </w:r>
    </w:p>
    <w:p>
      <w:pPr>
        <w:spacing w:after="0" w:line="122"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 his, her or its public warrant prior to the scheduled redemption date. However, the price of the Class A common stock may fall below the $18.00 redemption trigger price as well as the $11.50 warrant exercise price after the redemption notice is issued.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procedures and cashless exercise.</w:t>
      </w:r>
    </w:p>
    <w:p>
      <w:pPr>
        <w:spacing w:after="0" w:line="17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our management will have the option to require any holder that wishes to exercise his, her or its public warrant to do so on a “cashless basis.” In determining whether to require all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the exercise of our public warrants. If our management takes advantage of this option, all holders of public warrants would pay the exercise price by surrendering their public warrants for that number of shares of Class A common stock equal to the quotient obtained by dividing (i) the product of the number of shares of Class A common stock underlying the public warrants, multiplied by the difference between the exercise price of the public warrants and the “fair market value” (defined below) by (ii) the fair market value. The “fair market value” shall mean the average reported last sale price of the Class A common stock for the 10 trading days ending on the third trading day prior to the date on which the notice of redemption is sent to the holders of public warrants.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public warrants. If we call our public warrants for redemption and our management does not take advantage of this option, the Former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public warrants on a cashless basis, as described in more detail below.</w:t>
      </w:r>
    </w:p>
    <w:p>
      <w:pPr>
        <w:spacing w:after="0" w:line="14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the shares of Class A common stock outstanding immediately after giving effect to such exercise.</w:t>
      </w:r>
    </w:p>
    <w:p>
      <w:pPr>
        <w:spacing w:after="0" w:line="12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Anti-dilution Adjustments. </w:t>
      </w:r>
      <w:r>
        <w:rPr>
          <w:rFonts w:ascii="Times New Roman" w:cs="Times New Roman" w:eastAsia="Times New Roman" w:hAnsi="Times New Roman"/>
          <w:sz w:val="18"/>
          <w:szCs w:val="18"/>
          <w:color w:val="auto"/>
        </w:rPr>
        <w:t>If the number of outstanding shares of Class A common stock is increased by a stock dividend payable in shares of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or by a split-up of shares of Class A common stock or other similar event, then, on the effective date of such stock dividend, split-up or similar event, the number of shares of Class A common stock issuable on exercise of each public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multiplied by (ii) one minus the quotient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4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of (a) the price per share of Class A common stock paid in such rights offering divided by (b) the fair market value. For these purposes (1)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(2) fair market value means the volume weighted average price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Class A common stock on account of such shares of Class A common stock (or other shares of our capital stock into which the public warrants are convertible), other than (i) as described above; or (ii) certain ordinary cash dividends,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public warrant will be decreased in proportion to such decrease in outstanding shares of Class A common stock.</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public warrants immediately prior to such adjustment, and (y) the denominator of which will be the number of shares of Class A common stock so purchasable immediately thereafter.</w:t>
      </w:r>
    </w:p>
    <w:p>
      <w:pPr>
        <w:spacing w:after="0" w:line="12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Additionally, if less than 70% of the consideration receivable by the holders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14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public warrants have been issued in registered form under a warrant agreement between Continental Stock Transfer &amp; Trust Company, as warrant agent, and us. You should review a copy of the warrant agreement, which is filed as an exhibit to the registration statement of which this prospectus forms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Class A common stock and any voting rights until they exercise their public warrants and receive shares of Class A common stock. After the issuance of shares of Class A common stock upon exercise of the public warrants, each holder will be entitled to one vote for each share held of record on all matters to be voted on by stockholders.</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Warrants may be exercised only for a whole number of shares of Class A common stock. No fractional shares will be issued upon exercise of the public warrants. If, upon exercise of the public warrants, a holder would be entitled to receive a fractional interest in a share, we will, upon exercise, round down to the nearest whole number the number of shares of Class A common stock to be issued to the warrant holder. As a result, warrant holders not purchasing public warrants in multiples of three warrants will not obtain value from the fractional interest that will not be issued.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except that (1) the private placement warrants are exercisable on a cashless basis, (2) the private placement warrants are non-redeemable (except as described above in “Redemption of Warrants When the Price per Share of Class A Common Stock Equals or Exceeds $10.00”) so long as they are held by the initial purchasers or their permitted transferees, and (3) the holders of the private placement warrants and the Class A common stock issuable upon the exercise of the private placement warrants have certain registration rights. If the private placement warrants are held by someone other than the initial purchasers or their permitted transferees, the private placement warrants are redeemable by us and exercisable by such holders on the same basis as the public warrants.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Agent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agent for our public warrants and private placement warrants is Continental Stock Transfer &amp; Trust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Global Select Market listing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public warrants are traded on The Nasdaq Global Select Market under the symbol “SMFRW.”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Warrants</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addition, we may issue additional warrants for the purchase of our debt securities, preferred stock, Class A common stock, or any combination thereof. Warrants may be issued independently or together with our debt securities, preferred stock or Class A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Warrants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issue of warrants to purchase debt securities will describe the terms of the debt warrants, including the following:</w:t>
      </w:r>
    </w:p>
    <w:p>
      <w:pPr>
        <w:spacing w:after="0" w:line="108"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debt warrants,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00"/>
          </w:cols>
          <w:pgMar w:left="320" w:top="1440" w:right="379" w:bottom="1440" w:gutter="0" w:footer="0" w:header="0"/>
        </w:sectPr>
      </w:pPr>
    </w:p>
    <w:bookmarkStart w:id="30" w:name="page31"/>
    <w:bookmarkEnd w:id="30"/>
    <w:p>
      <w:pPr>
        <w:spacing w:after="0" w:line="140"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debt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debt securities, including any conversion rights, purchasable upon exercise of the debt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debt warrants and any debt securities issued with them will be separately transferable;</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debt warrant and the exercise price for the warrants, which may be payable in cash, securities or other property;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debt warrants will commence and expire;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debt warrants that may be exercised at any one time;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warrants represented by the debt warrant certificates or debt securities that may be issued upon exercise of the debt warrants will be issued in registered or bearer form;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debt warrants, if 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if any, applicable to the debt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with respect to the holder’s right to require us to repurchase the debt warrants upon a change in control or similar event; and</w:t>
      </w:r>
    </w:p>
    <w:p>
      <w:pPr>
        <w:spacing w:after="0" w:line="17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debt warrants, including procedures and limitations relating to the exchange, exercise, and settlement of the debt warrants.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Debt warrant certificates will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Warrants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series of warrants to purchase our Class A common stock or preferred stock will describe the terms of the warrants, including the following:</w:t>
      </w:r>
    </w:p>
    <w:p>
      <w:pPr>
        <w:spacing w:after="0" w:line="108"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warrants, if 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Class A common stock or preferred stock that may be purchased upon exercise of the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60"/>
          </w:cols>
          <w:pgMar w:left="320" w:top="1440" w:right="419" w:bottom="1440" w:gutter="0" w:footer="0" w:header="0"/>
        </w:sectPr>
      </w:pPr>
    </w:p>
    <w:bookmarkStart w:id="31" w:name="page32"/>
    <w:bookmarkEnd w:id="31"/>
    <w:p>
      <w:pPr>
        <w:spacing w:after="0" w:line="140" w:lineRule="exact"/>
        <w:rPr>
          <w:sz w:val="20"/>
          <w:szCs w:val="20"/>
          <w:color w:val="auto"/>
        </w:rPr>
      </w:pPr>
    </w:p>
    <w:p>
      <w:pPr>
        <w:ind w:left="540" w:hanging="328"/>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any securities issued with the warrants will be separately transferable;</w:t>
      </w:r>
    </w:p>
    <w:p>
      <w:pPr>
        <w:spacing w:after="0" w:line="171" w:lineRule="exact"/>
        <w:rPr>
          <w:rFonts w:ascii="Times New Roman" w:cs="Times New Roman" w:eastAsia="Times New Roman" w:hAnsi="Times New Roman"/>
          <w:sz w:val="18"/>
          <w:szCs w:val="18"/>
          <w:color w:val="auto"/>
        </w:rPr>
      </w:pPr>
    </w:p>
    <w:p>
      <w:pPr>
        <w:ind w:left="540" w:hanging="328"/>
        <w:spacing w:after="0" w:line="282" w:lineRule="auto"/>
        <w:tabs>
          <w:tab w:leader="none" w:pos="5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or preferred stock that may be purchased upon exercise of a warrant and the exercise price for the warrants;</w:t>
      </w:r>
    </w:p>
    <w:p>
      <w:pPr>
        <w:spacing w:after="0" w:line="107" w:lineRule="exact"/>
        <w:rPr>
          <w:rFonts w:ascii="Times New Roman" w:cs="Times New Roman" w:eastAsia="Times New Roman" w:hAnsi="Times New Roman"/>
          <w:sz w:val="18"/>
          <w:szCs w:val="18"/>
          <w:color w:val="auto"/>
        </w:rPr>
      </w:pPr>
    </w:p>
    <w:p>
      <w:pPr>
        <w:ind w:left="540" w:hanging="328"/>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shall commence and expire;</w:t>
      </w:r>
    </w:p>
    <w:p>
      <w:pPr>
        <w:spacing w:after="0" w:line="171" w:lineRule="exact"/>
        <w:rPr>
          <w:rFonts w:ascii="Times New Roman" w:cs="Times New Roman" w:eastAsia="Times New Roman" w:hAnsi="Times New Roman"/>
          <w:sz w:val="18"/>
          <w:szCs w:val="18"/>
          <w:color w:val="auto"/>
        </w:rPr>
      </w:pPr>
    </w:p>
    <w:p>
      <w:pPr>
        <w:ind w:left="540" w:hanging="328"/>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71" w:lineRule="exact"/>
        <w:rPr>
          <w:rFonts w:ascii="Times New Roman" w:cs="Times New Roman" w:eastAsia="Times New Roman" w:hAnsi="Times New Roman"/>
          <w:sz w:val="18"/>
          <w:szCs w:val="18"/>
          <w:color w:val="auto"/>
        </w:rPr>
      </w:pPr>
    </w:p>
    <w:p>
      <w:pPr>
        <w:ind w:left="540" w:hanging="328"/>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71" w:lineRule="exact"/>
        <w:rPr>
          <w:rFonts w:ascii="Times New Roman" w:cs="Times New Roman" w:eastAsia="Times New Roman" w:hAnsi="Times New Roman"/>
          <w:sz w:val="18"/>
          <w:szCs w:val="18"/>
          <w:color w:val="auto"/>
        </w:rPr>
      </w:pPr>
    </w:p>
    <w:p>
      <w:pPr>
        <w:ind w:left="540" w:hanging="328"/>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w:t>
      </w:r>
    </w:p>
    <w:p>
      <w:pPr>
        <w:spacing w:after="0" w:line="171" w:lineRule="exact"/>
        <w:rPr>
          <w:rFonts w:ascii="Times New Roman" w:cs="Times New Roman" w:eastAsia="Times New Roman" w:hAnsi="Times New Roman"/>
          <w:sz w:val="18"/>
          <w:szCs w:val="18"/>
          <w:color w:val="auto"/>
        </w:rPr>
      </w:pPr>
    </w:p>
    <w:p>
      <w:pPr>
        <w:ind w:left="540" w:hanging="328"/>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171" w:lineRule="exact"/>
        <w:rPr>
          <w:rFonts w:ascii="Times New Roman" w:cs="Times New Roman" w:eastAsia="Times New Roman" w:hAnsi="Times New Roman"/>
          <w:sz w:val="18"/>
          <w:szCs w:val="18"/>
          <w:color w:val="auto"/>
        </w:rPr>
      </w:pPr>
    </w:p>
    <w:p>
      <w:pPr>
        <w:ind w:left="540" w:hanging="328"/>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if any, applicable to the warrants;</w:t>
      </w:r>
    </w:p>
    <w:p>
      <w:pPr>
        <w:spacing w:after="0" w:line="171" w:lineRule="exact"/>
        <w:rPr>
          <w:rFonts w:ascii="Times New Roman" w:cs="Times New Roman" w:eastAsia="Times New Roman" w:hAnsi="Times New Roman"/>
          <w:sz w:val="18"/>
          <w:szCs w:val="18"/>
          <w:color w:val="auto"/>
        </w:rPr>
      </w:pPr>
    </w:p>
    <w:p>
      <w:pPr>
        <w:ind w:left="540" w:hanging="328"/>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with respect to a holder’s right to require us to repurchase the warrants upon a change in control or similar event; and</w:t>
      </w:r>
    </w:p>
    <w:p>
      <w:pPr>
        <w:spacing w:after="0" w:line="171" w:lineRule="exact"/>
        <w:rPr>
          <w:rFonts w:ascii="Times New Roman" w:cs="Times New Roman" w:eastAsia="Times New Roman" w:hAnsi="Times New Roman"/>
          <w:sz w:val="18"/>
          <w:szCs w:val="18"/>
          <w:color w:val="auto"/>
        </w:rPr>
      </w:pPr>
    </w:p>
    <w:p>
      <w:pPr>
        <w:ind w:left="-120" w:right="440" w:firstLine="332"/>
        <w:spacing w:after="0" w:line="438" w:lineRule="auto"/>
        <w:tabs>
          <w:tab w:leader="none" w:pos="52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procedures and limitations relating to the exchange, exercise and settlement of the warrants. Holders of equity warrants will not be entitled to:</w:t>
      </w:r>
    </w:p>
    <w:p>
      <w:pPr>
        <w:ind w:left="540" w:hanging="328"/>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consent, or receive dividends;</w:t>
      </w:r>
    </w:p>
    <w:p>
      <w:pPr>
        <w:spacing w:after="0" w:line="171" w:lineRule="exact"/>
        <w:rPr>
          <w:rFonts w:ascii="Times New Roman" w:cs="Times New Roman" w:eastAsia="Times New Roman" w:hAnsi="Times New Roman"/>
          <w:sz w:val="18"/>
          <w:szCs w:val="18"/>
          <w:color w:val="auto"/>
        </w:rPr>
      </w:pPr>
    </w:p>
    <w:p>
      <w:pPr>
        <w:ind w:left="540" w:hanging="328"/>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stockholders with respect to any meeting of stockholders for the election of our directors or any other matter; or</w:t>
      </w:r>
    </w:p>
    <w:p>
      <w:pPr>
        <w:spacing w:after="0" w:line="171" w:lineRule="exact"/>
        <w:rPr>
          <w:rFonts w:ascii="Times New Roman" w:cs="Times New Roman" w:eastAsia="Times New Roman" w:hAnsi="Times New Roman"/>
          <w:sz w:val="18"/>
          <w:szCs w:val="18"/>
          <w:color w:val="auto"/>
        </w:rPr>
      </w:pPr>
    </w:p>
    <w:p>
      <w:pPr>
        <w:ind w:left="540" w:hanging="328"/>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1440" w:right="459" w:bottom="1440" w:gutter="0" w:footer="0" w:header="0"/>
        </w:sectPr>
      </w:pPr>
    </w:p>
    <w:bookmarkStart w:id="32" w:name="page33"/>
    <w:bookmarkEnd w:id="32"/>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may issue subscription rights to purchase our Class A common stock, preferred stock or debt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108"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Class A common stock, preferred stock or debt securities upon the exercise of the subscription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issued to each stockholder;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Class A common stock, preferred stock or debt securities which may be purchased per each subscription right;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10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subscription rights.</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description in the applicable prospectus supplement of any subscription rights we offer will not necessarily be complete and will be qualified in its entirety by reference to the applicable subscription rights certificate, which will be filed with the SEC if we offer subscription rights. We urge you to read the applicable subscription rights certificate and any applicable prospectus supplement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80"/>
          </w:cols>
          <w:pgMar w:left="320" w:top="1440" w:right="399" w:bottom="1440" w:gutter="0" w:footer="0" w:header="0"/>
        </w:sectPr>
      </w:pPr>
    </w:p>
    <w:bookmarkStart w:id="33" w:name="page34"/>
    <w:bookmarkEnd w:id="33"/>
    <w:p>
      <w:pPr>
        <w:spacing w:after="0" w:line="13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some or all of the securities described above, in any combination, including Class A common stock, preferred stock, warrants and/or debt securities. The terms of these units will be set forth in a prospectus supplement. The description of the terms of these units in the applicable prospectus supplement will not be complete. You should refer to the applicable form of unit and unit agreement for complete information with respect to these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40"/>
          </w:cols>
          <w:pgMar w:left="320" w:top="1440" w:right="539" w:bottom="1440" w:gutter="0" w:footer="0" w:header="0"/>
        </w:sectPr>
      </w:pPr>
    </w:p>
    <w:bookmarkStart w:id="34" w:name="page35"/>
    <w:bookmarkEnd w:id="34"/>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Fenwick &amp; West LLP, New York, New York, will issue an opinion about certain legal matters with respect to the securities. Any underwriters or agents will be advised about legal matters relating to any offering by their own counsel.</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Sema4 Holdings Corp. appearing in Sema4 Holdings Corp.’s Annual Report (Form 10-K) for the year ended December 31, 2021,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combined carve out financial statements of GeneDx, Inc. and subsidiary at December 31, 2021 and 2020, and for each of the two years in the period ended December 31, 2021, included in the Proxy Statement of Sema4 Holdings Corp. dated March 31, 2022, incorporated by reference in this Prospectus and Registration Statement have been audited by Ernst &amp; Young LLP, independent auditors, as set forth in their report thereon, and are incorporated herein by reference in reliance upon such report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20"/>
          </w:cols>
          <w:pgMar w:left="320" w:top="1440" w:right="35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1066165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3045460</wp:posOffset>
            </wp:positionH>
            <wp:positionV relativeFrom="page">
              <wp:posOffset>1700530</wp:posOffset>
            </wp:positionV>
            <wp:extent cx="146558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655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1216025</wp:posOffset>
            </wp:positionV>
            <wp:extent cx="18256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1951355</wp:posOffset>
            </wp:positionH>
            <wp:positionV relativeFrom="paragraph">
              <wp:posOffset>199390</wp:posOffset>
            </wp:positionV>
            <wp:extent cx="18256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240030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205740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9019"/>
          </w:cols>
          <w:pgMar w:left="1440" w:top="1440" w:right="1440" w:bottom="1440" w:gutter="0" w:footer="0" w:header="0"/>
        </w:sectPr>
      </w:pPr>
    </w:p>
    <w:bookmarkStart w:id="36" w:name="page37"/>
    <w:bookmarkEnd w:id="36"/>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Pr>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68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estimated expenses in connection with the issuance and distribution of the securities being registered:</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 registration fee</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27,810</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Printing and engraving*</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fees and expenses*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Miscellaneous expenses*</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8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and expenses depend on the type of securities offered and the number of issuances and, accordingly, cannot be estimated at this time.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Officers and Directors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(the “Securities Act”).</w:t>
      </w:r>
    </w:p>
    <w:p>
      <w:pPr>
        <w:spacing w:after="0" w:line="12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permitted by the Delaware General Corporation Law, the Registrant’s restated certificate of incorporation contains a provision that eliminates, to the fullest extent permitted by law, the personal liability of a directors for monetary damages resulting from breach of his or her fiduciary duties as a director, except for liability:</w:t>
      </w:r>
    </w:p>
    <w:p>
      <w:pPr>
        <w:spacing w:after="0" w:line="122"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the Registrant or its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that involve intentional misconduct or a knowing violation of law;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Delaware General Corporation Law (regarding unlawful dividends, stock purchases or redemptions);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permitted by the Delaware General Corporation Law, the Registrant’s restated bylaws provide that:</w:t>
      </w:r>
    </w:p>
    <w:p>
      <w:pPr>
        <w:spacing w:after="0" w:line="171" w:lineRule="exact"/>
        <w:rPr>
          <w:sz w:val="20"/>
          <w:szCs w:val="20"/>
          <w:color w:val="auto"/>
        </w:rPr>
      </w:pPr>
    </w:p>
    <w:p>
      <w:pPr>
        <w:ind w:left="660" w:right="1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required to indemnify its directors and officers to the fullest extent permitted by the Delaware General Corporation Law, subject to certain very limited exceptions;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may indemnify its other employees and agents as set forth in the Delaware General Corporation Law;</w:t>
      </w:r>
    </w:p>
    <w:p>
      <w:pPr>
        <w:spacing w:after="0" w:line="17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required to advance expenses, as incurred, to its directors and officers in connection with a legal proceeding to the fullest extent permitted by the Delaware General Corporation Law, subject to certain very limited exceptions;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the restated bylaws are not exclusive.</w:t>
      </w:r>
    </w:p>
    <w:p>
      <w:pPr>
        <w:spacing w:after="0" w:line="17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Registrant has entered, and intends to continue to enter, into indemnification agreements with each of its directors and executive officers to provide these directors and executive officers additional contractual assurances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4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regarding the scope of the indemnification set forth in the Registrant’s restated certificate of incorporation and restated bylaws and to provide additional procedural protections. At present, there is no pending litigation or proceeding involving a director or executive officer of the Registrant for which indemnification is sought. The indemnification provisions in the Registrant’s restated certificate of incorporation,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currently carries liability insurance for its directors and officers.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2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0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140" w:type="dxa"/>
            <w:vAlign w:val="bottom"/>
            <w:gridSpan w:val="17"/>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95"/>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17"/>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980" w:type="dxa"/>
            <w:vAlign w:val="bottom"/>
            <w:tcBorders>
              <w:top w:val="single" w:sz="8" w:color="auto"/>
            </w:tcBorders>
            <w:gridSpan w:val="22"/>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10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9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80" w:type="dxa"/>
            <w:vAlign w:val="bottom"/>
            <w:gridSpan w:val="23"/>
          </w:tcPr>
          <w:p>
            <w:pPr>
              <w:spacing w:after="0" w:line="194" w:lineRule="exact"/>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Agreement and Plan of Merger, dated February 9, 2021, by and</w:t>
              </w:r>
            </w:hyperlink>
          </w:p>
        </w:tc>
        <w:tc>
          <w:tcPr>
            <w:tcW w:w="13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DEFM14A</w:t>
            </w:r>
          </w:p>
        </w:tc>
        <w:tc>
          <w:tcPr>
            <w:tcW w:w="13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Annex A</w:t>
            </w:r>
          </w:p>
        </w:tc>
        <w:tc>
          <w:tcPr>
            <w:tcW w:w="1320" w:type="dxa"/>
            <w:vAlign w:val="bottom"/>
          </w:tcPr>
          <w:p>
            <w:pPr>
              <w:jc w:val="right"/>
              <w:ind w:right="392"/>
              <w:spacing w:after="0" w:line="194" w:lineRule="exact"/>
              <w:rPr>
                <w:sz w:val="20"/>
                <w:szCs w:val="20"/>
                <w:color w:val="auto"/>
              </w:rPr>
            </w:pPr>
            <w:r>
              <w:rPr>
                <w:rFonts w:ascii="Times New Roman" w:cs="Times New Roman" w:eastAsia="Times New Roman" w:hAnsi="Times New Roman"/>
                <w:sz w:val="18"/>
                <w:szCs w:val="18"/>
                <w:color w:val="auto"/>
                <w:w w:val="99"/>
              </w:rPr>
              <w:t>07/02/2021</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32">
              <w:r>
                <w:rPr>
                  <w:rFonts w:ascii="Times New Roman" w:cs="Times New Roman" w:eastAsia="Times New Roman" w:hAnsi="Times New Roman"/>
                  <w:sz w:val="18"/>
                  <w:szCs w:val="18"/>
                  <w:color w:val="0000FF"/>
                  <w:w w:val="99"/>
                </w:rPr>
                <w:t>among CMLS, Merger Sub and Legacy Sema4, as amended by</w:t>
              </w:r>
            </w:hyperlink>
          </w:p>
        </w:tc>
        <w:tc>
          <w:tcPr>
            <w:tcW w:w="4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80" w:type="dxa"/>
            <w:vAlign w:val="bottom"/>
            <w:gridSpan w:val="23"/>
          </w:tcPr>
          <w:p>
            <w:pPr>
              <w:spacing w:after="0" w:line="169" w:lineRule="exact"/>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Amendment to Agreement and Plan of Merger dated May 3, 2021</w:t>
              </w:r>
            </w:hyperlink>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tcBorders>
              <w:top w:val="single" w:sz="8" w:color="0000FF"/>
            </w:tcBorders>
            <w:gridSpan w:val="16"/>
          </w:tcPr>
          <w:p>
            <w:pPr>
              <w:spacing w:after="0"/>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Agreement and Plan of Merger and Reorganization, dated as of</w:t>
              </w:r>
            </w:hyperlink>
          </w:p>
        </w:tc>
        <w:tc>
          <w:tcPr>
            <w:tcW w:w="340" w:type="dxa"/>
            <w:vAlign w:val="bottom"/>
            <w:gridSpan w:val="7"/>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13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99"/>
              </w:rPr>
              <w:t>01/18/2022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80" w:type="dxa"/>
            <w:vAlign w:val="bottom"/>
            <w:gridSpan w:val="23"/>
          </w:tcPr>
          <w:p>
            <w:pPr>
              <w:spacing w:after="0" w:line="156" w:lineRule="exact"/>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January 14, 2022, by and among, Orion Merger Sub I, Inc., Orion</w:t>
              </w:r>
            </w:hyperlink>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2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Merger Sub II, LLC, GeneDx, Inc., GeneDx Holding 2, Inc. and</w:t>
              </w:r>
            </w:hyperlink>
          </w:p>
        </w:tc>
        <w:tc>
          <w:tcPr>
            <w:tcW w:w="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33">
              <w:r>
                <w:rPr>
                  <w:rFonts w:ascii="Times New Roman" w:cs="Times New Roman" w:eastAsia="Times New Roman" w:hAnsi="Times New Roman"/>
                  <w:sz w:val="18"/>
                  <w:szCs w:val="18"/>
                  <w:color w:val="0000FF"/>
                  <w:w w:val="98"/>
                </w:rPr>
                <w:t>OPKO Health, Inc.</w:t>
              </w:r>
            </w:hyperlink>
          </w:p>
        </w:tc>
        <w:tc>
          <w:tcPr>
            <w:tcW w:w="3240" w:type="dxa"/>
            <w:vAlign w:val="bottom"/>
            <w:tcBorders>
              <w:top w:val="single" w:sz="8" w:color="0000FF"/>
            </w:tcBorders>
            <w:gridSpan w:val="11"/>
          </w:tcPr>
          <w:p>
            <w:pPr>
              <w:spacing w:after="0"/>
              <w:rPr>
                <w:sz w:val="13"/>
                <w:szCs w:val="13"/>
                <w:color w:val="auto"/>
              </w:rPr>
            </w:pPr>
          </w:p>
        </w:tc>
        <w:tc>
          <w:tcPr>
            <w:tcW w:w="16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gridSpan w:val="23"/>
          </w:tcPr>
          <w:p>
            <w:pPr>
              <w:spacing w:after="0"/>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Amendment to Agreement and Plan of Merger and Reorganization,</w:t>
              </w:r>
            </w:hyperlink>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8"/>
                <w:szCs w:val="18"/>
                <w:color w:val="auto"/>
              </w:rPr>
            </w:pPr>
          </w:p>
        </w:tc>
        <w:tc>
          <w:tcPr>
            <w:tcW w:w="13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99"/>
              </w:rPr>
              <w:t>05/02/2022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w w:val="98"/>
              </w:rPr>
            </w:pPr>
            <w:hyperlink r:id="rId34">
              <w:r>
                <w:rPr>
                  <w:rFonts w:ascii="Times New Roman" w:cs="Times New Roman" w:eastAsia="Times New Roman" w:hAnsi="Times New Roman"/>
                  <w:sz w:val="18"/>
                  <w:szCs w:val="18"/>
                  <w:color w:val="0000FF"/>
                  <w:w w:val="98"/>
                </w:rPr>
                <w:t>dated as of April 29, 2022, by and among, Orion Merger Sub I, Inc.,</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60" w:type="dxa"/>
            <w:vAlign w:val="bottom"/>
            <w:gridSpan w:val="2"/>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gridSpan w:val="21"/>
          </w:tcPr>
          <w:p>
            <w:pPr>
              <w:spacing w:after="0" w:line="169"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Orion Merger Sub II, LLC, GeneDx, Inc., GeneDx Holding 2, Inc.</w:t>
              </w:r>
            </w:hyperlink>
          </w:p>
        </w:tc>
        <w:tc>
          <w:tcPr>
            <w:tcW w:w="160" w:type="dxa"/>
            <w:vAlign w:val="bottom"/>
            <w:gridSpan w:val="2"/>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34">
              <w:r>
                <w:rPr>
                  <w:rFonts w:ascii="Times New Roman" w:cs="Times New Roman" w:eastAsia="Times New Roman" w:hAnsi="Times New Roman"/>
                  <w:sz w:val="18"/>
                  <w:szCs w:val="18"/>
                  <w:color w:val="0000FF"/>
                  <w:w w:val="98"/>
                </w:rPr>
                <w:t>and OPKO Health, Inc.</w:t>
              </w:r>
            </w:hyperlink>
          </w:p>
        </w:tc>
        <w:tc>
          <w:tcPr>
            <w:tcW w:w="3100" w:type="dxa"/>
            <w:vAlign w:val="bottom"/>
            <w:tcBorders>
              <w:top w:val="single" w:sz="8" w:color="0000FF"/>
            </w:tcBorders>
            <w:gridSpan w:val="12"/>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gridSpan w:val="23"/>
          </w:tcPr>
          <w:p>
            <w:pPr>
              <w:spacing w:after="0"/>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Third Amended and Restated Certificate of Incorporation of Sema4</w:t>
              </w:r>
            </w:hyperlink>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13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99"/>
              </w:rPr>
              <w:t>07/28/2021</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Holdings Corp.</w:t>
              </w:r>
            </w:hyperlink>
          </w:p>
        </w:tc>
        <w:tc>
          <w:tcPr>
            <w:tcW w:w="4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80" w:type="dxa"/>
            <w:vAlign w:val="bottom"/>
            <w:gridSpan w:val="23"/>
          </w:tcPr>
          <w:p>
            <w:pPr>
              <w:spacing w:after="0"/>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Certificate of Amendment to the Third Amended and Restated</w:t>
              </w:r>
            </w:hyperlink>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3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99"/>
              </w:rPr>
              <w:t>05/02/2022</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36">
              <w:r>
                <w:rPr>
                  <w:rFonts w:ascii="Times New Roman" w:cs="Times New Roman" w:eastAsia="Times New Roman" w:hAnsi="Times New Roman"/>
                  <w:sz w:val="18"/>
                  <w:szCs w:val="18"/>
                  <w:color w:val="0000FF"/>
                  <w:w w:val="99"/>
                </w:rPr>
                <w:t>Certificate of Incorporation of Sema4 Holdings Corp.</w:t>
              </w:r>
            </w:hyperlink>
          </w:p>
        </w:tc>
        <w:tc>
          <w:tcPr>
            <w:tcW w:w="6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8"/>
          </w:tcPr>
          <w:p>
            <w:pPr>
              <w:spacing w:after="0"/>
              <w:rPr>
                <w:sz w:val="13"/>
                <w:szCs w:val="13"/>
                <w:color w:val="auto"/>
              </w:rPr>
            </w:pPr>
          </w:p>
        </w:tc>
        <w:tc>
          <w:tcPr>
            <w:tcW w:w="180" w:type="dxa"/>
            <w:vAlign w:val="bottom"/>
            <w:gridSpan w:val="3"/>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80" w:type="dxa"/>
            <w:vAlign w:val="bottom"/>
            <w:gridSpan w:val="23"/>
          </w:tcPr>
          <w:p>
            <w:pPr>
              <w:spacing w:after="0"/>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Restated Bylaws of Sema4 Holdings Corp.</w:t>
              </w:r>
            </w:hyperlink>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3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99"/>
              </w:rPr>
              <w:t>07/28/2021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80" w:type="dxa"/>
            <w:vAlign w:val="bottom"/>
            <w:tcBorders>
              <w:top w:val="single" w:sz="8" w:color="0000FF"/>
            </w:tcBorders>
            <w:gridSpan w:val="9"/>
          </w:tcPr>
          <w:p>
            <w:pPr>
              <w:spacing w:after="0"/>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Specimen Warrant Certificate</w:t>
              </w:r>
            </w:hyperlink>
          </w:p>
        </w:tc>
        <w:tc>
          <w:tcPr>
            <w:tcW w:w="2000" w:type="dxa"/>
            <w:vAlign w:val="bottom"/>
            <w:gridSpan w:val="14"/>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13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99"/>
              </w:rPr>
              <w:t>08/24/2020</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gridSpan w:val="23"/>
          </w:tcPr>
          <w:p>
            <w:pPr>
              <w:spacing w:after="0"/>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Warrant Agreement, dated as of September 1, 2020, by and between</w:t>
              </w:r>
            </w:hyperlink>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13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99"/>
              </w:rPr>
              <w:t>09/04/2020</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0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CM Life Sciences, Inc. and Continental Stock Transfer &amp; Trust</w:t>
              </w:r>
            </w:hyperlink>
          </w:p>
        </w:tc>
        <w:tc>
          <w:tcPr>
            <w:tcW w:w="180" w:type="dxa"/>
            <w:vAlign w:val="bottom"/>
            <w:gridSpan w:val="3"/>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Company, as warrant agent</w:t>
              </w:r>
            </w:hyperlink>
          </w:p>
        </w:tc>
        <w:tc>
          <w:tcPr>
            <w:tcW w:w="520" w:type="dxa"/>
            <w:vAlign w:val="bottom"/>
            <w:gridSpan w:val="11"/>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Form of Debt Security</w:t>
            </w:r>
          </w:p>
        </w:tc>
        <w:tc>
          <w:tcPr>
            <w:tcW w:w="320" w:type="dxa"/>
            <w:vAlign w:val="bottom"/>
            <w:tcBorders>
              <w:top w:val="single" w:sz="8" w:color="0000FF"/>
            </w:tcBorders>
            <w:gridSpan w:val="2"/>
          </w:tcPr>
          <w:p>
            <w:pPr>
              <w:spacing w:after="0"/>
              <w:rPr>
                <w:sz w:val="18"/>
                <w:szCs w:val="18"/>
                <w:color w:val="auto"/>
              </w:rPr>
            </w:pPr>
          </w:p>
        </w:tc>
        <w:tc>
          <w:tcPr>
            <w:tcW w:w="3140" w:type="dxa"/>
            <w:vAlign w:val="bottom"/>
            <w:gridSpan w:val="17"/>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0"/>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Form of Indenture</w:t>
            </w:r>
          </w:p>
        </w:tc>
        <w:tc>
          <w:tcPr>
            <w:tcW w:w="3760" w:type="dxa"/>
            <w:vAlign w:val="bottom"/>
            <w:gridSpan w:val="21"/>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45"/>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Form of Warrant Agreement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Form of Warrant Certificate</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Form of Certificate of Designations of Preferred Stock</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Form of Preferred Stock Certificate</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Form of Subscription Rights Agreement</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Form of Subscription Rights Certificate</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Form of Unit Agreement</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Form of Unit Certificate</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9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5.1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Legal Opinion of Fenwick &amp; West LLP</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67"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8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23.1</w:t>
            </w:r>
          </w:p>
        </w:tc>
        <w:tc>
          <w:tcPr>
            <w:tcW w:w="71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Consent of Ernst &amp; Young LLP, independent registered public</w:t>
            </w:r>
          </w:p>
        </w:tc>
        <w:tc>
          <w:tcPr>
            <w:tcW w:w="252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76"/>
              </w:rPr>
              <w:t>X</w:t>
            </w:r>
          </w:p>
        </w:tc>
      </w:tr>
      <w:tr>
        <w:trPr>
          <w:trHeight w:val="156"/>
        </w:trPr>
        <w:tc>
          <w:tcPr>
            <w:tcW w:w="820" w:type="dxa"/>
            <w:vAlign w:val="bottom"/>
          </w:tcPr>
          <w:p>
            <w:pPr>
              <w:spacing w:after="0"/>
              <w:rPr>
                <w:sz w:val="13"/>
                <w:szCs w:val="13"/>
                <w:color w:val="auto"/>
              </w:rPr>
            </w:pPr>
          </w:p>
        </w:tc>
        <w:tc>
          <w:tcPr>
            <w:tcW w:w="310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accounting firm for Sema4 Holdings Corp.</w:t>
            </w:r>
          </w:p>
        </w:tc>
        <w:tc>
          <w:tcPr>
            <w:tcW w:w="1380" w:type="dxa"/>
            <w:vAlign w:val="bottom"/>
            <w:tcBorders>
              <w:top w:val="single" w:sz="8" w:color="0000FF"/>
            </w:tcBorders>
            <w:gridSpan w:val="2"/>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520" w:type="dxa"/>
            <w:vAlign w:val="bottom"/>
          </w:tcPr>
          <w:p>
            <w:pPr>
              <w:spacing w:after="0"/>
              <w:rPr>
                <w:sz w:val="13"/>
                <w:szCs w:val="13"/>
                <w:color w:val="auto"/>
              </w:rPr>
            </w:pPr>
          </w:p>
        </w:tc>
      </w:tr>
      <w:tr>
        <w:trPr>
          <w:trHeight w:val="223"/>
        </w:trPr>
        <w:tc>
          <w:tcPr>
            <w:tcW w:w="8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23.2</w:t>
            </w:r>
          </w:p>
        </w:tc>
        <w:tc>
          <w:tcPr>
            <w:tcW w:w="71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Consent of Ernst &amp; Young LLP, independent auditors for GeneDx,</w:t>
            </w:r>
          </w:p>
        </w:tc>
        <w:tc>
          <w:tcPr>
            <w:tcW w:w="252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76"/>
              </w:rPr>
              <w:t>X</w:t>
            </w:r>
          </w:p>
        </w:tc>
      </w:tr>
      <w:tr>
        <w:trPr>
          <w:trHeight w:val="156"/>
        </w:trPr>
        <w:tc>
          <w:tcPr>
            <w:tcW w:w="820" w:type="dxa"/>
            <w:vAlign w:val="bottom"/>
          </w:tcPr>
          <w:p>
            <w:pPr>
              <w:spacing w:after="0"/>
              <w:rPr>
                <w:sz w:val="13"/>
                <w:szCs w:val="13"/>
                <w:color w:val="auto"/>
              </w:rPr>
            </w:pPr>
          </w:p>
        </w:tc>
        <w:tc>
          <w:tcPr>
            <w:tcW w:w="480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Inc.</w:t>
            </w:r>
          </w:p>
        </w:tc>
        <w:tc>
          <w:tcPr>
            <w:tcW w:w="2380" w:type="dxa"/>
            <w:vAlign w:val="bottom"/>
          </w:tcPr>
          <w:p>
            <w:pPr>
              <w:spacing w:after="0"/>
              <w:rPr>
                <w:sz w:val="13"/>
                <w:szCs w:val="13"/>
                <w:color w:val="auto"/>
              </w:rPr>
            </w:pPr>
          </w:p>
        </w:tc>
        <w:tc>
          <w:tcPr>
            <w:tcW w:w="2520" w:type="dxa"/>
            <w:vAlign w:val="bottom"/>
          </w:tcPr>
          <w:p>
            <w:pPr>
              <w:spacing w:after="0"/>
              <w:rPr>
                <w:sz w:val="13"/>
                <w:szCs w:val="13"/>
                <w:color w:val="auto"/>
              </w:rPr>
            </w:pPr>
          </w:p>
        </w:tc>
      </w:tr>
      <w:tr>
        <w:trPr>
          <w:trHeight w:val="20"/>
        </w:trPr>
        <w:tc>
          <w:tcPr>
            <w:tcW w:w="8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23"/>
        </w:trPr>
        <w:tc>
          <w:tcPr>
            <w:tcW w:w="8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23.3</w:t>
            </w:r>
          </w:p>
        </w:tc>
        <w:tc>
          <w:tcPr>
            <w:tcW w:w="71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Consent of Fenwick &amp; West LLP (included as part of Exhibit 5.1)</w:t>
            </w:r>
          </w:p>
        </w:tc>
        <w:tc>
          <w:tcPr>
            <w:tcW w:w="252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76"/>
              </w:rPr>
              <w:t>X</w:t>
            </w:r>
          </w:p>
        </w:tc>
      </w:tr>
      <w:tr>
        <w:trPr>
          <w:trHeight w:val="210"/>
        </w:trPr>
        <w:tc>
          <w:tcPr>
            <w:tcW w:w="8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24.1</w:t>
            </w:r>
          </w:p>
        </w:tc>
        <w:tc>
          <w:tcPr>
            <w:tcW w:w="47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Power of Attorney (included on the signature page hereto)</w:t>
            </w:r>
          </w:p>
        </w:tc>
        <w:tc>
          <w:tcPr>
            <w:tcW w:w="2440" w:type="dxa"/>
            <w:vAlign w:val="bottom"/>
            <w:gridSpan w:val="2"/>
          </w:tcPr>
          <w:p>
            <w:pPr>
              <w:spacing w:after="0"/>
              <w:rPr>
                <w:sz w:val="18"/>
                <w:szCs w:val="18"/>
                <w:color w:val="auto"/>
              </w:rPr>
            </w:pPr>
          </w:p>
        </w:tc>
        <w:tc>
          <w:tcPr>
            <w:tcW w:w="252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82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82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w w:val="96"/>
              </w:rPr>
              <w:t>25.1**</w:t>
            </w:r>
          </w:p>
        </w:tc>
        <w:tc>
          <w:tcPr>
            <w:tcW w:w="71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Form T-1 Statement of Eligibility of Trustee for Senior Indenture</w:t>
            </w:r>
          </w:p>
        </w:tc>
        <w:tc>
          <w:tcPr>
            <w:tcW w:w="2520" w:type="dxa"/>
            <w:vAlign w:val="bottom"/>
          </w:tcPr>
          <w:p>
            <w:pPr>
              <w:spacing w:after="0"/>
              <w:rPr>
                <w:sz w:val="17"/>
                <w:szCs w:val="17"/>
                <w:color w:val="auto"/>
              </w:rPr>
            </w:pPr>
          </w:p>
        </w:tc>
      </w:tr>
      <w:tr>
        <w:trPr>
          <w:trHeight w:val="234"/>
        </w:trPr>
        <w:tc>
          <w:tcPr>
            <w:tcW w:w="820" w:type="dxa"/>
            <w:vAlign w:val="bottom"/>
          </w:tcPr>
          <w:p>
            <w:pPr>
              <w:spacing w:after="0"/>
              <w:rPr>
                <w:sz w:val="20"/>
                <w:szCs w:val="20"/>
                <w:color w:val="auto"/>
              </w:rPr>
            </w:pPr>
          </w:p>
        </w:tc>
        <w:tc>
          <w:tcPr>
            <w:tcW w:w="71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under the Trust Indenture Act of 1939.</w:t>
            </w:r>
          </w:p>
        </w:tc>
        <w:tc>
          <w:tcPr>
            <w:tcW w:w="2520" w:type="dxa"/>
            <w:vAlign w:val="bottom"/>
          </w:tcPr>
          <w:p>
            <w:pPr>
              <w:spacing w:after="0"/>
              <w:rPr>
                <w:sz w:val="20"/>
                <w:szCs w:val="20"/>
                <w:color w:val="auto"/>
              </w:rPr>
            </w:pPr>
          </w:p>
        </w:tc>
      </w:tr>
      <w:tr>
        <w:trPr>
          <w:trHeight w:val="198"/>
        </w:trPr>
        <w:tc>
          <w:tcPr>
            <w:tcW w:w="820" w:type="dxa"/>
            <w:vAlign w:val="bottom"/>
          </w:tcPr>
          <w:p>
            <w:pPr>
              <w:jc w:val="center"/>
              <w:ind w:right="250"/>
              <w:spacing w:after="0" w:line="198" w:lineRule="exact"/>
              <w:rPr>
                <w:sz w:val="20"/>
                <w:szCs w:val="20"/>
                <w:color w:val="auto"/>
              </w:rPr>
            </w:pPr>
            <w:r>
              <w:rPr>
                <w:rFonts w:ascii="Times New Roman" w:cs="Times New Roman" w:eastAsia="Times New Roman" w:hAnsi="Times New Roman"/>
                <w:sz w:val="18"/>
                <w:szCs w:val="18"/>
                <w:color w:val="auto"/>
                <w:w w:val="98"/>
              </w:rPr>
              <w:t>107.1</w:t>
            </w:r>
          </w:p>
        </w:tc>
        <w:tc>
          <w:tcPr>
            <w:tcW w:w="7180" w:type="dxa"/>
            <w:vAlign w:val="bottom"/>
            <w:gridSpan w:val="8"/>
          </w:tcPr>
          <w:p>
            <w:pPr>
              <w:spacing w:after="0" w:line="198" w:lineRule="exact"/>
              <w:rPr>
                <w:sz w:val="20"/>
                <w:szCs w:val="20"/>
                <w:color w:val="auto"/>
              </w:rPr>
            </w:pPr>
            <w:r>
              <w:rPr>
                <w:rFonts w:ascii="Times New Roman" w:cs="Times New Roman" w:eastAsia="Times New Roman" w:hAnsi="Times New Roman"/>
                <w:sz w:val="18"/>
                <w:szCs w:val="18"/>
                <w:color w:val="0000FF"/>
              </w:rPr>
              <w:t>Filing Fee Table</w:t>
            </w:r>
          </w:p>
        </w:tc>
        <w:tc>
          <w:tcPr>
            <w:tcW w:w="2520" w:type="dxa"/>
            <w:vAlign w:val="bottom"/>
          </w:tcPr>
          <w:p>
            <w:pPr>
              <w:ind w:left="2400"/>
              <w:spacing w:after="0" w:line="198" w:lineRule="exact"/>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8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420" w:hanging="332"/>
        <w:spacing w:after="0" w:line="259" w:lineRule="auto"/>
        <w:tabs>
          <w:tab w:leader="none" w:pos="349"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and exhibits to this Exhibit have been omitted pursuant to Item 601(a)(5) or Item 601(b)(10)(iv), as applicable, of Regulation S-K. The Registrant agrees to furnish supplemental copies of all omitted exhibits and schedules to the SEC upon its request.</w:t>
      </w:r>
    </w:p>
    <w:p>
      <w:pPr>
        <w:ind w:left="340" w:right="100" w:hanging="332"/>
        <w:spacing w:after="0" w:line="261" w:lineRule="auto"/>
        <w:tabs>
          <w:tab w:leader="none" w:pos="331"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as an exhibit to a report on Form 8-K under the Securities Exchange Act of 1934, as amended (the “Exchange Act”), or by other applicable filing with the SEC, and incorporated herein by reference.</w:t>
      </w:r>
    </w:p>
    <w:p>
      <w:pPr>
        <w:spacing w:after="0" w:line="1" w:lineRule="exact"/>
        <w:rPr>
          <w:sz w:val="20"/>
          <w:szCs w:val="20"/>
          <w:color w:val="auto"/>
        </w:rPr>
      </w:pPr>
    </w:p>
    <w:p>
      <w:pPr>
        <w:ind w:left="320" w:hanging="312"/>
        <w:spacing w:after="0"/>
        <w:tabs>
          <w:tab w:leader="none" w:pos="3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pursuant to Section 305(b)(2) of the Trust Indenture Act of 1939, as amended (the “Trust Indenture Act”).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75"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71" w:lineRule="exact"/>
        <w:rPr>
          <w:rFonts w:ascii="Times New Roman" w:cs="Times New Roman" w:eastAsia="Times New Roman" w:hAnsi="Times New Roman"/>
          <w:sz w:val="18"/>
          <w:szCs w:val="18"/>
          <w:color w:val="auto"/>
        </w:rPr>
      </w:pPr>
    </w:p>
    <w:p>
      <w:pPr>
        <w:ind w:left="1300" w:right="20" w:hanging="320"/>
        <w:spacing w:after="0" w:line="255" w:lineRule="auto"/>
        <w:tabs>
          <w:tab w:leader="none" w:pos="129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34" w:lineRule="exact"/>
        <w:rPr>
          <w:rFonts w:ascii="Times New Roman" w:cs="Times New Roman" w:eastAsia="Times New Roman" w:hAnsi="Times New Roman"/>
          <w:sz w:val="18"/>
          <w:szCs w:val="18"/>
          <w:color w:val="auto"/>
        </w:rPr>
      </w:pPr>
    </w:p>
    <w:p>
      <w:pPr>
        <w:ind w:left="1300" w:right="220" w:hanging="320"/>
        <w:spacing w:after="0" w:line="282" w:lineRule="auto"/>
        <w:tabs>
          <w:tab w:leader="none" w:pos="130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7" w:lineRule="exact"/>
        <w:rPr>
          <w:rFonts w:ascii="Times New Roman" w:cs="Times New Roman" w:eastAsia="Times New Roman" w:hAnsi="Times New Roman"/>
          <w:sz w:val="18"/>
          <w:szCs w:val="18"/>
          <w:color w:val="auto"/>
        </w:rPr>
      </w:pPr>
    </w:p>
    <w:p>
      <w:pPr>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however, that subparagraphs (i), (ii), and (iii) do not apply if the information required to be included in a post-effective amendment by those paragraphs is contained in reports filed with or furnished to the Securities and Exchange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25"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7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200"/>
          </w:cols>
          <w:pgMar w:left="320" w:top="1440" w:right="379" w:bottom="1440" w:gutter="0" w:footer="0" w:header="0"/>
        </w:sectPr>
      </w:pPr>
    </w:p>
    <w:bookmarkStart w:id="39" w:name="page40"/>
    <w:bookmarkEnd w:id="39"/>
    <w:p>
      <w:pPr>
        <w:spacing w:after="0" w:line="140" w:lineRule="exact"/>
        <w:rPr>
          <w:sz w:val="20"/>
          <w:szCs w:val="20"/>
          <w:color w:val="auto"/>
        </w:rPr>
      </w:pPr>
    </w:p>
    <w:p>
      <w:pPr>
        <w:ind w:left="648" w:right="540" w:hanging="324"/>
        <w:spacing w:after="0" w:line="282" w:lineRule="auto"/>
        <w:tabs>
          <w:tab w:leader="none" w:pos="64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07"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71" w:lineRule="exact"/>
        <w:rPr>
          <w:rFonts w:ascii="Times New Roman" w:cs="Times New Roman" w:eastAsia="Times New Roman" w:hAnsi="Times New Roman"/>
          <w:sz w:val="18"/>
          <w:szCs w:val="18"/>
          <w:color w:val="auto"/>
        </w:rPr>
      </w:pPr>
    </w:p>
    <w:p>
      <w:pPr>
        <w:ind w:left="968" w:right="120" w:hanging="320"/>
        <w:spacing w:after="0" w:line="282" w:lineRule="auto"/>
        <w:tabs>
          <w:tab w:leader="none" w:pos="962"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7" w:lineRule="exact"/>
        <w:rPr>
          <w:rFonts w:ascii="Times New Roman" w:cs="Times New Roman" w:eastAsia="Times New Roman" w:hAnsi="Times New Roman"/>
          <w:sz w:val="18"/>
          <w:szCs w:val="18"/>
          <w:color w:val="auto"/>
        </w:rPr>
      </w:pPr>
    </w:p>
    <w:p>
      <w:pPr>
        <w:ind w:left="968" w:hanging="320"/>
        <w:spacing w:after="0" w:line="253" w:lineRule="auto"/>
        <w:tabs>
          <w:tab w:leader="none" w:pos="958"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35" w:lineRule="exact"/>
        <w:rPr>
          <w:rFonts w:ascii="Times New Roman" w:cs="Times New Roman" w:eastAsia="Times New Roman" w:hAnsi="Times New Roman"/>
          <w:sz w:val="18"/>
          <w:szCs w:val="18"/>
          <w:color w:val="auto"/>
        </w:rPr>
      </w:pPr>
    </w:p>
    <w:p>
      <w:pPr>
        <w:ind w:left="648" w:right="60" w:hanging="324"/>
        <w:spacing w:after="0" w:line="258" w:lineRule="auto"/>
        <w:tabs>
          <w:tab w:leader="none" w:pos="64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9"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71" w:lineRule="exact"/>
        <w:rPr>
          <w:rFonts w:ascii="Times New Roman" w:cs="Times New Roman" w:eastAsia="Times New Roman" w:hAnsi="Times New Roman"/>
          <w:sz w:val="18"/>
          <w:szCs w:val="18"/>
          <w:color w:val="auto"/>
        </w:rPr>
      </w:pPr>
    </w:p>
    <w:p>
      <w:pPr>
        <w:ind w:left="968" w:right="240" w:hanging="320"/>
        <w:spacing w:after="0" w:line="282" w:lineRule="auto"/>
        <w:tabs>
          <w:tab w:leader="none" w:pos="958"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07" w:lineRule="exact"/>
        <w:rPr>
          <w:rFonts w:ascii="Times New Roman" w:cs="Times New Roman" w:eastAsia="Times New Roman" w:hAnsi="Times New Roman"/>
          <w:sz w:val="18"/>
          <w:szCs w:val="18"/>
          <w:color w:val="auto"/>
        </w:rPr>
      </w:pPr>
    </w:p>
    <w:p>
      <w:pPr>
        <w:ind w:left="968" w:right="80" w:hanging="320"/>
        <w:spacing w:after="0" w:line="282" w:lineRule="auto"/>
        <w:tabs>
          <w:tab w:leader="none" w:pos="968"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7"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71" w:lineRule="exact"/>
        <w:rPr>
          <w:rFonts w:ascii="Times New Roman" w:cs="Times New Roman" w:eastAsia="Times New Roman" w:hAnsi="Times New Roman"/>
          <w:sz w:val="18"/>
          <w:szCs w:val="18"/>
          <w:color w:val="auto"/>
        </w:rPr>
      </w:pPr>
    </w:p>
    <w:p>
      <w:pPr>
        <w:ind w:left="328" w:right="60" w:hanging="328"/>
        <w:spacing w:after="0" w:line="258" w:lineRule="auto"/>
        <w:tabs>
          <w:tab w:leader="none" w:pos="32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9" w:lineRule="exact"/>
        <w:rPr>
          <w:rFonts w:ascii="Times New Roman" w:cs="Times New Roman" w:eastAsia="Times New Roman" w:hAnsi="Times New Roman"/>
          <w:sz w:val="18"/>
          <w:szCs w:val="18"/>
          <w:color w:val="auto"/>
        </w:rPr>
      </w:pPr>
    </w:p>
    <w:p>
      <w:pPr>
        <w:ind w:left="328" w:right="340" w:hanging="328"/>
        <w:spacing w:after="0" w:line="282" w:lineRule="auto"/>
        <w:tabs>
          <w:tab w:leader="none" w:pos="32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0868"/>
          </w:cols>
          <w:pgMar w:left="652" w:top="1440" w:right="379" w:bottom="1440" w:gutter="0" w:footer="0" w:header="0"/>
        </w:sectPr>
      </w:pPr>
    </w:p>
    <w:bookmarkStart w:id="40" w:name="page41"/>
    <w:bookmarkEnd w:id="40"/>
    <w:p>
      <w:pPr>
        <w:spacing w:after="0" w:line="140" w:lineRule="exact"/>
        <w:rPr>
          <w:sz w:val="20"/>
          <w:szCs w:val="20"/>
          <w:color w:val="auto"/>
        </w:rPr>
      </w:pPr>
    </w:p>
    <w:p>
      <w:pPr>
        <w:ind w:left="328"/>
        <w:spacing w:after="0" w:line="255" w:lineRule="auto"/>
        <w:rPr>
          <w:sz w:val="20"/>
          <w:szCs w:val="20"/>
          <w:color w:val="auto"/>
        </w:rPr>
      </w:pPr>
      <w:r>
        <w:rPr>
          <w:rFonts w:ascii="Times New Roman" w:cs="Times New Roman" w:eastAsia="Times New Roman" w:hAnsi="Times New Roman"/>
          <w:sz w:val="18"/>
          <w:szCs w:val="18"/>
          <w:color w:val="auto"/>
        </w:rPr>
        <w:t>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35" w:lineRule="exact"/>
        <w:rPr>
          <w:sz w:val="20"/>
          <w:szCs w:val="20"/>
          <w:color w:val="auto"/>
        </w:rPr>
      </w:pPr>
    </w:p>
    <w:p>
      <w:pPr>
        <w:ind w:left="328" w:right="60" w:hanging="328"/>
        <w:spacing w:after="0" w:line="266" w:lineRule="auto"/>
        <w:tabs>
          <w:tab w:leader="none" w:pos="32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hereby undertakes to file an application for the purpose of determining the eligibility of the trustee to act under subsection (a) of Section 310 of the Trust Indenture Act in accordance with the rules and regulations prescribed by the Securities and Exchange Commission under Section 305(b)(2) of the Trust Indenture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0868"/>
          </w:cols>
          <w:pgMar w:left="652" w:top="1440" w:right="37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on Form S-3 to be signed on its behalf by the undersigned, thereunto duly authorized, in the City of Stamford, State of Connecticut, on August 26, 2022.</w:t>
      </w:r>
    </w:p>
    <w:p>
      <w:pPr>
        <w:spacing w:after="0" w:line="158"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81" w:lineRule="exact"/>
        <w:rPr>
          <w:sz w:val="20"/>
          <w:szCs w:val="20"/>
          <w:color w:val="auto"/>
        </w:rPr>
      </w:pPr>
    </w:p>
    <w:p>
      <w:pPr>
        <w:ind w:left="6480"/>
        <w:spacing w:after="0"/>
        <w:tabs>
          <w:tab w:leader="none" w:pos="6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17145</wp:posOffset>
            </wp:positionV>
            <wp:extent cx="27686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Katherine Stueland</w:t>
      </w:r>
    </w:p>
    <w:p>
      <w:pPr>
        <w:spacing w:after="0" w:line="11"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ind w:left="69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Katherine Stueland and Jason Ryan, and each of them, as his or her true and lawful attorneys-in-fact, proxies and agents, each with full power of substitution and resubstitution and full power to act without the other,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13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S-3 has been signed by the following persons in the capacities and on the dates indicated.</w:t>
      </w:r>
    </w:p>
    <w:p>
      <w:pPr>
        <w:sectPr>
          <w:pgSz w:w="11900" w:h="16838" w:orient="portrait"/>
          <w:cols w:equalWidth="0" w:num="1">
            <w:col w:w="11240"/>
          </w:cols>
          <w:pgMar w:left="320" w:top="927" w:right="339" w:bottom="1440" w:gutter="0" w:footer="0" w:header="0"/>
        </w:sectPr>
      </w:pPr>
    </w:p>
    <w:p>
      <w:pPr>
        <w:spacing w:after="0" w:line="142"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19716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82"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716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16"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Katherine Stueland</w:t>
      </w:r>
    </w:p>
    <w:p>
      <w:pPr>
        <w:spacing w:after="0" w:line="77"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Kevin Feeley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716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Kevin Feeley</w:t>
      </w:r>
    </w:p>
    <w:p>
      <w:pPr>
        <w:spacing w:after="0" w:line="7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 Jason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716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Jason Ryan</w:t>
      </w:r>
    </w:p>
    <w:p>
      <w:pPr>
        <w:spacing w:after="0" w:line="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 Joshua Ruch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716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16"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Joshua Ruch</w:t>
      </w:r>
    </w:p>
    <w:p>
      <w:pPr>
        <w:spacing w:after="0" w:line="77"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Dennis Charney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716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Dennis Charney</w:t>
      </w:r>
    </w:p>
    <w:p>
      <w:pPr>
        <w:spacing w:after="0" w:line="7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/s/ Eli D.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716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16"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Eli D. Casdin</w:t>
      </w:r>
    </w:p>
    <w:p>
      <w:pPr>
        <w:spacing w:after="0" w:line="77"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Emily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716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8">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1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Emily Leproust</w:t>
      </w:r>
    </w:p>
    <w:p>
      <w:pPr>
        <w:spacing w:after="0" w:line="7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/s/ Keith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716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9">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1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Keith Meister</w:t>
      </w:r>
    </w:p>
    <w:p>
      <w:pPr>
        <w:spacing w:after="0" w:line="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 Michael Pellini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716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0">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1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Michael Pellini</w:t>
      </w:r>
    </w:p>
    <w:p>
      <w:pPr>
        <w:spacing w:after="0" w:line="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Richard C. Pfenniger,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9716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1">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2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Richard C. Pfenniger, Jr.</w:t>
      </w:r>
    </w:p>
    <w:p>
      <w:pPr>
        <w:spacing w:after="0" w:line="7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 Rachel Sherman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716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2">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16"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Rachel Sherman</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5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3"/>
        </w:trPr>
        <w:tc>
          <w:tcPr>
            <w:tcW w:w="5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August 26, 2022</w:t>
            </w:r>
          </w:p>
        </w:tc>
        <w:tc>
          <w:tcPr>
            <w:tcW w:w="0" w:type="dxa"/>
            <w:vAlign w:val="bottom"/>
          </w:tcPr>
          <w:p>
            <w:pPr>
              <w:spacing w:after="0"/>
              <w:rPr>
                <w:sz w:val="1"/>
                <w:szCs w:val="1"/>
                <w:color w:val="auto"/>
              </w:rPr>
            </w:pPr>
          </w:p>
        </w:tc>
      </w:tr>
      <w:tr>
        <w:trPr>
          <w:trHeight w:val="148"/>
        </w:trPr>
        <w:tc>
          <w:tcPr>
            <w:tcW w:w="5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5960" w:type="dxa"/>
            <w:vAlign w:val="bottom"/>
            <w:gridSpan w:val="2"/>
            <w:vMerge w:val="continue"/>
          </w:tcPr>
          <w:p>
            <w:pPr>
              <w:spacing w:after="0"/>
              <w:rPr>
                <w:sz w:val="7"/>
                <w:szCs w:val="7"/>
                <w:color w:val="auto"/>
              </w:rPr>
            </w:pPr>
          </w:p>
        </w:tc>
        <w:tc>
          <w:tcPr>
            <w:tcW w:w="2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2"/>
        </w:trPr>
        <w:tc>
          <w:tcPr>
            <w:tcW w:w="5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August 26, 2022</w:t>
            </w:r>
          </w:p>
        </w:tc>
        <w:tc>
          <w:tcPr>
            <w:tcW w:w="0" w:type="dxa"/>
            <w:vAlign w:val="bottom"/>
          </w:tcPr>
          <w:p>
            <w:pPr>
              <w:spacing w:after="0"/>
              <w:rPr>
                <w:sz w:val="1"/>
                <w:szCs w:val="1"/>
                <w:color w:val="auto"/>
              </w:rPr>
            </w:pPr>
          </w:p>
        </w:tc>
      </w:tr>
      <w:tr>
        <w:trPr>
          <w:trHeight w:val="149"/>
        </w:trPr>
        <w:tc>
          <w:tcPr>
            <w:tcW w:w="5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(Principal Financial Officer &amp; Principal Accounting Officer)</w:t>
            </w:r>
          </w:p>
        </w:tc>
        <w:tc>
          <w:tcPr>
            <w:tcW w:w="2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5960" w:type="dxa"/>
            <w:vAlign w:val="bottom"/>
            <w:gridSpan w:val="2"/>
            <w:vMerge w:val="continue"/>
          </w:tcPr>
          <w:p>
            <w:pPr>
              <w:spacing w:after="0"/>
              <w:rPr>
                <w:sz w:val="7"/>
                <w:szCs w:val="7"/>
                <w:color w:val="auto"/>
              </w:rPr>
            </w:pPr>
          </w:p>
        </w:tc>
        <w:tc>
          <w:tcPr>
            <w:tcW w:w="2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1"/>
        </w:trPr>
        <w:tc>
          <w:tcPr>
            <w:tcW w:w="5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Executive Chairman and 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26, 2022</w:t>
            </w:r>
          </w:p>
        </w:tc>
        <w:tc>
          <w:tcPr>
            <w:tcW w:w="0" w:type="dxa"/>
            <w:vAlign w:val="bottom"/>
          </w:tcPr>
          <w:p>
            <w:pPr>
              <w:spacing w:after="0"/>
              <w:rPr>
                <w:sz w:val="1"/>
                <w:szCs w:val="1"/>
                <w:color w:val="auto"/>
              </w:rPr>
            </w:pPr>
          </w:p>
        </w:tc>
      </w:tr>
      <w:tr>
        <w:trPr>
          <w:trHeight w:val="527"/>
        </w:trPr>
        <w:tc>
          <w:tcPr>
            <w:tcW w:w="5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26, 2022</w:t>
            </w:r>
          </w:p>
        </w:tc>
        <w:tc>
          <w:tcPr>
            <w:tcW w:w="0" w:type="dxa"/>
            <w:vAlign w:val="bottom"/>
          </w:tcPr>
          <w:p>
            <w:pPr>
              <w:spacing w:after="0"/>
              <w:rPr>
                <w:sz w:val="1"/>
                <w:szCs w:val="1"/>
                <w:color w:val="auto"/>
              </w:rPr>
            </w:pPr>
          </w:p>
        </w:tc>
      </w:tr>
      <w:tr>
        <w:trPr>
          <w:trHeight w:val="526"/>
        </w:trPr>
        <w:tc>
          <w:tcPr>
            <w:tcW w:w="5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26, 2022</w:t>
            </w:r>
          </w:p>
        </w:tc>
        <w:tc>
          <w:tcPr>
            <w:tcW w:w="0" w:type="dxa"/>
            <w:vAlign w:val="bottom"/>
          </w:tcPr>
          <w:p>
            <w:pPr>
              <w:spacing w:after="0"/>
              <w:rPr>
                <w:sz w:val="1"/>
                <w:szCs w:val="1"/>
                <w:color w:val="auto"/>
              </w:rPr>
            </w:pPr>
          </w:p>
        </w:tc>
      </w:tr>
      <w:tr>
        <w:trPr>
          <w:trHeight w:val="527"/>
        </w:trPr>
        <w:tc>
          <w:tcPr>
            <w:tcW w:w="5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26, 2022</w:t>
            </w:r>
          </w:p>
        </w:tc>
        <w:tc>
          <w:tcPr>
            <w:tcW w:w="0" w:type="dxa"/>
            <w:vAlign w:val="bottom"/>
          </w:tcPr>
          <w:p>
            <w:pPr>
              <w:spacing w:after="0"/>
              <w:rPr>
                <w:sz w:val="1"/>
                <w:szCs w:val="1"/>
                <w:color w:val="auto"/>
              </w:rPr>
            </w:pPr>
          </w:p>
        </w:tc>
      </w:tr>
      <w:tr>
        <w:trPr>
          <w:trHeight w:val="526"/>
        </w:trPr>
        <w:tc>
          <w:tcPr>
            <w:tcW w:w="5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26, 2022</w:t>
            </w:r>
          </w:p>
        </w:tc>
        <w:tc>
          <w:tcPr>
            <w:tcW w:w="0" w:type="dxa"/>
            <w:vAlign w:val="bottom"/>
          </w:tcPr>
          <w:p>
            <w:pPr>
              <w:spacing w:after="0"/>
              <w:rPr>
                <w:sz w:val="1"/>
                <w:szCs w:val="1"/>
                <w:color w:val="auto"/>
              </w:rPr>
            </w:pPr>
          </w:p>
        </w:tc>
      </w:tr>
      <w:tr>
        <w:trPr>
          <w:trHeight w:val="527"/>
        </w:trPr>
        <w:tc>
          <w:tcPr>
            <w:tcW w:w="5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26, 2022</w:t>
            </w:r>
          </w:p>
        </w:tc>
        <w:tc>
          <w:tcPr>
            <w:tcW w:w="0" w:type="dxa"/>
            <w:vAlign w:val="bottom"/>
          </w:tcPr>
          <w:p>
            <w:pPr>
              <w:spacing w:after="0"/>
              <w:rPr>
                <w:sz w:val="1"/>
                <w:szCs w:val="1"/>
                <w:color w:val="auto"/>
              </w:rPr>
            </w:pPr>
          </w:p>
        </w:tc>
      </w:tr>
      <w:tr>
        <w:trPr>
          <w:trHeight w:val="526"/>
        </w:trPr>
        <w:tc>
          <w:tcPr>
            <w:tcW w:w="5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26, 2022</w:t>
            </w:r>
          </w:p>
        </w:tc>
        <w:tc>
          <w:tcPr>
            <w:tcW w:w="0" w:type="dxa"/>
            <w:vAlign w:val="bottom"/>
          </w:tcPr>
          <w:p>
            <w:pPr>
              <w:spacing w:after="0"/>
              <w:rPr>
                <w:sz w:val="1"/>
                <w:szCs w:val="1"/>
                <w:color w:val="auto"/>
              </w:rPr>
            </w:pPr>
          </w:p>
        </w:tc>
      </w:tr>
      <w:tr>
        <w:trPr>
          <w:trHeight w:val="526"/>
        </w:trPr>
        <w:tc>
          <w:tcPr>
            <w:tcW w:w="5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26, 2022</w:t>
            </w:r>
          </w:p>
        </w:tc>
        <w:tc>
          <w:tcPr>
            <w:tcW w:w="0" w:type="dxa"/>
            <w:vAlign w:val="bottom"/>
          </w:tcPr>
          <w:p>
            <w:pPr>
              <w:spacing w:after="0"/>
              <w:rPr>
                <w:sz w:val="1"/>
                <w:szCs w:val="1"/>
                <w:color w:val="auto"/>
              </w:rPr>
            </w:pPr>
          </w:p>
        </w:tc>
      </w:tr>
      <w:tr>
        <w:trPr>
          <w:trHeight w:val="526"/>
        </w:trPr>
        <w:tc>
          <w:tcPr>
            <w:tcW w:w="5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26, 2022</w:t>
            </w:r>
          </w:p>
        </w:tc>
        <w:tc>
          <w:tcPr>
            <w:tcW w:w="0" w:type="dxa"/>
            <w:vAlign w:val="bottom"/>
          </w:tcPr>
          <w:p>
            <w:pPr>
              <w:spacing w:after="0"/>
              <w:rPr>
                <w:sz w:val="1"/>
                <w:szCs w:val="1"/>
                <w:color w:val="auto"/>
              </w:rPr>
            </w:pPr>
          </w:p>
        </w:tc>
      </w:tr>
    </w:tbl>
    <w:p>
      <w:pPr>
        <w:spacing w:after="0" w:line="294" w:lineRule="exact"/>
        <w:rPr>
          <w:sz w:val="20"/>
          <w:szCs w:val="20"/>
          <w:color w:val="auto"/>
        </w:rPr>
      </w:pPr>
    </w:p>
    <w:p>
      <w:pPr>
        <w:sectPr>
          <w:pgSz w:w="11900" w:h="16838" w:orient="portrait"/>
          <w:cols w:equalWidth="0" w:num="2">
            <w:col w:w="2560" w:space="640"/>
            <w:col w:w="8040"/>
          </w:cols>
          <w:pgMar w:left="320" w:top="927" w:right="339" w:bottom="1440" w:gutter="0" w:footer="0" w:header="0"/>
          <w:type w:val="continuous"/>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240"/>
          </w:cols>
          <w:pgMar w:left="320" w:top="927" w:right="339" w:bottom="1440" w:gutter="0" w:footer="0" w:header="0"/>
          <w:type w:val="continuous"/>
        </w:sectPr>
      </w:pPr>
    </w:p>
    <w:bookmarkStart w:id="42" w:name="page43"/>
    <w:bookmarkEnd w:id="42"/>
    <w:p>
      <w:pPr>
        <w:ind w:left="10220"/>
        <w:spacing w:after="0"/>
        <w:rPr>
          <w:sz w:val="20"/>
          <w:szCs w:val="20"/>
          <w:color w:val="auto"/>
        </w:rPr>
      </w:pPr>
      <w:r>
        <w:rPr>
          <w:rFonts w:ascii="Times New Roman" w:cs="Times New Roman" w:eastAsia="Times New Roman" w:hAnsi="Times New Roman"/>
          <w:sz w:val="18"/>
          <w:szCs w:val="18"/>
          <w:b w:val="1"/>
          <w:bCs w:val="1"/>
          <w:color w:val="auto"/>
        </w:rPr>
        <w:t>Exhibit 107.1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Fee Filing Tables</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(Form Type)</w:t>
      </w:r>
    </w:p>
    <w:p>
      <w:pPr>
        <w:spacing w:after="0" w:line="8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Registration as Specified in its Charter)</w:t>
      </w:r>
    </w:p>
    <w:p>
      <w:pPr>
        <w:spacing w:after="0" w:line="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1 – Newly Registered and Carry Forward Securities</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780" w:type="dxa"/>
            <w:vAlign w:val="bottom"/>
            <w:tcBorders>
              <w:top w:val="single" w:sz="8" w:color="auto"/>
              <w:left w:val="single" w:sz="8" w:color="auto"/>
              <w:right w:val="single" w:sz="8" w:color="auto"/>
            </w:tcBorders>
          </w:tcPr>
          <w:p>
            <w:pPr>
              <w:spacing w:after="0"/>
              <w:rPr>
                <w:sz w:val="16"/>
                <w:szCs w:val="16"/>
                <w:color w:val="auto"/>
              </w:rPr>
            </w:pPr>
          </w:p>
        </w:tc>
        <w:tc>
          <w:tcPr>
            <w:tcW w:w="880" w:type="dxa"/>
            <w:vAlign w:val="bottom"/>
            <w:tcBorders>
              <w:top w:val="single" w:sz="8" w:color="auto"/>
              <w:right w:val="single" w:sz="8" w:color="auto"/>
            </w:tcBorders>
          </w:tcPr>
          <w:p>
            <w:pPr>
              <w:spacing w:after="0"/>
              <w:rPr>
                <w:sz w:val="16"/>
                <w:szCs w:val="16"/>
                <w:color w:val="auto"/>
              </w:rPr>
            </w:pPr>
          </w:p>
        </w:tc>
        <w:tc>
          <w:tcPr>
            <w:tcW w:w="1080" w:type="dxa"/>
            <w:vAlign w:val="bottom"/>
            <w:tcBorders>
              <w:top w:val="single" w:sz="8" w:color="auto"/>
              <w:right w:val="single" w:sz="8" w:color="auto"/>
            </w:tcBorders>
          </w:tcPr>
          <w:p>
            <w:pPr>
              <w:spacing w:after="0"/>
              <w:rPr>
                <w:sz w:val="16"/>
                <w:szCs w:val="16"/>
                <w:color w:val="auto"/>
              </w:rPr>
            </w:pPr>
          </w:p>
        </w:tc>
        <w:tc>
          <w:tcPr>
            <w:tcW w:w="920" w:type="dxa"/>
            <w:vAlign w:val="bottom"/>
            <w:tcBorders>
              <w:top w:val="single" w:sz="8" w:color="auto"/>
              <w:right w:val="single" w:sz="8" w:color="auto"/>
            </w:tcBorders>
          </w:tcPr>
          <w:p>
            <w:pPr>
              <w:spacing w:after="0"/>
              <w:rPr>
                <w:sz w:val="16"/>
                <w:szCs w:val="16"/>
                <w:color w:val="auto"/>
              </w:rPr>
            </w:pPr>
          </w:p>
        </w:tc>
        <w:tc>
          <w:tcPr>
            <w:tcW w:w="1080" w:type="dxa"/>
            <w:vAlign w:val="bottom"/>
            <w:tcBorders>
              <w:top w:val="single" w:sz="8" w:color="auto"/>
              <w:right w:val="single" w:sz="8" w:color="auto"/>
            </w:tcBorders>
          </w:tcPr>
          <w:p>
            <w:pPr>
              <w:spacing w:after="0"/>
              <w:rPr>
                <w:sz w:val="16"/>
                <w:szCs w:val="16"/>
                <w:color w:val="auto"/>
              </w:rPr>
            </w:pPr>
          </w:p>
        </w:tc>
        <w:tc>
          <w:tcPr>
            <w:tcW w:w="760" w:type="dxa"/>
            <w:vAlign w:val="bottom"/>
            <w:tcBorders>
              <w:top w:val="single" w:sz="8" w:color="auto"/>
              <w:right w:val="single" w:sz="8" w:color="auto"/>
            </w:tcBorders>
          </w:tcPr>
          <w:p>
            <w:pPr>
              <w:spacing w:after="0"/>
              <w:rPr>
                <w:sz w:val="16"/>
                <w:szCs w:val="16"/>
                <w:color w:val="auto"/>
              </w:rPr>
            </w:pPr>
          </w:p>
        </w:tc>
        <w:tc>
          <w:tcPr>
            <w:tcW w:w="1140" w:type="dxa"/>
            <w:vAlign w:val="bottom"/>
            <w:tcBorders>
              <w:top w:val="single" w:sz="8" w:color="auto"/>
              <w:right w:val="single" w:sz="8" w:color="auto"/>
            </w:tcBorders>
          </w:tcPr>
          <w:p>
            <w:pPr>
              <w:spacing w:after="0"/>
              <w:rPr>
                <w:sz w:val="16"/>
                <w:szCs w:val="16"/>
                <w:color w:val="auto"/>
              </w:rPr>
            </w:pPr>
          </w:p>
        </w:tc>
        <w:tc>
          <w:tcPr>
            <w:tcW w:w="840" w:type="dxa"/>
            <w:vAlign w:val="bottom"/>
            <w:tcBorders>
              <w:top w:val="single" w:sz="8" w:color="auto"/>
              <w:right w:val="single" w:sz="8" w:color="auto"/>
            </w:tcBorders>
          </w:tcPr>
          <w:p>
            <w:pPr>
              <w:spacing w:after="0"/>
              <w:rPr>
                <w:sz w:val="16"/>
                <w:szCs w:val="16"/>
                <w:color w:val="auto"/>
              </w:rPr>
            </w:pPr>
          </w:p>
        </w:tc>
        <w:tc>
          <w:tcPr>
            <w:tcW w:w="880" w:type="dxa"/>
            <w:vAlign w:val="bottom"/>
            <w:tcBorders>
              <w:top w:val="single" w:sz="8" w:color="auto"/>
              <w:right w:val="single" w:sz="8" w:color="auto"/>
            </w:tcBorders>
          </w:tcPr>
          <w:p>
            <w:pPr>
              <w:spacing w:after="0"/>
              <w:rPr>
                <w:sz w:val="16"/>
                <w:szCs w:val="16"/>
                <w:color w:val="auto"/>
              </w:rPr>
            </w:pPr>
          </w:p>
        </w:tc>
        <w:tc>
          <w:tcPr>
            <w:tcW w:w="580" w:type="dxa"/>
            <w:vAlign w:val="bottom"/>
            <w:tcBorders>
              <w:top w:val="single" w:sz="8" w:color="auto"/>
              <w:right w:val="single" w:sz="8" w:color="auto"/>
            </w:tcBorders>
          </w:tcPr>
          <w:p>
            <w:pPr>
              <w:spacing w:after="0"/>
              <w:rPr>
                <w:sz w:val="16"/>
                <w:szCs w:val="16"/>
                <w:color w:val="auto"/>
              </w:rPr>
            </w:pPr>
          </w:p>
        </w:tc>
        <w:tc>
          <w:tcPr>
            <w:tcW w:w="620" w:type="dxa"/>
            <w:vAlign w:val="bottom"/>
            <w:tcBorders>
              <w:top w:val="single" w:sz="8" w:color="auto"/>
              <w:right w:val="single" w:sz="8" w:color="auto"/>
            </w:tcBorders>
          </w:tcPr>
          <w:p>
            <w:pPr>
              <w:spacing w:after="0"/>
              <w:rPr>
                <w:sz w:val="16"/>
                <w:szCs w:val="16"/>
                <w:color w:val="auto"/>
              </w:rPr>
            </w:pPr>
          </w:p>
        </w:tc>
        <w:tc>
          <w:tcPr>
            <w:tcW w:w="660" w:type="dxa"/>
            <w:vAlign w:val="bottom"/>
            <w:tcBorders>
              <w:top w:val="single" w:sz="8" w:color="auto"/>
              <w:right w:val="single" w:sz="8" w:color="auto"/>
            </w:tcBorders>
          </w:tcPr>
          <w:p>
            <w:pPr>
              <w:spacing w:after="0"/>
              <w:rPr>
                <w:sz w:val="16"/>
                <w:szCs w:val="16"/>
                <w:color w:val="auto"/>
              </w:rPr>
            </w:pPr>
          </w:p>
        </w:tc>
        <w:tc>
          <w:tcPr>
            <w:tcW w:w="1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Filing Fee</w:t>
            </w:r>
          </w:p>
        </w:tc>
        <w:tc>
          <w:tcPr>
            <w:tcW w:w="0" w:type="dxa"/>
            <w:vAlign w:val="bottom"/>
          </w:tcPr>
          <w:p>
            <w:pPr>
              <w:spacing w:after="0"/>
              <w:rPr>
                <w:sz w:val="1"/>
                <w:szCs w:val="1"/>
                <w:color w:val="auto"/>
              </w:rPr>
            </w:pPr>
          </w:p>
        </w:tc>
      </w:tr>
      <w:tr>
        <w:trPr>
          <w:trHeight w:val="162"/>
        </w:trPr>
        <w:tc>
          <w:tcPr>
            <w:tcW w:w="780" w:type="dxa"/>
            <w:vAlign w:val="bottom"/>
            <w:tcBorders>
              <w:left w:val="single" w:sz="8" w:color="auto"/>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5"/>
              </w:rPr>
              <w:t>Fee</w:t>
            </w:r>
          </w:p>
        </w:tc>
        <w:tc>
          <w:tcPr>
            <w:tcW w:w="108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Proposed</w:t>
            </w:r>
          </w:p>
        </w:tc>
        <w:tc>
          <w:tcPr>
            <w:tcW w:w="114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Carry</w:t>
            </w:r>
          </w:p>
        </w:tc>
        <w:tc>
          <w:tcPr>
            <w:tcW w:w="104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Previously</w:t>
            </w:r>
          </w:p>
        </w:tc>
        <w:tc>
          <w:tcPr>
            <w:tcW w:w="0" w:type="dxa"/>
            <w:vAlign w:val="bottom"/>
          </w:tcPr>
          <w:p>
            <w:pPr>
              <w:spacing w:after="0"/>
              <w:rPr>
                <w:sz w:val="1"/>
                <w:szCs w:val="1"/>
                <w:color w:val="auto"/>
              </w:rPr>
            </w:pPr>
          </w:p>
        </w:tc>
      </w:tr>
      <w:tr>
        <w:trPr>
          <w:trHeight w:val="81"/>
        </w:trPr>
        <w:tc>
          <w:tcPr>
            <w:tcW w:w="780" w:type="dxa"/>
            <w:vAlign w:val="bottom"/>
            <w:tcBorders>
              <w:left w:val="single" w:sz="8" w:color="auto"/>
              <w:right w:val="single" w:sz="8" w:color="auto"/>
            </w:tcBorders>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580" w:type="dxa"/>
            <w:vAlign w:val="bottom"/>
            <w:tcBorders>
              <w:right w:val="single" w:sz="8" w:color="auto"/>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w w:val="98"/>
              </w:rPr>
              <w:t>Carry</w:t>
            </w:r>
          </w:p>
        </w:tc>
        <w:tc>
          <w:tcPr>
            <w:tcW w:w="620" w:type="dxa"/>
            <w:vAlign w:val="bottom"/>
            <w:tcBorders>
              <w:right w:val="single" w:sz="8" w:color="auto"/>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w w:val="98"/>
              </w:rPr>
              <w:t>Carry</w:t>
            </w:r>
          </w:p>
        </w:tc>
        <w:tc>
          <w:tcPr>
            <w:tcW w:w="660" w:type="dxa"/>
            <w:vAlign w:val="bottom"/>
            <w:tcBorders>
              <w:right w:val="single" w:sz="8" w:color="auto"/>
            </w:tcBorders>
            <w:vMerge w:val="continue"/>
          </w:tcPr>
          <w:p>
            <w:pPr>
              <w:spacing w:after="0"/>
              <w:rPr>
                <w:sz w:val="7"/>
                <w:szCs w:val="7"/>
                <w:color w:val="auto"/>
              </w:rPr>
            </w:pPr>
          </w:p>
        </w:tc>
        <w:tc>
          <w:tcPr>
            <w:tcW w:w="1040" w:type="dxa"/>
            <w:vAlign w:val="bottom"/>
            <w:tcBorders>
              <w:right w:val="single" w:sz="8" w:color="auto"/>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Paid in</w:t>
            </w:r>
          </w:p>
        </w:tc>
        <w:tc>
          <w:tcPr>
            <w:tcW w:w="0" w:type="dxa"/>
            <w:vAlign w:val="bottom"/>
          </w:tcPr>
          <w:p>
            <w:pPr>
              <w:spacing w:after="0"/>
              <w:rPr>
                <w:sz w:val="1"/>
                <w:szCs w:val="1"/>
                <w:color w:val="auto"/>
              </w:rPr>
            </w:pPr>
          </w:p>
        </w:tc>
      </w:tr>
      <w:tr>
        <w:trPr>
          <w:trHeight w:val="81"/>
        </w:trPr>
        <w:tc>
          <w:tcPr>
            <w:tcW w:w="780" w:type="dxa"/>
            <w:vAlign w:val="bottom"/>
            <w:tcBorders>
              <w:left w:val="single" w:sz="8" w:color="auto"/>
              <w:right w:val="single" w:sz="8" w:color="auto"/>
            </w:tcBorders>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1080" w:type="dxa"/>
            <w:vAlign w:val="bottom"/>
            <w:tcBorders>
              <w:right w:val="single" w:sz="8" w:color="auto"/>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Security</w:t>
            </w:r>
          </w:p>
        </w:tc>
        <w:tc>
          <w:tcPr>
            <w:tcW w:w="920" w:type="dxa"/>
            <w:vAlign w:val="bottom"/>
            <w:tcBorders>
              <w:right w:val="single" w:sz="8" w:color="auto"/>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Calculation</w:t>
            </w:r>
          </w:p>
        </w:tc>
        <w:tc>
          <w:tcPr>
            <w:tcW w:w="108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Maximum</w:t>
            </w:r>
          </w:p>
        </w:tc>
        <w:tc>
          <w:tcPr>
            <w:tcW w:w="1140" w:type="dxa"/>
            <w:vAlign w:val="bottom"/>
            <w:tcBorders>
              <w:right w:val="single" w:sz="8" w:color="auto"/>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Maximum</w:t>
            </w:r>
          </w:p>
        </w:tc>
        <w:tc>
          <w:tcPr>
            <w:tcW w:w="84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Amount of</w:t>
            </w:r>
          </w:p>
        </w:tc>
        <w:tc>
          <w:tcPr>
            <w:tcW w:w="580" w:type="dxa"/>
            <w:vAlign w:val="bottom"/>
            <w:tcBorders>
              <w:right w:val="single" w:sz="8" w:color="auto"/>
            </w:tcBorders>
            <w:vMerge w:val="continue"/>
          </w:tcPr>
          <w:p>
            <w:pPr>
              <w:spacing w:after="0"/>
              <w:rPr>
                <w:sz w:val="7"/>
                <w:szCs w:val="7"/>
                <w:color w:val="auto"/>
              </w:rPr>
            </w:pPr>
          </w:p>
        </w:tc>
        <w:tc>
          <w:tcPr>
            <w:tcW w:w="62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Forward</w:t>
            </w:r>
          </w:p>
        </w:tc>
        <w:tc>
          <w:tcPr>
            <w:tcW w:w="10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80" w:type="dxa"/>
            <w:vAlign w:val="bottom"/>
            <w:tcBorders>
              <w:left w:val="single" w:sz="8" w:color="auto"/>
              <w:right w:val="single" w:sz="8" w:color="auto"/>
            </w:tcBorders>
          </w:tcPr>
          <w:p>
            <w:pPr>
              <w:spacing w:after="0"/>
              <w:rPr>
                <w:sz w:val="7"/>
                <w:szCs w:val="7"/>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Security</w:t>
            </w:r>
          </w:p>
        </w:tc>
        <w:tc>
          <w:tcPr>
            <w:tcW w:w="108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Amount</w:t>
            </w:r>
          </w:p>
        </w:tc>
        <w:tc>
          <w:tcPr>
            <w:tcW w:w="76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vMerge w:val="continue"/>
          </w:tcPr>
          <w:p>
            <w:pPr>
              <w:spacing w:after="0"/>
              <w:rPr>
                <w:sz w:val="7"/>
                <w:szCs w:val="7"/>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5"/>
              </w:rPr>
              <w:t>Fee</w:t>
            </w:r>
          </w:p>
        </w:tc>
        <w:tc>
          <w:tcPr>
            <w:tcW w:w="880" w:type="dxa"/>
            <w:vAlign w:val="bottom"/>
            <w:tcBorders>
              <w:right w:val="single" w:sz="8" w:color="auto"/>
            </w:tcBorders>
            <w:vMerge w:val="continue"/>
          </w:tcPr>
          <w:p>
            <w:pPr>
              <w:spacing w:after="0"/>
              <w:rPr>
                <w:sz w:val="7"/>
                <w:szCs w:val="7"/>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Forward</w:t>
            </w: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Forward</w:t>
            </w:r>
          </w:p>
        </w:tc>
        <w:tc>
          <w:tcPr>
            <w:tcW w:w="660" w:type="dxa"/>
            <w:vAlign w:val="bottom"/>
            <w:tcBorders>
              <w:right w:val="single" w:sz="8" w:color="auto"/>
            </w:tcBorders>
            <w:vMerge w:val="continue"/>
          </w:tcPr>
          <w:p>
            <w:pPr>
              <w:spacing w:after="0"/>
              <w:rPr>
                <w:sz w:val="7"/>
                <w:szCs w:val="7"/>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Connection</w:t>
            </w:r>
          </w:p>
        </w:tc>
        <w:tc>
          <w:tcPr>
            <w:tcW w:w="0" w:type="dxa"/>
            <w:vAlign w:val="bottom"/>
          </w:tcPr>
          <w:p>
            <w:pPr>
              <w:spacing w:after="0"/>
              <w:rPr>
                <w:sz w:val="1"/>
                <w:szCs w:val="1"/>
                <w:color w:val="auto"/>
              </w:rPr>
            </w:pPr>
          </w:p>
        </w:tc>
      </w:tr>
      <w:tr>
        <w:trPr>
          <w:trHeight w:val="162"/>
        </w:trPr>
        <w:tc>
          <w:tcPr>
            <w:tcW w:w="780" w:type="dxa"/>
            <w:vAlign w:val="bottom"/>
            <w:tcBorders>
              <w:left w:val="single" w:sz="8" w:color="auto"/>
              <w:right w:val="single" w:sz="8" w:color="auto"/>
            </w:tcBorders>
          </w:tcPr>
          <w:p>
            <w:pPr>
              <w:spacing w:after="0"/>
              <w:rPr>
                <w:sz w:val="14"/>
                <w:szCs w:val="14"/>
                <w:color w:val="auto"/>
              </w:rPr>
            </w:pPr>
          </w:p>
        </w:tc>
        <w:tc>
          <w:tcPr>
            <w:tcW w:w="880" w:type="dxa"/>
            <w:vAlign w:val="bottom"/>
            <w:tcBorders>
              <w:right w:val="single" w:sz="8" w:color="auto"/>
            </w:tcBorders>
            <w:vMerge w:val="continue"/>
          </w:tcPr>
          <w:p>
            <w:pPr>
              <w:spacing w:after="0"/>
              <w:rPr>
                <w:sz w:val="14"/>
                <w:szCs w:val="14"/>
                <w:color w:val="auto"/>
              </w:rPr>
            </w:pPr>
          </w:p>
        </w:tc>
        <w:tc>
          <w:tcPr>
            <w:tcW w:w="10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Class</w:t>
            </w:r>
          </w:p>
        </w:tc>
        <w:tc>
          <w:tcPr>
            <w:tcW w:w="9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or Carry</w:t>
            </w:r>
          </w:p>
        </w:tc>
        <w:tc>
          <w:tcPr>
            <w:tcW w:w="1080" w:type="dxa"/>
            <w:vAlign w:val="bottom"/>
            <w:tcBorders>
              <w:right w:val="single" w:sz="8" w:color="auto"/>
            </w:tcBorders>
            <w:vMerge w:val="continue"/>
          </w:tcPr>
          <w:p>
            <w:pPr>
              <w:spacing w:after="0"/>
              <w:rPr>
                <w:sz w:val="14"/>
                <w:szCs w:val="14"/>
                <w:color w:val="auto"/>
              </w:rPr>
            </w:pPr>
          </w:p>
        </w:tc>
        <w:tc>
          <w:tcPr>
            <w:tcW w:w="7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Offering</w:t>
            </w:r>
          </w:p>
        </w:tc>
        <w:tc>
          <w:tcPr>
            <w:tcW w:w="114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Aggregate</w:t>
            </w:r>
          </w:p>
        </w:tc>
        <w:tc>
          <w:tcPr>
            <w:tcW w:w="840" w:type="dxa"/>
            <w:vAlign w:val="bottom"/>
            <w:tcBorders>
              <w:right w:val="single" w:sz="8" w:color="auto"/>
            </w:tcBorders>
            <w:vMerge w:val="continue"/>
          </w:tcPr>
          <w:p>
            <w:pPr>
              <w:spacing w:after="0"/>
              <w:rPr>
                <w:sz w:val="14"/>
                <w:szCs w:val="14"/>
                <w:color w:val="auto"/>
              </w:rPr>
            </w:pPr>
          </w:p>
        </w:tc>
        <w:tc>
          <w:tcPr>
            <w:tcW w:w="8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Registration</w:t>
            </w:r>
          </w:p>
        </w:tc>
        <w:tc>
          <w:tcPr>
            <w:tcW w:w="580" w:type="dxa"/>
            <w:vAlign w:val="bottom"/>
            <w:tcBorders>
              <w:right w:val="single" w:sz="8" w:color="auto"/>
            </w:tcBorders>
            <w:vMerge w:val="continue"/>
          </w:tcPr>
          <w:p>
            <w:pPr>
              <w:spacing w:after="0"/>
              <w:rPr>
                <w:sz w:val="14"/>
                <w:szCs w:val="14"/>
                <w:color w:val="auto"/>
              </w:rPr>
            </w:pPr>
          </w:p>
        </w:tc>
        <w:tc>
          <w:tcPr>
            <w:tcW w:w="620" w:type="dxa"/>
            <w:vAlign w:val="bottom"/>
            <w:tcBorders>
              <w:right w:val="single" w:sz="8" w:color="auto"/>
            </w:tcBorders>
            <w:vMerge w:val="continue"/>
          </w:tcPr>
          <w:p>
            <w:pPr>
              <w:spacing w:after="0"/>
              <w:rPr>
                <w:sz w:val="14"/>
                <w:szCs w:val="14"/>
                <w:color w:val="auto"/>
              </w:rPr>
            </w:pPr>
          </w:p>
        </w:tc>
        <w:tc>
          <w:tcPr>
            <w:tcW w:w="6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Initial</w:t>
            </w:r>
          </w:p>
        </w:tc>
        <w:tc>
          <w:tcPr>
            <w:tcW w:w="10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780" w:type="dxa"/>
            <w:vAlign w:val="bottom"/>
            <w:tcBorders>
              <w:left w:val="single" w:sz="8" w:color="auto"/>
              <w:right w:val="single" w:sz="8" w:color="auto"/>
            </w:tcBorders>
          </w:tcPr>
          <w:p>
            <w:pPr>
              <w:spacing w:after="0"/>
              <w:rPr>
                <w:sz w:val="7"/>
                <w:szCs w:val="7"/>
                <w:color w:val="auto"/>
              </w:rPr>
            </w:pPr>
          </w:p>
        </w:tc>
        <w:tc>
          <w:tcPr>
            <w:tcW w:w="880" w:type="dxa"/>
            <w:vAlign w:val="bottom"/>
            <w:tcBorders>
              <w:right w:val="single" w:sz="8" w:color="auto"/>
            </w:tcBorders>
          </w:tcPr>
          <w:p>
            <w:pPr>
              <w:jc w:val="center"/>
              <w:spacing w:after="0" w:line="81" w:lineRule="exact"/>
              <w:rPr>
                <w:sz w:val="20"/>
                <w:szCs w:val="20"/>
                <w:color w:val="auto"/>
              </w:rPr>
            </w:pPr>
            <w:r>
              <w:rPr>
                <w:rFonts w:ascii="Times New Roman" w:cs="Times New Roman" w:eastAsia="Times New Roman" w:hAnsi="Times New Roman"/>
                <w:sz w:val="9"/>
                <w:szCs w:val="9"/>
                <w:color w:val="auto"/>
              </w:rPr>
              <w:t>Type</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Title</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Forward</w:t>
            </w:r>
          </w:p>
        </w:tc>
        <w:tc>
          <w:tcPr>
            <w:tcW w:w="1080" w:type="dxa"/>
            <w:vAlign w:val="bottom"/>
            <w:tcBorders>
              <w:right w:val="single" w:sz="8" w:color="auto"/>
            </w:tcBorders>
          </w:tcPr>
          <w:p>
            <w:pPr>
              <w:jc w:val="center"/>
              <w:spacing w:after="0" w:line="81" w:lineRule="exact"/>
              <w:rPr>
                <w:sz w:val="20"/>
                <w:szCs w:val="20"/>
                <w:color w:val="auto"/>
              </w:rPr>
            </w:pPr>
            <w:r>
              <w:rPr>
                <w:rFonts w:ascii="Times New Roman" w:cs="Times New Roman" w:eastAsia="Times New Roman" w:hAnsi="Times New Roman"/>
                <w:sz w:val="9"/>
                <w:szCs w:val="9"/>
                <w:color w:val="auto"/>
              </w:rPr>
              <w:t>Registered</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Price</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Offering Price</w:t>
            </w:r>
          </w:p>
        </w:tc>
        <w:tc>
          <w:tcPr>
            <w:tcW w:w="840" w:type="dxa"/>
            <w:vAlign w:val="bottom"/>
            <w:tcBorders>
              <w:right w:val="single" w:sz="8" w:color="auto"/>
            </w:tcBorders>
          </w:tcPr>
          <w:p>
            <w:pPr>
              <w:jc w:val="center"/>
              <w:spacing w:after="0" w:line="81" w:lineRule="exact"/>
              <w:rPr>
                <w:sz w:val="20"/>
                <w:szCs w:val="20"/>
                <w:color w:val="auto"/>
              </w:rPr>
            </w:pPr>
            <w:r>
              <w:rPr>
                <w:rFonts w:ascii="Times New Roman" w:cs="Times New Roman" w:eastAsia="Times New Roman" w:hAnsi="Times New Roman"/>
                <w:sz w:val="9"/>
                <w:szCs w:val="9"/>
                <w:color w:val="auto"/>
              </w:rPr>
              <w:t>Rate</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Fee</w:t>
            </w:r>
          </w:p>
        </w:tc>
        <w:tc>
          <w:tcPr>
            <w:tcW w:w="580" w:type="dxa"/>
            <w:vAlign w:val="bottom"/>
            <w:tcBorders>
              <w:right w:val="single" w:sz="8" w:color="auto"/>
            </w:tcBorders>
          </w:tcPr>
          <w:p>
            <w:pPr>
              <w:jc w:val="center"/>
              <w:spacing w:after="0" w:line="81" w:lineRule="exact"/>
              <w:rPr>
                <w:sz w:val="20"/>
                <w:szCs w:val="20"/>
                <w:color w:val="auto"/>
              </w:rPr>
            </w:pPr>
            <w:r>
              <w:rPr>
                <w:rFonts w:ascii="Times New Roman" w:cs="Times New Roman" w:eastAsia="Times New Roman" w:hAnsi="Times New Roman"/>
                <w:sz w:val="9"/>
                <w:szCs w:val="9"/>
                <w:color w:val="auto"/>
              </w:rPr>
              <w:t>Form</w:t>
            </w:r>
          </w:p>
        </w:tc>
        <w:tc>
          <w:tcPr>
            <w:tcW w:w="620" w:type="dxa"/>
            <w:vAlign w:val="bottom"/>
            <w:tcBorders>
              <w:right w:val="single" w:sz="8" w:color="auto"/>
            </w:tcBorders>
          </w:tcPr>
          <w:p>
            <w:pPr>
              <w:jc w:val="center"/>
              <w:spacing w:after="0" w:line="81" w:lineRule="exact"/>
              <w:rPr>
                <w:sz w:val="20"/>
                <w:szCs w:val="20"/>
                <w:color w:val="auto"/>
              </w:rPr>
            </w:pPr>
            <w:r>
              <w:rPr>
                <w:rFonts w:ascii="Times New Roman" w:cs="Times New Roman" w:eastAsia="Times New Roman" w:hAnsi="Times New Roman"/>
                <w:sz w:val="9"/>
                <w:szCs w:val="9"/>
                <w:color w:val="auto"/>
              </w:rPr>
              <w:t>File</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Effective</w:t>
            </w:r>
          </w:p>
        </w:tc>
        <w:tc>
          <w:tcPr>
            <w:tcW w:w="1040" w:type="dxa"/>
            <w:vAlign w:val="bottom"/>
            <w:tcBorders>
              <w:right w:val="single" w:sz="8" w:color="auto"/>
            </w:tcBorders>
          </w:tcPr>
          <w:p>
            <w:pPr>
              <w:jc w:val="center"/>
              <w:spacing w:after="0" w:line="81" w:lineRule="exact"/>
              <w:rPr>
                <w:sz w:val="20"/>
                <w:szCs w:val="20"/>
                <w:color w:val="auto"/>
              </w:rPr>
            </w:pPr>
            <w:r>
              <w:rPr>
                <w:rFonts w:ascii="Times New Roman" w:cs="Times New Roman" w:eastAsia="Times New Roman" w:hAnsi="Times New Roman"/>
                <w:sz w:val="9"/>
                <w:szCs w:val="9"/>
                <w:color w:val="auto"/>
              </w:rPr>
              <w:t>with Unsold</w:t>
            </w:r>
          </w:p>
        </w:tc>
        <w:tc>
          <w:tcPr>
            <w:tcW w:w="0" w:type="dxa"/>
            <w:vAlign w:val="bottom"/>
          </w:tcPr>
          <w:p>
            <w:pPr>
              <w:spacing w:after="0"/>
              <w:rPr>
                <w:sz w:val="1"/>
                <w:szCs w:val="1"/>
                <w:color w:val="auto"/>
              </w:rPr>
            </w:pPr>
          </w:p>
        </w:tc>
      </w:tr>
      <w:tr>
        <w:trPr>
          <w:trHeight w:val="162"/>
        </w:trPr>
        <w:tc>
          <w:tcPr>
            <w:tcW w:w="780" w:type="dxa"/>
            <w:vAlign w:val="bottom"/>
            <w:tcBorders>
              <w:left w:val="single" w:sz="8" w:color="auto"/>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vMerge w:val="continue"/>
          </w:tcPr>
          <w:p>
            <w:pPr>
              <w:spacing w:after="0"/>
              <w:rPr>
                <w:sz w:val="14"/>
                <w:szCs w:val="14"/>
                <w:color w:val="auto"/>
              </w:rPr>
            </w:pPr>
          </w:p>
        </w:tc>
        <w:tc>
          <w:tcPr>
            <w:tcW w:w="920" w:type="dxa"/>
            <w:vAlign w:val="bottom"/>
            <w:tcBorders>
              <w:right w:val="single" w:sz="8" w:color="auto"/>
            </w:tcBorders>
            <w:vMerge w:val="continue"/>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vMerge w:val="continue"/>
          </w:tcPr>
          <w:p>
            <w:pPr>
              <w:spacing w:after="0"/>
              <w:rPr>
                <w:sz w:val="14"/>
                <w:szCs w:val="14"/>
                <w:color w:val="auto"/>
              </w:rPr>
            </w:pPr>
          </w:p>
        </w:tc>
        <w:tc>
          <w:tcPr>
            <w:tcW w:w="1140" w:type="dxa"/>
            <w:vAlign w:val="bottom"/>
            <w:tcBorders>
              <w:right w:val="single" w:sz="8" w:color="auto"/>
            </w:tcBorders>
            <w:vMerge w:val="continue"/>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vMerge w:val="continue"/>
          </w:tcPr>
          <w:p>
            <w:pPr>
              <w:spacing w:after="0"/>
              <w:rPr>
                <w:sz w:val="14"/>
                <w:szCs w:val="14"/>
                <w:color w:val="auto"/>
              </w:rPr>
            </w:pPr>
          </w:p>
        </w:tc>
        <w:tc>
          <w:tcPr>
            <w:tcW w:w="5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w w:val="97"/>
              </w:rPr>
              <w:t>Type</w:t>
            </w:r>
          </w:p>
        </w:tc>
        <w:tc>
          <w:tcPr>
            <w:tcW w:w="6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Number</w:t>
            </w:r>
          </w:p>
        </w:tc>
        <w:tc>
          <w:tcPr>
            <w:tcW w:w="660" w:type="dxa"/>
            <w:vAlign w:val="bottom"/>
            <w:tcBorders>
              <w:right w:val="single" w:sz="8" w:color="auto"/>
            </w:tcBorders>
            <w:vMerge w:val="continue"/>
          </w:tcPr>
          <w:p>
            <w:pPr>
              <w:spacing w:after="0"/>
              <w:rPr>
                <w:sz w:val="14"/>
                <w:szCs w:val="14"/>
                <w:color w:val="auto"/>
              </w:rPr>
            </w:pPr>
          </w:p>
        </w:tc>
        <w:tc>
          <w:tcPr>
            <w:tcW w:w="104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Securities</w:t>
            </w:r>
          </w:p>
        </w:tc>
        <w:tc>
          <w:tcPr>
            <w:tcW w:w="0" w:type="dxa"/>
            <w:vAlign w:val="bottom"/>
          </w:tcPr>
          <w:p>
            <w:pPr>
              <w:spacing w:after="0"/>
              <w:rPr>
                <w:sz w:val="1"/>
                <w:szCs w:val="1"/>
                <w:color w:val="auto"/>
              </w:rPr>
            </w:pPr>
          </w:p>
        </w:tc>
      </w:tr>
      <w:tr>
        <w:trPr>
          <w:trHeight w:val="162"/>
        </w:trPr>
        <w:tc>
          <w:tcPr>
            <w:tcW w:w="780" w:type="dxa"/>
            <w:vAlign w:val="bottom"/>
            <w:tcBorders>
              <w:left w:val="single" w:sz="8" w:color="auto"/>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Rule</w:t>
            </w:r>
          </w:p>
        </w:tc>
        <w:tc>
          <w:tcPr>
            <w:tcW w:w="108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Per Unit</w:t>
            </w:r>
          </w:p>
        </w:tc>
        <w:tc>
          <w:tcPr>
            <w:tcW w:w="114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Date</w:t>
            </w:r>
          </w:p>
        </w:tc>
        <w:tc>
          <w:tcPr>
            <w:tcW w:w="104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to be Carried</w:t>
            </w:r>
          </w:p>
        </w:tc>
        <w:tc>
          <w:tcPr>
            <w:tcW w:w="0" w:type="dxa"/>
            <w:vAlign w:val="bottom"/>
          </w:tcPr>
          <w:p>
            <w:pPr>
              <w:spacing w:after="0"/>
              <w:rPr>
                <w:sz w:val="1"/>
                <w:szCs w:val="1"/>
                <w:color w:val="auto"/>
              </w:rPr>
            </w:pPr>
          </w:p>
        </w:tc>
      </w:tr>
      <w:tr>
        <w:trPr>
          <w:trHeight w:val="209"/>
        </w:trPr>
        <w:tc>
          <w:tcPr>
            <w:tcW w:w="780" w:type="dxa"/>
            <w:vAlign w:val="bottom"/>
            <w:tcBorders>
              <w:left w:val="single" w:sz="8" w:color="auto"/>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Forward</w:t>
            </w:r>
          </w:p>
        </w:tc>
        <w:tc>
          <w:tcPr>
            <w:tcW w:w="0" w:type="dxa"/>
            <w:vAlign w:val="bottom"/>
          </w:tcPr>
          <w:p>
            <w:pPr>
              <w:spacing w:after="0"/>
              <w:rPr>
                <w:sz w:val="1"/>
                <w:szCs w:val="1"/>
                <w:color w:val="auto"/>
              </w:rPr>
            </w:pPr>
          </w:p>
        </w:tc>
      </w:tr>
      <w:tr>
        <w:trPr>
          <w:trHeight w:val="230"/>
        </w:trPr>
        <w:tc>
          <w:tcPr>
            <w:tcW w:w="780" w:type="dxa"/>
            <w:vAlign w:val="bottom"/>
            <w:tcBorders>
              <w:left w:val="single" w:sz="8" w:color="auto"/>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jc w:val="center"/>
              <w:ind w:right="131"/>
              <w:spacing w:after="0"/>
              <w:rPr>
                <w:sz w:val="20"/>
                <w:szCs w:val="20"/>
                <w:color w:val="auto"/>
              </w:rPr>
            </w:pPr>
            <w:r>
              <w:rPr>
                <w:rFonts w:ascii="Times New Roman" w:cs="Times New Roman" w:eastAsia="Times New Roman" w:hAnsi="Times New Roman"/>
                <w:sz w:val="16"/>
                <w:szCs w:val="16"/>
                <w:color w:val="auto"/>
              </w:rPr>
              <w:t>Newly Registered Securities</w:t>
            </w: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780" w:type="dxa"/>
            <w:vAlign w:val="bottom"/>
            <w:tcBorders>
              <w:left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6"/>
                <w:szCs w:val="16"/>
                <w:color w:val="auto"/>
              </w:rPr>
              <w:t>Fees to be</w:t>
            </w:r>
          </w:p>
        </w:tc>
        <w:tc>
          <w:tcPr>
            <w:tcW w:w="88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6"/>
                <w:szCs w:val="16"/>
                <w:color w:val="auto"/>
              </w:rPr>
              <w:t>Class A</w:t>
            </w:r>
          </w:p>
        </w:tc>
        <w:tc>
          <w:tcPr>
            <w:tcW w:w="92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80" w:type="dxa"/>
            <w:vAlign w:val="bottom"/>
            <w:tcBorders>
              <w:left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Paid</w:t>
            </w:r>
          </w:p>
        </w:tc>
        <w:tc>
          <w:tcPr>
            <w:tcW w:w="8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Common</w:t>
            </w:r>
          </w:p>
        </w:tc>
        <w:tc>
          <w:tcPr>
            <w:tcW w:w="92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 w:type="dxa"/>
            <w:vAlign w:val="bottom"/>
            <w:tcBorders>
              <w:left w:val="single" w:sz="8" w:color="auto"/>
              <w:right w:val="single" w:sz="8" w:color="auto"/>
            </w:tcBorders>
          </w:tcPr>
          <w:p>
            <w:pPr>
              <w:spacing w:after="0"/>
              <w:rPr>
                <w:sz w:val="14"/>
                <w:szCs w:val="14"/>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Equity</w:t>
            </w:r>
          </w:p>
        </w:tc>
        <w:tc>
          <w:tcPr>
            <w:tcW w:w="10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stock,</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457(o)</w:t>
            </w:r>
          </w:p>
        </w:tc>
        <w:tc>
          <w:tcPr>
            <w:tcW w:w="108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80" w:type="dxa"/>
            <w:vAlign w:val="bottom"/>
            <w:tcBorders>
              <w:left w:val="single" w:sz="8" w:color="auto"/>
              <w:right w:val="single" w:sz="8" w:color="auto"/>
            </w:tcBorders>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1080" w:type="dxa"/>
            <w:vAlign w:val="bottom"/>
            <w:tcBorders>
              <w:right w:val="single" w:sz="8" w:color="auto"/>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par value</w:t>
            </w:r>
          </w:p>
        </w:tc>
        <w:tc>
          <w:tcPr>
            <w:tcW w:w="920" w:type="dxa"/>
            <w:vAlign w:val="bottom"/>
            <w:tcBorders>
              <w:right w:val="single" w:sz="8" w:color="auto"/>
            </w:tcBorders>
            <w:vMerge w:val="continue"/>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780" w:type="dxa"/>
            <w:vAlign w:val="bottom"/>
            <w:tcBorders>
              <w:left w:val="single" w:sz="8" w:color="auto"/>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080" w:type="dxa"/>
            <w:vAlign w:val="bottom"/>
            <w:tcBorders>
              <w:right w:val="single" w:sz="8" w:color="auto"/>
            </w:tcBorders>
            <w:vMerge w:val="continue"/>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1140" w:type="dxa"/>
            <w:vAlign w:val="bottom"/>
            <w:tcBorders>
              <w:right w:val="single" w:sz="8" w:color="auto"/>
            </w:tcBorders>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80" w:type="dxa"/>
            <w:vAlign w:val="bottom"/>
            <w:tcBorders>
              <w:left w:val="single" w:sz="8" w:color="auto"/>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$0.0001 per</w:t>
            </w:r>
          </w:p>
        </w:tc>
        <w:tc>
          <w:tcPr>
            <w:tcW w:w="92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80" w:type="dxa"/>
            <w:vAlign w:val="bottom"/>
            <w:tcBorders>
              <w:left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share</w:t>
            </w:r>
          </w:p>
        </w:tc>
        <w:tc>
          <w:tcPr>
            <w:tcW w:w="92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80" w:type="dxa"/>
            <w:vAlign w:val="bottom"/>
            <w:tcBorders>
              <w:left w:val="single" w:sz="8" w:color="auto"/>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Preferred</w:t>
            </w:r>
          </w:p>
        </w:tc>
        <w:tc>
          <w:tcPr>
            <w:tcW w:w="92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 w:type="dxa"/>
            <w:vAlign w:val="bottom"/>
            <w:tcBorders>
              <w:left w:val="single" w:sz="8" w:color="auto"/>
              <w:right w:val="single" w:sz="8" w:color="auto"/>
            </w:tcBorders>
          </w:tcPr>
          <w:p>
            <w:pPr>
              <w:spacing w:after="0"/>
              <w:rPr>
                <w:sz w:val="14"/>
                <w:szCs w:val="14"/>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Equity</w:t>
            </w:r>
          </w:p>
        </w:tc>
        <w:tc>
          <w:tcPr>
            <w:tcW w:w="10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stock,</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457(o)</w:t>
            </w:r>
          </w:p>
        </w:tc>
        <w:tc>
          <w:tcPr>
            <w:tcW w:w="108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 w:type="dxa"/>
            <w:vAlign w:val="bottom"/>
            <w:tcBorders>
              <w:left w:val="single" w:sz="8" w:color="auto"/>
              <w:right w:val="single" w:sz="8" w:color="auto"/>
            </w:tcBorders>
          </w:tcPr>
          <w:p>
            <w:pPr>
              <w:spacing w:after="0"/>
              <w:rPr>
                <w:sz w:val="14"/>
                <w:szCs w:val="14"/>
                <w:color w:val="auto"/>
              </w:rPr>
            </w:pPr>
          </w:p>
        </w:tc>
        <w:tc>
          <w:tcPr>
            <w:tcW w:w="880" w:type="dxa"/>
            <w:vAlign w:val="bottom"/>
            <w:tcBorders>
              <w:right w:val="single" w:sz="8" w:color="auto"/>
            </w:tcBorders>
            <w:vMerge w:val="continue"/>
          </w:tcPr>
          <w:p>
            <w:pPr>
              <w:spacing w:after="0"/>
              <w:rPr>
                <w:sz w:val="14"/>
                <w:szCs w:val="14"/>
                <w:color w:val="auto"/>
              </w:rPr>
            </w:pPr>
          </w:p>
        </w:tc>
        <w:tc>
          <w:tcPr>
            <w:tcW w:w="10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par value</w:t>
            </w:r>
          </w:p>
        </w:tc>
        <w:tc>
          <w:tcPr>
            <w:tcW w:w="920" w:type="dxa"/>
            <w:vAlign w:val="bottom"/>
            <w:tcBorders>
              <w:right w:val="single" w:sz="8" w:color="auto"/>
            </w:tcBorders>
            <w:vMerge w:val="continue"/>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 w:type="dxa"/>
            <w:vAlign w:val="bottom"/>
            <w:tcBorders>
              <w:left w:val="single" w:sz="8" w:color="auto"/>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$0.0001</w:t>
            </w:r>
          </w:p>
        </w:tc>
        <w:tc>
          <w:tcPr>
            <w:tcW w:w="92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80" w:type="dxa"/>
            <w:vAlign w:val="bottom"/>
            <w:tcBorders>
              <w:left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per share</w:t>
            </w:r>
          </w:p>
        </w:tc>
        <w:tc>
          <w:tcPr>
            <w:tcW w:w="92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 w:type="dxa"/>
            <w:vAlign w:val="bottom"/>
            <w:tcBorders>
              <w:left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Debt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Debt securities</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457(o)</w:t>
            </w:r>
          </w:p>
        </w:tc>
        <w:tc>
          <w:tcPr>
            <w:tcW w:w="10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 w:type="dxa"/>
            <w:vAlign w:val="bottom"/>
            <w:tcBorders>
              <w:left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Other</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Warrants</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457(o)</w:t>
            </w:r>
          </w:p>
        </w:tc>
        <w:tc>
          <w:tcPr>
            <w:tcW w:w="10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80" w:type="dxa"/>
            <w:vAlign w:val="bottom"/>
            <w:tcBorders>
              <w:left w:val="single" w:sz="8" w:color="auto"/>
              <w:right w:val="single" w:sz="8" w:color="auto"/>
            </w:tcBorders>
          </w:tcPr>
          <w:p>
            <w:pPr>
              <w:spacing w:after="0"/>
              <w:rPr>
                <w:sz w:val="14"/>
                <w:szCs w:val="14"/>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Other</w:t>
            </w:r>
          </w:p>
        </w:tc>
        <w:tc>
          <w:tcPr>
            <w:tcW w:w="10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333333"/>
              </w:rPr>
              <w:t>Subscription</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457(o)</w:t>
            </w:r>
          </w:p>
        </w:tc>
        <w:tc>
          <w:tcPr>
            <w:tcW w:w="108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80" w:type="dxa"/>
            <w:vAlign w:val="bottom"/>
            <w:tcBorders>
              <w:left w:val="single" w:sz="8" w:color="auto"/>
              <w:right w:val="single" w:sz="8" w:color="auto"/>
            </w:tcBorders>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333333"/>
              </w:rPr>
              <w:t>Rights</w:t>
            </w:r>
          </w:p>
        </w:tc>
        <w:tc>
          <w:tcPr>
            <w:tcW w:w="920" w:type="dxa"/>
            <w:vAlign w:val="bottom"/>
            <w:tcBorders>
              <w:right w:val="single" w:sz="8" w:color="auto"/>
            </w:tcBorders>
            <w:vMerge w:val="continue"/>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780" w:type="dxa"/>
            <w:vAlign w:val="bottom"/>
            <w:tcBorders>
              <w:left w:val="single" w:sz="8" w:color="auto"/>
              <w:right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1080" w:type="dxa"/>
            <w:vAlign w:val="bottom"/>
            <w:tcBorders>
              <w:bottom w:val="single" w:sz="8" w:color="auto"/>
              <w:right w:val="single" w:sz="8" w:color="auto"/>
            </w:tcBorders>
            <w:vMerge w:val="continue"/>
          </w:tcPr>
          <w:p>
            <w:pPr>
              <w:spacing w:after="0"/>
              <w:rPr>
                <w:sz w:val="8"/>
                <w:szCs w:val="8"/>
                <w:color w:val="auto"/>
              </w:rPr>
            </w:pPr>
          </w:p>
        </w:tc>
        <w:tc>
          <w:tcPr>
            <w:tcW w:w="920" w:type="dxa"/>
            <w:vAlign w:val="bottom"/>
            <w:tcBorders>
              <w:bottom w:val="single" w:sz="8" w:color="auto"/>
              <w:right w:val="single" w:sz="8" w:color="auto"/>
            </w:tcBorders>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84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620" w:type="dxa"/>
            <w:vAlign w:val="bottom"/>
            <w:tcBorders>
              <w:bottom w:val="single" w:sz="8" w:color="auto"/>
              <w:right w:val="single" w:sz="8" w:color="auto"/>
            </w:tcBorders>
          </w:tcPr>
          <w:p>
            <w:pPr>
              <w:spacing w:after="0"/>
              <w:rPr>
                <w:sz w:val="8"/>
                <w:szCs w:val="8"/>
                <w:color w:val="auto"/>
              </w:rPr>
            </w:pPr>
          </w:p>
        </w:tc>
        <w:tc>
          <w:tcPr>
            <w:tcW w:w="66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780" w:type="dxa"/>
            <w:vAlign w:val="bottom"/>
            <w:tcBorders>
              <w:left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Other</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333333"/>
              </w:rPr>
              <w:t>Units</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457(o)</w:t>
            </w:r>
          </w:p>
        </w:tc>
        <w:tc>
          <w:tcPr>
            <w:tcW w:w="10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80" w:type="dxa"/>
            <w:vAlign w:val="bottom"/>
            <w:tcBorders>
              <w:left w:val="single" w:sz="8" w:color="auto"/>
              <w:right w:val="single" w:sz="8" w:color="auto"/>
            </w:tcBorders>
          </w:tcPr>
          <w:p>
            <w:pPr>
              <w:spacing w:after="0"/>
              <w:rPr>
                <w:sz w:val="14"/>
                <w:szCs w:val="14"/>
                <w:color w:val="auto"/>
              </w:rPr>
            </w:pPr>
          </w:p>
        </w:tc>
        <w:tc>
          <w:tcPr>
            <w:tcW w:w="8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Unallocated</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333333"/>
                <w:w w:val="99"/>
              </w:rPr>
              <w:t>—</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457(o)</w:t>
            </w:r>
          </w:p>
        </w:tc>
        <w:tc>
          <w:tcPr>
            <w:tcW w:w="108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$0.0000927</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$27,810</w:t>
            </w:r>
          </w:p>
        </w:tc>
        <w:tc>
          <w:tcPr>
            <w:tcW w:w="5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 w:type="dxa"/>
            <w:vAlign w:val="bottom"/>
            <w:tcBorders>
              <w:left w:val="single" w:sz="8" w:color="auto"/>
              <w:right w:val="single" w:sz="8" w:color="auto"/>
            </w:tcBorders>
          </w:tcPr>
          <w:p>
            <w:pPr>
              <w:spacing w:after="0"/>
              <w:rPr>
                <w:sz w:val="14"/>
                <w:szCs w:val="14"/>
                <w:color w:val="auto"/>
              </w:rPr>
            </w:pPr>
          </w:p>
        </w:tc>
        <w:tc>
          <w:tcPr>
            <w:tcW w:w="8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(Universal)</w:t>
            </w:r>
          </w:p>
        </w:tc>
        <w:tc>
          <w:tcPr>
            <w:tcW w:w="1080" w:type="dxa"/>
            <w:vAlign w:val="bottom"/>
            <w:tcBorders>
              <w:right w:val="single" w:sz="8" w:color="auto"/>
            </w:tcBorders>
            <w:vMerge w:val="continue"/>
          </w:tcPr>
          <w:p>
            <w:pPr>
              <w:spacing w:after="0"/>
              <w:rPr>
                <w:sz w:val="14"/>
                <w:szCs w:val="14"/>
                <w:color w:val="auto"/>
              </w:rPr>
            </w:pPr>
          </w:p>
        </w:tc>
        <w:tc>
          <w:tcPr>
            <w:tcW w:w="920" w:type="dxa"/>
            <w:vAlign w:val="bottom"/>
            <w:tcBorders>
              <w:right w:val="single" w:sz="8" w:color="auto"/>
            </w:tcBorders>
            <w:vMerge w:val="continue"/>
          </w:tcPr>
          <w:p>
            <w:pPr>
              <w:spacing w:after="0"/>
              <w:rPr>
                <w:sz w:val="14"/>
                <w:szCs w:val="14"/>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$300,000,000</w:t>
            </w:r>
            <w:r>
              <w:rPr>
                <w:rFonts w:ascii="Times New Roman" w:cs="Times New Roman" w:eastAsia="Times New Roman" w:hAnsi="Times New Roman"/>
                <w:sz w:val="21"/>
                <w:szCs w:val="21"/>
                <w:color w:val="auto"/>
                <w:w w:val="97"/>
                <w:vertAlign w:val="superscript"/>
              </w:rPr>
              <w:t>(1)</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1"/>
              </w:rPr>
              <w:t>N/A</w:t>
            </w:r>
            <w:r>
              <w:rPr>
                <w:rFonts w:ascii="Times New Roman" w:cs="Times New Roman" w:eastAsia="Times New Roman" w:hAnsi="Times New Roman"/>
                <w:sz w:val="21"/>
                <w:szCs w:val="21"/>
                <w:color w:val="auto"/>
                <w:w w:val="91"/>
                <w:vertAlign w:val="superscript"/>
              </w:rPr>
              <w:t>(2)</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$300,000,000</w:t>
            </w:r>
          </w:p>
        </w:tc>
        <w:tc>
          <w:tcPr>
            <w:tcW w:w="840" w:type="dxa"/>
            <w:vAlign w:val="bottom"/>
            <w:tcBorders>
              <w:right w:val="single" w:sz="8" w:color="auto"/>
            </w:tcBorders>
            <w:vMerge w:val="continue"/>
          </w:tcPr>
          <w:p>
            <w:pPr>
              <w:spacing w:after="0"/>
              <w:rPr>
                <w:sz w:val="14"/>
                <w:szCs w:val="14"/>
                <w:color w:val="auto"/>
              </w:rPr>
            </w:pPr>
          </w:p>
        </w:tc>
        <w:tc>
          <w:tcPr>
            <w:tcW w:w="880" w:type="dxa"/>
            <w:vAlign w:val="bottom"/>
            <w:tcBorders>
              <w:right w:val="single" w:sz="8" w:color="auto"/>
            </w:tcBorders>
            <w:vMerge w:val="continue"/>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80" w:type="dxa"/>
            <w:vAlign w:val="bottom"/>
            <w:tcBorders>
              <w:left w:val="single" w:sz="8" w:color="auto"/>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Shelf</w:t>
            </w:r>
          </w:p>
        </w:tc>
        <w:tc>
          <w:tcPr>
            <w:tcW w:w="10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vMerge w:val="continue"/>
          </w:tcPr>
          <w:p>
            <w:pPr>
              <w:spacing w:after="0"/>
              <w:rPr>
                <w:sz w:val="19"/>
                <w:szCs w:val="19"/>
                <w:color w:val="auto"/>
              </w:rPr>
            </w:pPr>
          </w:p>
        </w:tc>
        <w:tc>
          <w:tcPr>
            <w:tcW w:w="760" w:type="dxa"/>
            <w:vAlign w:val="bottom"/>
            <w:tcBorders>
              <w:bottom w:val="single" w:sz="8" w:color="auto"/>
              <w:right w:val="single" w:sz="8" w:color="auto"/>
            </w:tcBorders>
            <w:vMerge w:val="continue"/>
          </w:tcPr>
          <w:p>
            <w:pPr>
              <w:spacing w:after="0"/>
              <w:rPr>
                <w:sz w:val="19"/>
                <w:szCs w:val="19"/>
                <w:color w:val="auto"/>
              </w:rPr>
            </w:pPr>
          </w:p>
        </w:tc>
        <w:tc>
          <w:tcPr>
            <w:tcW w:w="1140" w:type="dxa"/>
            <w:vAlign w:val="bottom"/>
            <w:tcBorders>
              <w:bottom w:val="single" w:sz="8" w:color="auto"/>
              <w:right w:val="single" w:sz="8" w:color="auto"/>
            </w:tcBorders>
            <w:vMerge w:val="continue"/>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80" w:type="dxa"/>
            <w:vAlign w:val="bottom"/>
            <w:tcBorders>
              <w:left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Fees</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333333"/>
                <w:w w:val="99"/>
              </w:rPr>
              <w:t>—</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333333"/>
                <w:w w:val="99"/>
              </w:rPr>
              <w:t>—</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333333"/>
                <w:w w:val="99"/>
              </w:rPr>
              <w:t>—</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333333"/>
                <w:w w:val="99"/>
              </w:rPr>
              <w:t>—</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333333"/>
                <w:w w:val="99"/>
              </w:rPr>
              <w:t>—</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333333"/>
                <w:w w:val="99"/>
              </w:rPr>
              <w:t>—</w:t>
            </w:r>
          </w:p>
        </w:tc>
        <w:tc>
          <w:tcPr>
            <w:tcW w:w="8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333333"/>
                <w:w w:val="99"/>
              </w:rPr>
              <w:t>—</w:t>
            </w:r>
          </w:p>
        </w:tc>
        <w:tc>
          <w:tcPr>
            <w:tcW w:w="5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 w:type="dxa"/>
            <w:vAlign w:val="bottom"/>
            <w:tcBorders>
              <w:left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Previously</w:t>
            </w:r>
          </w:p>
        </w:tc>
        <w:tc>
          <w:tcPr>
            <w:tcW w:w="880" w:type="dxa"/>
            <w:vAlign w:val="bottom"/>
            <w:tcBorders>
              <w:right w:val="single" w:sz="8" w:color="auto"/>
            </w:tcBorders>
            <w:vMerge w:val="continue"/>
          </w:tcPr>
          <w:p>
            <w:pPr>
              <w:spacing w:after="0"/>
              <w:rPr>
                <w:sz w:val="14"/>
                <w:szCs w:val="14"/>
                <w:color w:val="auto"/>
              </w:rPr>
            </w:pPr>
          </w:p>
        </w:tc>
        <w:tc>
          <w:tcPr>
            <w:tcW w:w="1080" w:type="dxa"/>
            <w:vAlign w:val="bottom"/>
            <w:tcBorders>
              <w:right w:val="single" w:sz="8" w:color="auto"/>
            </w:tcBorders>
            <w:vMerge w:val="continue"/>
          </w:tcPr>
          <w:p>
            <w:pPr>
              <w:spacing w:after="0"/>
              <w:rPr>
                <w:sz w:val="14"/>
                <w:szCs w:val="14"/>
                <w:color w:val="auto"/>
              </w:rPr>
            </w:pPr>
          </w:p>
        </w:tc>
        <w:tc>
          <w:tcPr>
            <w:tcW w:w="920" w:type="dxa"/>
            <w:vAlign w:val="bottom"/>
            <w:tcBorders>
              <w:right w:val="single" w:sz="8" w:color="auto"/>
            </w:tcBorders>
            <w:vMerge w:val="continue"/>
          </w:tcPr>
          <w:p>
            <w:pPr>
              <w:spacing w:after="0"/>
              <w:rPr>
                <w:sz w:val="14"/>
                <w:szCs w:val="14"/>
                <w:color w:val="auto"/>
              </w:rPr>
            </w:pPr>
          </w:p>
        </w:tc>
        <w:tc>
          <w:tcPr>
            <w:tcW w:w="1080" w:type="dxa"/>
            <w:vAlign w:val="bottom"/>
            <w:tcBorders>
              <w:right w:val="single" w:sz="8" w:color="auto"/>
            </w:tcBorders>
            <w:vMerge w:val="continue"/>
          </w:tcPr>
          <w:p>
            <w:pPr>
              <w:spacing w:after="0"/>
              <w:rPr>
                <w:sz w:val="14"/>
                <w:szCs w:val="14"/>
                <w:color w:val="auto"/>
              </w:rPr>
            </w:pPr>
          </w:p>
        </w:tc>
        <w:tc>
          <w:tcPr>
            <w:tcW w:w="760" w:type="dxa"/>
            <w:vAlign w:val="bottom"/>
            <w:tcBorders>
              <w:right w:val="single" w:sz="8" w:color="auto"/>
            </w:tcBorders>
            <w:vMerge w:val="continue"/>
          </w:tcPr>
          <w:p>
            <w:pPr>
              <w:spacing w:after="0"/>
              <w:rPr>
                <w:sz w:val="14"/>
                <w:szCs w:val="14"/>
                <w:color w:val="auto"/>
              </w:rPr>
            </w:pPr>
          </w:p>
        </w:tc>
        <w:tc>
          <w:tcPr>
            <w:tcW w:w="1140" w:type="dxa"/>
            <w:vAlign w:val="bottom"/>
            <w:tcBorders>
              <w:right w:val="single" w:sz="8" w:color="auto"/>
            </w:tcBorders>
            <w:vMerge w:val="continue"/>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vMerge w:val="continue"/>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Paid</w:t>
            </w:r>
          </w:p>
        </w:tc>
        <w:tc>
          <w:tcPr>
            <w:tcW w:w="88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0" w:type="dxa"/>
            <w:vAlign w:val="bottom"/>
            <w:tcBorders>
              <w:left w:val="single" w:sz="8" w:color="auto"/>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center"/>
              <w:ind w:right="151"/>
              <w:spacing w:after="0"/>
              <w:rPr>
                <w:sz w:val="20"/>
                <w:szCs w:val="20"/>
                <w:color w:val="auto"/>
              </w:rPr>
            </w:pPr>
            <w:r>
              <w:rPr>
                <w:rFonts w:ascii="Times New Roman" w:cs="Times New Roman" w:eastAsia="Times New Roman" w:hAnsi="Times New Roman"/>
                <w:sz w:val="16"/>
                <w:szCs w:val="16"/>
                <w:color w:val="auto"/>
              </w:rPr>
              <w:t>Carry Forward Securities</w:t>
            </w: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0" w:type="dxa"/>
            <w:vAlign w:val="bottom"/>
            <w:tcBorders>
              <w:left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Carry</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333333"/>
                <w:w w:val="99"/>
              </w:rPr>
              <w:t>—</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333333"/>
                <w:w w:val="99"/>
              </w:rPr>
              <w:t>—</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333333"/>
                <w:w w:val="99"/>
              </w:rPr>
              <w:t>—</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333333"/>
                <w:w w:val="99"/>
              </w:rPr>
              <w:t>—</w:t>
            </w:r>
          </w:p>
        </w:tc>
        <w:tc>
          <w:tcPr>
            <w:tcW w:w="7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333333"/>
                <w:w w:val="99"/>
              </w:rPr>
              <w:t>—</w:t>
            </w:r>
          </w:p>
        </w:tc>
        <w:tc>
          <w:tcPr>
            <w:tcW w:w="8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333333"/>
                <w:w w:val="99"/>
              </w:rPr>
              <w:t>—</w:t>
            </w: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333333"/>
                <w:w w:val="99"/>
              </w:rPr>
              <w:t>—</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333333"/>
                <w:w w:val="99"/>
              </w:rPr>
              <w:t>—</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333333"/>
                <w:w w:val="99"/>
              </w:rPr>
              <w:t>—</w:t>
            </w:r>
          </w:p>
        </w:tc>
        <w:tc>
          <w:tcPr>
            <w:tcW w:w="0" w:type="dxa"/>
            <w:vAlign w:val="bottom"/>
          </w:tcPr>
          <w:p>
            <w:pPr>
              <w:spacing w:after="0"/>
              <w:rPr>
                <w:sz w:val="1"/>
                <w:szCs w:val="1"/>
                <w:color w:val="auto"/>
              </w:rPr>
            </w:pPr>
          </w:p>
        </w:tc>
      </w:tr>
      <w:tr>
        <w:trPr>
          <w:trHeight w:val="162"/>
        </w:trPr>
        <w:tc>
          <w:tcPr>
            <w:tcW w:w="780" w:type="dxa"/>
            <w:vAlign w:val="bottom"/>
            <w:tcBorders>
              <w:left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Forward</w:t>
            </w:r>
          </w:p>
        </w:tc>
        <w:tc>
          <w:tcPr>
            <w:tcW w:w="880" w:type="dxa"/>
            <w:vAlign w:val="bottom"/>
            <w:tcBorders>
              <w:right w:val="single" w:sz="8" w:color="auto"/>
            </w:tcBorders>
            <w:vMerge w:val="continue"/>
          </w:tcPr>
          <w:p>
            <w:pPr>
              <w:spacing w:after="0"/>
              <w:rPr>
                <w:sz w:val="14"/>
                <w:szCs w:val="14"/>
                <w:color w:val="auto"/>
              </w:rPr>
            </w:pPr>
          </w:p>
        </w:tc>
        <w:tc>
          <w:tcPr>
            <w:tcW w:w="1080" w:type="dxa"/>
            <w:vAlign w:val="bottom"/>
            <w:tcBorders>
              <w:right w:val="single" w:sz="8" w:color="auto"/>
            </w:tcBorders>
            <w:vMerge w:val="continue"/>
          </w:tcPr>
          <w:p>
            <w:pPr>
              <w:spacing w:after="0"/>
              <w:rPr>
                <w:sz w:val="14"/>
                <w:szCs w:val="14"/>
                <w:color w:val="auto"/>
              </w:rPr>
            </w:pPr>
          </w:p>
        </w:tc>
        <w:tc>
          <w:tcPr>
            <w:tcW w:w="920" w:type="dxa"/>
            <w:vAlign w:val="bottom"/>
            <w:tcBorders>
              <w:right w:val="single" w:sz="8" w:color="auto"/>
            </w:tcBorders>
            <w:vMerge w:val="continue"/>
          </w:tcPr>
          <w:p>
            <w:pPr>
              <w:spacing w:after="0"/>
              <w:rPr>
                <w:sz w:val="14"/>
                <w:szCs w:val="14"/>
                <w:color w:val="auto"/>
              </w:rPr>
            </w:pPr>
          </w:p>
        </w:tc>
        <w:tc>
          <w:tcPr>
            <w:tcW w:w="1080" w:type="dxa"/>
            <w:vAlign w:val="bottom"/>
            <w:tcBorders>
              <w:right w:val="single" w:sz="8" w:color="auto"/>
            </w:tcBorders>
            <w:vMerge w:val="continue"/>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vMerge w:val="continue"/>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vMerge w:val="continue"/>
          </w:tcPr>
          <w:p>
            <w:pPr>
              <w:spacing w:after="0"/>
              <w:rPr>
                <w:sz w:val="14"/>
                <w:szCs w:val="14"/>
                <w:color w:val="auto"/>
              </w:rPr>
            </w:pPr>
          </w:p>
        </w:tc>
        <w:tc>
          <w:tcPr>
            <w:tcW w:w="620" w:type="dxa"/>
            <w:vAlign w:val="bottom"/>
            <w:tcBorders>
              <w:right w:val="single" w:sz="8" w:color="auto"/>
            </w:tcBorders>
            <w:vMerge w:val="continue"/>
          </w:tcPr>
          <w:p>
            <w:pPr>
              <w:spacing w:after="0"/>
              <w:rPr>
                <w:sz w:val="14"/>
                <w:szCs w:val="14"/>
                <w:color w:val="auto"/>
              </w:rPr>
            </w:pPr>
          </w:p>
        </w:tc>
        <w:tc>
          <w:tcPr>
            <w:tcW w:w="660" w:type="dxa"/>
            <w:vAlign w:val="bottom"/>
            <w:tcBorders>
              <w:right w:val="single" w:sz="8" w:color="auto"/>
            </w:tcBorders>
            <w:vMerge w:val="continue"/>
          </w:tcPr>
          <w:p>
            <w:pPr>
              <w:spacing w:after="0"/>
              <w:rPr>
                <w:sz w:val="14"/>
                <w:szCs w:val="14"/>
                <w:color w:val="auto"/>
              </w:rPr>
            </w:pPr>
          </w:p>
        </w:tc>
        <w:tc>
          <w:tcPr>
            <w:tcW w:w="10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Securities</w:t>
            </w:r>
          </w:p>
        </w:tc>
        <w:tc>
          <w:tcPr>
            <w:tcW w:w="88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80" w:type="dxa"/>
            <w:vAlign w:val="bottom"/>
            <w:tcBorders>
              <w:left w:val="single" w:sz="8" w:color="auto"/>
              <w:bottom w:val="single" w:sz="8" w:color="auto"/>
              <w:right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2"/>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Total Offering Amounts</w:t>
            </w:r>
          </w:p>
        </w:tc>
        <w:tc>
          <w:tcPr>
            <w:tcW w:w="108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$300,000,000</w:t>
            </w:r>
          </w:p>
        </w:tc>
        <w:tc>
          <w:tcPr>
            <w:tcW w:w="84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$27,810</w:t>
            </w: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80" w:type="dxa"/>
            <w:vAlign w:val="bottom"/>
            <w:tcBorders>
              <w:left w:val="single" w:sz="8" w:color="auto"/>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2"/>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Total Fees Previously Paid</w:t>
            </w:r>
          </w:p>
        </w:tc>
        <w:tc>
          <w:tcPr>
            <w:tcW w:w="10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333333"/>
                <w:w w:val="99"/>
              </w:rPr>
              <w:t>—</w:t>
            </w: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 w:type="dxa"/>
            <w:vAlign w:val="bottom"/>
            <w:tcBorders>
              <w:left w:val="single" w:sz="8" w:color="auto"/>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2"/>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Total Fee Offsets</w:t>
            </w:r>
          </w:p>
        </w:tc>
        <w:tc>
          <w:tcPr>
            <w:tcW w:w="10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333333"/>
                <w:w w:val="99"/>
              </w:rPr>
              <w:t>—</w:t>
            </w: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 w:type="dxa"/>
            <w:vAlign w:val="bottom"/>
            <w:tcBorders>
              <w:left w:val="single" w:sz="8" w:color="auto"/>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2"/>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Net Fee Due</w:t>
            </w:r>
          </w:p>
        </w:tc>
        <w:tc>
          <w:tcPr>
            <w:tcW w:w="108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$27,810</w:t>
            </w: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04" w:right="319" w:bottom="1440" w:gutter="0" w:footer="0" w:header="0"/>
        </w:sectPr>
      </w:pPr>
    </w:p>
    <w:bookmarkStart w:id="43" w:name="page44"/>
    <w:bookmarkEnd w:id="43"/>
    <w:p>
      <w:pPr>
        <w:spacing w:after="0" w:line="257" w:lineRule="exact"/>
        <w:rPr>
          <w:sz w:val="20"/>
          <w:szCs w:val="20"/>
          <w:color w:val="auto"/>
        </w:rPr>
      </w:pPr>
    </w:p>
    <w:p>
      <w:pPr>
        <w:ind w:left="234" w:hanging="239"/>
        <w:spacing w:after="0" w:line="223" w:lineRule="auto"/>
        <w:tabs>
          <w:tab w:leader="none" w:pos="214" w:val="left"/>
        </w:tabs>
        <w:rPr>
          <w:sz w:val="20"/>
          <w:szCs w:val="20"/>
          <w:color w:val="auto"/>
        </w:rPr>
      </w:pPr>
      <w:r>
        <w:rPr>
          <w:rFonts w:ascii="Times New Roman" w:cs="Times New Roman" w:eastAsia="Times New Roman" w:hAnsi="Times New Roman"/>
          <w:sz w:val="14"/>
          <w:szCs w:val="14"/>
          <w:color w:val="auto"/>
        </w:rPr>
        <w:t>(1)</w:t>
        <w:tab/>
        <w:t>There is being registered hereunder an unspecified number of shares of (a) Class A common stock (“Class A common stock”), (b) preferred stock, (c) debt securities, (d) warrants to purchase Class A common stock, preferred stock or debt securities of the Registrant, (e) subscription rights to purchase common stock, preferred stock or debt securities of the Registrant, and</w:t>
      </w:r>
    </w:p>
    <w:p>
      <w:pPr>
        <w:ind w:left="234" w:right="40"/>
        <w:spacing w:after="0" w:line="224" w:lineRule="auto"/>
        <w:rPr>
          <w:sz w:val="20"/>
          <w:szCs w:val="20"/>
          <w:color w:val="auto"/>
        </w:rPr>
      </w:pPr>
      <w:r>
        <w:rPr>
          <w:rFonts w:ascii="Times New Roman" w:cs="Times New Roman" w:eastAsia="Times New Roman" w:hAnsi="Times New Roman"/>
          <w:sz w:val="14"/>
          <w:szCs w:val="14"/>
          <w:color w:val="auto"/>
        </w:rPr>
        <w:t>(f) units, consisting of some or all of these securities in any combination, as may be sold from time to time by the Registrant. Any securities registered hereunder may be sold separately or as units with other securities registered hereunder. There is also being registered hereunder an unspecified number of shares of Class A common stock, preferred stock and debt securities as shall be issuable upon conversion, exchange or exercise of any securities that provide for such issuance. In no event will the aggregate offering price of all types of securities issued by the Registrant pursuant to this registration statement exceed $300,000,000. Pursuant to Rule 416(a) under the Securities Act of 1933, as amended (the “Securities Act”), this registration statement also covers any additional securities that may be offered or issued in connection with any stock split, stock dividend or similar transaction.</w:t>
      </w:r>
    </w:p>
    <w:p>
      <w:pPr>
        <w:spacing w:after="0" w:line="69" w:lineRule="exact"/>
        <w:rPr>
          <w:sz w:val="20"/>
          <w:szCs w:val="20"/>
          <w:color w:val="auto"/>
        </w:rPr>
      </w:pPr>
    </w:p>
    <w:p>
      <w:pPr>
        <w:ind w:left="234" w:right="160" w:hanging="234"/>
        <w:spacing w:after="0" w:line="234" w:lineRule="auto"/>
        <w:tabs>
          <w:tab w:leader="none" w:pos="234"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proposed maximum offering price per share and proposed maximum aggregate offering price for each type of security will be determined from time to time by the Registrant in connection with the issuance by the Registrant of the securities registered hereunder and is not specified as to each class of security pursuant to General Instruction II.D. of Form S-3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94"/>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94"/>
          </w:cols>
          <w:pgMar w:left="346" w:top="1440" w:right="35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DEBT SECURITY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[Face of Security]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1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[If applicable, insert—FOR PURPOSES OF THE ORIGINAL ISSUE DISCOUNT PROVISIONS OF THE INTERNAL REVENUE CODE OF</w:t>
      </w:r>
    </w:p>
    <w:p>
      <w:pPr>
        <w:spacing w:after="0" w:line="27" w:lineRule="exact"/>
        <w:rPr>
          <w:sz w:val="20"/>
          <w:szCs w:val="20"/>
          <w:color w:val="auto"/>
        </w:rPr>
      </w:pPr>
    </w:p>
    <w:p>
      <w:pPr>
        <w:ind w:right="560"/>
        <w:spacing w:after="0" w:line="255" w:lineRule="auto"/>
        <w:rPr>
          <w:sz w:val="20"/>
          <w:szCs w:val="20"/>
          <w:color w:val="auto"/>
        </w:rPr>
      </w:pPr>
      <w:r>
        <w:rPr>
          <w:rFonts w:ascii="Times New Roman" w:cs="Times New Roman" w:eastAsia="Times New Roman" w:hAnsi="Times New Roman"/>
          <w:sz w:val="18"/>
          <w:szCs w:val="18"/>
          <w:color w:val="auto"/>
        </w:rPr>
        <w:t>1986, THE ISSUE PRICE OF THIS SECURITY IS % OF ITS PRINCIPAL AMOUNT AT STATED MATURITY SET FORTH BELOW (ITS “PRINCIPAL AMOUNT”), THE AMOUNT OF ORIGINAL ISSUE DISCOUNT IS % OF ITS PRINCIPAL AMOUNT, THE YIELD TO MATURITY IS % AND THE ISSUE DATE IS ]</w:t>
      </w:r>
    </w:p>
    <w:p>
      <w:pPr>
        <w:spacing w:after="0" w:line="132" w:lineRule="exact"/>
        <w:rPr>
          <w:sz w:val="20"/>
          <w:szCs w:val="20"/>
          <w:color w:val="auto"/>
        </w:rPr>
      </w:pPr>
    </w:p>
    <w:p>
      <w:pPr>
        <w:ind w:right="280" w:firstLine="441"/>
        <w:spacing w:after="0" w:line="256" w:lineRule="auto"/>
        <w:rPr>
          <w:sz w:val="20"/>
          <w:szCs w:val="20"/>
          <w:color w:val="auto"/>
        </w:rPr>
      </w:pPr>
      <w:r>
        <w:rPr>
          <w:rFonts w:ascii="Times New Roman" w:cs="Times New Roman" w:eastAsia="Times New Roman" w:hAnsi="Times New Roman"/>
          <w:sz w:val="18"/>
          <w:szCs w:val="18"/>
          <w:color w:val="auto"/>
        </w:rPr>
        <w:t>[IF THE SECURITY IS A GLOBAL SECURITY, INSERT—THIS NOTE IS A GLOBAL SECURITY. IT IS EXCHANGEABLE FOR NOTES REGISTERED IN THE NAME OF A PERSON OTHER THAN THE DEPOSITARY (AS HEREINAFTER DEFINED) OR ITS NOMINEE ONLY IN THE LIMITED CIRCUMSTANCES HEREINAFTER DESCRIBED AND MAY NOT BE TRANSFERRED EXCEPT AS A WHOLE BY THE DEPOSITARY TO A NOMINEE OF THE DEPOSITARY OR BY A NOMINEE OF THE DEPOSITARY TO THE DEPOSITARY OR ANOTHER NOMINEE OF THE DEPOSITARY OR BY THE DEPOSITARY OR A NOMINEE OF THE DEPOSITARY TO A SUCCESSOR OF THE DEPOSITARY OR A NOMINEE OF SUCH SUCCESSOR DEPOSITARY.]</w:t>
      </w:r>
    </w:p>
    <w:p>
      <w:pPr>
        <w:sectPr>
          <w:pgSz w:w="11900" w:h="16838" w:orient="portrait"/>
          <w:cols w:equalWidth="0" w:num="1">
            <w:col w:w="11240"/>
          </w:cols>
          <w:pgMar w:left="320" w:top="104" w:right="339" w:bottom="1440" w:gutter="0" w:footer="0" w:header="0"/>
        </w:sect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w:t>
      </w:r>
    </w:p>
    <w:p>
      <w:pPr>
        <w:spacing w:after="0" w:line="200" w:lineRule="exact"/>
        <w:rPr>
          <w:sz w:val="20"/>
          <w:szCs w:val="20"/>
          <w:color w:val="auto"/>
        </w:rPr>
      </w:pPr>
    </w:p>
    <w:p>
      <w:pPr>
        <w:sectPr>
          <w:pgSz w:w="11900" w:h="16838" w:orient="portrait"/>
          <w:cols w:equalWidth="0" w:num="2">
            <w:col w:w="9660" w:space="720"/>
            <w:col w:w="860"/>
          </w:cols>
          <w:pgMar w:left="320" w:top="104" w:right="339" w:bottom="1440" w:gutter="0" w:footer="0" w:header="0"/>
          <w:type w:val="continuous"/>
        </w:sectPr>
      </w:pP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Sema4 Holdings Corp., a Delaware corporation (herein called the “Company”, which term includes any successor corporation under the Indenture</w:t>
      </w:r>
    </w:p>
    <w:p>
      <w:pPr>
        <w:spacing w:after="0" w:line="27" w:lineRule="exact"/>
        <w:rPr>
          <w:sz w:val="20"/>
          <w:szCs w:val="20"/>
          <w:color w:val="auto"/>
        </w:rPr>
      </w:pPr>
    </w:p>
    <w:p>
      <w:pPr>
        <w:spacing w:after="0"/>
        <w:tabs>
          <w:tab w:leader="none" w:pos="9600" w:val="left"/>
        </w:tabs>
        <w:rPr>
          <w:sz w:val="20"/>
          <w:szCs w:val="20"/>
          <w:color w:val="auto"/>
        </w:rPr>
      </w:pPr>
      <w:r>
        <w:rPr>
          <w:rFonts w:ascii="Times New Roman" w:cs="Times New Roman" w:eastAsia="Times New Roman" w:hAnsi="Times New Roman"/>
          <w:sz w:val="18"/>
          <w:szCs w:val="18"/>
          <w:color w:val="auto"/>
        </w:rPr>
        <w:t>referred to on the reverse hereof), for value received, hereby promises to pay to, or registered assigns, the principal sum of</w:t>
      </w:r>
      <w:r>
        <w:rPr>
          <w:sz w:val="20"/>
          <w:szCs w:val="20"/>
          <w:color w:val="auto"/>
        </w:rPr>
        <w:tab/>
      </w:r>
      <w:r>
        <w:rPr>
          <w:rFonts w:ascii="Times New Roman" w:cs="Times New Roman" w:eastAsia="Times New Roman" w:hAnsi="Times New Roman"/>
          <w:sz w:val="18"/>
          <w:szCs w:val="18"/>
          <w:color w:val="auto"/>
        </w:rPr>
        <w:t>Dollars on</w:t>
      </w:r>
    </w:p>
    <w:p>
      <w:pPr>
        <w:spacing w:after="0" w:line="9" w:lineRule="exact"/>
        <w:rPr>
          <w:sz w:val="20"/>
          <w:szCs w:val="20"/>
          <w:color w:val="auto"/>
        </w:rPr>
      </w:pPr>
    </w:p>
    <w:p>
      <w:pPr>
        <w:spacing w:after="0"/>
        <w:tabs>
          <w:tab w:leader="none" w:pos="7180" w:val="left"/>
        </w:tabs>
        <w:rPr>
          <w:sz w:val="20"/>
          <w:szCs w:val="20"/>
          <w:color w:val="auto"/>
        </w:rPr>
      </w:pPr>
      <w:r>
        <w:rPr>
          <w:rFonts w:ascii="Times New Roman" w:cs="Times New Roman" w:eastAsia="Times New Roman" w:hAnsi="Times New Roman"/>
          <w:sz w:val="18"/>
          <w:szCs w:val="18"/>
          <w:color w:val="auto"/>
        </w:rPr>
        <w:t>[if Security is to bear interest prior to maturity, insert—, and to pay interest thereon from</w:t>
      </w:r>
      <w:r>
        <w:rPr>
          <w:sz w:val="20"/>
          <w:szCs w:val="20"/>
          <w:color w:val="auto"/>
        </w:rPr>
        <w:tab/>
      </w:r>
      <w:r>
        <w:rPr>
          <w:rFonts w:ascii="Times New Roman" w:cs="Times New Roman" w:eastAsia="Times New Roman" w:hAnsi="Times New Roman"/>
          <w:sz w:val="17"/>
          <w:szCs w:val="17"/>
          <w:color w:val="auto"/>
        </w:rPr>
        <w:t>or from the most recent Interest Payment Date to which</w:t>
      </w:r>
    </w:p>
    <w:p>
      <w:pPr>
        <w:spacing w:after="0" w:line="9" w:lineRule="exact"/>
        <w:rPr>
          <w:sz w:val="20"/>
          <w:szCs w:val="20"/>
          <w:color w:val="auto"/>
        </w:rPr>
      </w:pPr>
    </w:p>
    <w:p>
      <w:pPr>
        <w:spacing w:after="0"/>
        <w:tabs>
          <w:tab w:leader="none" w:pos="5180" w:val="left"/>
          <w:tab w:leader="none" w:pos="6240" w:val="left"/>
          <w:tab w:leader="none" w:pos="8900" w:val="left"/>
          <w:tab w:leader="none" w:pos="10300" w:val="left"/>
        </w:tabs>
        <w:rPr>
          <w:sz w:val="20"/>
          <w:szCs w:val="20"/>
          <w:color w:val="auto"/>
        </w:rPr>
      </w:pPr>
      <w:r>
        <w:rPr>
          <w:rFonts w:ascii="Times New Roman" w:cs="Times New Roman" w:eastAsia="Times New Roman" w:hAnsi="Times New Roman"/>
          <w:sz w:val="18"/>
          <w:szCs w:val="18"/>
          <w:color w:val="auto"/>
        </w:rPr>
        <w:t>interest has been paid or duly provided for, semi-annually on</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in each year, commencing</w:t>
      </w:r>
      <w:r>
        <w:rPr>
          <w:sz w:val="20"/>
          <w:szCs w:val="20"/>
          <w:color w:val="auto"/>
        </w:rPr>
        <w:tab/>
      </w:r>
      <w:r>
        <w:rPr>
          <w:rFonts w:ascii="Times New Roman" w:cs="Times New Roman" w:eastAsia="Times New Roman" w:hAnsi="Times New Roman"/>
          <w:sz w:val="18"/>
          <w:szCs w:val="18"/>
          <w:color w:val="auto"/>
        </w:rPr>
        <w:t>, at the rate of</w:t>
      </w:r>
      <w:r>
        <w:rPr>
          <w:sz w:val="20"/>
          <w:szCs w:val="20"/>
          <w:color w:val="auto"/>
        </w:rPr>
        <w:tab/>
      </w:r>
      <w:r>
        <w:rPr>
          <w:rFonts w:ascii="Times New Roman" w:cs="Times New Roman" w:eastAsia="Times New Roman" w:hAnsi="Times New Roman"/>
          <w:sz w:val="17"/>
          <w:szCs w:val="17"/>
          <w:color w:val="auto"/>
        </w:rPr>
        <w:t>% per</w:t>
      </w:r>
    </w:p>
    <w:p>
      <w:pPr>
        <w:sectPr>
          <w:pgSz w:w="11900" w:h="16838" w:orient="portrait"/>
          <w:cols w:equalWidth="0" w:num="1">
            <w:col w:w="11240"/>
          </w:cols>
          <w:pgMar w:left="320" w:top="104" w:right="339" w:bottom="1440" w:gutter="0" w:footer="0" w:header="0"/>
          <w:type w:val="continuous"/>
        </w:sectPr>
      </w:pPr>
    </w:p>
    <w:p>
      <w:pPr>
        <w:spacing w:after="0" w:line="9"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7"/>
          <w:szCs w:val="17"/>
          <w:color w:val="auto"/>
        </w:rPr>
        <w:t>annum, until the principal hereof is paid or made available for payment [if applicable, insert—, provided that any principal and premium, and any such installment of interest, which is overdue shall bear interest at the rate of % per annum (to the extent that the payment of such interest shall be legally enforceable), from 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Security (or one or more predecessor Securities) is registered at the close of business on the record date for such interest, which shall be</w:t>
      </w:r>
    </w:p>
    <w:p>
      <w:pPr>
        <w:spacing w:after="0" w:line="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or (whether or not a Business Day), as the case may be, next preceding such Interest Payment Date. Any such interest not so punctually paid or duly provided for will forthwith cease to be payable to the Holder on such record date and may either be paid to the Person at the time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[If the Security is not to bear interest prior to maturity, insert—The principal of this Security shall not bear interest except in the case of a default in payment of principal upon acceleration, upon</w:t>
      </w:r>
    </w:p>
    <w:p>
      <w:pPr>
        <w:spacing w:after="0" w:line="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redemption or at Stated Maturity and in such case the overdue principal and any overdue premium shall bear interest at the rate of % per annum (to the extent that the payment of such interest shall be legally enforceable), from the dates such amounts are due until they are paid or made available for payment. Interest on any overdue principal or premium shall be payable on demand. [Any such interest on overdue principal or premium which is not paid</w:t>
      </w:r>
    </w:p>
    <w:p>
      <w:pPr>
        <w:spacing w:after="0" w:line="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on demand shall bear interest at the rate of % per annum (to the extent that the payment of such interest on interest shall be legally enforceable), from the date of such demand until the amount so demanded is paid or made available for payment. Interest on any overdue interest shall be payable on demand.]].</w:t>
      </w:r>
    </w:p>
    <w:p>
      <w:pPr>
        <w:spacing w:after="0" w:line="3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Payment of the principal of (and premium, if any, on) and [any such] interest on this Security will be made at the office or agency of the Company</w:t>
      </w:r>
    </w:p>
    <w:p>
      <w:pPr>
        <w:spacing w:after="0" w:line="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maintained for that purpose in in such coin or currency of [the United States of America] as at the time of payment is legal tender for payment of public and private debts[; provided, however, that at the option of the Company payment of interest may be made by check mailed to the address of the Person entitled thereto as such address shall appear in the register of the Security maintained by the Registrar].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04" w:right="339" w:bottom="1440" w:gutter="0" w:footer="0" w:header="0"/>
          <w:type w:val="continuous"/>
        </w:sectPr>
      </w:pPr>
    </w:p>
    <w:bookmarkStart w:id="45" w:name="page46"/>
    <w:bookmarkEnd w:id="45"/>
    <w:p>
      <w:pPr>
        <w:ind w:firstLine="441"/>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08" w:lineRule="exact"/>
        <w:rPr>
          <w:sz w:val="20"/>
          <w:szCs w:val="20"/>
          <w:color w:val="auto"/>
        </w:rPr>
      </w:pPr>
    </w:p>
    <w:p>
      <w:pPr>
        <w:ind w:right="480" w:firstLine="441"/>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manually executed by or on behalf of the Trustee under the Indenture referred to on the reverse hereof, this Security shall not be entitled to any benefit under the Indenture or be valid or obligatory for any purpose.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 under its corporate seal.</w:t>
      </w:r>
    </w:p>
    <w:p>
      <w:pPr>
        <w:spacing w:after="0" w:line="266" w:lineRule="exact"/>
        <w:rPr>
          <w:sz w:val="20"/>
          <w:szCs w:val="20"/>
          <w:color w:val="auto"/>
        </w:rPr>
      </w:pPr>
    </w:p>
    <w:p>
      <w:pPr>
        <w:ind w:left="20"/>
        <w:spacing w:after="0"/>
        <w:tabs>
          <w:tab w:leader="none" w:pos="63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Sema4 Holdings Corp.</w:t>
      </w:r>
    </w:p>
    <w:p>
      <w:pPr>
        <w:spacing w:after="0" w:line="293"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17145</wp:posOffset>
            </wp:positionV>
            <wp:extent cx="28975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3">
                      <a:extLst>
                        <a:ext uri="{28A0092B-C50C-407E-A947-70E740481C1C}"/>
                      </a:extLst>
                    </a:blip>
                    <a:srcRect/>
                    <a:stretch>
                      <a:fillRect/>
                    </a:stretch>
                  </pic:blipFill>
                  <pic:spPr bwMode="auto">
                    <a:xfrm>
                      <a:off x="0" y="0"/>
                      <a:ext cx="2897505" cy="8890"/>
                    </a:xfrm>
                    <a:prstGeom prst="rect">
                      <a:avLst/>
                    </a:prstGeom>
                    <a:noFill/>
                  </pic:spPr>
                </pic:pic>
              </a:graphicData>
            </a:graphic>
          </wp:anchor>
        </w:drawing>
      </w:r>
    </w:p>
    <w:p>
      <w:pPr>
        <w:spacing w:after="0" w:line="16"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8"/>
          <w:szCs w:val="18"/>
          <w:color w:val="auto"/>
        </w:rPr>
        <w:t>[Title]</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Attest and Countersign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30346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4">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38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417"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[Reverse of Security.]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15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“Securities”), issued and to be issued in one or more</w:t>
      </w:r>
    </w:p>
    <w:p>
      <w:pPr>
        <w:spacing w:after="0" w:line="27"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series under an Indenture dated as of , (herein called the “Indenture,” which term shall have the meaning assigned to it in such instrument), between the Company and , as trustee (herein called the “Trustee”, which term includes any successor trustee under the Indenture), to which the</w:t>
      </w:r>
    </w:p>
    <w:p>
      <w:pPr>
        <w:spacing w:after="0" w:line="1" w:lineRule="exact"/>
        <w:rPr>
          <w:sz w:val="20"/>
          <w:szCs w:val="20"/>
          <w:color w:val="auto"/>
        </w:rPr>
      </w:pPr>
    </w:p>
    <w:p>
      <w:pPr>
        <w:jc w:val="both"/>
        <w:ind w:right="680"/>
        <w:spacing w:after="0" w:line="265" w:lineRule="auto"/>
        <w:rPr>
          <w:sz w:val="20"/>
          <w:szCs w:val="20"/>
          <w:color w:val="auto"/>
        </w:rPr>
      </w:pPr>
      <w:r>
        <w:rPr>
          <w:rFonts w:ascii="Times New Roman" w:cs="Times New Roman" w:eastAsia="Times New Roman" w:hAnsi="Times New Roman"/>
          <w:sz w:val="17"/>
          <w:szCs w:val="17"/>
          <w:color w:val="auto"/>
        </w:rPr>
        <w:t>Indenture and all indentures supplemental thereto reference is hereby made for a statement of the respective rights, limitations or rights, duties and immunities thereunder of the Company, the Trustee and the Holders of the Securities and of the terms upon which the Securities are, and are to be,</w:t>
      </w:r>
    </w:p>
    <w:p>
      <w:pPr>
        <w:spacing w:after="0"/>
        <w:tabs>
          <w:tab w:leader="none" w:pos="10500" w:val="left"/>
        </w:tabs>
        <w:rPr>
          <w:sz w:val="20"/>
          <w:szCs w:val="20"/>
          <w:color w:val="auto"/>
        </w:rPr>
      </w:pPr>
      <w:r>
        <w:rPr>
          <w:rFonts w:ascii="Times New Roman" w:cs="Times New Roman" w:eastAsia="Times New Roman" w:hAnsi="Times New Roman"/>
          <w:sz w:val="18"/>
          <w:szCs w:val="18"/>
          <w:color w:val="auto"/>
        </w:rPr>
        <w:t>authenticated and delivered. This Security is one of the series designated on the face hereof [, limited in aggregate principal amount to $</w:t>
      </w:r>
      <w:r>
        <w:rPr>
          <w:sz w:val="20"/>
          <w:szCs w:val="20"/>
          <w:color w:val="auto"/>
        </w:rPr>
        <w:tab/>
      </w:r>
      <w:r>
        <w:rPr>
          <w:rFonts w:ascii="Times New Roman" w:cs="Times New Roman" w:eastAsia="Times New Roman" w:hAnsi="Times New Roman"/>
          <w:sz w:val="17"/>
          <w:szCs w:val="17"/>
          <w:color w:val="auto"/>
        </w:rPr>
        <w:t>].</w:t>
      </w:r>
    </w:p>
    <w:p>
      <w:pPr>
        <w:spacing w:after="0" w:line="153"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[If the Security is to be subordinated, insert—The indebtedness evidenced by this Security is, to the extent and in the manner set forth in the Indenture, expressly subordinated and subject in right of payment to the prior payment in full of all senior Indebtedness (as defined in the Indenture) of the Company. This Security is issued subject to such provisions of the Indenture, and each Holder of this Security, by accepting the same, agrees to and shall be bound by such provisions and authorizes and directs the Trustee on the Holder’s behalf to take such action as may be necessary or appropriate to acknowledge or effectuate such subordination as provided in the Indenture and appoints the Trustee such Holder’s attorney-in-fact for any and all such purposes.]</w:t>
      </w:r>
    </w:p>
    <w:p>
      <w:pPr>
        <w:spacing w:after="0" w:line="133" w:lineRule="exact"/>
        <w:rPr>
          <w:sz w:val="20"/>
          <w:szCs w:val="20"/>
          <w:color w:val="auto"/>
        </w:rPr>
      </w:pPr>
    </w:p>
    <w:p>
      <w:pPr>
        <w:jc w:val="both"/>
        <w:ind w:right="60" w:firstLine="441"/>
        <w:spacing w:after="0" w:line="257" w:lineRule="auto"/>
        <w:rPr>
          <w:sz w:val="20"/>
          <w:szCs w:val="20"/>
          <w:color w:val="auto"/>
        </w:rPr>
      </w:pPr>
      <w:r>
        <w:rPr>
          <w:rFonts w:ascii="Times New Roman" w:cs="Times New Roman" w:eastAsia="Times New Roman" w:hAnsi="Times New Roman"/>
          <w:sz w:val="18"/>
          <w:szCs w:val="18"/>
          <w:color w:val="auto"/>
        </w:rPr>
        <w:t>The Securities of this series are subject to redemption upon not less than 30 days’, and no more than 60 days, notice provided in the manner set forth in the Indenture, [(1) on in any year commencing with the year and ending with the year at the Redemption Price (as indicated below) equal to 100% of the principal amount, and (2)] at any time [on or after], as a whole or in part, at the election of the principal the following Redemption Prices (expressed as</w:t>
      </w:r>
    </w:p>
    <w:p>
      <w:pPr>
        <w:spacing w:after="0" w:line="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percentages of the principal amount, as indicated below): If redeemed [on or before , %, and if redeemed] during the 12-month period beginning of the years indicated,</w:t>
      </w:r>
    </w:p>
    <w:p>
      <w:pPr>
        <w:spacing w:after="0" w:line="215" w:lineRule="exact"/>
        <w:rPr>
          <w:sz w:val="20"/>
          <w:szCs w:val="20"/>
          <w:color w:val="auto"/>
        </w:rPr>
      </w:pPr>
    </w:p>
    <w:p>
      <w:pPr>
        <w:ind w:left="20"/>
        <w:spacing w:after="0"/>
        <w:tabs>
          <w:tab w:leader="none" w:pos="6420" w:val="left"/>
          <w:tab w:leader="none" w:pos="8600" w:val="left"/>
          <w:tab w:leader="none" w:pos="9920" w:val="left"/>
        </w:tabs>
        <w:rPr>
          <w:sz w:val="20"/>
          <w:szCs w:val="20"/>
          <w:color w:val="auto"/>
        </w:rPr>
      </w:pPr>
      <w:r>
        <w:rPr>
          <w:rFonts w:ascii="Times New Roman" w:cs="Times New Roman" w:eastAsia="Times New Roman" w:hAnsi="Times New Roman"/>
          <w:sz w:val="14"/>
          <w:szCs w:val="14"/>
          <w:b w:val="1"/>
          <w:bCs w:val="1"/>
          <w:color w:val="auto"/>
        </w:rPr>
        <w:t>Year</w:t>
      </w:r>
      <w:r>
        <w:rPr>
          <w:sz w:val="20"/>
          <w:szCs w:val="20"/>
          <w:color w:val="auto"/>
        </w:rPr>
        <w:tab/>
      </w:r>
      <w:r>
        <w:rPr>
          <w:rFonts w:ascii="Times New Roman" w:cs="Times New Roman" w:eastAsia="Times New Roman" w:hAnsi="Times New Roman"/>
          <w:sz w:val="14"/>
          <w:szCs w:val="14"/>
          <w:b w:val="1"/>
          <w:bCs w:val="1"/>
          <w:color w:val="auto"/>
        </w:rPr>
        <w:t>Redemption Price</w:t>
      </w:r>
      <w:r>
        <w:rPr>
          <w:sz w:val="20"/>
          <w:szCs w:val="20"/>
          <w:color w:val="auto"/>
        </w:rPr>
        <w:tab/>
      </w:r>
      <w:r>
        <w:rPr>
          <w:rFonts w:ascii="Times New Roman" w:cs="Times New Roman" w:eastAsia="Times New Roman" w:hAnsi="Times New Roman"/>
          <w:sz w:val="14"/>
          <w:szCs w:val="14"/>
          <w:b w:val="1"/>
          <w:bCs w:val="1"/>
          <w:color w:val="auto"/>
        </w:rPr>
        <w:t>Year</w:t>
      </w:r>
      <w:r>
        <w:rPr>
          <w:sz w:val="20"/>
          <w:szCs w:val="20"/>
          <w:color w:val="auto"/>
        </w:rPr>
        <w:tab/>
      </w:r>
      <w:r>
        <w:rPr>
          <w:rFonts w:ascii="Times New Roman" w:cs="Times New Roman" w:eastAsia="Times New Roman" w:hAnsi="Times New Roman"/>
          <w:sz w:val="14"/>
          <w:szCs w:val="14"/>
          <w:b w:val="1"/>
          <w:bCs w:val="1"/>
          <w:color w:val="auto"/>
        </w:rPr>
        <w:t>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and thereafter at a Redemption Price equal to % of the principal amount together in the case of any such redemption with accrued interest to the Redemption Date, but interest installments whose Stated Maturity is on or prior to such Redemption Date will be payable to the Holders of such Securities of record at the close of business on the relevant record dates referred to on the face hereof, all as provided in the Indenture.</w:t>
      </w:r>
    </w:p>
    <w:p>
      <w:pPr>
        <w:spacing w:after="0" w:line="176"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[If the Security is to be redeemable in part, insert—In the event of redemption of this Security in part only, a new Security or Securities of this series for the unredeemed portion hereof will be issued in the name of the Holder hereof upon the cancellation hereof.]</w:t>
      </w:r>
    </w:p>
    <w:p>
      <w:pPr>
        <w:spacing w:after="0" w:line="162" w:lineRule="exact"/>
        <w:rPr>
          <w:sz w:val="20"/>
          <w:szCs w:val="20"/>
          <w:color w:val="auto"/>
        </w:rPr>
      </w:pPr>
    </w:p>
    <w:p>
      <w:pPr>
        <w:ind w:right="140" w:firstLine="441"/>
        <w:spacing w:after="0" w:line="276" w:lineRule="auto"/>
        <w:rPr>
          <w:sz w:val="20"/>
          <w:szCs w:val="20"/>
          <w:color w:val="auto"/>
        </w:rPr>
      </w:pPr>
      <w:r>
        <w:rPr>
          <w:rFonts w:ascii="Times New Roman" w:cs="Times New Roman" w:eastAsia="Times New Roman" w:hAnsi="Times New Roman"/>
          <w:sz w:val="17"/>
          <w:szCs w:val="17"/>
          <w:color w:val="auto"/>
        </w:rPr>
        <w:t>[If the Security is to be subject to repayment at the option of the Holder, insert—To be repaid at the option of the Holder, the Company must receive this Security, with the form of “Option to Elect Repayment” hereon duly completed, at an office or agency of the Company maintained for that purpose in</w:t>
      </w:r>
    </w:p>
    <w:p>
      <w:pPr>
        <w:spacing w:after="0" w:line="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(or at such other place of which the Company shall from time to time notify the Holder of this Security) not less than nor more than days prior to the Repayment Date (as defined therein). The exercise of the repayment option by the Holder shall be irrevocable.]</w:t>
      </w:r>
    </w:p>
    <w:p>
      <w:pPr>
        <w:spacing w:after="0" w:line="181" w:lineRule="exact"/>
        <w:rPr>
          <w:sz w:val="20"/>
          <w:szCs w:val="20"/>
          <w:color w:val="auto"/>
        </w:rPr>
      </w:pPr>
    </w:p>
    <w:p>
      <w:pPr>
        <w:ind w:right="600" w:firstLine="441"/>
        <w:spacing w:after="0" w:line="282" w:lineRule="auto"/>
        <w:rPr>
          <w:sz w:val="20"/>
          <w:szCs w:val="20"/>
          <w:color w:val="auto"/>
        </w:rPr>
      </w:pPr>
      <w:r>
        <w:rPr>
          <w:rFonts w:ascii="Times New Roman" w:cs="Times New Roman" w:eastAsia="Times New Roman" w:hAnsi="Times New Roman"/>
          <w:sz w:val="18"/>
          <w:szCs w:val="18"/>
          <w:color w:val="auto"/>
        </w:rPr>
        <w:t>[If the Security is not to be subject to redemption at the option of the Company, insert—The Securities are not redeemable at the option of the Company prior to Maturity.]</w:t>
      </w:r>
    </w:p>
    <w:p>
      <w:pPr>
        <w:spacing w:after="0" w:line="108" w:lineRule="exact"/>
        <w:rPr>
          <w:sz w:val="20"/>
          <w:szCs w:val="20"/>
          <w:color w:val="auto"/>
        </w:rPr>
      </w:pPr>
    </w:p>
    <w:p>
      <w:pPr>
        <w:ind w:right="60" w:firstLine="441"/>
        <w:spacing w:after="0" w:line="312" w:lineRule="auto"/>
        <w:rPr>
          <w:sz w:val="20"/>
          <w:szCs w:val="20"/>
          <w:color w:val="auto"/>
        </w:rPr>
      </w:pPr>
      <w:r>
        <w:rPr>
          <w:rFonts w:ascii="Times New Roman" w:cs="Times New Roman" w:eastAsia="Times New Roman" w:hAnsi="Times New Roman"/>
          <w:sz w:val="17"/>
          <w:szCs w:val="17"/>
          <w:color w:val="auto"/>
        </w:rPr>
        <w:t>[If the Security is not to be an Original Issue Discount Security, insert—If an Event of Default with respect to Securities of this series shall occur and be continuing, the principal of the Securities of this series may be declared due and payable in the manner and with the effect provided in the Indenture.]</w:t>
      </w:r>
    </w:p>
    <w:p>
      <w:pPr>
        <w:spacing w:after="0" w:line="86" w:lineRule="exact"/>
        <w:rPr>
          <w:sz w:val="20"/>
          <w:szCs w:val="20"/>
          <w:color w:val="auto"/>
        </w:rPr>
      </w:pPr>
    </w:p>
    <w:p>
      <w:pPr>
        <w:ind w:right="200" w:firstLine="441"/>
        <w:spacing w:after="0" w:line="282"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under the Indenture to be affected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7" w:right="339" w:bottom="1440" w:gutter="0" w:footer="0" w:header="0"/>
        </w:sectPr>
      </w:pPr>
    </w:p>
    <w:bookmarkStart w:id="47" w:name="page48"/>
    <w:bookmarkEnd w:id="47"/>
    <w:p>
      <w:pPr>
        <w:ind w:right="120"/>
        <w:spacing w:after="0" w:line="282" w:lineRule="auto"/>
        <w:rPr>
          <w:sz w:val="20"/>
          <w:szCs w:val="20"/>
          <w:color w:val="auto"/>
        </w:rPr>
      </w:pPr>
      <w:r>
        <w:rPr>
          <w:rFonts w:ascii="Times New Roman" w:cs="Times New Roman" w:eastAsia="Times New Roman" w:hAnsi="Times New Roman"/>
          <w:sz w:val="18"/>
          <w:szCs w:val="18"/>
          <w:color w:val="auto"/>
        </w:rPr>
        <w:t>by the Company with the consent of the Holders of not less than a majority in aggregate principal amount of the Securities then outstanding of each Series to be affected.</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Indenture also contains provisions permitting the Holders of a majority in principal amount of the Securities of any Series then outstanding, on behalf of the Holders of all Securities of such series, to waive compliance by the Company with certain provisions of the Indenture and certain past Defaults or Events of Default with respect to such Series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of waiver is made upon this Security.</w:t>
      </w:r>
    </w:p>
    <w:p>
      <w:pPr>
        <w:spacing w:after="0" w:line="129"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aggregate principal amount of the Securities of this series then outstanding shall have made written request to the Trustee to institute proceedings in respect of such Event of Default as Trustee and offered the Trustee indemnity reasonably satisfactory to the Trustee, and the Trustee shall not have received from the Holders of a majority in aggregate principal amount of Securities of this series then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34"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premium, if any, on) and interest on this Security at the times, place and rate, and in the coin or currency, herein prescribed.</w:t>
      </w:r>
    </w:p>
    <w:p>
      <w:pPr>
        <w:spacing w:after="0" w:line="122"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[If the Security is to be in registered form, insert—As provided in the Indenture and subject to certain limitations therein set forth, the transfer of this Security is registrable in the register of the Registrar, upon surrender of this Security for registration of transfer at the office or agency of the Company in any place where the principal of (and premium, if any, on) and interest on this Security are payable, duly endorsed by, or accompanied by a written instrument of transfer in form satisfactory to the Company and the Registrar duly executed by, the Holder hereof or his attorney duly authorized in writing, and, thereupon one or more new Securities of this series, of authorized denominations and for the same aggregate principal amount, will be issued to the designated transferee or transferees.]</w:t>
      </w:r>
    </w:p>
    <w:p>
      <w:pPr>
        <w:spacing w:after="0" w:line="133" w:lineRule="exact"/>
        <w:rPr>
          <w:sz w:val="20"/>
          <w:szCs w:val="20"/>
          <w:color w:val="auto"/>
        </w:rPr>
      </w:pPr>
    </w:p>
    <w:p>
      <w:pPr>
        <w:ind w:right="380" w:firstLine="441"/>
        <w:spacing w:after="0" w:line="266" w:lineRule="auto"/>
        <w:rPr>
          <w:sz w:val="20"/>
          <w:szCs w:val="20"/>
          <w:color w:val="auto"/>
        </w:rPr>
      </w:pPr>
      <w:r>
        <w:rPr>
          <w:rFonts w:ascii="Times New Roman" w:cs="Times New Roman" w:eastAsia="Times New Roman" w:hAnsi="Times New Roman"/>
          <w:sz w:val="18"/>
          <w:szCs w:val="18"/>
          <w:color w:val="auto"/>
        </w:rPr>
        <w:t>[The Securities of this series are issuable only in registered form in denominations of $ [and any integral multiple] [or increments of $ in excess] thereof. As provided in the Indenture and subject to certain limitations therein set forth, Securities of this series are exchangeable for a like aggregate principal amount of Securities of this series of a different authorized denomination, as requested by the Holder surrendering the same.]</w:t>
      </w:r>
    </w:p>
    <w:p>
      <w:pPr>
        <w:spacing w:after="0" w:line="122" w:lineRule="exact"/>
        <w:rPr>
          <w:sz w:val="20"/>
          <w:szCs w:val="20"/>
          <w:color w:val="auto"/>
        </w:rPr>
      </w:pPr>
    </w:p>
    <w:p>
      <w:pPr>
        <w:ind w:right="420" w:firstLine="441"/>
        <w:spacing w:after="0" w:line="282" w:lineRule="auto"/>
        <w:rPr>
          <w:sz w:val="20"/>
          <w:szCs w:val="20"/>
          <w:color w:val="auto"/>
        </w:rPr>
      </w:pPr>
      <w:r>
        <w:rPr>
          <w:rFonts w:ascii="Times New Roman" w:cs="Times New Roman" w:eastAsia="Times New Roman" w:hAnsi="Times New Roman"/>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08" w:lineRule="exact"/>
        <w:rPr>
          <w:sz w:val="20"/>
          <w:szCs w:val="20"/>
          <w:color w:val="auto"/>
        </w:rPr>
      </w:pPr>
    </w:p>
    <w:p>
      <w:pPr>
        <w:jc w:val="both"/>
        <w:ind w:right="340" w:firstLine="441"/>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22" w:lineRule="exact"/>
        <w:rPr>
          <w:sz w:val="20"/>
          <w:szCs w:val="20"/>
          <w:color w:val="auto"/>
        </w:rPr>
      </w:pPr>
    </w:p>
    <w:p>
      <w:pPr>
        <w:ind w:right="280" w:firstLine="441"/>
        <w:spacing w:after="0" w:line="261" w:lineRule="auto"/>
        <w:rPr>
          <w:sz w:val="20"/>
          <w:szCs w:val="20"/>
          <w:color w:val="auto"/>
        </w:rPr>
      </w:pPr>
      <w:r>
        <w:rPr>
          <w:rFonts w:ascii="Times New Roman" w:cs="Times New Roman" w:eastAsia="Times New Roman" w:hAnsi="Times New Roman"/>
          <w:sz w:val="18"/>
          <w:szCs w:val="18"/>
          <w:color w:val="auto"/>
        </w:rPr>
        <w:t>[If the Security is a Global Security, insert—“Global Security” and “Global Securities” means a Security or Securities evidencing all or a part of a series of Securities, issued to the Depositary (as hereinafter defined) for such Series or its nominee, and registered in the name of such Depositary or its nominee. “Depositary” means, with respect to the Securities of any series issuable or issued in whole or in part in the form of one or more Global Securities, the person designated as the Depositary by the Company.</w:t>
      </w:r>
    </w:p>
    <w:p>
      <w:pPr>
        <w:spacing w:after="0" w:line="126"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No holder of any beneficial interest in this Security held on its behalf by a Depositary or a nominee of such Depositary shall have any rights under the Indenture with respect to such Global Security, and such Depositary or nominee may be treated by the Company, the Trustee, and any agent of the Company or the Trustee as the owner of such Global Security for all purposes whatsoever. Notwithstanding the foregoing, nothing herein shall impair, as between a Depositary and such holders of beneficial interests, the operation of customary practices governing the exercise of the rights of the Depositary as Holder of any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7" w:right="339" w:bottom="1440" w:gutter="0" w:footer="0" w:header="0"/>
        </w:sectPr>
      </w:pPr>
    </w:p>
    <w:bookmarkStart w:id="48" w:name="page49"/>
    <w:bookmarkEnd w:id="48"/>
    <w:p>
      <w:pPr>
        <w:ind w:firstLine="441"/>
        <w:spacing w:after="0" w:line="254" w:lineRule="auto"/>
        <w:rPr>
          <w:sz w:val="20"/>
          <w:szCs w:val="20"/>
          <w:color w:val="auto"/>
        </w:rPr>
      </w:pPr>
      <w:r>
        <w:rPr>
          <w:rFonts w:ascii="Times New Roman" w:cs="Times New Roman" w:eastAsia="Times New Roman" w:hAnsi="Times New Roman"/>
          <w:sz w:val="18"/>
          <w:szCs w:val="18"/>
          <w:color w:val="auto"/>
        </w:rPr>
        <w:t>This Security is exchangeable, in whole but not in part, for Securities registered in the names of Persons other than the Depositary or its nominee or in the name of a successor to the Depositary or a nominee of such successor depositary only if (i) the Depositary notifies the Company that it is unwilling or unable to continue as Depositary for this Note or if at any time such Depositary ceases to be a clearing agency registered under the Securities Exchange Act of 1934, as amended, and, in either case, a successor depositary is not appointed by the Company within 90 days, (ii) the Company in its discretion at any time determines not to have all of the Securities of this series represented by one or more Global Security or Securities and notifies the Trustee thereof, or (iii) an Event of Default has occurred and is continuing with respect to the Securities of this series. If this Security is exchangeable pursuant to the preceding sentence, it shall be exchangeable for Securities issuable in authorized denominations and registered in such names as the Depositary holding this Security shall direct. Subject to the foregoing, this Security is not exchangeable, except for a Security or Securities of the same aggregate denominations to be registered in the name of such Depositary or its nominee or in the name of a successor to the Depositary or a nominee of such successor depositary.]</w:t>
      </w:r>
    </w:p>
    <w:p>
      <w:pPr>
        <w:spacing w:after="0" w:line="134"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[The Indenture entitles Holders to receive annual reports with respect to the Trustee’s eligibility and qualifications to serve as Trustee by filing their names and addresses with the Trustee for that purpose within two years preceding and mailing of any such annual report.]</w:t>
      </w:r>
    </w:p>
    <w:p>
      <w:pPr>
        <w:spacing w:after="0" w:line="108"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(and premium, if any, on) or interest on this Security, or for any claim based hereon, or otherwise in respect hereof, or based on or in respect of the Indenture of any indenture supplemental thereto, against any incorporator, stockholder, officer or director, as such, past, present or future, of the Company or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terms used in this Security which are defined in the Indenture shall have the meanings assigned to them in the Indenture.</w:t>
      </w:r>
    </w:p>
    <w:p>
      <w:pPr>
        <w:spacing w:after="0" w:line="171" w:lineRule="exact"/>
        <w:rPr>
          <w:sz w:val="20"/>
          <w:szCs w:val="20"/>
          <w:color w:val="auto"/>
        </w:rPr>
      </w:pPr>
    </w:p>
    <w:p>
      <w:pPr>
        <w:ind w:right="280" w:firstLine="441"/>
        <w:spacing w:after="0" w:line="266" w:lineRule="auto"/>
        <w:rPr>
          <w:sz w:val="20"/>
          <w:szCs w:val="20"/>
          <w:color w:val="auto"/>
        </w:rPr>
      </w:pPr>
      <w:r>
        <w:rPr>
          <w:rFonts w:ascii="Times New Roman" w:cs="Times New Roman" w:eastAsia="Times New Roman" w:hAnsi="Times New Roman"/>
          <w:sz w:val="18"/>
          <w:szCs w:val="18"/>
          <w:color w:val="auto"/>
        </w:rPr>
        <w:t>This Security, including without limitation the obligation of the Company contained herein to pay the principal of (and premium, if any, on) and interest on this Security in accordance with the terms hereof and of the Indenture, shall be construed in accordance with and governed by the laws of the State of New York.</w:t>
      </w:r>
    </w:p>
    <w:p>
      <w:pPr>
        <w:spacing w:after="0" w:line="122"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7"/>
          <w:szCs w:val="17"/>
          <w:color w:val="auto"/>
        </w:rPr>
        <w:t>[Trustee’s Certificate of Authentication.]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Securities of the series designated herein referred to in the within-mentioned Indenture.</w:t>
      </w:r>
    </w:p>
    <w:p>
      <w:pPr>
        <w:spacing w:after="0" w:line="33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 as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[Authenticating Agent for] the Trustee</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17145</wp:posOffset>
            </wp:positionV>
            <wp:extent cx="28543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7">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1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SEMA4 HOLDINGS CORP.</w:t>
      </w:r>
    </w:p>
    <w:p>
      <w:pPr>
        <w:spacing w:after="0" w:line="24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 as Trustee</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9" w:lineRule="exact"/>
        <w:rPr>
          <w:sz w:val="20"/>
          <w:szCs w:val="20"/>
          <w:color w:val="auto"/>
        </w:rPr>
      </w:pPr>
    </w:p>
    <w:p>
      <w:pPr>
        <w:ind w:left="3680"/>
        <w:spacing w:after="0"/>
        <w:tabs>
          <w:tab w:leader="none" w:pos="5260" w:val="left"/>
        </w:tabs>
        <w:rPr>
          <w:sz w:val="20"/>
          <w:szCs w:val="20"/>
          <w:color w:val="auto"/>
        </w:rPr>
      </w:pPr>
      <w:r>
        <w:rPr>
          <w:rFonts w:ascii="Times New Roman" w:cs="Times New Roman" w:eastAsia="Times New Roman" w:hAnsi="Times New Roman"/>
          <w:sz w:val="18"/>
          <w:szCs w:val="18"/>
          <w:color w:val="auto"/>
        </w:rPr>
        <w:t>Dated as of</w:t>
      </w:r>
      <w:r>
        <w:rPr>
          <w:sz w:val="20"/>
          <w:szCs w:val="20"/>
          <w:color w:val="auto"/>
        </w:rPr>
        <w:tab/>
      </w:r>
      <w:r>
        <w:rPr>
          <w:rFonts w:ascii="Times New Roman" w:cs="Times New Roman" w:eastAsia="Times New Roman" w:hAnsi="Times New Roman"/>
          <w:sz w:val="16"/>
          <w:szCs w:val="16"/>
          <w:color w:val="auto"/>
        </w:rPr>
        <w:t>,</w:t>
      </w:r>
    </w:p>
    <w:p>
      <w:pPr>
        <w:sectPr>
          <w:pgSz w:w="11900" w:h="16838" w:orient="portrait"/>
          <w:cols w:equalWidth="0" w:num="1">
            <w:col w:w="10120"/>
          </w:cols>
          <w:pgMar w:left="1440" w:top="104"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8"/>
        </w:trPr>
        <w:tc>
          <w:tcPr>
            <w:tcW w:w="9640" w:type="dxa"/>
            <w:vAlign w:val="bottom"/>
          </w:tcPr>
          <w:p>
            <w:pPr>
              <w:ind w:left="4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60" w:type="dxa"/>
            <w:vAlign w:val="bottom"/>
          </w:tcPr>
          <w:p>
            <w:pPr>
              <w:spacing w:after="0"/>
              <w:rPr>
                <w:sz w:val="20"/>
                <w:szCs w:val="20"/>
                <w:color w:val="auto"/>
              </w:rPr>
            </w:pPr>
          </w:p>
        </w:tc>
      </w:tr>
      <w:tr>
        <w:trPr>
          <w:trHeight w:val="468"/>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ARTICLE 1 – DEFINITIONS AND INCORPORATION BY REFERENCE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1.1 DEFINITIONS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 OTHER DEFINITIONS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1.3. INCORPORATION BY REFERENCE OF TRUST INDENTURE ACT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1.4. RULES OF CONSTRUCTION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ARTICLE 2 – THE SECURITIES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2.1. ISSUABLE IN SERIES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2.2. ESTABLISHMENT OF TERMS OF SERIES OF SECURITIES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2.3. EXECUTION AND AUTHENTICATION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2.4. REGISTRAR AND PAYING AGENT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2.5. PAYING AGENT TO HOLD ASSETS IN TRUST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2.6. SECURITYHOLDER LISTS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2.7. TRANSFER AND EXCHANGE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2.8. REPLACEMENT SECURITIES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2.9. OUTSTANDING SECURITIES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2.10. WHEN TREASURY SECURITIES DISREGARDED; DETERMINATION OF HOLDERS’ ACTION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2.11. TEMPORARY SECURITIES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2.12. CANCELLATION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2.13. PAYMENT OF INTEREST; DEFAULTED INTEREST; COMPUTATION OF INTEREST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2.14. CUSIP NUMBER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2.15. PROVISIONS FOR GLOBAL SECURITIES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2.16. PERSONS DEEMED OWNERS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ARTICLE 3 – REDEMPTION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3.1. NOTICES TO TRUSTEE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3.2. SELECTION BY TRUSTEE OF SECURITIES TO BE REDEEMED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3.3. NOTICE OF REDEMPTION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3.4. EFFECT OF NOTICE OF REDEMPTION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3.5. DEPOSIT OF REDEMPTION PRICE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3.6. SECURITIES REDEEMED IN PART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ARTICLE 4 – COVENANTS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4.1. PAYMENT OF SECURITIES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4.2. SEC REPORTS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4.3. WAIVER OF STAY, EXTENSION OR USURY LAWS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4.4. COMPLIANCE CERTIFICATE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4.5. CORPORATE EXISTENCE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ARTICLE 5 – SUCCESSOR CORPORATION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5.1. LIMITATION ON CONSOLIDATION, MERGER AND SALE OF ASSETS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5.2. SUCCESSOR PERSON SUBSTITUTED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ARTICLE 6 – DEFAULTS AND REMEDIES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6.1. EVENTS OF DEFAULT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6.2. ACCELERATION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6.3. REMEDIES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9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6.4. WAIVER OF PAST DEFAULTS AND EVENTS OF DEFAULT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200"/>
          </w:cols>
          <w:pgMar w:left="340" w:top="1413" w:right="359" w:bottom="1440" w:gutter="0" w:footer="0" w:header="0"/>
        </w:sectPr>
      </w:pPr>
    </w:p>
    <w:bookmarkStart w:id="51" w:name="page52"/>
    <w:bookmarkEnd w:id="51"/>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6.5. CONTROL BY MAJORITY</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6.6. LIMITATION ON SUITS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6.7. RIGHTS OF HOLDERS TO RECEIVE PAYMENT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6.8. COLLECTION SUIT BY TRUSTEE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6.9. TRUSTEE MAY FILE PROOFS OF CLAIM</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6.10. PRIORITIES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6.11. UNDERTAKING FOR COSTS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ARTICLE 7 – TRUSTEE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7.1. DUTIES OF TRUSTEE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7.2. RIGHTS OF TRUSTEE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7.3. INDIVIDUAL RIGHTS OF TRUSTEE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7.4. TRUSTEE’S DISCLAIMER</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7.5. NOTICE OF DEFAULT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7.6. REPORTS BY TRUSTEE TO HOLDERS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7.7. COMPENSATION AND INDEMNITY</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7.8. REPLACEMENT OF TRUSTEE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7.9. SUCCESSOR TRUSTEE BY CONSOLIDATION, MERGER OR CONVERSION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7.10. ELIGIBILITY; DISQUALIFICATION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7.11. PREFERENTIAL COLLECTION OF CLAIMS AGAINST COMPANY</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7.12. PAYING AGENTS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ARTICLE 8 – AMENDMENTS, SUPPLEMENTS AND WAIVERS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8.1. WITHOUT CONSENT OF HOLDERS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8.2. WITH CONSENT OF HOLDERS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8.3. COMPLIANCE WITH TRUST INDENTURE ACT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8.4. REVOCATION AND EFFECT OF CONSENTS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8.5. NOTATION ON OR EXCHANGE OF SECURITIES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8.6. TRUSTEE TO SIGN AMENDMENTS, ETC.</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ARTICLE 9 – DISCHARGE OF INDENTURE; DEFEASANCE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9.1. DISCHARGE OF INDENTURE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9.2. LEGAL DEFEASANCE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9.3. COVENANT DEFEASANCE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9.4. CONDITIONS TO LEGAL DEFEASANCE OR COVENANT DEFEASANCE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180"/>
        </w:trPr>
        <w:tc>
          <w:tcPr>
            <w:tcW w:w="1034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9.5. DEPOSITED MONEY AND U.S. AND FOREIGN GOVERNMENT OBLIGATIONS TO BE HELD IN TRUST; OTHER</w:t>
            </w:r>
          </w:p>
        </w:tc>
        <w:tc>
          <w:tcPr>
            <w:tcW w:w="860" w:type="dxa"/>
            <w:vAlign w:val="bottom"/>
          </w:tcPr>
          <w:p>
            <w:pPr>
              <w:spacing w:after="0"/>
              <w:rPr>
                <w:sz w:val="15"/>
                <w:szCs w:val="15"/>
                <w:color w:val="auto"/>
              </w:rPr>
            </w:pPr>
          </w:p>
        </w:tc>
      </w:tr>
      <w:tr>
        <w:trPr>
          <w:trHeight w:val="238"/>
        </w:trPr>
        <w:tc>
          <w:tcPr>
            <w:tcW w:w="103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MISCELLANEOUS PROVISIONS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9.6. REINSTATEMENT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9.7. MONEYS HELD BY PAYING AGENT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9.8. MONEYS HELD BY TRUSTEE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10340" w:type="dxa"/>
            <w:vAlign w:val="bottom"/>
          </w:tcPr>
          <w:p>
            <w:pPr>
              <w:spacing w:after="0"/>
              <w:rPr>
                <w:sz w:val="20"/>
                <w:szCs w:val="20"/>
                <w:color w:val="auto"/>
              </w:rPr>
            </w:pPr>
            <w:r>
              <w:rPr>
                <w:rFonts w:ascii="Times New Roman" w:cs="Times New Roman" w:eastAsia="Times New Roman" w:hAnsi="Times New Roman"/>
                <w:sz w:val="18"/>
                <w:szCs w:val="18"/>
                <w:color w:val="auto"/>
              </w:rPr>
              <w:t>ARTICLE 10 – MISCELLANEOUS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10.1. TRUST INDENTURE ACT CONTROLS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10.2. NOTICES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10.3. COMMUNICATIONS BY HOLDERS WITH OTHER HOLDERS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10.4. CERTIFICATE AND OPINION AS TO CONDITIONS PRECEDENT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10.5. STATEMENT REQUIRED IN CERTIFICATE AND OPINION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10.6. RULES BY TRUSTEE AND AGENTS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10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10.7. BUSINESS DAYS; LEGAL HOLIDAYS; PLACE OF PAYMENT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200"/>
          </w:cols>
          <w:pgMar w:left="340" w:top="1440" w:right="359" w:bottom="1440" w:gutter="0" w:footer="0" w:header="0"/>
          <w:type w:val="continuous"/>
        </w:sectPr>
      </w:pPr>
    </w:p>
    <w:bookmarkStart w:id="52" w:name="page53"/>
    <w:bookmarkEnd w:id="52"/>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10.8. GOVERNING LAW</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10.9. NO ADVERSE INTERPRETATION OF OTHER AGREEMENTS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10.10. NO RECOURSE AGAINST OTHERS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10.11. SUCCESSORS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10.12. MULTIPLE COUNTERPARTS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10.13. TABLE OF CONTENTS, HEADINGS, ETC.</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10.14. SEVERABILITY</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10.15. SECURITIES IN A FOREIGN CURRENCY OR IN EUROS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10.16. JUDGMENT CURRENCY</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0760"/>
          </w:cols>
          <w:pgMar w:left="780" w:top="1440" w:right="359" w:bottom="1440" w:gutter="0" w:footer="0" w:header="0"/>
        </w:sectPr>
      </w:pPr>
    </w:p>
    <w:bookmarkStart w:id="53" w:name="page54"/>
    <w:bookmarkEnd w:id="53"/>
    <w:p>
      <w:pPr>
        <w:ind w:left="440"/>
        <w:spacing w:after="0"/>
        <w:tabs>
          <w:tab w:leader="none" w:pos="3100" w:val="left"/>
        </w:tabs>
        <w:rPr>
          <w:sz w:val="20"/>
          <w:szCs w:val="20"/>
          <w:color w:val="auto"/>
        </w:rPr>
      </w:pPr>
      <w:r>
        <w:rPr>
          <w:rFonts w:ascii="Times New Roman" w:cs="Times New Roman" w:eastAsia="Times New Roman" w:hAnsi="Times New Roman"/>
          <w:sz w:val="18"/>
          <w:szCs w:val="18"/>
          <w:color w:val="auto"/>
        </w:rPr>
        <w:t>INDENTURE, dated as of</w:t>
      </w:r>
      <w:r>
        <w:rPr>
          <w:sz w:val="20"/>
          <w:szCs w:val="20"/>
          <w:color w:val="auto"/>
        </w:rPr>
        <w:tab/>
      </w:r>
      <w:r>
        <w:rPr>
          <w:rFonts w:ascii="Times New Roman" w:cs="Times New Roman" w:eastAsia="Times New Roman" w:hAnsi="Times New Roman"/>
          <w:sz w:val="16"/>
          <w:szCs w:val="16"/>
          <w:color w:val="auto"/>
        </w:rPr>
        <w:t>,</w:t>
      </w:r>
    </w:p>
    <w:p>
      <w:pPr>
        <w:spacing w:after="0" w:line="27" w:lineRule="exact"/>
        <w:rPr>
          <w:sz w:val="20"/>
          <w:szCs w:val="20"/>
          <w:color w:val="auto"/>
        </w:rPr>
      </w:pPr>
    </w:p>
    <w:p>
      <w:pPr>
        <w:ind w:left="720"/>
        <w:spacing w:after="0"/>
        <w:tabs>
          <w:tab w:leader="none" w:pos="1680" w:val="left"/>
        </w:tabs>
        <w:rPr>
          <w:sz w:val="20"/>
          <w:szCs w:val="20"/>
          <w:color w:val="auto"/>
        </w:rPr>
      </w:pPr>
      <w:r>
        <w:rPr>
          <w:rFonts w:ascii="Times New Roman" w:cs="Times New Roman" w:eastAsia="Times New Roman" w:hAnsi="Times New Roman"/>
          <w:sz w:val="18"/>
          <w:szCs w:val="18"/>
          <w:color w:val="auto"/>
        </w:rPr>
        <w:t>, a</w:t>
      </w:r>
      <w:r>
        <w:rPr>
          <w:sz w:val="20"/>
          <w:szCs w:val="20"/>
          <w:color w:val="auto"/>
        </w:rPr>
        <w:tab/>
      </w:r>
      <w:r>
        <w:rPr>
          <w:rFonts w:ascii="Times New Roman" w:cs="Times New Roman" w:eastAsia="Times New Roman" w:hAnsi="Times New Roman"/>
          <w:sz w:val="18"/>
          <w:szCs w:val="18"/>
          <w:color w:val="auto"/>
        </w:rPr>
        <w:t>organized under the laws of</w:t>
      </w:r>
    </w:p>
    <w:p>
      <w:pPr>
        <w:spacing w:after="0" w:line="20" w:lineRule="exact"/>
        <w:rPr>
          <w:sz w:val="20"/>
          <w:szCs w:val="20"/>
          <w:color w:val="auto"/>
        </w:rPr>
      </w:pPr>
      <w:r>
        <w:rPr>
          <w:sz w:val="20"/>
          <w:szCs w:val="20"/>
          <w:color w:val="auto"/>
        </w:rPr>
        <w:br w:type="column"/>
      </w:r>
    </w:p>
    <w:p>
      <w:pPr>
        <w:ind w:right="300" w:hanging="904"/>
        <w:spacing w:after="0" w:line="282" w:lineRule="auto"/>
        <w:rPr>
          <w:sz w:val="20"/>
          <w:szCs w:val="20"/>
          <w:color w:val="auto"/>
        </w:rPr>
      </w:pPr>
      <w:r>
        <w:rPr>
          <w:rFonts w:ascii="Times New Roman" w:cs="Times New Roman" w:eastAsia="Times New Roman" w:hAnsi="Times New Roman"/>
          <w:sz w:val="18"/>
          <w:szCs w:val="18"/>
          <w:color w:val="auto"/>
        </w:rPr>
        <w:t>, by and between Sema4 Holdings Corp., a Delaware corporation, as Issuer (the “Company”) and , as Trustee (the “Trustee”).</w:t>
      </w:r>
    </w:p>
    <w:p>
      <w:pPr>
        <w:spacing w:after="0" w:line="200" w:lineRule="exact"/>
        <w:rPr>
          <w:sz w:val="20"/>
          <w:szCs w:val="20"/>
          <w:color w:val="auto"/>
        </w:rPr>
      </w:pPr>
    </w:p>
    <w:p>
      <w:pPr>
        <w:sectPr>
          <w:pgSz w:w="11900" w:h="16838" w:orient="portrait"/>
          <w:cols w:equalWidth="0" w:num="2">
            <w:col w:w="4100" w:space="720"/>
            <w:col w:w="6400"/>
          </w:cols>
          <w:pgMar w:left="320" w:top="1417" w:right="359" w:bottom="1440" w:gutter="0" w:footer="0" w:header="0"/>
        </w:sectPr>
      </w:pPr>
    </w:p>
    <w:p>
      <w:pPr>
        <w:spacing w:after="0" w:line="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RECITALS OF THE COMPANY</w:t>
      </w:r>
    </w:p>
    <w:p>
      <w:pPr>
        <w:spacing w:after="0" w:line="229" w:lineRule="exact"/>
        <w:rPr>
          <w:sz w:val="20"/>
          <w:szCs w:val="20"/>
          <w:color w:val="auto"/>
        </w:rPr>
      </w:pPr>
    </w:p>
    <w:p>
      <w:pPr>
        <w:jc w:val="both"/>
        <w:ind w:right="140" w:firstLine="441"/>
        <w:spacing w:after="0" w:line="266" w:lineRule="auto"/>
        <w:rPr>
          <w:sz w:val="20"/>
          <w:szCs w:val="20"/>
          <w:color w:val="auto"/>
        </w:rPr>
      </w:pPr>
      <w:r>
        <w:rPr>
          <w:rFonts w:ascii="Times New Roman" w:cs="Times New Roman" w:eastAsia="Times New Roman" w:hAnsi="Times New Roman"/>
          <w:sz w:val="18"/>
          <w:szCs w:val="18"/>
          <w:color w:val="auto"/>
        </w:rPr>
        <w:t>The Company has duly authorized the execution and delivery of this Indenture to provide for the issuance from time to time of its debentures, notes or other evidences of indebtedness to be issued in one or more series (the “Securities”), as herein provided, up to such principal amount as may from time to time be authorized in or pursuant to one or more resolutions of the Board of Directors or by supplemental indenture.</w:t>
      </w:r>
    </w:p>
    <w:p>
      <w:pPr>
        <w:spacing w:after="0" w:line="176" w:lineRule="exact"/>
        <w:rPr>
          <w:sz w:val="20"/>
          <w:szCs w:val="20"/>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All things necessary to make this Indenture a valid agreement of the Company in accordance with its terms have been done, and the execution and delivery thereof have been in all respects duly authorized by the parties hereto.</w:t>
      </w: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NOW, THEREFORE, THIS INDENTURE WITNESSETH:</w:t>
      </w:r>
    </w:p>
    <w:p>
      <w:pPr>
        <w:spacing w:after="0" w:line="229" w:lineRule="exact"/>
        <w:rPr>
          <w:sz w:val="20"/>
          <w:szCs w:val="20"/>
          <w:color w:val="auto"/>
        </w:rPr>
      </w:pPr>
    </w:p>
    <w:p>
      <w:pPr>
        <w:ind w:right="880" w:firstLine="441"/>
        <w:spacing w:after="0" w:line="282" w:lineRule="auto"/>
        <w:rPr>
          <w:sz w:val="20"/>
          <w:szCs w:val="20"/>
          <w:color w:val="auto"/>
        </w:rPr>
      </w:pPr>
      <w:r>
        <w:rPr>
          <w:rFonts w:ascii="Times New Roman" w:cs="Times New Roman" w:eastAsia="Times New Roman" w:hAnsi="Times New Roman"/>
          <w:sz w:val="18"/>
          <w:szCs w:val="18"/>
          <w:color w:val="auto"/>
        </w:rPr>
        <w:t>For and in consideration of the premises and the purchase of the Securities by the Holders thereof, it is mutually agreed, for the equal and proportionate benefit of all Holders of the Securities of a Series thereof, as follows:</w:t>
      </w: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 –</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DEFINITIONS AND INCORPORATION BY REFERENCE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DEFINITIONS.</w:t>
      </w:r>
    </w:p>
    <w:p>
      <w:pPr>
        <w:spacing w:after="0" w:line="121"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“Affiliate” of any specified Person means any other Person which, directly or indirectly through one or more intermediaries, controls, or is controlled by or is under common control with, such specified Person. For the purposes of this definition, “control” (including, with correlative meanings, the terms “controlling,” “controlled by” and “under common control with”), as used with respect to any Person, means the possession, directly or indirectly, of the power to direct or cause the direction of the management or policies of such Person, whether through the ownership of voting securities, by agreement or otherwise.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“Agent” means any Registrar, Paying Agent, co-registrar or agent for service of notices and demands.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“Board of Directors” means the Board of Directors of the Company or any committee duly authorized to act therefor.</w:t>
      </w:r>
    </w:p>
    <w:p>
      <w:pPr>
        <w:spacing w:after="0" w:line="225"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“Board Resolution” means a copy of a resolution certified pursuant to an Officers’ Certificate to have been duly adopted by the Board of Directors of the Company and to be in full force and effect on the date of such certification which has been delivered to the Trustee.</w:t>
      </w:r>
    </w:p>
    <w:p>
      <w:pPr>
        <w:spacing w:after="0" w:line="162"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“Capital Stock” means, with respect to any Person, any and all shares or other equivalents (however designated) of capital stock, partnership interests or any other participation, right or other interest in the nature of an equity interest in such Person or any option, warrant or other security convertible into any of the foregoing.</w:t>
      </w:r>
    </w:p>
    <w:p>
      <w:pPr>
        <w:spacing w:after="0" w:line="176"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“Company” means the party named as such in the first paragraph of this Indenture until a successor replaces such party pursuant to Article 5 of this Indenture, and thereafter means the successor and any other primary obligor on the Securities.</w:t>
      </w:r>
    </w:p>
    <w:p>
      <w:pPr>
        <w:spacing w:after="0" w:line="162"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“Company Order” means a written order signed in the name of the Company by two Officers, one of whom must be its Chief Executive Officer or its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20"/>
          </w:cols>
          <w:pgMar w:left="320" w:top="1417" w:right="359" w:bottom="1440" w:gutter="0" w:footer="0" w:header="0"/>
          <w:type w:val="continuous"/>
        </w:sectPr>
      </w:pPr>
    </w:p>
    <w:bookmarkStart w:id="54" w:name="page55"/>
    <w:bookmarkEnd w:id="54"/>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“Company Request” means any written request signed in the name of the Company by its Chief Executive Officer, its President, any Vice President, its Chief Financial Officer or its Treasurer and attested to by its Secretary or any Assistant Secretary.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“Corporate Trust Office” means the office of the Trustee at which at any particular time its corporate trust business shall be principally administered.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“Default” means any event that is, or that with the passing of time or giving of notice or both would be, an Event of Default.</w:t>
      </w:r>
    </w:p>
    <w:p>
      <w:pPr>
        <w:spacing w:after="0" w:line="225"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“Depository” means, with respect to the Securities of any Series issuable or issued in whole or in part in the form of one or more Global Securities, the Person designated as Depository for such Series by the Company, which Depository shall be a clearing agency registered under the Exchange Act, until a successor Depository shall have become such pursuant to the applicable provisions of this Indenture, and thereafter “Depository” shall mean each Person who is then a Depository hereunder, and if at any time there is more than one such Person, such Persons.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“Dollars” means the currency of the United States of America.</w:t>
      </w:r>
    </w:p>
    <w:p>
      <w:pPr>
        <w:spacing w:after="0" w:line="225" w:lineRule="exact"/>
        <w:rPr>
          <w:sz w:val="20"/>
          <w:szCs w:val="20"/>
          <w:color w:val="auto"/>
        </w:rPr>
      </w:pPr>
    </w:p>
    <w:p>
      <w:pPr>
        <w:ind w:right="280" w:firstLine="441"/>
        <w:spacing w:after="0" w:line="282" w:lineRule="auto"/>
        <w:rPr>
          <w:sz w:val="20"/>
          <w:szCs w:val="20"/>
          <w:color w:val="auto"/>
        </w:rPr>
      </w:pPr>
      <w:r>
        <w:rPr>
          <w:rFonts w:ascii="Times New Roman" w:cs="Times New Roman" w:eastAsia="Times New Roman" w:hAnsi="Times New Roman"/>
          <w:sz w:val="18"/>
          <w:szCs w:val="18"/>
          <w:color w:val="auto"/>
        </w:rPr>
        <w:t>“Euro” means the single currency of participating member states of the economic and monetary union as contemplated in the Treaty on European Union.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“Foreign Currency” means any currency or currency unit issued by a government other than the government of the United States of America.</w:t>
      </w:r>
    </w:p>
    <w:p>
      <w:pPr>
        <w:spacing w:after="0" w:line="225" w:lineRule="exact"/>
        <w:rPr>
          <w:sz w:val="20"/>
          <w:szCs w:val="20"/>
          <w:color w:val="auto"/>
        </w:rPr>
      </w:pPr>
    </w:p>
    <w:p>
      <w:pPr>
        <w:ind w:right="100" w:firstLine="441"/>
        <w:spacing w:after="0" w:line="258" w:lineRule="auto"/>
        <w:rPr>
          <w:sz w:val="20"/>
          <w:szCs w:val="20"/>
          <w:color w:val="auto"/>
        </w:rPr>
      </w:pPr>
      <w:r>
        <w:rPr>
          <w:rFonts w:ascii="Times New Roman" w:cs="Times New Roman" w:eastAsia="Times New Roman" w:hAnsi="Times New Roman"/>
          <w:sz w:val="18"/>
          <w:szCs w:val="18"/>
          <w:color w:val="auto"/>
        </w:rPr>
        <w:t>“Foreign Government Obligations” means, with respect to Securities that are denominated in a Foreign Currency, (i) direct obligations of the government that issued or caused to be issued such currency for the payment of which obligations its full faith and credit is pledged or (ii) obligations of a Person controlled or supervised by, or acting as an agency or instrumentality of, such government, the timely payment of which is unconditionally guaranteed as a full faith and credit obligation by such government, which, in either case under clauses (i) and (ii), are not callable or redeemable at the option of the issuer thereof.</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“GAAP” means generally accepted accounting principles consistently applied as in effect in the United States of America from time to time.</w:t>
      </w:r>
    </w:p>
    <w:p>
      <w:pPr>
        <w:spacing w:after="0" w:line="225" w:lineRule="exact"/>
        <w:rPr>
          <w:sz w:val="20"/>
          <w:szCs w:val="20"/>
          <w:color w:val="auto"/>
        </w:rPr>
      </w:pPr>
    </w:p>
    <w:p>
      <w:pPr>
        <w:ind w:right="320" w:firstLine="441"/>
        <w:spacing w:after="0" w:line="261" w:lineRule="auto"/>
        <w:rPr>
          <w:sz w:val="20"/>
          <w:szCs w:val="20"/>
          <w:color w:val="auto"/>
        </w:rPr>
      </w:pPr>
      <w:r>
        <w:rPr>
          <w:rFonts w:ascii="Times New Roman" w:cs="Times New Roman" w:eastAsia="Times New Roman" w:hAnsi="Times New Roman"/>
          <w:sz w:val="18"/>
          <w:szCs w:val="18"/>
          <w:color w:val="auto"/>
        </w:rPr>
        <w:t>“Global Security” or “Global Securities” means a Security or Securities, as the case may be, in the form established pursuant to Section 2.2, evidencing all or part of a Series of Securities issued to the Depository for such Series or its nominee, and registered in the name of such Depository or nominee, and bearing the legend set forth in Section 2.15(c) (or such other legend(s) as may be applied to such Securities in accordance with Section 2.2(24)).</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“Holder” or “Securityholder” means the Person in whose name a Security is registered on the Registrar’s books.</w:t>
      </w:r>
    </w:p>
    <w:p>
      <w:pPr>
        <w:spacing w:after="0" w:line="225" w:lineRule="exact"/>
        <w:rPr>
          <w:sz w:val="20"/>
          <w:szCs w:val="20"/>
          <w:color w:val="auto"/>
        </w:rPr>
      </w:pPr>
    </w:p>
    <w:p>
      <w:pPr>
        <w:ind w:firstLine="441"/>
        <w:spacing w:after="0" w:line="277" w:lineRule="auto"/>
        <w:rPr>
          <w:sz w:val="20"/>
          <w:szCs w:val="20"/>
          <w:color w:val="auto"/>
        </w:rPr>
      </w:pPr>
      <w:r>
        <w:rPr>
          <w:rFonts w:ascii="Times New Roman" w:cs="Times New Roman" w:eastAsia="Times New Roman" w:hAnsi="Times New Roman"/>
          <w:sz w:val="17"/>
          <w:szCs w:val="17"/>
          <w:color w:val="auto"/>
        </w:rPr>
        <w:t>“Indebtedness” means (without duplication), with respect to any Person, any indebtedness at any time outstanding, secured or unsecured, contingent or otherwise, which is for borrowed money (whether or not the recourse of the lender is to the whole of the assets of such Person or only to a portion thereof), or evidenced by bonds, notes, debentures or similar instruments, or representing the balance, deferred and unpaid, of the purchase price of any property (excluding any balances that constitute accounts payable or trade payables, and other accrued liabilities arising in the ordinary course of business), if and to the extent any of the foregoing indebtedness would appear as a liability upon a balance sheet of such Person prepared in accordance with GAAP.</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“Indenture” means this Indenture as amended, restated or supplemented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00"/>
          </w:cols>
          <w:pgMar w:left="320" w:top="1417" w:right="379" w:bottom="1440" w:gutter="0" w:footer="0" w:header="0"/>
        </w:sectPr>
      </w:pPr>
    </w:p>
    <w:bookmarkStart w:id="55" w:name="page56"/>
    <w:bookmarkEnd w:id="55"/>
    <w:p>
      <w:pPr>
        <w:ind w:left="440"/>
        <w:spacing w:after="0"/>
        <w:rPr>
          <w:sz w:val="20"/>
          <w:szCs w:val="20"/>
          <w:color w:val="auto"/>
        </w:rPr>
      </w:pPr>
      <w:r>
        <w:rPr>
          <w:rFonts w:ascii="Times New Roman" w:cs="Times New Roman" w:eastAsia="Times New Roman" w:hAnsi="Times New Roman"/>
          <w:sz w:val="18"/>
          <w:szCs w:val="18"/>
          <w:color w:val="auto"/>
        </w:rPr>
        <w:t>“Interest Payment Date,” when used with respect to any Security, means the Stated Maturity of an installment of interest on such Security.</w:t>
      </w:r>
    </w:p>
    <w:p>
      <w:pPr>
        <w:spacing w:after="0" w:line="225"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“Lien” means, with respect to any property or assets of any Person, any mortgage or deed of trust, pledge, hypothecation, assignment, deposit arrangement, security interest, lien, charge, easement, encumbrance, preference, priority or other security agreement or preferential arrangement of any kind or nature whatsoever on or with respect to such property or assets (including, without limitation, any capitalized lease obligation, conditional sales or other title retention agreement having substantially the same economic effect as any of the foregoing).</w:t>
      </w:r>
    </w:p>
    <w:p>
      <w:pPr>
        <w:spacing w:after="0" w:line="180"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“Maturity,” when used with respect to any Security, means the date on which the principal of such Security, or an installment of principal, becomes due and payable as therein or herein provided, whether at the Stated Maturity or by declaration of acceleration, call for redemption, notice of option to elect payment or otherwise.</w:t>
      </w:r>
    </w:p>
    <w:p>
      <w:pPr>
        <w:spacing w:after="0" w:line="176" w:lineRule="exact"/>
        <w:rPr>
          <w:sz w:val="20"/>
          <w:szCs w:val="20"/>
          <w:color w:val="auto"/>
        </w:rPr>
      </w:pPr>
    </w:p>
    <w:p>
      <w:pPr>
        <w:ind w:right="400" w:firstLine="441"/>
        <w:spacing w:after="0" w:line="282" w:lineRule="auto"/>
        <w:rPr>
          <w:sz w:val="20"/>
          <w:szCs w:val="20"/>
          <w:color w:val="auto"/>
        </w:rPr>
      </w:pPr>
      <w:r>
        <w:rPr>
          <w:rFonts w:ascii="Times New Roman" w:cs="Times New Roman" w:eastAsia="Times New Roman" w:hAnsi="Times New Roman"/>
          <w:sz w:val="18"/>
          <w:szCs w:val="18"/>
          <w:color w:val="auto"/>
        </w:rPr>
        <w:t>“Officer” means the Chief Executive Officer, the President, any Vice President, the Chief Financial Officer, the Treasurer or the Secretary of the Company, or any other officer designated by the Board of Directors, as the case may be.</w:t>
      </w:r>
    </w:p>
    <w:p>
      <w:pPr>
        <w:spacing w:after="0" w:line="162" w:lineRule="exact"/>
        <w:rPr>
          <w:sz w:val="20"/>
          <w:szCs w:val="20"/>
          <w:color w:val="auto"/>
        </w:rPr>
      </w:pPr>
    </w:p>
    <w:p>
      <w:pPr>
        <w:ind w:right="440" w:firstLine="441"/>
        <w:spacing w:after="0" w:line="282" w:lineRule="auto"/>
        <w:rPr>
          <w:sz w:val="20"/>
          <w:szCs w:val="20"/>
          <w:color w:val="auto"/>
        </w:rPr>
      </w:pPr>
      <w:r>
        <w:rPr>
          <w:rFonts w:ascii="Times New Roman" w:cs="Times New Roman" w:eastAsia="Times New Roman" w:hAnsi="Times New Roman"/>
          <w:sz w:val="18"/>
          <w:szCs w:val="18"/>
          <w:color w:val="auto"/>
        </w:rPr>
        <w:t>“Officers’ Certificate” means, with respect to any Person, a certificate signed by the Chairman, Chief Executive Officer, President, any Vice President or Secretary and the Chief Financial Officer or any Treasurer of such Person, that shall comply with applicable provisions of this Indenture.</w:t>
      </w:r>
    </w:p>
    <w:p>
      <w:pPr>
        <w:spacing w:after="0" w:line="162" w:lineRule="exact"/>
        <w:rPr>
          <w:sz w:val="20"/>
          <w:szCs w:val="20"/>
          <w:color w:val="auto"/>
        </w:rPr>
      </w:pPr>
    </w:p>
    <w:p>
      <w:pPr>
        <w:ind w:right="340" w:firstLine="441"/>
        <w:spacing w:after="0" w:line="282" w:lineRule="auto"/>
        <w:rPr>
          <w:sz w:val="20"/>
          <w:szCs w:val="20"/>
          <w:color w:val="auto"/>
        </w:rPr>
      </w:pPr>
      <w:r>
        <w:rPr>
          <w:rFonts w:ascii="Times New Roman" w:cs="Times New Roman" w:eastAsia="Times New Roman" w:hAnsi="Times New Roman"/>
          <w:sz w:val="18"/>
          <w:szCs w:val="18"/>
          <w:color w:val="auto"/>
        </w:rPr>
        <w:t>“Opinion of Counsel” means a written opinion from legal counsel, which counsel is reasonably acceptable to the Trustee. The counsel may be an employee of or outside counsel to the Company.</w:t>
      </w:r>
    </w:p>
    <w:p>
      <w:pPr>
        <w:spacing w:after="0" w:line="162" w:lineRule="exact"/>
        <w:rPr>
          <w:sz w:val="20"/>
          <w:szCs w:val="20"/>
          <w:color w:val="auto"/>
        </w:rPr>
      </w:pPr>
    </w:p>
    <w:p>
      <w:pPr>
        <w:ind w:right="920" w:firstLine="441"/>
        <w:spacing w:after="0" w:line="282" w:lineRule="auto"/>
        <w:rPr>
          <w:sz w:val="20"/>
          <w:szCs w:val="20"/>
          <w:color w:val="auto"/>
        </w:rPr>
      </w:pPr>
      <w:r>
        <w:rPr>
          <w:rFonts w:ascii="Times New Roman" w:cs="Times New Roman" w:eastAsia="Times New Roman" w:hAnsi="Times New Roman"/>
          <w:sz w:val="18"/>
          <w:szCs w:val="18"/>
          <w:color w:val="auto"/>
        </w:rPr>
        <w:t>“Person” means any individual, corporation, limited liability company, partnership, joint venture, association, joint-stock company, trust, unincorporated organization or government (including any agency or political subdivision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“Redemption Date,” when used with respect to any Security to be redeemed, means the date fixed for such redemption pursuant to this Indenture.</w:t>
      </w:r>
    </w:p>
    <w:p>
      <w:pPr>
        <w:spacing w:after="0" w:line="225" w:lineRule="exact"/>
        <w:rPr>
          <w:sz w:val="20"/>
          <w:szCs w:val="20"/>
          <w:color w:val="auto"/>
        </w:rPr>
      </w:pPr>
    </w:p>
    <w:p>
      <w:pPr>
        <w:ind w:right="180" w:firstLine="441"/>
        <w:spacing w:after="0" w:line="261" w:lineRule="auto"/>
        <w:rPr>
          <w:sz w:val="20"/>
          <w:szCs w:val="20"/>
          <w:color w:val="auto"/>
        </w:rPr>
      </w:pPr>
      <w:r>
        <w:rPr>
          <w:rFonts w:ascii="Times New Roman" w:cs="Times New Roman" w:eastAsia="Times New Roman" w:hAnsi="Times New Roman"/>
          <w:sz w:val="18"/>
          <w:szCs w:val="18"/>
          <w:color w:val="auto"/>
        </w:rPr>
        <w:t>“Responsible Officer,” when used with respect to the Trustee, means any officer within the corporate trust department or division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180"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“SEC” means the United States Securities and Exchange Commission as constituted from time to time, or any successor performing substantially the same functions.</w:t>
      </w:r>
    </w:p>
    <w:p>
      <w:pPr>
        <w:spacing w:after="0" w:line="162" w:lineRule="exact"/>
        <w:rPr>
          <w:sz w:val="20"/>
          <w:szCs w:val="20"/>
          <w:color w:val="auto"/>
        </w:rPr>
      </w:pPr>
    </w:p>
    <w:p>
      <w:pPr>
        <w:ind w:right="560" w:firstLine="441"/>
        <w:spacing w:after="0" w:line="282" w:lineRule="auto"/>
        <w:rPr>
          <w:sz w:val="20"/>
          <w:szCs w:val="20"/>
          <w:color w:val="auto"/>
        </w:rPr>
      </w:pPr>
      <w:r>
        <w:rPr>
          <w:rFonts w:ascii="Times New Roman" w:cs="Times New Roman" w:eastAsia="Times New Roman" w:hAnsi="Times New Roman"/>
          <w:sz w:val="18"/>
          <w:szCs w:val="18"/>
          <w:color w:val="auto"/>
        </w:rPr>
        <w:t>“Securities” means the securities that are issued under this Indenture, as amended, restated or supplemented from time to time pursuant to this Indenture.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“Securities Act” means the Securities Act of 1933, as amended.</w:t>
      </w:r>
    </w:p>
    <w:p>
      <w:pPr>
        <w:spacing w:after="0" w:line="225"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“Series” or “Series of Securities” means each series of debentures, notes or other debt instruments of the Company created pursuant to Sections 2.1 and 2.2.</w:t>
      </w:r>
    </w:p>
    <w:p>
      <w:pPr>
        <w:spacing w:after="0" w:line="162"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“Significant Subsidiary” means (i) any direct or indirect Subsidiary of the Company that would be a “significant subsidiary” as defined in Article 1, Rule 1-02 of Regulation S-X, promulgated pursuant to the Securities Act, as such regulation is in effect on the date hereof, or (ii) any group of direct or indirect Subsidiaries of the Company that, taken together as a group, would be a “significant subsidiary” as defined in Article 1, Rule 1-02 of Regulation S-X, promulgated pursuant to the Securities Act, as such regulation is in effect on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417" w:right="359" w:bottom="1440" w:gutter="0" w:footer="0" w:header="0"/>
        </w:sectPr>
      </w:pPr>
    </w:p>
    <w:bookmarkStart w:id="56" w:name="page57"/>
    <w:bookmarkEnd w:id="56"/>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“Stated Maturity,” when used with respect to any Security or any installment of principal thereof or interest thereon, means the date specified in such Security as the fixed date on which the principal of such Security and the interest thereon, or such installment of principal or interest, is due and payable, and when used with respect to any other Indebtedness, means the date specified in the instrument governing such Indebtedness as the fixed date on which the principal of such Indebtedness, or any installment of interest thereon, is due and payable.</w:t>
      </w:r>
    </w:p>
    <w:p>
      <w:pPr>
        <w:spacing w:after="0" w:line="180"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“Subsidiary” of any specified Person means any corporation, limited liability company, partnership, joint venture, association or other business entity, whether now existing or hereafter organized or acquired, (i) in the case of a corporation, of which more than 50% of the total voting power of the Capital Stock entitled (without regard to the occurrence of any contingency) to vote in the election of directors thereof is held, directly or indirectly, by such Person or any of its Subsidiaries; or (ii) in the case of a partnership, joint venture, association or other business entity, with respect to which such Person or any of its Subsidiaries has the power to direct or cause the direction of the management and policies of such entity by contract or otherwise, or if in accordance with GAAP such entity is consolidated with such Person for financial statement purposes.</w:t>
      </w:r>
    </w:p>
    <w:p>
      <w:pPr>
        <w:spacing w:after="0" w:line="187"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“TIA” means the Trust Indenture Act of 1939 (15 U.S. Code Section 77aaa-77bbbb) as in effect on the date of this Indenture (except as provided in Section 8.3).</w:t>
      </w:r>
    </w:p>
    <w:p>
      <w:pPr>
        <w:spacing w:after="0" w:line="162"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“Trustee” means the party named as such in this Indenture until a successor replaces it pursuant to this Indenture, and thereafter means the successor, and if at any time there is more than one such Person, “Trustee” as used with respect to the Securities of any Series shall mean the Trustee with respect to Securities of that Series.</w:t>
      </w:r>
    </w:p>
    <w:p>
      <w:pPr>
        <w:spacing w:after="0" w:line="176"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“U.S. Government Obligations” means direct non-callable obligations of, or non-callable obligations guaranteed by, the United States of America for the payment of which obligation or guarantee the full faith and credit of the United States of America is pledged.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1.2. OTHER DEFINITIONS.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definitions of the following terms may be found in the sections indicated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5540" w:type="dxa"/>
            <w:vAlign w:val="bottom"/>
          </w:tcPr>
          <w:p>
            <w:pPr>
              <w:ind w:left="2000"/>
              <w:spacing w:after="0"/>
              <w:rPr>
                <w:sz w:val="20"/>
                <w:szCs w:val="20"/>
                <w:color w:val="auto"/>
              </w:rPr>
            </w:pPr>
            <w:r>
              <w:rPr>
                <w:rFonts w:ascii="Times New Roman" w:cs="Times New Roman" w:eastAsia="Times New Roman" w:hAnsi="Times New Roman"/>
                <w:sz w:val="14"/>
                <w:szCs w:val="14"/>
                <w:b w:val="1"/>
                <w:bCs w:val="1"/>
                <w:color w:val="auto"/>
              </w:rPr>
              <w:t>DEFINED IN SECTION</w:t>
            </w:r>
          </w:p>
        </w:tc>
      </w:tr>
      <w:tr>
        <w:trPr>
          <w:trHeight w:val="23"/>
        </w:trPr>
        <w:tc>
          <w:tcPr>
            <w:tcW w:w="53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22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“Bankruptcy Law”</w:t>
            </w:r>
          </w:p>
        </w:tc>
        <w:tc>
          <w:tcPr>
            <w:tcW w:w="320" w:type="dxa"/>
            <w:vAlign w:val="bottom"/>
          </w:tcPr>
          <w:p>
            <w:pPr>
              <w:spacing w:after="0"/>
              <w:rPr>
                <w:sz w:val="19"/>
                <w:szCs w:val="19"/>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6.1</w:t>
            </w:r>
          </w:p>
        </w:tc>
      </w:tr>
      <w:tr>
        <w:trPr>
          <w:trHeight w:val="279"/>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“Business Day”</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r>
      <w:tr>
        <w:trPr>
          <w:trHeight w:val="28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“Covenant Defeasance”</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9.3</w:t>
            </w:r>
          </w:p>
        </w:tc>
      </w:tr>
      <w:tr>
        <w:trPr>
          <w:trHeight w:val="28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“Custodian”</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6.1</w:t>
            </w:r>
          </w:p>
        </w:tc>
      </w:tr>
      <w:tr>
        <w:trPr>
          <w:trHeight w:val="28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“Event of Default”</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6.1</w:t>
            </w:r>
          </w:p>
        </w:tc>
      </w:tr>
      <w:tr>
        <w:trPr>
          <w:trHeight w:val="378"/>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“Journal”</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r>
      <w:tr>
        <w:trPr>
          <w:trHeight w:val="28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“Judgment Currency”</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r>
      <w:tr>
        <w:trPr>
          <w:trHeight w:val="28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“Legal Defeasance”</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9.2</w:t>
            </w:r>
          </w:p>
        </w:tc>
      </w:tr>
      <w:tr>
        <w:trPr>
          <w:trHeight w:val="28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“Legal Holiday”</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r>
      <w:tr>
        <w:trPr>
          <w:trHeight w:val="28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 Exchange Rate”</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r>
      <w:tr>
        <w:trPr>
          <w:trHeight w:val="284"/>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Paying Agent”</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r>
      <w:tr>
        <w:trPr>
          <w:trHeight w:val="28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“Paying Agent”</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r>
      <w:tr>
        <w:trPr>
          <w:trHeight w:val="28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“Place of Payment”</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r>
      <w:tr>
        <w:trPr>
          <w:trHeight w:val="28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“Registrar”</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r>
      <w:tr>
        <w:trPr>
          <w:trHeight w:val="28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“Required Currency”</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r>
      <w:tr>
        <w:trPr>
          <w:trHeight w:val="284"/>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 Agent”</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INCORPORATION BY REFERENCE OF TRUST INDENTURE ACT.</w:t>
      </w:r>
    </w:p>
    <w:p>
      <w:pPr>
        <w:spacing w:after="0" w:line="121"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Whenever this Indenture refers to a provision of the TIA, the portion of such provision required to be incorporated herein in order for this Indenture to be qualified under the TIA is incorporated by reference in and made a part of this Indenture. The following TIA terms used in this Indenture have the following meanings: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“Commission” means the SEC.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“Indenture securities” means the Securities.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“Indenture securityholder” means a Holder or Securityholder.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“Indenture to be qualified” means this Indenture.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“Indenture trustee” or “institutional trustee” means the Trustee.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“Obligor on the indenture securities” means the Company or any other obligor on the Securities.</w:t>
      </w:r>
    </w:p>
    <w:p>
      <w:pPr>
        <w:spacing w:after="0" w:line="225"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All other terms used in this Indenture that are defined by the TIA, defined in the TIA by reference to another statute or defined by SEC rule have the meanings therein assigned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1.4. RULES OF CONSTRUCTION.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225" w:lineRule="exact"/>
        <w:rPr>
          <w:sz w:val="20"/>
          <w:szCs w:val="20"/>
          <w:color w:val="auto"/>
        </w:rPr>
      </w:pPr>
    </w:p>
    <w:p>
      <w:pPr>
        <w:ind w:left="1140" w:hanging="251"/>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 herein, whether defined expressly or by reference;</w:t>
      </w:r>
    </w:p>
    <w:p>
      <w:pPr>
        <w:spacing w:after="0" w:line="225" w:lineRule="exact"/>
        <w:rPr>
          <w:rFonts w:ascii="Times New Roman" w:cs="Times New Roman" w:eastAsia="Times New Roman" w:hAnsi="Times New Roman"/>
          <w:sz w:val="18"/>
          <w:szCs w:val="18"/>
          <w:color w:val="auto"/>
        </w:rPr>
      </w:pPr>
    </w:p>
    <w:p>
      <w:pPr>
        <w:ind w:right="260" w:firstLine="889"/>
        <w:spacing w:after="0" w:line="282" w:lineRule="auto"/>
        <w:tabs>
          <w:tab w:leader="none" w:pos="11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herein, all accounting terms used herein shall be interpreted, all accounting determinations hereunder shall be made, and all financial statements required to be delivered hereunder shall be prepared in accordance with GAAP;</w:t>
      </w:r>
    </w:p>
    <w:p>
      <w:pPr>
        <w:spacing w:after="0" w:line="16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used herein implying any gender shall apply to each gender;</w:t>
      </w:r>
    </w:p>
    <w:p>
      <w:pPr>
        <w:spacing w:after="0" w:line="225" w:lineRule="exact"/>
        <w:rPr>
          <w:rFonts w:ascii="Times New Roman" w:cs="Times New Roman" w:eastAsia="Times New Roman" w:hAnsi="Times New Roman"/>
          <w:sz w:val="18"/>
          <w:szCs w:val="18"/>
          <w:color w:val="auto"/>
        </w:rPr>
      </w:pPr>
    </w:p>
    <w:p>
      <w:pPr>
        <w:ind w:right="100" w:firstLine="889"/>
        <w:spacing w:after="0" w:line="282" w:lineRule="auto"/>
        <w:tabs>
          <w:tab w:leader="none" w:pos="11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other words of similar import refer to this Indenture as a whole and not to any particular Article, Section or other subdivision; and</w:t>
      </w:r>
    </w:p>
    <w:p>
      <w:pPr>
        <w:spacing w:after="0" w:line="16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refers to Dollars, or such other money of the United States that at the time of payment is legal tender for payment of public and private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debts.</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 –</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ISSUABLE IN SERIES.</w:t>
      </w:r>
    </w:p>
    <w:p>
      <w:pPr>
        <w:spacing w:after="0" w:line="121" w:lineRule="exact"/>
        <w:rPr>
          <w:sz w:val="20"/>
          <w:szCs w:val="20"/>
          <w:color w:val="auto"/>
        </w:rPr>
      </w:pPr>
    </w:p>
    <w:p>
      <w:pPr>
        <w:ind w:left="440"/>
        <w:spacing w:after="0"/>
        <w:tabs>
          <w:tab w:leader="none" w:pos="8920" w:val="left"/>
          <w:tab w:leader="none" w:pos="9540" w:val="left"/>
          <w:tab w:leader="none" w:pos="10180" w:val="left"/>
        </w:tabs>
        <w:rPr>
          <w:sz w:val="20"/>
          <w:szCs w:val="20"/>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 The</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Securities may be issued in one or more Series. All Securities of a Series shall be identical except as may be set forth in a Board Resolution, a supplemental indenture or an Officers’ Certificate detailing the adoption of the terms thereof pursuant to the authority granted under a Board Resolution. In the case of Securities of a Series to be issued from time to time, the Board Resolution, Officers’ Certificate or supplemental indenture may provide for the method by which specified terms (such as interest rate, Stated Maturity,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ESTABLISHMENT OF TERMS OF SERIES OF SECURITIES.</w:t>
      </w:r>
    </w:p>
    <w:p>
      <w:pPr>
        <w:spacing w:after="0" w:line="121" w:lineRule="exact"/>
        <w:rPr>
          <w:sz w:val="20"/>
          <w:szCs w:val="20"/>
          <w:color w:val="auto"/>
        </w:rPr>
      </w:pPr>
    </w:p>
    <w:p>
      <w:pPr>
        <w:ind w:right="260" w:firstLine="441"/>
        <w:spacing w:after="0" w:line="266" w:lineRule="auto"/>
        <w:rPr>
          <w:sz w:val="20"/>
          <w:szCs w:val="20"/>
          <w:color w:val="auto"/>
        </w:rPr>
      </w:pPr>
      <w:r>
        <w:rPr>
          <w:rFonts w:ascii="Times New Roman" w:cs="Times New Roman" w:eastAsia="Times New Roman" w:hAnsi="Times New Roman"/>
          <w:sz w:val="18"/>
          <w:szCs w:val="18"/>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2.2(24)) by a Board Resolution, a supplemental indenture or an Officers’ Certificate, in each case, pursuant to authority granted under a Board Resolution:</w:t>
      </w:r>
    </w:p>
    <w:p>
      <w:pPr>
        <w:spacing w:after="0" w:line="176" w:lineRule="exact"/>
        <w:rPr>
          <w:sz w:val="20"/>
          <w:szCs w:val="20"/>
          <w:color w:val="auto"/>
        </w:rPr>
      </w:pPr>
    </w:p>
    <w:p>
      <w:pPr>
        <w:ind w:left="1140" w:hanging="251"/>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(which shall distinguish the Securities of that particular Series from the Securities of any other Series);</w:t>
      </w:r>
    </w:p>
    <w:p>
      <w:pPr>
        <w:spacing w:after="0" w:line="225" w:lineRule="exact"/>
        <w:rPr>
          <w:rFonts w:ascii="Times New Roman" w:cs="Times New Roman" w:eastAsia="Times New Roman" w:hAnsi="Times New Roman"/>
          <w:sz w:val="18"/>
          <w:szCs w:val="18"/>
          <w:color w:val="auto"/>
        </w:rPr>
      </w:pPr>
    </w:p>
    <w:p>
      <w:pPr>
        <w:jc w:val="both"/>
        <w:ind w:right="20" w:firstLine="889"/>
        <w:spacing w:after="0" w:line="266" w:lineRule="auto"/>
        <w:tabs>
          <w:tab w:leader="none" w:pos="113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8.5);</w:t>
      </w:r>
    </w:p>
    <w:p>
      <w:pPr>
        <w:spacing w:after="0" w:line="17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thereof) at which the Securities of the Series will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20" w:top="1413" w:right="359" w:bottom="1440" w:gutter="0" w:footer="0" w:header="0"/>
        </w:sectPr>
      </w:pPr>
    </w:p>
    <w:bookmarkStart w:id="59" w:name="page60"/>
    <w:bookmarkEnd w:id="59"/>
    <w:p>
      <w:pPr>
        <w:ind w:left="1140" w:hanging="251"/>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225" w:lineRule="exact"/>
        <w:rPr>
          <w:rFonts w:ascii="Times New Roman" w:cs="Times New Roman" w:eastAsia="Times New Roman" w:hAnsi="Times New Roman"/>
          <w:sz w:val="18"/>
          <w:szCs w:val="18"/>
          <w:color w:val="auto"/>
        </w:rPr>
      </w:pPr>
    </w:p>
    <w:p>
      <w:pPr>
        <w:ind w:firstLine="889"/>
        <w:spacing w:after="0" w:line="261" w:lineRule="auto"/>
        <w:tabs>
          <w:tab w:leader="none" w:pos="113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79" w:lineRule="exact"/>
        <w:rPr>
          <w:rFonts w:ascii="Times New Roman" w:cs="Times New Roman" w:eastAsia="Times New Roman" w:hAnsi="Times New Roman"/>
          <w:sz w:val="18"/>
          <w:szCs w:val="18"/>
          <w:color w:val="auto"/>
        </w:rPr>
      </w:pPr>
    </w:p>
    <w:p>
      <w:pPr>
        <w:ind w:right="140" w:firstLine="889"/>
        <w:spacing w:after="0" w:line="282" w:lineRule="auto"/>
        <w:tabs>
          <w:tab w:leader="none" w:pos="113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interest and premium, if any, on, the Securities of the Series shall be payable, or the method of such payment, if by wire transfer, mail or other means;</w:t>
      </w:r>
    </w:p>
    <w:p>
      <w:pPr>
        <w:spacing w:after="0" w:line="161" w:lineRule="exact"/>
        <w:rPr>
          <w:rFonts w:ascii="Times New Roman" w:cs="Times New Roman" w:eastAsia="Times New Roman" w:hAnsi="Times New Roman"/>
          <w:sz w:val="18"/>
          <w:szCs w:val="18"/>
          <w:color w:val="auto"/>
        </w:rPr>
      </w:pPr>
    </w:p>
    <w:p>
      <w:pPr>
        <w:ind w:right="100" w:firstLine="889"/>
        <w:spacing w:after="0" w:line="282" w:lineRule="auto"/>
        <w:tabs>
          <w:tab w:leader="none" w:pos="113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period or periods within which, the price or prices at which and the terms and conditions upon which the Securities of the Series may be redeemed, in whole or in part, at the option of the Company;</w:t>
      </w:r>
    </w:p>
    <w:p>
      <w:pPr>
        <w:spacing w:after="0" w:line="161" w:lineRule="exact"/>
        <w:rPr>
          <w:rFonts w:ascii="Times New Roman" w:cs="Times New Roman" w:eastAsia="Times New Roman" w:hAnsi="Times New Roman"/>
          <w:sz w:val="18"/>
          <w:szCs w:val="18"/>
          <w:color w:val="auto"/>
        </w:rPr>
      </w:pPr>
    </w:p>
    <w:p>
      <w:pPr>
        <w:ind w:right="480" w:firstLine="889"/>
        <w:spacing w:after="0" w:line="266" w:lineRule="auto"/>
        <w:tabs>
          <w:tab w:leader="none" w:pos="113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75" w:lineRule="exact"/>
        <w:rPr>
          <w:rFonts w:ascii="Times New Roman" w:cs="Times New Roman" w:eastAsia="Times New Roman" w:hAnsi="Times New Roman"/>
          <w:sz w:val="18"/>
          <w:szCs w:val="18"/>
          <w:color w:val="auto"/>
        </w:rPr>
      </w:pPr>
    </w:p>
    <w:p>
      <w:pPr>
        <w:ind w:right="120" w:firstLine="889"/>
        <w:spacing w:after="0" w:line="282" w:lineRule="auto"/>
        <w:tabs>
          <w:tab w:leader="none" w:pos="113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if any, on which and the price or prices at which the Securities of the Series will be repurchased by the Company at the option of the Holders thereof, and other detailed terms and provisions of such repurchase obligations;</w:t>
      </w:r>
    </w:p>
    <w:p>
      <w:pPr>
        <w:spacing w:after="0" w:line="161" w:lineRule="exact"/>
        <w:rPr>
          <w:rFonts w:ascii="Times New Roman" w:cs="Times New Roman" w:eastAsia="Times New Roman" w:hAnsi="Times New Roman"/>
          <w:sz w:val="18"/>
          <w:szCs w:val="18"/>
          <w:color w:val="auto"/>
        </w:rPr>
      </w:pPr>
    </w:p>
    <w:p>
      <w:pPr>
        <w:ind w:left="1240" w:hanging="351"/>
        <w:spacing w:after="0"/>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$1,000 and any integral multiple thereof, the denominations in which the Securities of the Series shall be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issuable;</w:t>
      </w:r>
    </w:p>
    <w:p>
      <w:pPr>
        <w:spacing w:after="0" w:line="206" w:lineRule="exact"/>
        <w:rPr>
          <w:rFonts w:ascii="Times New Roman" w:cs="Times New Roman" w:eastAsia="Times New Roman" w:hAnsi="Times New Roman"/>
          <w:sz w:val="18"/>
          <w:szCs w:val="18"/>
          <w:color w:val="auto"/>
        </w:rPr>
      </w:pPr>
    </w:p>
    <w:p>
      <w:pPr>
        <w:ind w:right="140" w:firstLine="889"/>
        <w:spacing w:after="0" w:line="282" w:lineRule="auto"/>
        <w:tabs>
          <w:tab w:leader="none" w:pos="121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forms of the Securities of the Series in bearer (if to be issued outside of the United States of America) or fully registered form (and, if in fully registered form, whether the Securities will be issuable as Global Securities);</w:t>
      </w:r>
    </w:p>
    <w:p>
      <w:pPr>
        <w:spacing w:after="0" w:line="161" w:lineRule="exact"/>
        <w:rPr>
          <w:rFonts w:ascii="Times New Roman" w:cs="Times New Roman" w:eastAsia="Times New Roman" w:hAnsi="Times New Roman"/>
          <w:sz w:val="18"/>
          <w:szCs w:val="18"/>
          <w:color w:val="auto"/>
        </w:rPr>
      </w:pPr>
    </w:p>
    <w:p>
      <w:pPr>
        <w:ind w:right="360" w:firstLine="889"/>
        <w:spacing w:after="0" w:line="282" w:lineRule="auto"/>
        <w:tabs>
          <w:tab w:leader="none" w:pos="122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the Securities of the Series that shall be payable upon declaration of acceleration of the Maturity thereof pursuant to Section 6.2;</w:t>
      </w:r>
    </w:p>
    <w:p>
      <w:pPr>
        <w:spacing w:after="0" w:line="161" w:lineRule="exact"/>
        <w:rPr>
          <w:rFonts w:ascii="Times New Roman" w:cs="Times New Roman" w:eastAsia="Times New Roman" w:hAnsi="Times New Roman"/>
          <w:sz w:val="18"/>
          <w:szCs w:val="18"/>
          <w:color w:val="auto"/>
        </w:rPr>
      </w:pPr>
    </w:p>
    <w:p>
      <w:pPr>
        <w:jc w:val="both"/>
        <w:ind w:right="100" w:firstLine="889"/>
        <w:spacing w:after="0" w:line="266" w:lineRule="auto"/>
        <w:tabs>
          <w:tab w:leader="none" w:pos="122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Securities of the Series, which may be Dollars or any Foreign Currency, including, but not limited to, the Euro, and, if such currency of denomination is a composite currency other than the Euro, the agency or organization, if any, responsible for overseeing such composite currency;</w:t>
      </w:r>
    </w:p>
    <w:p>
      <w:pPr>
        <w:spacing w:after="0" w:line="175" w:lineRule="exact"/>
        <w:rPr>
          <w:rFonts w:ascii="Times New Roman" w:cs="Times New Roman" w:eastAsia="Times New Roman" w:hAnsi="Times New Roman"/>
          <w:sz w:val="18"/>
          <w:szCs w:val="18"/>
          <w:color w:val="auto"/>
        </w:rPr>
      </w:pPr>
    </w:p>
    <w:p>
      <w:pPr>
        <w:ind w:right="20" w:firstLine="889"/>
        <w:spacing w:after="0" w:line="282" w:lineRule="auto"/>
        <w:tabs>
          <w:tab w:leader="none" w:pos="122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the principal of, and interest and premium, if any, on, the Securities of the Series will be made;</w:t>
      </w:r>
    </w:p>
    <w:p>
      <w:pPr>
        <w:spacing w:after="0" w:line="161" w:lineRule="exact"/>
        <w:rPr>
          <w:rFonts w:ascii="Times New Roman" w:cs="Times New Roman" w:eastAsia="Times New Roman" w:hAnsi="Times New Roman"/>
          <w:sz w:val="18"/>
          <w:szCs w:val="18"/>
          <w:color w:val="auto"/>
        </w:rPr>
      </w:pPr>
    </w:p>
    <w:p>
      <w:pPr>
        <w:ind w:right="60" w:firstLine="889"/>
        <w:spacing w:after="0" w:line="266" w:lineRule="auto"/>
        <w:tabs>
          <w:tab w:leader="none" w:pos="122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or interest or premium,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75" w:lineRule="exact"/>
        <w:rPr>
          <w:rFonts w:ascii="Times New Roman" w:cs="Times New Roman" w:eastAsia="Times New Roman" w:hAnsi="Times New Roman"/>
          <w:sz w:val="18"/>
          <w:szCs w:val="18"/>
          <w:color w:val="auto"/>
        </w:rPr>
      </w:pPr>
    </w:p>
    <w:p>
      <w:pPr>
        <w:ind w:right="320" w:firstLine="889"/>
        <w:spacing w:after="0" w:line="266" w:lineRule="auto"/>
        <w:tabs>
          <w:tab w:leader="none" w:pos="122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or interest and premium, if any, on, the Securities of the Series will be determined, if such amounts may be determined by reference to an index based on a currency or currencies or by reference to a commodity, commodity index, stock exchange index or financial index;</w:t>
      </w:r>
    </w:p>
    <w:p>
      <w:pPr>
        <w:spacing w:after="0" w:line="175" w:lineRule="exact"/>
        <w:rPr>
          <w:rFonts w:ascii="Times New Roman" w:cs="Times New Roman" w:eastAsia="Times New Roman" w:hAnsi="Times New Roman"/>
          <w:sz w:val="18"/>
          <w:szCs w:val="18"/>
          <w:color w:val="auto"/>
        </w:rPr>
      </w:pPr>
    </w:p>
    <w:p>
      <w:pPr>
        <w:ind w:left="1240" w:hanging="351"/>
        <w:spacing w:after="0"/>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any collateral provided for the Securities of the Series;</w:t>
      </w:r>
    </w:p>
    <w:p>
      <w:pPr>
        <w:spacing w:after="0" w:line="225" w:lineRule="exact"/>
        <w:rPr>
          <w:rFonts w:ascii="Times New Roman" w:cs="Times New Roman" w:eastAsia="Times New Roman" w:hAnsi="Times New Roman"/>
          <w:sz w:val="18"/>
          <w:szCs w:val="18"/>
          <w:color w:val="auto"/>
        </w:rPr>
      </w:pPr>
    </w:p>
    <w:p>
      <w:pPr>
        <w:ind w:left="1240" w:hanging="351"/>
        <w:spacing w:after="0"/>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set forth in Articles 4 or 5 that applies to Securities of the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17" w:right="339" w:bottom="1440" w:gutter="0" w:footer="0" w:header="0"/>
        </w:sectPr>
      </w:pPr>
    </w:p>
    <w:bookmarkStart w:id="60" w:name="page61"/>
    <w:bookmarkEnd w:id="60"/>
    <w:p>
      <w:pPr>
        <w:ind w:right="360" w:firstLine="889"/>
        <w:spacing w:after="0" w:line="266" w:lineRule="auto"/>
        <w:tabs>
          <w:tab w:leader="none" w:pos="122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which applies to any Securities of the Series, any provision for the payment of additional interest or liquidated damages in connection with any Event of Default, and any change in the right of the Trustee or the requisite Holders of such Securities to declare the principal amount thereof due and payable pursuant to Section 6.2;</w:t>
      </w:r>
    </w:p>
    <w:p>
      <w:pPr>
        <w:spacing w:after="0" w:line="175" w:lineRule="exact"/>
        <w:rPr>
          <w:rFonts w:ascii="Times New Roman" w:cs="Times New Roman" w:eastAsia="Times New Roman" w:hAnsi="Times New Roman"/>
          <w:sz w:val="18"/>
          <w:szCs w:val="18"/>
          <w:color w:val="auto"/>
        </w:rPr>
      </w:pPr>
    </w:p>
    <w:p>
      <w:pPr>
        <w:jc w:val="both"/>
        <w:ind w:right="140" w:firstLine="889"/>
        <w:spacing w:after="0" w:line="266" w:lineRule="auto"/>
        <w:tabs>
          <w:tab w:leader="none" w:pos="122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for conversion of the Securities into or exchange of the Securities for shares of common stock, preferred stock, other debt securities, or warrants, subscription rights or units for common stock, preferred stock or other securities of any kind of the Company that apply to Securities of the Series;</w:t>
      </w:r>
    </w:p>
    <w:p>
      <w:pPr>
        <w:spacing w:after="0" w:line="175" w:lineRule="exact"/>
        <w:rPr>
          <w:rFonts w:ascii="Times New Roman" w:cs="Times New Roman" w:eastAsia="Times New Roman" w:hAnsi="Times New Roman"/>
          <w:sz w:val="18"/>
          <w:szCs w:val="18"/>
          <w:color w:val="auto"/>
        </w:rPr>
      </w:pPr>
    </w:p>
    <w:p>
      <w:pPr>
        <w:ind w:right="280" w:firstLine="889"/>
        <w:spacing w:after="0" w:line="282" w:lineRule="auto"/>
        <w:tabs>
          <w:tab w:leader="none" w:pos="122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Trustees, depositories, interest rate calculation agents, exchange rate calculation agents or other agents with respect to Securities of such Series if other than those appointed herein;</w:t>
      </w:r>
    </w:p>
    <w:p>
      <w:pPr>
        <w:spacing w:after="0" w:line="161" w:lineRule="exact"/>
        <w:rPr>
          <w:rFonts w:ascii="Times New Roman" w:cs="Times New Roman" w:eastAsia="Times New Roman" w:hAnsi="Times New Roman"/>
          <w:sz w:val="18"/>
          <w:szCs w:val="18"/>
          <w:color w:val="auto"/>
        </w:rPr>
      </w:pPr>
    </w:p>
    <w:p>
      <w:pPr>
        <w:ind w:left="1240" w:hanging="351"/>
        <w:spacing w:after="0"/>
        <w:tabs>
          <w:tab w:leader="none" w:pos="1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Securities shall be subordinated in right of payment to other Indebtedness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color w:val="auto"/>
        </w:rPr>
      </w:pPr>
    </w:p>
    <w:p>
      <w:pPr>
        <w:ind w:left="1240" w:hanging="351"/>
        <w:spacing w:after="0"/>
        <w:tabs>
          <w:tab w:leader="none" w:pos="1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that the Securities of the Series, in whole or any specified part, shall be defeasible pursuant to Article 9; and</w:t>
      </w:r>
    </w:p>
    <w:p>
      <w:pPr>
        <w:spacing w:after="0" w:line="225" w:lineRule="exact"/>
        <w:rPr>
          <w:rFonts w:ascii="Times New Roman" w:cs="Times New Roman" w:eastAsia="Times New Roman" w:hAnsi="Times New Roman"/>
          <w:sz w:val="18"/>
          <w:szCs w:val="18"/>
          <w:color w:val="auto"/>
        </w:rPr>
      </w:pPr>
    </w:p>
    <w:p>
      <w:pPr>
        <w:ind w:right="540" w:firstLine="889"/>
        <w:spacing w:after="0" w:line="282" w:lineRule="auto"/>
        <w:tabs>
          <w:tab w:leader="none" w:pos="122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Securities of the Series (which terms shall not be inconsistent with the provisions of this Indenture, except as permitted by Section 8.1, but which may modify or delete any provision of this Indenture insofar as it applies to such Series).</w:t>
      </w:r>
    </w:p>
    <w:p>
      <w:pPr>
        <w:spacing w:after="0" w:line="162"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All Securities of any one Series need not be issued at the same time, and may be issued from time to time, consistent with the terms of this Indenture, if so provided by or pursuant to the Board Resolution, supplemental indenture or Officers’ Certificate referred to above, however, the authorized principal amount of any Series may not be increased to provide for issuances of additional Securities of such Series, unless otherwise provided in such Board Resolution, supplemental indenture or Officers’ Certificate.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EXECUTION AND AUTHENTICATION.</w:t>
      </w:r>
    </w:p>
    <w:p>
      <w:pPr>
        <w:spacing w:after="0" w:line="121"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The Securities shall be executed on behalf of the Company by two Officers of the Company or an Officer and an Assistant Secretary of the Company. Each such signature may be either manual or facsimile. The Company’s seal may be impressed, affixed, imprinted or reproduced on the Securities and may be in facsimile form.</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an Officer whose signature is on a Security no longer holds that office at the time the Security is authenticated, the Security shall nevertheless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valid.</w:t>
      </w:r>
    </w:p>
    <w:p>
      <w:pPr>
        <w:spacing w:after="0" w:line="207" w:lineRule="exact"/>
        <w:rPr>
          <w:sz w:val="20"/>
          <w:szCs w:val="20"/>
          <w:color w:val="auto"/>
        </w:rPr>
      </w:pPr>
    </w:p>
    <w:p>
      <w:pPr>
        <w:ind w:right="100" w:firstLine="441"/>
        <w:spacing w:after="0" w:line="277" w:lineRule="auto"/>
        <w:rPr>
          <w:sz w:val="20"/>
          <w:szCs w:val="20"/>
          <w:color w:val="auto"/>
        </w:rPr>
      </w:pPr>
      <w:r>
        <w:rPr>
          <w:rFonts w:ascii="Times New Roman" w:cs="Times New Roman" w:eastAsia="Times New Roman" w:hAnsi="Times New Roman"/>
          <w:sz w:val="17"/>
          <w:szCs w:val="17"/>
          <w:color w:val="auto"/>
        </w:rPr>
        <w:t>A Security shall not be valid until authenticated by the manual signature of the Trustee or an authenticating agent. The signature shall be conclusive evidence that the Security has been authenticated under this Indenture. The Trustee shall at any time, and from time to time, authenticate Securities for original issue in the principal amount provided in the Board Resolution, supplemental indenture hereto or Officers’ Certificate, upon receipt by the Trustee of a Company Order. Such Company Order may authorize authentication and delivery pursuant to oral or electronic instructions from the Company or its duly authorized agent or agents, which oral instructions shall be promptly confirmed in writing. Each Security shall be dated the date of its authentication.</w:t>
      </w:r>
    </w:p>
    <w:p>
      <w:pPr>
        <w:spacing w:after="0" w:line="16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Prior to the issuance of Securities of any Series, the Trustee shall have received and (subject to Section 7.1) shall be fully protected in relying on:</w:t>
      </w:r>
    </w:p>
    <w:p>
      <w:pPr>
        <w:spacing w:after="0" w:line="27" w:lineRule="exact"/>
        <w:rPr>
          <w:sz w:val="20"/>
          <w:szCs w:val="20"/>
          <w:color w:val="auto"/>
        </w:rPr>
      </w:pPr>
    </w:p>
    <w:p>
      <w:pPr>
        <w:ind w:right="80" w:firstLine="8"/>
        <w:spacing w:after="0" w:line="265" w:lineRule="auto"/>
        <w:tabs>
          <w:tab w:leader="none" w:pos="24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and</w:t>
      </w:r>
    </w:p>
    <w:p>
      <w:pPr>
        <w:ind w:left="260" w:hanging="252"/>
        <w:spacing w:after="0"/>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complying with Section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17" w:right="339" w:bottom="1440" w:gutter="0" w:footer="0" w:header="0"/>
        </w:sectPr>
      </w:pPr>
    </w:p>
    <w:bookmarkStart w:id="61" w:name="page62"/>
    <w:bookmarkEnd w:id="61"/>
    <w:p>
      <w:pPr>
        <w:ind w:right="300" w:firstLine="441"/>
        <w:spacing w:after="0" w:line="261" w:lineRule="auto"/>
        <w:rPr>
          <w:sz w:val="20"/>
          <w:szCs w:val="20"/>
          <w:color w:val="auto"/>
        </w:rPr>
      </w:pPr>
      <w:r>
        <w:rPr>
          <w:rFonts w:ascii="Times New Roman" w:cs="Times New Roman" w:eastAsia="Times New Roman" w:hAnsi="Times New Roman"/>
          <w:sz w:val="18"/>
          <w:szCs w:val="18"/>
          <w:color w:val="auto"/>
        </w:rPr>
        <w:t>The Trustee shall have the right to decline to authenticate and deliver any Securities of any Series: (a) if the Trustee, being advised in writing by outside counsel, determines that such action may not lawfully be taken; or (b) if the Trustee in good faith by its board of directors or trustees, executive committee or a trust committee of directors and/or vice-presidents shall reasonably determine that such action would expose the Trustee to personal liability, or cause it to have a conflict of interest with respect to Holders of any then outstanding Series of Securities.</w:t>
      </w:r>
    </w:p>
    <w:p>
      <w:pPr>
        <w:spacing w:after="0" w:line="180"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The Trustee may appoint an authenticating agent acceptable to the Company to authenticate Securities. An authenticating agent may authenticate Securities whenever the Trustee may do so. Any appointment shall be evidenced by an instrument signed by an authorized officer of the Trustee, a copy of which shall be furnished to the Company. Each reference in this Indenture to authentication by the Trustee includes authentication by such agent. An authenticating agent has the same rights as an Agent to deal with the Company or an Affiliate of the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REGISTRAR AND PAYING AGENT.</w:t>
      </w:r>
    </w:p>
    <w:p>
      <w:pPr>
        <w:spacing w:after="0" w:line="121"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The Company shall maintain in each Place of Payment for any Series of Securities (i) an office or agency where such Securities may be presented for registration of transfer or for exchange (“Registrar”), (ii) an office or agency where such Securities may be presented for payment (“Paying Agent”),and PROVIDED, that at the option of the Company payment of interest may be made by check mailed to the address of the Person entitled thereto as such address shall appear in the register for the Securities maintained by the Registrar), and (iii) an office or agency where notices and demands to or upon the Company in respect of the Securities and this Indenture may be served (“Service Agent”). The Registrar shall keep a register of the Securities and of their transfer and exchange. The Company may have one or more co-Registrars and Service Agents and one or more additional Paying Agents. The Company shall give prompt written notice to the Trustee of the location, and any change in the location, of such office or agency. If at any time the Company shall fail to maintain any such required office, or to furnish the Trustee with the address thereof, such presentations, surrenders, notices and demands may be made or served at the address of the Trustee as set forth in Section 10.2. The Company or any of its Subsidiaries may also act as Paying Agent. If the Company acts as Paying Agent, it shall segregate the money held by it for the payment of principal of, and interest and premium, if any, on, the Securities and hold it as a separate trust fund. The Company may change any Paying Agent, Registrar, co-registrar, Service Agent or any other Agent without notice to any Securityholder.</w:t>
      </w:r>
    </w:p>
    <w:p>
      <w:pPr>
        <w:spacing w:after="0" w:line="190" w:lineRule="exact"/>
        <w:rPr>
          <w:sz w:val="20"/>
          <w:szCs w:val="20"/>
          <w:color w:val="auto"/>
        </w:rPr>
      </w:pPr>
    </w:p>
    <w:p>
      <w:pPr>
        <w:jc w:val="both"/>
        <w:ind w:right="60" w:firstLine="441"/>
        <w:spacing w:after="0" w:line="258" w:lineRule="auto"/>
        <w:rPr>
          <w:sz w:val="20"/>
          <w:szCs w:val="20"/>
          <w:color w:val="auto"/>
        </w:rPr>
      </w:pPr>
      <w:r>
        <w:rPr>
          <w:rFonts w:ascii="Times New Roman" w:cs="Times New Roman" w:eastAsia="Times New Roman" w:hAnsi="Times New Roman"/>
          <w:sz w:val="18"/>
          <w:szCs w:val="18"/>
          <w:color w:val="auto"/>
        </w:rPr>
        <w:t>The Company may also from time to time designate one or more other offices or agencies where the Securities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hereby initially designates the Corporate Trust Office of the Trustee as such office of the Company. The Company shall give prompt written notice to the Trustee of such designation or rescission, and of any change in the location of any such other office or agency.</w:t>
      </w:r>
    </w:p>
    <w:p>
      <w:pPr>
        <w:spacing w:after="0" w:line="183"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The Company shall enter into an appropriate agency agreement with any Registrar, Paying Agent or Service Agent not a party to this Indenture. The agreement shall implement the provisions of this Indenture that relate to such Agent. The Company shall notify the Trustee of the name and address of any such Agent. If the Company fails to maintain a Registrar, Paying Agent, or Service Agent and demands, or fails to give the foregoing notice, the Trustee shall act as such. The Company hereby appoints the Trustee as the initial Registrar, Paying Agent and Service Agent for each Series unless another Registrar, Paying Agent or Service Agent, as the case may be, is appointed prior to the time Securities of that Series are first issued. The Company designates, as the New York Paying Agent, with offices at: .</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PAYING AGENT TO HOLD ASSETS IN TRUST.</w:t>
      </w:r>
    </w:p>
    <w:p>
      <w:pPr>
        <w:spacing w:after="0" w:line="121" w:lineRule="exact"/>
        <w:rPr>
          <w:sz w:val="20"/>
          <w:szCs w:val="20"/>
          <w:color w:val="auto"/>
        </w:rPr>
      </w:pPr>
    </w:p>
    <w:p>
      <w:pPr>
        <w:ind w:right="360" w:firstLine="441"/>
        <w:spacing w:after="0" w:line="261" w:lineRule="auto"/>
        <w:rPr>
          <w:sz w:val="20"/>
          <w:szCs w:val="20"/>
          <w:color w:val="auto"/>
        </w:rPr>
      </w:pPr>
      <w:r>
        <w:rPr>
          <w:rFonts w:ascii="Times New Roman" w:cs="Times New Roman" w:eastAsia="Times New Roman" w:hAnsi="Times New Roman"/>
          <w:sz w:val="18"/>
          <w:szCs w:val="18"/>
          <w:color w:val="auto"/>
        </w:rPr>
        <w:t>The Trustee as Paying Agent shall, and the Company shall require each Paying Agent other than the Trustee to agree in writing that each Paying Agent shall, hold in trust for the benefit of the Holders of any Series of Securities or the Trustee all assets held by the Paying Agent for the payment of principal of, or interest or premium, if any, on, such Series of Securities (whether such assets have been distributed to it by the Company or any other obligor on such Series of Securities), and the Company and the Paying Agent shall notify the Trustee in writing of any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00"/>
          </w:cols>
          <w:pgMar w:left="320" w:top="1417" w:right="379" w:bottom="1440" w:gutter="0" w:footer="0" w:header="0"/>
        </w:sectPr>
      </w:pPr>
    </w:p>
    <w:bookmarkStart w:id="62" w:name="page63"/>
    <w:bookmarkEnd w:id="62"/>
    <w:p>
      <w:pPr>
        <w:ind w:right="20"/>
        <w:spacing w:after="0" w:line="258" w:lineRule="auto"/>
        <w:rPr>
          <w:sz w:val="20"/>
          <w:szCs w:val="20"/>
          <w:color w:val="auto"/>
        </w:rPr>
      </w:pPr>
      <w:r>
        <w:rPr>
          <w:rFonts w:ascii="Times New Roman" w:cs="Times New Roman" w:eastAsia="Times New Roman" w:hAnsi="Times New Roman"/>
          <w:sz w:val="18"/>
          <w:szCs w:val="18"/>
          <w:color w:val="auto"/>
        </w:rPr>
        <w:t>by the Company (or any other obligor on such Series of Securities) in making any such payment. The Company at any time may require a Paying Agent to distribute all assets held by it to the Trustee and account for any assets disbursed, and the Trustee may, at any time during the continuance of any payment default with respect to any Series of Securities, upon written request to a Paying Agent, require such Paying Agent to distribute all assets held by it to the Trustee and to account for any assets distributed. Upon distribution to the Trustee of all assets that shall have been delivered by the Company to the Paying Agent, the Paying Agent shall have no further liability for such assets.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SECURITYHOLDER LISTS.</w:t>
      </w:r>
    </w:p>
    <w:p>
      <w:pPr>
        <w:spacing w:after="0" w:line="121"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The Trustee shall preserve in as current a form as is reasonably practicable the most recent list available to it of the names and addresses of Securityholders of each Series of Securities. If the Trustee is not the Registrar, the Company shall furnish to the Trustee as of each regular record date for the payment of interest on the Securities of a Series and before each related Interest Payment Date, and at such other times as the Trustee may request in writing, a list in such form and as of such date as the Trustee may reasonably require of the names and addresses of Securityholders of each Series of Securities.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TRANSFER AND EXCHANGE.</w:t>
      </w:r>
    </w:p>
    <w:p>
      <w:pPr>
        <w:spacing w:after="0" w:line="121"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When Securities of a Series are presented by the Holder to the Registrar with a request to register the transfer thereof, the Registrar shall register the transfer as requested if the requirements of applicable law are met, and when such Securities of a Series are presented to the Registrar with a request to exchange them for an equal principal amount of other authorized denominations of Securities of the same Series, the Registrar shall make the exchange as requested. To permit transfers and exchanges, upon surrender of any Security for registration of transfer at the office or agency maintained pursuant to Section 2.4, the Company shall execute and the Trustee shall authenticate Securities at the Registrar’s request.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Securities are issued as Global Securities, the provisions of Section 2.15 shall apply.</w:t>
      </w:r>
    </w:p>
    <w:p>
      <w:pPr>
        <w:spacing w:after="0" w:line="225"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62"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Every Security presented or surrendered for registration of transfer or for exchange shall (if so required by the Company or the Registrar or a co-registrar) be duly endorsed, or be accompanied by a written instrument of transfer in form satisfactory to the Company and the Registrar or a co-registrar, duly executed by the Holder thereof or his attorney duly authorized in writing.</w:t>
      </w:r>
    </w:p>
    <w:p>
      <w:pPr>
        <w:spacing w:after="0" w:line="176" w:lineRule="exact"/>
        <w:rPr>
          <w:sz w:val="20"/>
          <w:szCs w:val="20"/>
          <w:color w:val="auto"/>
        </w:rPr>
      </w:pPr>
    </w:p>
    <w:p>
      <w:pPr>
        <w:ind w:right="100" w:firstLine="441"/>
        <w:spacing w:after="0" w:line="256" w:lineRule="auto"/>
        <w:rPr>
          <w:sz w:val="20"/>
          <w:szCs w:val="20"/>
          <w:color w:val="auto"/>
        </w:rPr>
      </w:pPr>
      <w:r>
        <w:rPr>
          <w:rFonts w:ascii="Times New Roman" w:cs="Times New Roman" w:eastAsia="Times New Roman" w:hAnsi="Times New Roman"/>
          <w:sz w:val="18"/>
          <w:szCs w:val="18"/>
          <w:color w:val="auto"/>
        </w:rPr>
        <w:t>Any exchange or transfer shall be without charge, except that the Company may require payment by the Holder of a sum sufficient to cover any tax or other governmental charge that may be imposed in relation to a transfer or exchange, but this provision shall not apply to any exchange pursuant to Section 2.11, 3.6 or 8.5. The Trustee shall not be required to register transfers of Securities of any Series, or to exchange Securities of any Series, for a period of 15 days before the record date for selection for redemption of such Securities. The Trustee shall not be required to exchange or register transfers of Securities of any Series called or being called for redemption in whole or in part, except the unredeemed portion of such Security being redeemed in part.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 REPLACEMENT SECURITIES.</w:t>
      </w:r>
    </w:p>
    <w:p>
      <w:pPr>
        <w:spacing w:after="0" w:line="121"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If a mutilated Security is surrendered to the Trustee, or if the Holder of a Security presents evidence to the satisfaction of the Company and the Trustee that the Security has been lost, destroyed or wrongfully taken, the Company shall issue and the Trustee shall authenticate a replacement Security of the same Series and of like tenor and principal amount and bearing a number not contemporaneously outstanding. An indemnity bond may be required by the Company or the Trustee that is sufficient in the reasonable judgment of the Company or the Trustee, as the case may be, to protect the Company, the Trustee or any Agent from any loss which any of them may suffer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180"/>
          </w:cols>
          <w:pgMar w:left="320" w:top="1417" w:right="399" w:bottom="1440" w:gutter="0" w:footer="0" w:header="0"/>
        </w:sectPr>
      </w:pPr>
    </w:p>
    <w:bookmarkStart w:id="63" w:name="page64"/>
    <w:bookmarkEnd w:id="63"/>
    <w:p>
      <w:pPr>
        <w:ind w:right="80"/>
        <w:spacing w:after="0" w:line="261" w:lineRule="auto"/>
        <w:rPr>
          <w:sz w:val="20"/>
          <w:szCs w:val="20"/>
          <w:color w:val="auto"/>
        </w:rPr>
      </w:pPr>
      <w:r>
        <w:rPr>
          <w:rFonts w:ascii="Times New Roman" w:cs="Times New Roman" w:eastAsia="Times New Roman" w:hAnsi="Times New Roman"/>
          <w:sz w:val="18"/>
          <w:szCs w:val="18"/>
          <w:color w:val="auto"/>
        </w:rPr>
        <w:t>a Security is replaced. The Company may charge such Holder for the Company’s out-of-pocket expenses in replacing a Security, including the fees and expenses of the Trustee. Every replacement Security shall constitute an original additional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 OUTSTANDING SECURITIES.</w:t>
      </w:r>
    </w:p>
    <w:p>
      <w:pPr>
        <w:spacing w:after="0" w:line="121"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Securities outstanding at any time are all Securities authenticated by the Trustee, except for those canceled by it, those delivered to it for cancellation and those described in this Section 2.9 as not outstanding.</w:t>
      </w:r>
    </w:p>
    <w:p>
      <w:pPr>
        <w:spacing w:after="0" w:line="162"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If a Security is replaced pursuant to Section 2.8 (other than a mutilated Security surrendered for replacement), it ceases to be outstanding until the Company and the Trustee receive proof satisfactory to each of them that the replaced Security is held by a bona fide purchaser. A mutilated Security ceases to be outstanding upon surrender of such Security and replacement thereof pursuant to Section 2.8.</w:t>
      </w:r>
    </w:p>
    <w:p>
      <w:pPr>
        <w:spacing w:after="0" w:line="176"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If a Paying Agent holds on a Redemption Date or the Stated Maturity money sufficient to pay the principal of, premium, if any, and accrued interest on, Securities payable on that date, and is not prohibited from paying such money to the Holders thereof pursuant to the terms of this Indenture (PROVIDED, that if such Securities are to be redeemed, notice of such redemption has been duly given pursuant to this Indenture or provision therefor satisfactory to the Trustee has been made), then on and after that date and upon payment of such money to the Holder, such Securities will be cancelled and cease to be outstanding and interest on them ceases to accrue.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Security does not cease to be outstanding solely because the Company or an Affiliate holds the Security.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2.10. WHEN TREASURY SECURITIES DISREGARDED; DETERMINATION OF HOLDERS’ ACTION.</w:t>
      </w:r>
    </w:p>
    <w:p>
      <w:pPr>
        <w:spacing w:after="0" w:line="121"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In determining whether the Holders of the required aggregate principal amount of the Securities of any Series have concurred in any direction, waiver or consent, the Securities of any Series owned by the Company or any other obligor on such Securities, or by any Affiliate of any of them, shall be disregarded, except that for the purposes of determining whether the Trustee shall be protected in relying on any such direction, waiver or consent, only Securities of such Series which the Trustee actually knows are so owned shall be so disregarded. Securities of such Series so owned which have been pledged in good faith shall not be disregarded if the pledgee establishes to the satisfaction of the Trustee the pledgee’s right so to act with respect to the Securities of such Series and that the pledgee is not the Company or any other obligor on the Securities of such Series, or an Affiliate of any of them.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2.11. TEMPORARY SECURITIES.</w:t>
      </w:r>
    </w:p>
    <w:p>
      <w:pPr>
        <w:spacing w:after="0" w:line="121" w:lineRule="exact"/>
        <w:rPr>
          <w:sz w:val="20"/>
          <w:szCs w:val="20"/>
          <w:color w:val="auto"/>
        </w:rPr>
      </w:pPr>
    </w:p>
    <w:p>
      <w:pPr>
        <w:ind w:right="340" w:firstLine="441"/>
        <w:spacing w:after="0" w:line="261" w:lineRule="auto"/>
        <w:rPr>
          <w:sz w:val="20"/>
          <w:szCs w:val="20"/>
          <w:color w:val="auto"/>
        </w:rPr>
      </w:pPr>
      <w:r>
        <w:rPr>
          <w:rFonts w:ascii="Times New Roman" w:cs="Times New Roman" w:eastAsia="Times New Roman" w:hAnsi="Times New Roman"/>
          <w:sz w:val="18"/>
          <w:szCs w:val="18"/>
          <w:color w:val="auto"/>
        </w:rPr>
        <w:t>Until definitive Securities are ready for delivery, the Company may prepare and execute, and the Trustee shall authenticate, temporary Securities. Temporary Securities shall be substantially in the form, and shall carry all rights, of definitive Securities, but may have variations that the Company considers appropriate for temporary Securities. Without unreasonable delay, the Company shall prepare and execute, and the Trustee shall authenticate, definitive Securities in exchange for temporary Securities without charge to the Holder.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2.12. CANCELLATION.</w:t>
      </w:r>
    </w:p>
    <w:p>
      <w:pPr>
        <w:spacing w:after="0" w:line="121" w:lineRule="exact"/>
        <w:rPr>
          <w:sz w:val="20"/>
          <w:szCs w:val="20"/>
          <w:color w:val="auto"/>
        </w:rPr>
      </w:pPr>
    </w:p>
    <w:p>
      <w:pPr>
        <w:ind w:right="180" w:firstLine="441"/>
        <w:spacing w:after="0" w:line="255" w:lineRule="auto"/>
        <w:rPr>
          <w:sz w:val="20"/>
          <w:szCs w:val="20"/>
          <w:color w:val="auto"/>
        </w:rPr>
      </w:pPr>
      <w:r>
        <w:rPr>
          <w:rFonts w:ascii="Times New Roman" w:cs="Times New Roman" w:eastAsia="Times New Roman" w:hAnsi="Times New Roman"/>
          <w:sz w:val="18"/>
          <w:szCs w:val="18"/>
          <w:color w:val="auto"/>
        </w:rPr>
        <w:t>All Securities surrendered for payment, redemption or registration of transfer or exchange, or for credit against any sinking fund payment, shall, if surrendered to any Person other than the Trustee, be delivered to the Trustee for cancellation.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The Registrar and the Paying Agent shall forward to the Trustee any Securities surrendered to them for transfer, exchange or payment. The Trustee or, at the direction of the Trustee, the Registrar or the Paying Agent, and no one else, shall cancel, and at the written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17" w:right="339" w:bottom="1440" w:gutter="0" w:footer="0" w:header="0"/>
        </w:sectPr>
      </w:pPr>
    </w:p>
    <w:bookmarkStart w:id="64" w:name="page65"/>
    <w:bookmarkEnd w:id="64"/>
    <w:p>
      <w:pPr>
        <w:spacing w:after="0" w:line="261" w:lineRule="auto"/>
        <w:rPr>
          <w:sz w:val="20"/>
          <w:szCs w:val="20"/>
          <w:color w:val="auto"/>
        </w:rPr>
      </w:pPr>
      <w:r>
        <w:rPr>
          <w:rFonts w:ascii="Times New Roman" w:cs="Times New Roman" w:eastAsia="Times New Roman" w:hAnsi="Times New Roman"/>
          <w:sz w:val="18"/>
          <w:szCs w:val="18"/>
          <w:color w:val="auto"/>
        </w:rPr>
        <w:t>of the Company shall dispose of, all Securities surrendered for transfer, exchange, payment or cancellation. If the Company shall acquire any of the Securities, such acquisition shall not operate as a redemption or satisfaction of the Indebtedness represented by such Securities unless and until the same are surrendered to the Trustee for cancellation pursuant to this Section 2.12. No Securities shall be authenticated in lieu of or in exchange for any Securities cancelled as provided in this Section 2.12, except as expressly permitted by this Indenture.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2.13. PAYMENT OF INTEREST; DEFAULTED INTEREST; COMPUTATION OF INTEREST.</w:t>
      </w:r>
    </w:p>
    <w:p>
      <w:pPr>
        <w:spacing w:after="0" w:line="121" w:lineRule="exact"/>
        <w:rPr>
          <w:sz w:val="20"/>
          <w:szCs w:val="20"/>
          <w:color w:val="auto"/>
        </w:rPr>
      </w:pPr>
    </w:p>
    <w:p>
      <w:pPr>
        <w:ind w:right="140" w:firstLine="441"/>
        <w:spacing w:after="0" w:line="261" w:lineRule="auto"/>
        <w:rPr>
          <w:sz w:val="20"/>
          <w:szCs w:val="20"/>
          <w:color w:val="auto"/>
        </w:rPr>
      </w:pPr>
      <w:r>
        <w:rPr>
          <w:rFonts w:ascii="Times New Roman" w:cs="Times New Roman" w:eastAsia="Times New Roman" w:hAnsi="Times New Roman"/>
          <w:sz w:val="18"/>
          <w:szCs w:val="18"/>
          <w:color w:val="auto"/>
        </w:rPr>
        <w:t>Except as otherwise provided as contemplated by Section 2.2 with respect to any Series of Securities, interest on any Security which is payable, and is punctually paid or duly provided for, on any Interest Payment Date shall be paid to the Person in whose name that Security is registered at the close of business on the regular record date for such interest, as provided in the Board Resolution, supplemental indenture hereto or Officers’ Certificate establishing the terms of such Series.</w:t>
      </w:r>
    </w:p>
    <w:p>
      <w:pPr>
        <w:spacing w:after="0" w:line="180"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If the Company defaults in a payment of interest on the Securities, it shall pay the defaulted amounts, plus any interest payable on defaulted amounts pursuant to Section 4.1, to the Persons who are Securityholders on a subsequent special record date, which date shall be the 15th day next preceding the date fixed by the Company for the payment of defaulted interest, or the next succeeding Business Day if such date is not a Business Day. At least 15 days before the special record date, the Company shall mail or cause to be mailed to each Securityholder, with a copy to the Trustee, a notice that states the special record date, the payment date and the amount of defaulted interest, and interest payable on such defaulted interest, if any, to be paid.</w:t>
      </w:r>
    </w:p>
    <w:p>
      <w:pPr>
        <w:spacing w:after="0" w:line="183"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Except as otherwise specified as contemplated by Section 2.2 for Securities of any Series, interest on the Securities of each Series shall be computed on the basis of a 360-day year of twelve 30-day months.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2.14. CUSIP NUMBER.</w:t>
      </w:r>
    </w:p>
    <w:p>
      <w:pPr>
        <w:spacing w:after="0" w:line="121"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The Company in issuing the Securities may use one or more “CUSIP” numbers, and, if the Company does so, the Trustee shall use the CUSIP number(s) in notices of redemption or exchange as a convenience to Holders, PROVIDED, that any such notice may state that no representation is made as to the correctness or accuracy of the CUSIP number(s) printed in the notice or on the Securities, and that reliance may be placed only on the other identification numbers printed on the Securities, and that any such redemption or exchange shall not be affected by any defect in or omission of any such numbers.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2.15. PROVISIONS FOR GLOBAL SECURITIES.</w:t>
      </w:r>
    </w:p>
    <w:p>
      <w:pPr>
        <w:spacing w:after="0" w:line="121" w:lineRule="exact"/>
        <w:rPr>
          <w:sz w:val="20"/>
          <w:szCs w:val="20"/>
          <w:color w:val="auto"/>
        </w:rPr>
      </w:pPr>
    </w:p>
    <w:p>
      <w:pPr>
        <w:ind w:right="20" w:firstLine="449"/>
        <w:spacing w:after="0" w:line="282" w:lineRule="auto"/>
        <w:tabs>
          <w:tab w:leader="none" w:pos="68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Resolution, a supplemental indenture hereto or an Officers’ Certificate shall establish whether the Securities of a Series shall be issued in whole or in part in the form of one or more Global Securities, and the Depository for such Global Securities or Securities.</w:t>
      </w:r>
    </w:p>
    <w:p>
      <w:pPr>
        <w:spacing w:after="0" w:line="161" w:lineRule="exact"/>
        <w:rPr>
          <w:rFonts w:ascii="Times New Roman" w:cs="Times New Roman" w:eastAsia="Times New Roman" w:hAnsi="Times New Roman"/>
          <w:sz w:val="18"/>
          <w:szCs w:val="18"/>
          <w:color w:val="auto"/>
        </w:rPr>
      </w:pPr>
    </w:p>
    <w:p>
      <w:pPr>
        <w:ind w:right="40" w:firstLine="449"/>
        <w:spacing w:after="0" w:line="253" w:lineRule="auto"/>
        <w:tabs>
          <w:tab w:leader="none" w:pos="69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to the contrary contained in Section 2.7 and in addition thereto, if, and only if the Depository (i) at any time is unwilling or unable to continue as Depository for such Global Security or ceases to be a clearing agency registered under the Exchange Act and (ii) a successor Depository is not appointed by the Company within 90 days after the date the Company is so informed in writing or becomes aware of the same, the Company promptly will execute and deliver to the Trustee definitive Securities, and the Trustee, upon receipt of a Company Request for the authentication and delivery of such definitive Securities (which the Company will promptly execute and deliver to the Trustee) and an Officers’ Certificate to the effect that such Global Security shall be so exchangeable, will authenticate and deliver definitive Securities, without charge, registered in such names and in such authorized denominations as the Depository shall direct in writing (pursuant to instructions from its direct and indirect participants or otherwise) in an aggregate principal amount equal to the principal amount of the Global Security with like tenor and terms. Upon the exchange of a Global Security for definitive Securities, such Global Security shall be canceled by the Trustee. Unless and until it is exchanged in whole or in part for definitive Securities, as provided in this Section 2.15(b), a Global Security may not be transferred except as a whole by the Depository with respect to such Global Security to a nominee of such Depository, by a nominee of such Depository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17" w:right="339" w:bottom="1440" w:gutter="0" w:footer="0" w:header="0"/>
        </w:sectPr>
      </w:pPr>
    </w:p>
    <w:bookmarkStart w:id="65" w:name="page66"/>
    <w:bookmarkEnd w:id="65"/>
    <w:p>
      <w:pPr>
        <w:ind w:right="380"/>
        <w:spacing w:after="0" w:line="282" w:lineRule="auto"/>
        <w:rPr>
          <w:sz w:val="20"/>
          <w:szCs w:val="20"/>
          <w:color w:val="auto"/>
        </w:rPr>
      </w:pPr>
      <w:r>
        <w:rPr>
          <w:rFonts w:ascii="Times New Roman" w:cs="Times New Roman" w:eastAsia="Times New Roman" w:hAnsi="Times New Roman"/>
          <w:sz w:val="18"/>
          <w:szCs w:val="18"/>
          <w:color w:val="auto"/>
        </w:rPr>
        <w:t>to such Depository or another nominee of such Depository or by the Depository or any such nominee to a successor Depository or a nominee of such a successor Depository.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 Any Global Security issued hereunder shall bear a legend in substantially the following form:</w:t>
      </w:r>
    </w:p>
    <w:p>
      <w:pPr>
        <w:spacing w:after="0" w:line="225" w:lineRule="exact"/>
        <w:rPr>
          <w:sz w:val="20"/>
          <w:szCs w:val="20"/>
          <w:color w:val="auto"/>
        </w:rPr>
      </w:pPr>
    </w:p>
    <w:p>
      <w:pPr>
        <w:ind w:left="880"/>
        <w:spacing w:after="0" w:line="258"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the Depository or a nominee of the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by a nominee of the Depository to the Depository or another nominee of the Depository or by the Depository or any such nominee to a successor Depository or a nominee of such a successor Depository.”</w:t>
      </w:r>
    </w:p>
    <w:p>
      <w:pPr>
        <w:spacing w:after="0" w:line="183" w:lineRule="exact"/>
        <w:rPr>
          <w:sz w:val="20"/>
          <w:szCs w:val="20"/>
          <w:color w:val="auto"/>
        </w:rPr>
      </w:pPr>
    </w:p>
    <w:p>
      <w:pPr>
        <w:ind w:right="700" w:firstLine="449"/>
        <w:spacing w:after="0" w:line="282" w:lineRule="auto"/>
        <w:tabs>
          <w:tab w:leader="none" w:pos="69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Depository, as a Holder, may appoint agents and otherwise authorize participants to give or take any request, demand, authorization, direction, notice, consent, waiver or other action which a Holder is entitled to give or take under the Indenture.</w:t>
      </w:r>
    </w:p>
    <w:p>
      <w:pPr>
        <w:spacing w:after="0" w:line="161" w:lineRule="exact"/>
        <w:rPr>
          <w:rFonts w:ascii="Times New Roman" w:cs="Times New Roman" w:eastAsia="Times New Roman" w:hAnsi="Times New Roman"/>
          <w:sz w:val="18"/>
          <w:szCs w:val="18"/>
          <w:color w:val="auto"/>
        </w:rPr>
      </w:pPr>
    </w:p>
    <w:p>
      <w:pPr>
        <w:ind w:right="280" w:firstLine="449"/>
        <w:spacing w:after="0" w:line="282" w:lineRule="auto"/>
        <w:tabs>
          <w:tab w:leader="none" w:pos="68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other provisions of this Indenture, unless otherwise specified as contemplated by Section 2.2, payment of the principal of, and interest and premium, if any, on, any Global Security shall be made to the Depository or its nominee in its capacity as the Holder thereof.</w:t>
      </w:r>
    </w:p>
    <w:p>
      <w:pPr>
        <w:spacing w:after="0" w:line="161" w:lineRule="exact"/>
        <w:rPr>
          <w:rFonts w:ascii="Times New Roman" w:cs="Times New Roman" w:eastAsia="Times New Roman" w:hAnsi="Times New Roman"/>
          <w:sz w:val="18"/>
          <w:szCs w:val="18"/>
          <w:color w:val="auto"/>
        </w:rPr>
      </w:pPr>
    </w:p>
    <w:p>
      <w:pPr>
        <w:ind w:right="20" w:firstLine="449"/>
        <w:spacing w:after="0" w:line="255" w:lineRule="auto"/>
        <w:tabs>
          <w:tab w:leader="none" w:pos="66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2.15(e) above, the Company, the Trustee and any Agent shall treat a Person as the Holder of such principal amount of outstanding Securities of any Series represented by a Global Security as shall be specified in a written statement of the Depository (which may be in the form of a participants’ list for such Series) with respect to such Global Security, for purposes of obtaining any consents, declarations, waivers or directions required to be given by the Holders pursuant to this Indenture, PROVIDED, that until the Trustee is so provided with a written statement, it may treat the Depository or any other Person in whose name a Global Security is registered as the owner of such Global Security for the purpose of receiving payment of the principal of, and any premium and (subject to Section 2.13) any interest on, such Global Security and for all other purposes whatsoever, and none of the Company, the Trustee or any agent of the Company or the Trustee shall be affected by notice to the contrary.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2.16. PERSONS DEEMED OWNERS.</w:t>
      </w:r>
    </w:p>
    <w:p>
      <w:pPr>
        <w:spacing w:after="0" w:line="121"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Prior to due presentment of a Security for registration of transfer, the Company, the Trustee, the Registrar and any agent of the Company, the Registrar or the Trustee may treat the Person in whose name such Security is registered as the owner of such Security for the purpose of receiving payment of the principal of, and any premium and (subject to Section 2.13) any interest on, such Security and for all other purposes whatsoever, and none of the Company, the Trustee, the Registrar or any agent of the Company, the Trustee or the Registrar shall be affected by notice to the contrary.</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 –</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NOTICES TO TRUSTEE.</w:t>
      </w:r>
    </w:p>
    <w:p>
      <w:pPr>
        <w:spacing w:after="0" w:line="121"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or the related Board Resolution, supplemental indenture or Officers’ Certificate. If a Series of Securities is redeemable and the Company elects to redeem all or part of such Series of Securities, it shall notify the Trustee of the Redemption Date and the principal amount of Securities to be redeemed at least 45 days (unless a shorter notice shall be satisfactory to the Trustee) before the Redemption Date. Any such notice may be canceled at any time prior to notice of such redemption being mailed to any Holder, and shall thereby be void and of no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3.2. SELECTION BY TRUSTEE OF SECURITIES TO BE REDEEMED.</w:t>
      </w:r>
    </w:p>
    <w:p>
      <w:pPr>
        <w:spacing w:after="0" w:line="121" w:lineRule="exact"/>
        <w:rPr>
          <w:sz w:val="20"/>
          <w:szCs w:val="20"/>
          <w:color w:val="auto"/>
        </w:rPr>
      </w:pPr>
    </w:p>
    <w:p>
      <w:pPr>
        <w:ind w:right="160" w:firstLine="441"/>
        <w:spacing w:after="0" w:line="261" w:lineRule="auto"/>
        <w:rPr>
          <w:sz w:val="20"/>
          <w:szCs w:val="20"/>
          <w:color w:val="auto"/>
        </w:rPr>
      </w:pPr>
      <w:r>
        <w:rPr>
          <w:rFonts w:ascii="Times New Roman" w:cs="Times New Roman" w:eastAsia="Times New Roman" w:hAnsi="Times New Roman"/>
          <w:sz w:val="18"/>
          <w:szCs w:val="18"/>
          <w:color w:val="auto"/>
        </w:rPr>
        <w:t>Unless otherwise indicated for a particular Series of Securities by a Board Resolution, a supplemental indenture or an Officers’ Certificate, if fewer than all of the Securities of a Series are to be redeemed, the Trustee shall select the Securities of a Series to be redeemed pro rata, by lot or by any other method that the Trustee considers fair and appropriate (unless the Company specifically directs the Trustee otherwise) and, if such Securities are listed on any securities exchange, by a method that complies with the requirements of such exchange.</w:t>
      </w:r>
    </w:p>
    <w:p>
      <w:pPr>
        <w:spacing w:after="0" w:line="180"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The Trustee shall make the selection from Securities of a Series outstanding and not previously called for redemption, and shall promptly notify the Company in writing of the Securities selected for redemption and, in the case of any Security selected for partial redemption, the principal amount thereof to be redeemed at least 35 but not more than 60 days before the Redemption Date. Securities of a Series in denominations of $1,000 may be redeemed only in whole. The Trustee may select for redemption portions of the principal of Securities of a Series that have denominations larger than $1,000. Securities of a Series and portions of them it selects shall be in amounts of $1,000 or, with respect to Securities of any Series issuable in other denominations pursuant to Section 2.2(10), the minimum principal denomination for each Series and integral multiples thereof. Provisions of this Indenture that apply to Securities called for redemption also apply to portions of Securities called for redemption.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3.3. NOTICE OF REDEMPTION.</w:t>
      </w:r>
    </w:p>
    <w:p>
      <w:pPr>
        <w:spacing w:after="0" w:line="121" w:lineRule="exact"/>
        <w:rPr>
          <w:sz w:val="20"/>
          <w:szCs w:val="20"/>
          <w:color w:val="auto"/>
        </w:rPr>
      </w:pPr>
    </w:p>
    <w:p>
      <w:pPr>
        <w:ind w:right="160" w:firstLine="441"/>
        <w:spacing w:after="0" w:line="261" w:lineRule="auto"/>
        <w:rPr>
          <w:sz w:val="20"/>
          <w:szCs w:val="20"/>
          <w:color w:val="auto"/>
        </w:rPr>
      </w:pPr>
      <w:r>
        <w:rPr>
          <w:rFonts w:ascii="Times New Roman" w:cs="Times New Roman" w:eastAsia="Times New Roman" w:hAnsi="Times New Roman"/>
          <w:sz w:val="18"/>
          <w:szCs w:val="18"/>
          <w:color w:val="auto"/>
        </w:rPr>
        <w:t>Unless otherwise indicated for a particular Series by Board Resolution, a supplemental indenture hereto or an Officers’ Certificate, at least 30 days, and no more than 60 days, before a Redemption Date, the Company shall mail, or cause to be mailed, a notice of redemption by first-class mail to each Holder of Securities to be redeemed at his or her last address as the same appears on the registry books maintained by the Registrar. The notice shall identify the Securities to be redeemed and shall state:</w:t>
      </w:r>
    </w:p>
    <w:p>
      <w:pPr>
        <w:spacing w:after="0" w:line="180" w:lineRule="exact"/>
        <w:rPr>
          <w:sz w:val="20"/>
          <w:szCs w:val="20"/>
          <w:color w:val="auto"/>
        </w:rPr>
      </w:pPr>
    </w:p>
    <w:p>
      <w:pPr>
        <w:ind w:left="1140" w:hanging="251"/>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and that such redemption price shall become due and payable on the Redemption Date;</w:t>
      </w:r>
    </w:p>
    <w:p>
      <w:pPr>
        <w:spacing w:after="0" w:line="225" w:lineRule="exact"/>
        <w:rPr>
          <w:rFonts w:ascii="Times New Roman" w:cs="Times New Roman" w:eastAsia="Times New Roman" w:hAnsi="Times New Roman"/>
          <w:sz w:val="18"/>
          <w:szCs w:val="18"/>
          <w:color w:val="auto"/>
        </w:rPr>
      </w:pPr>
    </w:p>
    <w:p>
      <w:pPr>
        <w:ind w:right="120" w:firstLine="889"/>
        <w:spacing w:after="0" w:line="266" w:lineRule="auto"/>
        <w:tabs>
          <w:tab w:leader="none" w:pos="11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Security of a Series is being redeemed in part, the portion of the principal amount of such Security of a Series to be redeemed and that, after the Redemption Date and upon surrender of such Security of a Series, a new Security or Securities in principal amount equal to the unredeemed portion will be issued;</w:t>
      </w:r>
    </w:p>
    <w:p>
      <w:pPr>
        <w:spacing w:after="0" w:line="17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225" w:lineRule="exact"/>
        <w:rPr>
          <w:rFonts w:ascii="Times New Roman" w:cs="Times New Roman" w:eastAsia="Times New Roman" w:hAnsi="Times New Roman"/>
          <w:sz w:val="18"/>
          <w:szCs w:val="18"/>
          <w:color w:val="auto"/>
        </w:rPr>
      </w:pPr>
    </w:p>
    <w:p>
      <w:pPr>
        <w:ind w:right="200" w:firstLine="889"/>
        <w:spacing w:after="0" w:line="282" w:lineRule="auto"/>
        <w:tabs>
          <w:tab w:leader="none" w:pos="11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Securities of a Series called for redemption must be surrendered to the Paying Agent to collect the redemption price, and the place or places where each such Security is to be surrendered for such payment;</w:t>
      </w:r>
    </w:p>
    <w:p>
      <w:pPr>
        <w:spacing w:after="0" w:line="161" w:lineRule="exact"/>
        <w:rPr>
          <w:rFonts w:ascii="Times New Roman" w:cs="Times New Roman" w:eastAsia="Times New Roman" w:hAnsi="Times New Roman"/>
          <w:sz w:val="18"/>
          <w:szCs w:val="18"/>
          <w:color w:val="auto"/>
        </w:rPr>
      </w:pPr>
    </w:p>
    <w:p>
      <w:pPr>
        <w:ind w:right="120" w:firstLine="889"/>
        <w:spacing w:after="0" w:line="266" w:lineRule="auto"/>
        <w:tabs>
          <w:tab w:leader="none" w:pos="11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Company defaults in making the redemption payment, interest on the Securities of a Series called for redemption ceases to accrue on the Redemption Date, and the only remaining right of the Holders of such Securities is to receive payment of the redemption price upon surrender to the Paying Agent of the Securities redeemed;</w:t>
      </w:r>
    </w:p>
    <w:p>
      <w:pPr>
        <w:spacing w:after="0" w:line="175" w:lineRule="exact"/>
        <w:rPr>
          <w:rFonts w:ascii="Times New Roman" w:cs="Times New Roman" w:eastAsia="Times New Roman" w:hAnsi="Times New Roman"/>
          <w:sz w:val="18"/>
          <w:szCs w:val="18"/>
          <w:color w:val="auto"/>
        </w:rPr>
      </w:pPr>
    </w:p>
    <w:p>
      <w:pPr>
        <w:ind w:firstLine="889"/>
        <w:spacing w:after="0" w:line="266" w:lineRule="auto"/>
        <w:tabs>
          <w:tab w:leader="none" w:pos="11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fewer than all of the Securities of a Series are to be redeemed, the identification of the particular Securities of a Series (or portion thereof) to be redeemed, as well as the aggregate principal amount of Securities of a Series to be redeemed and the aggregate principal amount of Securities of a Series to be outstanding after such partial redemption.</w:t>
      </w:r>
    </w:p>
    <w:p>
      <w:pPr>
        <w:spacing w:after="0" w:line="17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if any, printed on the Securities being redeemed; and</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representation is made as to the correctness or accuracy of the CUSIP number, if any, listed in such notice or printed on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20"/>
          </w:cols>
          <w:pgMar w:left="320" w:top="1413" w:right="359" w:bottom="1440" w:gutter="0" w:footer="0" w:header="0"/>
        </w:sectPr>
      </w:pPr>
    </w:p>
    <w:bookmarkStart w:id="67" w:name="page68"/>
    <w:bookmarkEnd w:id="67"/>
    <w:p>
      <w:pPr>
        <w:ind w:left="440"/>
        <w:spacing w:after="0"/>
        <w:rPr>
          <w:sz w:val="20"/>
          <w:szCs w:val="20"/>
          <w:color w:val="auto"/>
        </w:rPr>
      </w:pPr>
      <w:r>
        <w:rPr>
          <w:rFonts w:ascii="Times New Roman" w:cs="Times New Roman" w:eastAsia="Times New Roman" w:hAnsi="Times New Roman"/>
          <w:sz w:val="18"/>
          <w:szCs w:val="18"/>
          <w:color w:val="auto"/>
        </w:rPr>
        <w:t>At the Company’s request, the Trustee shall give the notice of redemption in the Company’s name and at the Company’s sole expense.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3.4. EFFECT OF NOTICE OF REDEMPTION.</w:t>
      </w:r>
    </w:p>
    <w:p>
      <w:pPr>
        <w:spacing w:after="0" w:line="121"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Once the notice of redemption described in Section 3.3 is mailed, Securities of a Series called for redemption become due and payable on the Redemption Date and at the redemption price, plus interest, if any, accrued to the Redemption Date. Upon surrender to the Trustee or Paying Agent, such Securities of a Series shall be paid at the redemption price, plus accrued interest, if any, to the Redemption Date; PROVIDED, that if the Redemption Date is after a regular interest payment record date and on or prior to the next Interest Payment Date, the accrued interest shall be payable to the Holder of the redeemed Securities registered on the relevant record date, as specified by the Company in the notice to the Trustee pursuant to Section 3.1.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3.5. DEPOSIT OF REDEMPTION PRICE.</w:t>
      </w:r>
    </w:p>
    <w:p>
      <w:pPr>
        <w:spacing w:after="0" w:line="121"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On or prior to the Redemption Date (but no later than 11:00 A.M. Eastern Time on such date), the Company shall deposit with the Paying Agent money sufficient to pay the redemption price of and accrued interest, if any, on all Securities to be redeemed on that date other than Securities or portions thereof called for redemption on that date which have been delivered by the Company to the Trustee for cancellation.</w:t>
      </w:r>
    </w:p>
    <w:p>
      <w:pPr>
        <w:spacing w:after="0" w:line="176"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On and after any Redemption Date, if money sufficient to pay the redemption price of, and accrued interest on, Securities called for redemption shall have been made available in accordance with the preceding paragraph and the Company and the Paying Agent are not prohibited from paying such moneys to Holders, the Securities called for redemption will cease to accrue interest and the only right of the Holders of such Securities will be to receive payment of the redemption price of and, subject to the proviso in Section 3.4, accrued and unpaid interest on such Securities to the Redemption Date. If any Security called for redemption shall not be so paid, interest will be paid, from the Redemption Date until such redemption payment is made, on the unpaid principal of the Security and any interest or premium, if any, not paid on such unpaid principal, in each case, at the rate and in the manner provided in the Securities.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3.6. SECURITIES REDEEMED IN PART.</w:t>
      </w:r>
    </w:p>
    <w:p>
      <w:pPr>
        <w:spacing w:after="0" w:line="121"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Upon surrender of a Security of a Series that is redeemed in part, the Company shall execute, and the Trustee shall authenticate, for a Holder a new Security of the same Series equal in principal amount to the unredeemed portion of the Security surrendered.</w:t>
      </w:r>
    </w:p>
    <w:p>
      <w:pPr>
        <w:spacing w:after="0" w:line="26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ARTICLE 4 –</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 PAYMENT OF SECURITIES.</w:t>
      </w:r>
    </w:p>
    <w:p>
      <w:pPr>
        <w:spacing w:after="0" w:line="121" w:lineRule="exact"/>
        <w:rPr>
          <w:sz w:val="20"/>
          <w:szCs w:val="20"/>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The Company shall pay the principal of, and interest and premium, if any, on, each Series of Securities on the dates and in the manner provided in such Securities and this Indenture.</w:t>
      </w:r>
    </w:p>
    <w:p>
      <w:pPr>
        <w:spacing w:after="0" w:line="162"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An installment of principal or interest shall be considered paid on the date it is due if the Trustee or Paying Agent holds on that date money designated for and sufficient to pay such installment and is not prohibited from paying such money to the Holders pursuant to the terms of this Indenture or otherwise.</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Company shall pay interest on overdue principal, and overdue interest, to the extent lawful, at the rate specified in the Series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00"/>
          </w:cols>
          <w:pgMar w:left="320" w:top="1417"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4.2. SEC REPORTS.</w:t>
      </w:r>
    </w:p>
    <w:p>
      <w:pPr>
        <w:spacing w:after="0" w:line="121"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The Company will deliver to the Trustee within 15 days after the filing of the same with the SEC, copies of the quarterly and annual reports and of the information, documents and other reports, if any, which the Company is required to file with the SEC pursuant to Section 13 or 15(d) of the Exchange Act; PROVIDED, HOWEVER, that each such report or document will be deemed to be so delivered to the Trustee if the Company files such report or document with the SEC through the SEC’s EDGAR database no later than the time such report or document is required to be filed with the SEC pursuant to the Exchange Act. Notwithstanding that the Company may not be subject to the reporting requirements of Section 13 or 15(d) of the Exchange Act, the Company will file with the SEC, to the extent permitted, and provide the Trustee with, such quarterly and annual reports and such information, documents and other reports specified in Sections 13 and 15(d) of the Exchange Act. The Company will also comply with the other provisions of TIA Section 314(a).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4.3. WAIVER OF STAY, EXTENSION OR USURY LAWS.</w:t>
      </w:r>
    </w:p>
    <w:p>
      <w:pPr>
        <w:spacing w:after="0" w:line="121" w:lineRule="exact"/>
        <w:rPr>
          <w:sz w:val="20"/>
          <w:szCs w:val="20"/>
          <w:color w:val="auto"/>
        </w:rPr>
      </w:pPr>
    </w:p>
    <w:p>
      <w:pPr>
        <w:ind w:right="100" w:firstLine="441"/>
        <w:spacing w:after="0" w:line="256" w:lineRule="auto"/>
        <w:rPr>
          <w:sz w:val="20"/>
          <w:szCs w:val="20"/>
          <w:color w:val="auto"/>
        </w:rPr>
      </w:pPr>
      <w:r>
        <w:rPr>
          <w:rFonts w:ascii="Times New Roman" w:cs="Times New Roman" w:eastAsia="Times New Roman" w:hAnsi="Times New Roman"/>
          <w:sz w:val="18"/>
          <w:szCs w:val="18"/>
          <w:color w:val="auto"/>
        </w:rPr>
        <w:t>The Company covenants (to the extent that it may lawfully do so) that it will not at any time insist upon, or plead (as a defense or otherwise) or in any manner whatsoever claim or take the benefit or advantage of, any stay, extension, usury or other law which would prohibit or forgive the Company from paying all or any portion of the principal of, and/or interest and premium, if any, on, the Securities as contemplated herein, wherever enacted, now or at any time hereafter in force, or which may affect the covenants or the performance of this Indenture; and the Company hereby expressly waives (to the extent that they may lawfully do so)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4.4. COMPLIANCE CERTIFICATE.</w:t>
      </w:r>
    </w:p>
    <w:p>
      <w:pPr>
        <w:spacing w:after="0" w:line="121" w:lineRule="exact"/>
        <w:rPr>
          <w:sz w:val="20"/>
          <w:szCs w:val="20"/>
          <w:color w:val="auto"/>
        </w:rPr>
      </w:pPr>
    </w:p>
    <w:p>
      <w:pPr>
        <w:ind w:firstLine="449"/>
        <w:spacing w:after="0" w:line="253" w:lineRule="auto"/>
        <w:tabs>
          <w:tab w:leader="none" w:pos="68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to the Trustee, within 120 days after the end of each fiscal year of the Company, an Officers’ Certificate which complies with TIA Section 314(a)(4) stating that a review of the activities of the Company and its Subsidiaries during such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that there is no default in the performance or observance of any of the terms, provisions and conditions hereof (or, if a Default or Event of Default shall have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or interest or premium, if any, on, the Securities is prohibited, or if such event has occurred, a description of the event and what action the Company is taking or proposes to take with respect thereto.</w:t>
      </w:r>
    </w:p>
    <w:p>
      <w:pPr>
        <w:spacing w:after="0" w:line="194"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(b)(i) If any Default or Event of Default has occurred and is continuing or (ii) if any Holder seeks to exercise any remedy hereunder with respect to a claimed Default under this Indenture or the Securities, within five Business Days after the Company becoming aware of such occurrence the Company shall deliver to the Trustee an Officers’ Certificate specifying such event, notice or other action and what action the Company is taking or proposes to take with respect thereto.</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4.5. CORPORATE EXISTENCE.</w:t>
      </w:r>
    </w:p>
    <w:p>
      <w:pPr>
        <w:spacing w:after="0" w:line="121"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Subject to Article 5, the Company shall do or cause to be done all things necessary to preserve and keep in full force and effect its corporate existence, in accordance with the organizational documents (as the same may be amended from time to time) of the Company and the rights (charter and statutory), licenses and franchises of the Company; PROVIDED, HOWEVER, that the Company shall not be required to preserve any such right, license or franchise, or its corporate existence, if the Board of Directors shall determine that the preservation thereof is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20"/>
          </w:cols>
          <w:pgMar w:left="320" w:top="1413"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longer desirable in the conduct of the business of the Company and that the loss thereof is not adverse in any material respect to the Holders.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 –</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SUCCESSOR CORPORATION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5.1. LIMITATION ON CONSOLIDATION, MERGER AND SALE OF ASSETS.</w:t>
      </w:r>
    </w:p>
    <w:p>
      <w:pPr>
        <w:spacing w:after="0" w:line="121" w:lineRule="exact"/>
        <w:rPr>
          <w:sz w:val="20"/>
          <w:szCs w:val="20"/>
          <w:color w:val="auto"/>
        </w:rPr>
      </w:pPr>
    </w:p>
    <w:p>
      <w:pPr>
        <w:ind w:firstLine="449"/>
        <w:spacing w:after="0" w:line="253" w:lineRule="auto"/>
        <w:tabs>
          <w:tab w:leader="none" w:pos="68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in any transaction or series of transactions, merge or consolidate with or into, or sell, assign, convey, transfer, lease or otherwise dispose of all or substantially all of its properties and assets (as an entirety or substantially as an entirety in one transaction or a series of related transactions), to any Person or Persons, unless at the time of and after giving effect thereto (i) either (A) if the transaction or series of transactions is a merger or consolidation, the Company shall be the surviving Person of such merger or consolidation, or (B) the Person formed by such consolidation or into which the Company is merged or to which the properties and assets of the Company are transferred (any such surviving Person or transferee Person being the “Surviving Entity”) shall be a corporation organized and existing under the laws of the United States of America, any state thereof or the District of Columbia, or a corporation or comparable legal entity organized under the laws of a foreign jurisdiction and shall expressly assume by a supplemental indenture executed and delivered to the Trustee, in form reasonably satisfactory to the Trustee, all of the obligations of the Company (including, without limitation, the obligation to pay the principal of, and premium and interest, if any, on, the Securities and the performance of the other covenants) under the Securities of each Series and this Indenture, and in each case, this Indenture shall remain in full force and effect; and (ii) immediately before and immediately after giving effect to such transaction or series of transactions on a pro forma basis (including, without limitation, any Indebtedness incurred or anticipated to be incurred in connection with or in respect of such transaction or series of transactions), no Default or Event of Default shall have occurred and be continuing.</w:t>
      </w:r>
    </w:p>
    <w:p>
      <w:pPr>
        <w:spacing w:after="0" w:line="187" w:lineRule="exact"/>
        <w:rPr>
          <w:rFonts w:ascii="Times New Roman" w:cs="Times New Roman" w:eastAsia="Times New Roman" w:hAnsi="Times New Roman"/>
          <w:sz w:val="18"/>
          <w:szCs w:val="18"/>
          <w:color w:val="auto"/>
        </w:rPr>
      </w:pPr>
    </w:p>
    <w:p>
      <w:pPr>
        <w:ind w:right="100" w:firstLine="449"/>
        <w:spacing w:after="0" w:line="257" w:lineRule="auto"/>
        <w:tabs>
          <w:tab w:leader="none" w:pos="6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consolidation, merger or transfer of assets contemplated by this Section 5.1, the Company shall deliver, or cause to be delivered, to the Trustee, in form and substance reasonably satisfactory to the Trustee, an Officers’ Certificate and an Opinion of Counsel, each stating that such consolidation, merger or transfer, and the supplemental indenture in respect thereto,</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this Section 5.1, and that all conditions precedent herein provided for relating to such transaction or transactions have been complied with.</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5.2. SUCCESSOR PERSON SUBSTITUTED.</w:t>
      </w:r>
    </w:p>
    <w:p>
      <w:pPr>
        <w:spacing w:after="0" w:line="121"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Upon any consolidation, merger or transfer of all or substantially all of the assets of the Company in accordance with Section 5.1 above, the successor corporation formed by such consolidation, or into which the Company is merged or to which such transfer is made, shall succeed to, and be substituted for, and may exercise every right and power of, the Company under this Indenture with the same effect as if such successor corporation had been named as the Company herein, and thereafter (except with respect to any such transfer which is a lease) the predecessor corporation shall be relieved of all obligations and covenants under this Indenture and the Securities.</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 –</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DEFAULTS AND REMEDIES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6.1. EVENTS OF DEFAULT.</w:t>
      </w:r>
    </w:p>
    <w:p>
      <w:pPr>
        <w:spacing w:after="0" w:line="121" w:lineRule="exact"/>
        <w:rPr>
          <w:sz w:val="20"/>
          <w:szCs w:val="20"/>
          <w:color w:val="auto"/>
        </w:rPr>
      </w:pPr>
    </w:p>
    <w:p>
      <w:pPr>
        <w:ind w:right="340" w:firstLine="441"/>
        <w:spacing w:after="0" w:line="266" w:lineRule="auto"/>
        <w:rPr>
          <w:sz w:val="20"/>
          <w:szCs w:val="20"/>
          <w:color w:val="auto"/>
        </w:rPr>
      </w:pPr>
      <w:r>
        <w:rPr>
          <w:rFonts w:ascii="Times New Roman" w:cs="Times New Roman" w:eastAsia="Times New Roman" w:hAnsi="Times New Roman"/>
          <w:sz w:val="18"/>
          <w:szCs w:val="18"/>
          <w:color w:val="auto"/>
        </w:rPr>
        <w:t>An “Event of Default,”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176" w:lineRule="exact"/>
        <w:rPr>
          <w:sz w:val="20"/>
          <w:szCs w:val="20"/>
          <w:color w:val="auto"/>
        </w:rPr>
      </w:pPr>
    </w:p>
    <w:p>
      <w:pPr>
        <w:ind w:right="460" w:firstLine="889"/>
        <w:spacing w:after="0" w:line="282" w:lineRule="auto"/>
        <w:tabs>
          <w:tab w:leader="none" w:pos="11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default in the payment of any principal of, or premium, if any, on, the Securities when the same becomes due and payable at Maturity, upon acceleration, redemption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17" w:right="339" w:bottom="1440" w:gutter="0" w:footer="0" w:header="0"/>
        </w:sectPr>
      </w:pPr>
    </w:p>
    <w:bookmarkStart w:id="70" w:name="page71"/>
    <w:bookmarkEnd w:id="70"/>
    <w:p>
      <w:pPr>
        <w:ind w:right="520" w:firstLine="889"/>
        <w:spacing w:after="0" w:line="282" w:lineRule="auto"/>
        <w:tabs>
          <w:tab w:leader="none" w:pos="113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default in the payment of any interest on any Security of a Series when the same becomes due and payable, and the Default continues for a period of 30 days;</w:t>
      </w:r>
    </w:p>
    <w:p>
      <w:pPr>
        <w:spacing w:after="0" w:line="161" w:lineRule="exact"/>
        <w:rPr>
          <w:rFonts w:ascii="Times New Roman" w:cs="Times New Roman" w:eastAsia="Times New Roman" w:hAnsi="Times New Roman"/>
          <w:sz w:val="18"/>
          <w:szCs w:val="18"/>
          <w:color w:val="auto"/>
        </w:rPr>
      </w:pPr>
    </w:p>
    <w:p>
      <w:pPr>
        <w:ind w:firstLine="889"/>
        <w:spacing w:after="0" w:line="266" w:lineRule="auto"/>
        <w:tabs>
          <w:tab w:leader="none" w:pos="113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observance or performance of any other covenant in the Securities of a Series or in this Indenture for 90 days after written notice from the Trustee or the Holders of not less than 25% in the aggregate principal amount of the Securities of such Series then outstanding, which notice must specify the Default, demand that it be remedied and state that the notice is a “Notice of Default”;</w:t>
      </w:r>
    </w:p>
    <w:p>
      <w:pPr>
        <w:spacing w:after="0" w:line="17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Significant Subsidiary pursuant to or within the meaning of any Bankruptcy Law:</w:t>
      </w:r>
    </w:p>
    <w:p>
      <w:pPr>
        <w:spacing w:after="0" w:line="225" w:lineRule="exact"/>
        <w:rPr>
          <w:rFonts w:ascii="Times New Roman" w:cs="Times New Roman" w:eastAsia="Times New Roman" w:hAnsi="Times New Roman"/>
          <w:sz w:val="18"/>
          <w:szCs w:val="18"/>
          <w:color w:val="auto"/>
        </w:rPr>
      </w:pPr>
    </w:p>
    <w:p>
      <w:pPr>
        <w:ind w:left="1620" w:hanging="290"/>
        <w:spacing w:after="0"/>
        <w:tabs>
          <w:tab w:leader="none" w:pos="16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w:t>
      </w:r>
    </w:p>
    <w:p>
      <w:pPr>
        <w:spacing w:after="0" w:line="225" w:lineRule="exact"/>
        <w:rPr>
          <w:rFonts w:ascii="Times New Roman" w:cs="Times New Roman" w:eastAsia="Times New Roman" w:hAnsi="Times New Roman"/>
          <w:sz w:val="18"/>
          <w:szCs w:val="18"/>
          <w:color w:val="auto"/>
        </w:rPr>
      </w:pPr>
    </w:p>
    <w:p>
      <w:pPr>
        <w:ind w:left="1620" w:hanging="290"/>
        <w:spacing w:after="0"/>
        <w:tabs>
          <w:tab w:leader="none" w:pos="16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225" w:lineRule="exact"/>
        <w:rPr>
          <w:rFonts w:ascii="Times New Roman" w:cs="Times New Roman" w:eastAsia="Times New Roman" w:hAnsi="Times New Roman"/>
          <w:sz w:val="18"/>
          <w:szCs w:val="18"/>
          <w:color w:val="auto"/>
        </w:rPr>
      </w:pPr>
    </w:p>
    <w:p>
      <w:pPr>
        <w:ind w:left="1620" w:hanging="290"/>
        <w:spacing w:after="0"/>
        <w:tabs>
          <w:tab w:leader="none" w:pos="16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all or substantially all of its property,</w:t>
      </w:r>
    </w:p>
    <w:p>
      <w:pPr>
        <w:spacing w:after="0" w:line="225" w:lineRule="exact"/>
        <w:rPr>
          <w:rFonts w:ascii="Times New Roman" w:cs="Times New Roman" w:eastAsia="Times New Roman" w:hAnsi="Times New Roman"/>
          <w:sz w:val="18"/>
          <w:szCs w:val="18"/>
          <w:color w:val="auto"/>
        </w:rPr>
      </w:pPr>
    </w:p>
    <w:p>
      <w:pPr>
        <w:ind w:left="1620" w:hanging="290"/>
        <w:spacing w:after="0"/>
        <w:tabs>
          <w:tab w:leader="none" w:pos="16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225" w:lineRule="exact"/>
        <w:rPr>
          <w:rFonts w:ascii="Times New Roman" w:cs="Times New Roman" w:eastAsia="Times New Roman" w:hAnsi="Times New Roman"/>
          <w:sz w:val="18"/>
          <w:szCs w:val="18"/>
          <w:color w:val="auto"/>
        </w:rPr>
      </w:pPr>
    </w:p>
    <w:p>
      <w:pPr>
        <w:ind w:left="1600" w:hanging="270"/>
        <w:spacing w:after="0"/>
        <w:tabs>
          <w:tab w:leader="none" w:pos="16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not paying its debts as they become due;</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225" w:lineRule="exact"/>
        <w:rPr>
          <w:rFonts w:ascii="Times New Roman" w:cs="Times New Roman" w:eastAsia="Times New Roman" w:hAnsi="Times New Roman"/>
          <w:sz w:val="18"/>
          <w:szCs w:val="18"/>
          <w:color w:val="auto"/>
        </w:rPr>
      </w:pPr>
    </w:p>
    <w:p>
      <w:pPr>
        <w:ind w:left="1620" w:hanging="290"/>
        <w:spacing w:after="0"/>
        <w:tabs>
          <w:tab w:leader="none" w:pos="16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Company or any Significant Subsidiary in an involuntary case;</w:t>
      </w:r>
    </w:p>
    <w:p>
      <w:pPr>
        <w:spacing w:after="0" w:line="225" w:lineRule="exact"/>
        <w:rPr>
          <w:rFonts w:ascii="Times New Roman" w:cs="Times New Roman" w:eastAsia="Times New Roman" w:hAnsi="Times New Roman"/>
          <w:sz w:val="18"/>
          <w:szCs w:val="18"/>
          <w:color w:val="auto"/>
        </w:rPr>
      </w:pPr>
    </w:p>
    <w:p>
      <w:pPr>
        <w:ind w:left="440" w:right="140" w:firstLine="890"/>
        <w:spacing w:after="0" w:line="282" w:lineRule="auto"/>
        <w:tabs>
          <w:tab w:leader="none" w:pos="160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any Significant Subsidiary, or for all or substantially all of the property of the Company or any Significant Subsidiary; or</w:t>
      </w:r>
    </w:p>
    <w:p>
      <w:pPr>
        <w:spacing w:after="0" w:line="161" w:lineRule="exact"/>
        <w:rPr>
          <w:rFonts w:ascii="Times New Roman" w:cs="Times New Roman" w:eastAsia="Times New Roman" w:hAnsi="Times New Roman"/>
          <w:sz w:val="18"/>
          <w:szCs w:val="18"/>
          <w:color w:val="auto"/>
        </w:rPr>
      </w:pPr>
    </w:p>
    <w:p>
      <w:pPr>
        <w:ind w:left="440" w:right="260" w:firstLine="890"/>
        <w:spacing w:after="0" w:line="282" w:lineRule="auto"/>
        <w:tabs>
          <w:tab w:leader="none" w:pos="160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the Company or any Significant Subsidiary, and the order or decree remains unstayed and in effect for 90 consecutive days; or</w:t>
      </w:r>
    </w:p>
    <w:p>
      <w:pPr>
        <w:spacing w:after="0" w:line="161" w:lineRule="exact"/>
        <w:rPr>
          <w:rFonts w:ascii="Times New Roman" w:cs="Times New Roman" w:eastAsia="Times New Roman" w:hAnsi="Times New Roman"/>
          <w:sz w:val="18"/>
          <w:szCs w:val="18"/>
          <w:color w:val="auto"/>
        </w:rPr>
      </w:pPr>
    </w:p>
    <w:p>
      <w:pPr>
        <w:ind w:right="440" w:firstLine="889"/>
        <w:spacing w:after="0" w:line="282" w:lineRule="auto"/>
        <w:tabs>
          <w:tab w:leader="none" w:pos="113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Securities of that Series, which is specified in a Board Resolution, a supplemental indenture hereto or an Officers’ Certificate, in accordance with Section 2.2(19).</w:t>
      </w:r>
    </w:p>
    <w:p>
      <w:pPr>
        <w:spacing w:after="0" w:line="162"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The term “Bankruptcy Law” means Title 11, U.S. Code, or any similar federal or state law for the relief of debtors. The term “Custodian” means any receiver, trustee, assignee, liquidator or similar official under any Bankruptcy Law.</w:t>
      </w:r>
    </w:p>
    <w:p>
      <w:pPr>
        <w:spacing w:after="0" w:line="162" w:lineRule="exact"/>
        <w:rPr>
          <w:sz w:val="20"/>
          <w:szCs w:val="20"/>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The Trustee may withhold notice of any Default (except in the payment of the principal of, or interest or premium, if any, on, the Securities) to the Holders of the Securities of any Series in accordance with Section 7.5. When a Default is cured, it ceases to exist.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6.2. ACCELERATION.</w:t>
      </w:r>
    </w:p>
    <w:p>
      <w:pPr>
        <w:spacing w:after="0" w:line="121"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If an Event of Default with respect to Securities of any Series at the time outstanding (other than an Event of Default arising under Section 6.1(4) or (5)) occurs and is continuing, the Trustee by written notice to the Company, or the Holders of not less than 25% in aggregate principal amount of the Securities of that Series then outstanding by written notice to the Company and the Trustee, may declare that the entire principal amount of all the Securities of that Series then outstanding plus accrued and unpaid interest to the date of acceleration are immediately due and payable, in which case such amounts shall become immediately due and payable; PROVIDED, HOWEVER, that after such acceleration but before a judgment or decree based on such acceleration is obtained by the Trustee, the Holders of a majority in aggregate principal amount of the outstanding Securities of that Series may rescind and annul such acceleration and its consequences if (i) all existing Events of Default, other than the nonpayment of accelerated principal, interest or premium, if any, that has become due solely because of the acceleration,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20"/>
          </w:cols>
          <w:pgMar w:left="320" w:top="1417" w:right="359" w:bottom="1440" w:gutter="0" w:footer="0" w:header="0"/>
        </w:sectPr>
      </w:pPr>
    </w:p>
    <w:bookmarkStart w:id="71" w:name="page72"/>
    <w:bookmarkEnd w:id="71"/>
    <w:p>
      <w:pPr>
        <w:ind w:right="220"/>
        <w:spacing w:after="0" w:line="257" w:lineRule="auto"/>
        <w:rPr>
          <w:sz w:val="20"/>
          <w:szCs w:val="20"/>
          <w:color w:val="auto"/>
        </w:rPr>
      </w:pPr>
      <w:r>
        <w:rPr>
          <w:rFonts w:ascii="Times New Roman" w:cs="Times New Roman" w:eastAsia="Times New Roman" w:hAnsi="Times New Roman"/>
          <w:sz w:val="18"/>
          <w:szCs w:val="18"/>
          <w:color w:val="auto"/>
        </w:rPr>
        <w:t>cured or waived, (ii) to the extent the payment of such interest is lawful, interest on overdue installments of interest and overdue principal, which has become due otherwise than by such declaration of acceleration, has been paid and (iii) the rescission would not conflict with any judgment or decree. No such rescission shall affect any subsequent Default or impair any right consequent thereto. In case an Event of Default specified in Section 6.1(4) or</w:t>
      </w:r>
    </w:p>
    <w:p>
      <w:pPr>
        <w:spacing w:after="0" w:line="1" w:lineRule="exact"/>
        <w:rPr>
          <w:sz w:val="20"/>
          <w:szCs w:val="20"/>
          <w:color w:val="auto"/>
        </w:rPr>
      </w:pPr>
    </w:p>
    <w:p>
      <w:pPr>
        <w:ind w:right="100" w:firstLine="8"/>
        <w:spacing w:after="0" w:line="260" w:lineRule="auto"/>
        <w:tabs>
          <w:tab w:leader="none" w:pos="2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Company occurs, such principal, premium, if any, and interest amount with respect to all of the Securities of that Series shall be due and payable immediately without any declaration or other act on the part of the Trustee or the Holders of the Securities of that Series.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6.3. REMEDIES.</w:t>
      </w:r>
    </w:p>
    <w:p>
      <w:pPr>
        <w:spacing w:after="0" w:line="121"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If an Event of Default with respect to Securities of any Series at the time outstanding occurs and is continuing, the Trustee may pursue any available remedy by proceeding at law or in equity to collect the payment of the principal of, or interest and premium, if any, on, the Securities of that Series, or to enforce the performance of any provision of the Securities of that Series or this Indenture.</w:t>
      </w:r>
    </w:p>
    <w:p>
      <w:pPr>
        <w:spacing w:after="0" w:line="176"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The Trustee may maintain a proceeding even if it does not possess any of the Securities of that Series or does not produce any of them in the proceeding. A delay or omission by the Trustee or any Securityholder in exercising any right or remedy accruing upon an Event of Default shall not impair the right or remedy or constitute a waiver of or acquiescence in the Event of Default. No remedy is exclusive of any other remedy. All available remedies are cumulative to the extent permitted by law.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6.4. WAIVER OF PAST DEFAULTS AND EVENTS OF DEFAULT.</w:t>
      </w:r>
    </w:p>
    <w:p>
      <w:pPr>
        <w:spacing w:after="0" w:line="121"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Subject to Sections 6.2, 6.7 and 8.2, the Holders of a majority in principal amount of the Securities of any Series then outstanding have the right to waive any existing Default or Event of Default with respect to such Series or compliance with any provision of this Indenture (with respect to such Series) or the Securities of such Series. Upon any such waiver, such Default with respect to such Series shall cease to exist, and any Event of Default with respect to such Series arising therefrom shall be deemed to have been cured for every purpose of this Indenture; but no such waiver shall extend to any subsequent or other Default or Event of Default or impair any right consequent thereto. This Section 6.4 shall be in lieu of TIA Section 316(a)(1)(B), and TIA Section 316(a)(1)(B) is hereby expressly excluded from this Indenture and Section as permitted by the TIA.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6.5. CONTROL BY MAJORITY.</w:t>
      </w:r>
    </w:p>
    <w:p>
      <w:pPr>
        <w:spacing w:after="0" w:line="121"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Subject to Sections 6.2, 6.7 and 8.2, the Holders of a majority in principal amount of the Securities of any Series then outstanding may direct the time, method and place of conducting any proceeding for any remedy available to the Trustee or exercising any trust or power conferred on the Trustee by this Indenture with respect to such Series. The Trustee, however, may refuse to follow any direction that conflicts with law or this Indenture, or that the Trustee determines may be unduly prejudicial to the rights of another Securityholder, or that may involve the Trustee in personal liability; PROVIDED, that the Trustee may take any other action deemed proper by the Trustee which is not inconsistent with such direction. This Section 6.5 shall be in lieu of TIA Section 316(a)(1)(A), and TIA Section 316(a)(1)(A) is hereby expressly excluded from this Indenture and Section as permitted by the TIA.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6.6. LIMITATION ON SUITS.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Subject to Section 6.7, a Securityholder may not institute any proceeding or pursue any remedy with respect to this Indenture or the Securities of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unless:</w:t>
      </w:r>
    </w:p>
    <w:p>
      <w:pPr>
        <w:spacing w:after="0" w:line="207" w:lineRule="exact"/>
        <w:rPr>
          <w:sz w:val="20"/>
          <w:szCs w:val="20"/>
          <w:color w:val="auto"/>
        </w:rPr>
      </w:pPr>
    </w:p>
    <w:p>
      <w:pPr>
        <w:ind w:left="1140" w:hanging="251"/>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to the Trustee written notice of a continuing Event of Default with respect to the Securities of that Series;</w:t>
      </w:r>
    </w:p>
    <w:p>
      <w:pPr>
        <w:spacing w:after="0" w:line="225" w:lineRule="exact"/>
        <w:rPr>
          <w:rFonts w:ascii="Times New Roman" w:cs="Times New Roman" w:eastAsia="Times New Roman" w:hAnsi="Times New Roman"/>
          <w:sz w:val="18"/>
          <w:szCs w:val="18"/>
          <w:color w:val="auto"/>
        </w:rPr>
      </w:pPr>
    </w:p>
    <w:p>
      <w:pPr>
        <w:ind w:right="300" w:firstLine="889"/>
        <w:spacing w:after="0" w:line="282" w:lineRule="auto"/>
        <w:tabs>
          <w:tab w:leader="none" w:pos="113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Securities of such Series then outstanding make a written request to the Trustee to pursue the remedy;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17" w:right="339" w:bottom="1440" w:gutter="0" w:footer="0" w:header="0"/>
        </w:sectPr>
      </w:pPr>
    </w:p>
    <w:bookmarkStart w:id="72" w:name="page73"/>
    <w:bookmarkEnd w:id="72"/>
    <w:p>
      <w:pPr>
        <w:ind w:right="420" w:firstLine="889"/>
        <w:spacing w:after="0" w:line="282" w:lineRule="auto"/>
        <w:tabs>
          <w:tab w:leader="none" w:pos="113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offer to the Trustee indemnity reasonably satisfactory to the Trustee against any loss, liability or expense to be incurred in compliance with such request;</w:t>
      </w:r>
    </w:p>
    <w:p>
      <w:pPr>
        <w:spacing w:after="0" w:line="16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 and</w:t>
      </w:r>
    </w:p>
    <w:p>
      <w:pPr>
        <w:spacing w:after="0" w:line="225" w:lineRule="exact"/>
        <w:rPr>
          <w:rFonts w:ascii="Times New Roman" w:cs="Times New Roman" w:eastAsia="Times New Roman" w:hAnsi="Times New Roman"/>
          <w:sz w:val="18"/>
          <w:szCs w:val="18"/>
          <w:color w:val="auto"/>
        </w:rPr>
      </w:pPr>
    </w:p>
    <w:p>
      <w:pPr>
        <w:ind w:right="100" w:firstLine="889"/>
        <w:spacing w:after="0" w:line="282" w:lineRule="auto"/>
        <w:tabs>
          <w:tab w:leader="none" w:pos="113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aggregate principal amount of the Securities of such Series then outstanding.</w:t>
      </w:r>
    </w:p>
    <w:p>
      <w:pPr>
        <w:spacing w:after="0" w:line="162" w:lineRule="exact"/>
        <w:rPr>
          <w:sz w:val="20"/>
          <w:szCs w:val="20"/>
          <w:color w:val="auto"/>
        </w:rPr>
      </w:pPr>
    </w:p>
    <w:p>
      <w:pPr>
        <w:ind w:right="520" w:firstLine="441"/>
        <w:spacing w:after="0" w:line="282" w:lineRule="auto"/>
        <w:rPr>
          <w:sz w:val="20"/>
          <w:szCs w:val="20"/>
          <w:color w:val="auto"/>
        </w:rPr>
      </w:pPr>
      <w:r>
        <w:rPr>
          <w:rFonts w:ascii="Times New Roman" w:cs="Times New Roman" w:eastAsia="Times New Roman" w:hAnsi="Times New Roman"/>
          <w:sz w:val="18"/>
          <w:szCs w:val="18"/>
          <w:color w:val="auto"/>
        </w:rPr>
        <w:t>A Securityholder may not use this Indenture to prejudice the rights of another Securityholder, or to obtain a preference or priority over another Securityholder.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6.7. RIGHTS OF HOLDERS TO RECEIVE PAYMENT.</w:t>
      </w:r>
    </w:p>
    <w:p>
      <w:pPr>
        <w:spacing w:after="0" w:line="121"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this Indenture, the right of any Holder of a Security of a Series to receive payment of the principal of, and interest and premium, if any, on, the Security of such Series on or after the respective due dates expressed in the Security of such Series, or to bring suit for the enforcement of any such payment on or after such respective dates, is absolute and unconditional, and shall not be impaired or affected without the consent of the Holder.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6.8. COLLECTION SUIT BY TRUSTEE.</w:t>
      </w:r>
    </w:p>
    <w:p>
      <w:pPr>
        <w:spacing w:after="0" w:line="121"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If an Event of Default in payment of principal, interest or premium, if any, specified in Section 6.1(1) or (2) with respect to Securities of any Series at the time outstanding occurs and is continuing, the Trustee may recover judgment in its own name and as trustee of an express trust against the Company (or any other obligor on the Securities of that Series) for the whole amount of unpaid principal and premium, if any, and accrued interest remaining unpaid, together with interest on overdue principal and premium, if any, and, to the extent that payment of such interest is lawful, interest on overdue installments of interest, in each case at the rate then borne by the Securities of that Series, and such further amounts as shall be sufficient to cover the costs and expenses of collection, including the reasonable compensation, expenses, disbursements and advances of the Trustee, its agents and counsel, as set forth in Section 7.7.</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6.9. TRUSTEE MAY FILE PROOFS OF CLAIM.</w:t>
      </w:r>
    </w:p>
    <w:p>
      <w:pPr>
        <w:spacing w:after="0" w:line="121"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The Trustee may file such proofs of claim and other papers or documents, and take other actions (including sitting on a committee of creditors), as may be necessary or advisable in order to have the claims of the Trustee (including any claim for the reasonable compensation, expenses, disbursements and advances of the Trustee, its agents and counsel) and the Securityholders allowed in any judicial proceedings relative to the Company (or any other obligor on the Securities), any of their respective creditors or any of their respective property, and the Trustee shall be entitled and empowered to collect and receive any monies or other property payable or deliverable on any such claims, and to distribute the same after deduction of its charges and expenses to the extent that any such charges and expenses are not paid out of the estate in any such proceedings, and any custodian in any such judicial proceeding is hereby authorized by each Securityholder to make such payments to the Trustee, and in the event that the Trustee shall consent to the making of such payments directly to the Securityholders, to pay to the Trustee any amount due to it for the reasonable compensation, expenses, disbursements and advances of the Trustee, its agents and counsel, and any other amounts due the Trustee under Section 7.7.</w:t>
      </w:r>
    </w:p>
    <w:p>
      <w:pPr>
        <w:spacing w:after="0" w:line="188"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Securityholder, any plan of reorganization, arrangement, adjustment or composition affecting the Securities of a Series or the rights of any Holder thereof, or to authorize the Trustee to vote in respect of the claim of any Securityholder in any such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20"/>
          </w:cols>
          <w:pgMar w:left="320" w:top="1417"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6.10. PRIORITIES.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the Trustee collects any money pursuant to this Article 6, it shall pay out the money in the following order:</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FIRST: to the Trustee for amounts due under Section 7.7;</w:t>
      </w:r>
    </w:p>
    <w:p>
      <w:pPr>
        <w:spacing w:after="0" w:line="225" w:lineRule="exact"/>
        <w:rPr>
          <w:sz w:val="20"/>
          <w:szCs w:val="20"/>
          <w:color w:val="auto"/>
        </w:rPr>
      </w:pPr>
    </w:p>
    <w:p>
      <w:pPr>
        <w:ind w:right="140" w:firstLine="881"/>
        <w:spacing w:after="0" w:line="266" w:lineRule="auto"/>
        <w:rPr>
          <w:sz w:val="20"/>
          <w:szCs w:val="20"/>
          <w:color w:val="auto"/>
        </w:rPr>
      </w:pPr>
      <w:r>
        <w:rPr>
          <w:rFonts w:ascii="Times New Roman" w:cs="Times New Roman" w:eastAsia="Times New Roman" w:hAnsi="Times New Roman"/>
          <w:sz w:val="18"/>
          <w:szCs w:val="18"/>
          <w:color w:val="auto"/>
        </w:rPr>
        <w:t>SECOND: to Securityholders for amounts then due and unpaid for the principal of, and interest and premium, if any, on, the Securities in respect of which, or for the benefit of which, such money has been collected, ratably, without preference or priority of any kind, according to the amounts due and payable on such Securities; for principal and any premium and interest, respectively; and</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THIRD: to the Company.</w:t>
      </w:r>
    </w:p>
    <w:p>
      <w:pPr>
        <w:spacing w:after="0" w:line="225" w:lineRule="exact"/>
        <w:rPr>
          <w:sz w:val="20"/>
          <w:szCs w:val="20"/>
          <w:color w:val="auto"/>
        </w:rPr>
      </w:pPr>
    </w:p>
    <w:p>
      <w:pPr>
        <w:ind w:right="200" w:firstLine="441"/>
        <w:spacing w:after="0" w:line="282" w:lineRule="auto"/>
        <w:rPr>
          <w:sz w:val="20"/>
          <w:szCs w:val="20"/>
          <w:color w:val="auto"/>
        </w:rPr>
      </w:pPr>
      <w:r>
        <w:rPr>
          <w:rFonts w:ascii="Times New Roman" w:cs="Times New Roman" w:eastAsia="Times New Roman" w:hAnsi="Times New Roman"/>
          <w:sz w:val="18"/>
          <w:szCs w:val="18"/>
          <w:color w:val="auto"/>
        </w:rPr>
        <w:t>The Trustee may fix a record date and payment date for any payment to Securityholders pursuant to this Section 6.10. At least 15 days before such record date, the Trustee shall mail to each Securityholder a notice that states the record date, the payment date and amount to be paid.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6.11. UNDERTAKING FOR COSTS.</w:t>
      </w:r>
    </w:p>
    <w:p>
      <w:pPr>
        <w:spacing w:after="0" w:line="121"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pursuant to Section 6.7 or a suit by Holders of more than 10% in principal amount of the Securities of a Series then outstanding.</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7 –</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7.1. DUTIES OF TRUSTEE.</w:t>
      </w:r>
    </w:p>
    <w:p>
      <w:pPr>
        <w:spacing w:after="0" w:line="121" w:lineRule="exact"/>
        <w:rPr>
          <w:sz w:val="20"/>
          <w:szCs w:val="20"/>
          <w:color w:val="auto"/>
        </w:rPr>
      </w:pPr>
    </w:p>
    <w:p>
      <w:pPr>
        <w:jc w:val="both"/>
        <w:ind w:right="220" w:firstLine="449"/>
        <w:spacing w:after="0" w:line="266" w:lineRule="auto"/>
        <w:tabs>
          <w:tab w:leader="none" w:pos="68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and is continuing, the Trustee shall exercise such of the rights and powers vested in it by this Indenture and use the same degree of care and skill in their exercise as a prudent Person would exercise or use under the same circumstances in the conduct of his own affairs.</w:t>
      </w:r>
    </w:p>
    <w:p>
      <w:pPr>
        <w:spacing w:after="0" w:line="175"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225" w:lineRule="exact"/>
        <w:rPr>
          <w:rFonts w:ascii="Times New Roman" w:cs="Times New Roman" w:eastAsia="Times New Roman" w:hAnsi="Times New Roman"/>
          <w:sz w:val="18"/>
          <w:szCs w:val="18"/>
          <w:color w:val="auto"/>
        </w:rPr>
      </w:pPr>
    </w:p>
    <w:p>
      <w:pPr>
        <w:ind w:right="40" w:firstLine="889"/>
        <w:spacing w:after="0" w:line="282" w:lineRule="auto"/>
        <w:tabs>
          <w:tab w:leader="none" w:pos="113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perform only those duties that are specifically set forth in this Indenture, and no covenants or obligations shall be implied in this Indenture against the Trustee.</w:t>
      </w:r>
    </w:p>
    <w:p>
      <w:pPr>
        <w:spacing w:after="0" w:line="161" w:lineRule="exact"/>
        <w:rPr>
          <w:rFonts w:ascii="Times New Roman" w:cs="Times New Roman" w:eastAsia="Times New Roman" w:hAnsi="Times New Roman"/>
          <w:sz w:val="18"/>
          <w:szCs w:val="18"/>
          <w:color w:val="auto"/>
        </w:rPr>
      </w:pPr>
    </w:p>
    <w:p>
      <w:pPr>
        <w:ind w:firstLine="889"/>
        <w:spacing w:after="0" w:line="261" w:lineRule="auto"/>
        <w:tabs>
          <w:tab w:leader="none" w:pos="113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79"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liability for its own negligent action, its own negligent failure to act or its own willful misconduct, except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w:t>
      </w:r>
    </w:p>
    <w:p>
      <w:pPr>
        <w:spacing w:after="0" w:line="206"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paragraph does not limit the effect of paragraph (b) of this Section 7.1.</w:t>
      </w:r>
    </w:p>
    <w:p>
      <w:pPr>
        <w:spacing w:after="0" w:line="225" w:lineRule="exact"/>
        <w:rPr>
          <w:rFonts w:ascii="Times New Roman" w:cs="Times New Roman" w:eastAsia="Times New Roman" w:hAnsi="Times New Roman"/>
          <w:sz w:val="18"/>
          <w:szCs w:val="18"/>
          <w:color w:val="auto"/>
        </w:rPr>
      </w:pPr>
    </w:p>
    <w:p>
      <w:pPr>
        <w:ind w:right="220" w:firstLine="889"/>
        <w:spacing w:after="0" w:line="282" w:lineRule="auto"/>
        <w:tabs>
          <w:tab w:leader="none" w:pos="113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is proved that the Trustee was negligent in ascertaining the pertinent facts.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00"/>
          </w:cols>
          <w:pgMar w:left="320" w:top="1413" w:right="379" w:bottom="1440" w:gutter="0" w:footer="0" w:header="0"/>
        </w:sectPr>
      </w:pPr>
    </w:p>
    <w:bookmarkStart w:id="74" w:name="page75"/>
    <w:bookmarkEnd w:id="74"/>
    <w:p>
      <w:pPr>
        <w:ind w:right="80" w:firstLine="889"/>
        <w:spacing w:after="0" w:line="282" w:lineRule="auto"/>
        <w:tabs>
          <w:tab w:leader="none" w:pos="113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it takes or omits to take in good faith in accordance with a direction received by it pursuant to Sections 6.2 and 6.5.</w:t>
      </w:r>
    </w:p>
    <w:p>
      <w:pPr>
        <w:spacing w:after="0" w:line="161" w:lineRule="exact"/>
        <w:rPr>
          <w:rFonts w:ascii="Times New Roman" w:cs="Times New Roman" w:eastAsia="Times New Roman" w:hAnsi="Times New Roman"/>
          <w:sz w:val="18"/>
          <w:szCs w:val="18"/>
          <w:color w:val="auto"/>
        </w:rPr>
      </w:pPr>
    </w:p>
    <w:p>
      <w:pPr>
        <w:ind w:right="40" w:firstLine="449"/>
        <w:spacing w:after="0" w:line="266" w:lineRule="auto"/>
        <w:tabs>
          <w:tab w:leader="none" w:pos="69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require the Trustee to expend or risk its own funds, or otherwise incur any financial liability, in the performance of any of its rights or powers if it shall have reasonable grounds for believing that repayment of such funds or adequate indemnity satisfactory to it against such risk or liability is not reasonably assured to it.</w:t>
      </w:r>
    </w:p>
    <w:p>
      <w:pPr>
        <w:spacing w:after="0" w:line="175" w:lineRule="exact"/>
        <w:rPr>
          <w:rFonts w:ascii="Times New Roman" w:cs="Times New Roman" w:eastAsia="Times New Roman" w:hAnsi="Times New Roman"/>
          <w:sz w:val="18"/>
          <w:szCs w:val="18"/>
          <w:color w:val="auto"/>
        </w:rPr>
      </w:pPr>
    </w:p>
    <w:p>
      <w:pPr>
        <w:ind w:firstLine="449"/>
        <w:spacing w:after="0" w:line="282" w:lineRule="auto"/>
        <w:tabs>
          <w:tab w:leader="none" w:pos="68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paragraphs (a), (b), (c) and (d) of this Section 7.1 shall govern every provision of this Indenture that in any way relates to the Trustee.</w:t>
      </w:r>
    </w:p>
    <w:p>
      <w:pPr>
        <w:spacing w:after="0" w:line="161" w:lineRule="exact"/>
        <w:rPr>
          <w:rFonts w:ascii="Times New Roman" w:cs="Times New Roman" w:eastAsia="Times New Roman" w:hAnsi="Times New Roman"/>
          <w:sz w:val="18"/>
          <w:szCs w:val="18"/>
          <w:color w:val="auto"/>
        </w:rPr>
      </w:pPr>
    </w:p>
    <w:p>
      <w:pPr>
        <w:jc w:val="both"/>
        <w:ind w:right="260" w:firstLine="449"/>
        <w:spacing w:after="0" w:line="266" w:lineRule="auto"/>
        <w:tabs>
          <w:tab w:leader="none" w:pos="66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and Paying Agent shall not be liable for interest on any money received by either of them, except as the Trustee and Paying Agent may agree in writing with the Company. Money held in trust by the Trustee need not be segregated from other funds except to the extent required by the law.</w:t>
      </w:r>
    </w:p>
    <w:p>
      <w:pPr>
        <w:spacing w:after="0" w:line="175" w:lineRule="exact"/>
        <w:rPr>
          <w:rFonts w:ascii="Times New Roman" w:cs="Times New Roman" w:eastAsia="Times New Roman" w:hAnsi="Times New Roman"/>
          <w:sz w:val="18"/>
          <w:szCs w:val="18"/>
          <w:color w:val="auto"/>
        </w:rPr>
      </w:pPr>
    </w:p>
    <w:p>
      <w:pPr>
        <w:ind w:right="380" w:firstLine="449"/>
        <w:spacing w:after="0" w:line="282" w:lineRule="auto"/>
        <w:tabs>
          <w:tab w:leader="none" w:pos="69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Paying Agent, the Registrar and any authenticating agent shall be entitled to the protections, immunities and standard of care set forth in paragraphs (a), (b), (c), (d) and (f) of this Section 7.1 and in Section 7.2 with respect to the Trustee.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7.2. RIGHTS OF TRUSTEE.</w:t>
      </w:r>
    </w:p>
    <w:p>
      <w:pPr>
        <w:spacing w:after="0" w:line="121" w:lineRule="exact"/>
        <w:rPr>
          <w:sz w:val="20"/>
          <w:szCs w:val="20"/>
          <w:color w:val="auto"/>
        </w:rPr>
      </w:pPr>
    </w:p>
    <w:p>
      <w:pPr>
        <w:ind w:left="700" w:hanging="251"/>
        <w:spacing w:after="0"/>
        <w:tabs>
          <w:tab w:leader="none" w:pos="7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7.1:</w:t>
      </w:r>
    </w:p>
    <w:p>
      <w:pPr>
        <w:spacing w:after="0" w:line="225" w:lineRule="exact"/>
        <w:rPr>
          <w:rFonts w:ascii="Times New Roman" w:cs="Times New Roman" w:eastAsia="Times New Roman" w:hAnsi="Times New Roman"/>
          <w:sz w:val="18"/>
          <w:szCs w:val="18"/>
          <w:color w:val="auto"/>
        </w:rPr>
      </w:pPr>
    </w:p>
    <w:p>
      <w:pPr>
        <w:ind w:right="400" w:firstLine="889"/>
        <w:spacing w:after="0" w:line="282" w:lineRule="auto"/>
        <w:tabs>
          <w:tab w:leader="none" w:pos="113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on, and shall be protected in acting or refraining from acting upon, any document reasonably believed by it to be genuine and to have been signed or presented by the proper Person. The Trustee need not investigate any fact or matter stated in the document.</w:t>
      </w:r>
    </w:p>
    <w:p>
      <w:pPr>
        <w:spacing w:after="0" w:line="161" w:lineRule="exact"/>
        <w:rPr>
          <w:rFonts w:ascii="Times New Roman" w:cs="Times New Roman" w:eastAsia="Times New Roman" w:hAnsi="Times New Roman"/>
          <w:sz w:val="18"/>
          <w:szCs w:val="18"/>
          <w:color w:val="auto"/>
        </w:rPr>
      </w:pPr>
    </w:p>
    <w:p>
      <w:pPr>
        <w:ind w:right="420" w:firstLine="889"/>
        <w:spacing w:after="0" w:line="266" w:lineRule="auto"/>
        <w:tabs>
          <w:tab w:leader="none" w:pos="113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it may require an Officers’ Certificate or an Opinion of Counsel, or both, which shall conform to the provisions of Section 10.5. The Trustee shall be protected and shall not be liable for any action it takes or omits to take in good faith in reliance on such certificate or opinion.</w:t>
      </w:r>
    </w:p>
    <w:p>
      <w:pPr>
        <w:spacing w:after="0" w:line="175" w:lineRule="exact"/>
        <w:rPr>
          <w:rFonts w:ascii="Times New Roman" w:cs="Times New Roman" w:eastAsia="Times New Roman" w:hAnsi="Times New Roman"/>
          <w:sz w:val="18"/>
          <w:szCs w:val="18"/>
          <w:color w:val="auto"/>
        </w:rPr>
      </w:pPr>
    </w:p>
    <w:p>
      <w:pPr>
        <w:ind w:right="80" w:firstLine="889"/>
        <w:spacing w:after="0" w:line="282" w:lineRule="auto"/>
        <w:tabs>
          <w:tab w:leader="none" w:pos="113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act through agents and attorneys, and shall not be responsible for the misconduct or negligence of any agent appointed by it with due care.</w:t>
      </w:r>
    </w:p>
    <w:p>
      <w:pPr>
        <w:spacing w:after="0" w:line="161" w:lineRule="exact"/>
        <w:rPr>
          <w:rFonts w:ascii="Times New Roman" w:cs="Times New Roman" w:eastAsia="Times New Roman" w:hAnsi="Times New Roman"/>
          <w:sz w:val="18"/>
          <w:szCs w:val="18"/>
          <w:color w:val="auto"/>
        </w:rPr>
      </w:pPr>
    </w:p>
    <w:p>
      <w:pPr>
        <w:ind w:right="160" w:firstLine="889"/>
        <w:spacing w:after="0" w:line="282" w:lineRule="auto"/>
        <w:tabs>
          <w:tab w:leader="none" w:pos="113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it takes or omits to take in good faith which it reasonably believes to be authorized or within its rights or powers.</w:t>
      </w:r>
    </w:p>
    <w:p>
      <w:pPr>
        <w:spacing w:after="0" w:line="161" w:lineRule="exact"/>
        <w:rPr>
          <w:rFonts w:ascii="Times New Roman" w:cs="Times New Roman" w:eastAsia="Times New Roman" w:hAnsi="Times New Roman"/>
          <w:sz w:val="18"/>
          <w:szCs w:val="18"/>
          <w:color w:val="auto"/>
        </w:rPr>
      </w:pPr>
    </w:p>
    <w:p>
      <w:pPr>
        <w:ind w:right="80" w:firstLine="889"/>
        <w:spacing w:after="0" w:line="266" w:lineRule="auto"/>
        <w:tabs>
          <w:tab w:leader="none" w:pos="113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reasonably acceptable to the Trustee, which may be counsel to the Company, and the advice or opinion of such counsel as to matters of law shall be full and complete authorization and protection from liability in respect of any action taken, omitted or suffered by it hereunder in good faith and in accordance with the advice or opinion of such counsel.</w:t>
      </w:r>
    </w:p>
    <w:p>
      <w:pPr>
        <w:spacing w:after="0" w:line="175" w:lineRule="exact"/>
        <w:rPr>
          <w:rFonts w:ascii="Times New Roman" w:cs="Times New Roman" w:eastAsia="Times New Roman" w:hAnsi="Times New Roman"/>
          <w:sz w:val="18"/>
          <w:szCs w:val="18"/>
          <w:color w:val="auto"/>
        </w:rPr>
      </w:pPr>
    </w:p>
    <w:p>
      <w:pPr>
        <w:ind w:right="340" w:firstLine="889"/>
        <w:spacing w:after="0" w:line="266" w:lineRule="auto"/>
        <w:tabs>
          <w:tab w:leader="none" w:pos="113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order or direction of any of the Holders pursuant to the provisions of this Indenture, unless such Holders shall have offered to the Trustee reasonable security or indemnity against the costs, expenses and liabilities which may be incurred therein or thereby.</w:t>
      </w:r>
    </w:p>
    <w:p>
      <w:pPr>
        <w:spacing w:after="0" w:line="175" w:lineRule="exact"/>
        <w:rPr>
          <w:rFonts w:ascii="Times New Roman" w:cs="Times New Roman" w:eastAsia="Times New Roman" w:hAnsi="Times New Roman"/>
          <w:sz w:val="18"/>
          <w:szCs w:val="18"/>
          <w:color w:val="auto"/>
        </w:rPr>
      </w:pPr>
    </w:p>
    <w:p>
      <w:pPr>
        <w:ind w:right="400" w:firstLine="889"/>
        <w:spacing w:after="0" w:line="282" w:lineRule="auto"/>
        <w:tabs>
          <w:tab w:leader="none" w:pos="113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knowledge of any fact or matter (including, without limitation, a Default or Event of Default) unless such fact or matter is known to a Responsible Officer of the Trustee.</w:t>
      </w:r>
    </w:p>
    <w:p>
      <w:pPr>
        <w:spacing w:after="0" w:line="161" w:lineRule="exact"/>
        <w:rPr>
          <w:rFonts w:ascii="Times New Roman" w:cs="Times New Roman" w:eastAsia="Times New Roman" w:hAnsi="Times New Roman"/>
          <w:sz w:val="18"/>
          <w:szCs w:val="18"/>
          <w:color w:val="auto"/>
        </w:rPr>
      </w:pPr>
    </w:p>
    <w:p>
      <w:pPr>
        <w:ind w:right="260" w:firstLine="889"/>
        <w:spacing w:after="0" w:line="289" w:lineRule="auto"/>
        <w:tabs>
          <w:tab w:leader="none" w:pos="1136"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expressly provided herein or in the Securities of a Series or the related Board Resolution, supplemental indenture or Officers’ Certificate, the Trustee shall not have any responsibility with respect to reports, notices, certificates or other documents filed with it hereunder, except to make them available for inspection, at reasonable times, by Securityholders, it being understood that delivery of such reports,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20"/>
          </w:cols>
          <w:pgMar w:left="320" w:top="1417" w:right="359" w:bottom="1440" w:gutter="0" w:footer="0" w:header="0"/>
        </w:sectPr>
      </w:pPr>
    </w:p>
    <w:bookmarkStart w:id="75" w:name="page76"/>
    <w:bookmarkEnd w:id="75"/>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(except as set forth in Section 4.4).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7.3. INDIVIDUAL RIGHTS OF TRUSTEE.</w:t>
      </w:r>
    </w:p>
    <w:p>
      <w:pPr>
        <w:spacing w:after="0" w:line="121"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The Trustee in its individual or any other capacity may become the owner or pledgee of Securities, and may make loans to, accept deposits from, perform services for or otherwise deal with the Company, or any Affiliate thereof, with the same rights it would have if it were not Trustee. Any Agent may do the same with like rights. The Trustee, however, shall be subject to Sections 7.10 and 7.11.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7.4. TRUSTEE’S DISCLAIMER.</w:t>
      </w:r>
    </w:p>
    <w:p>
      <w:pPr>
        <w:spacing w:after="0" w:line="121"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The Trustee makes no representation as to the validity or adequacy of this Indenture or the Securities (except that the Trustee represents that it is duly authorized to execute and deliver this Indenture and authenticate the Securities and perform its obligations hereunder), and the Trustee shall not be accountable for the Company’s use of the proceeds from the sale of Securities or any money paid to the Company pursuant to the terms of this Indenture, and the Trustee shall not be responsible for any statement in the Securities other than its certificates of authentication.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7.5. NOTICE OF DEFAULT.</w:t>
      </w:r>
    </w:p>
    <w:p>
      <w:pPr>
        <w:spacing w:after="0" w:line="121"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If a Default or an Event of Default occurs and is continuing with respect to the Securities of any Series, and if it is known to the Trustee, the Trustee shall mail to each Securityholder of the Securities of that Series notice of the Default or the Event of Default, as the case may be, within 90 days after it occurs or, if later, after a Responsible Officer of the Trustee has knowledge of such Default or Event of Default (except if such Default or Event of Default has been validly cured or waived before the giving of such notice). Except in the case of a Default or an Event of Default in payment of the principal of, or interest or premium, if any, on, any Security of any Series, the Trustee may withhold the notice if and so long as the Board of Directors of the Trustee, the executive committee or any trust committee of such board and/or its Responsible Officers in good faith determine(s) that withholding the notice is in the interests of the Securityholders of that Series.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7.6. REPORTS BY TRUSTEE TO HOLDERS.</w:t>
      </w:r>
    </w:p>
    <w:p>
      <w:pPr>
        <w:spacing w:after="0" w:line="121"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If and to the extent required by the TIA, within 60 days after April 1 of each year, commencing the April 1 following the date of this Indenture, the Trustee shall mail to each Securityholder a brief report dated as of such April 1 that complies with TIA Section 313(a). The Trustee also shall comply with TIA Sections 313(b) and 313(c).</w:t>
      </w:r>
    </w:p>
    <w:p>
      <w:pPr>
        <w:spacing w:after="0" w:line="176"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A copy of each report at the time of its mailing to Securityholders shall be filed with the SEC and any stock exchange on which the Securities of that Series are listed. The Company shall promptly notify the Trustee when the Securities of any Series are listed on any stock exchange or any delisting thereof, and the Trustee shall comply with TIA Section 313(d).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7.7. COMPENSATION AND INDEMNITY.</w:t>
      </w:r>
    </w:p>
    <w:p>
      <w:pPr>
        <w:spacing w:after="0" w:line="121"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The Company shall pay to the Trustee from time to time reasonable compensation for its services. The Trustee’s compensation shall not be limited by any provision of law on compensation of a trustee of an express trust. The Company shall reimburse the Trustee within 45 days after receipt of request for all reasonable out-of-pocket disbursements and expenses incurred or made by it in connection with its duties under this Indenture, including the reasonable compensation, disbursements and expenses of the Trustee’s agents and counsel.</w:t>
      </w:r>
    </w:p>
    <w:p>
      <w:pPr>
        <w:spacing w:after="0" w:line="180"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The Company shall indemnify the Trustee for, and hold it harmless against, any and all loss or liability incurred by it in connection with the acceptance or performance of its duties under this Indenture including the reasonable costs and expenses of defending itself against any claim or liability in connection with the exercise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20"/>
          </w:cols>
          <w:pgMar w:left="320" w:top="1417" w:right="359" w:bottom="1440" w:gutter="0" w:footer="0" w:header="0"/>
        </w:sectPr>
      </w:pPr>
    </w:p>
    <w:bookmarkStart w:id="76" w:name="page77"/>
    <w:bookmarkEnd w:id="76"/>
    <w:p>
      <w:pPr>
        <w:spacing w:after="0" w:line="282" w:lineRule="auto"/>
        <w:rPr>
          <w:sz w:val="20"/>
          <w:szCs w:val="20"/>
          <w:color w:val="auto"/>
        </w:rPr>
      </w:pPr>
      <w:r>
        <w:rPr>
          <w:rFonts w:ascii="Times New Roman" w:cs="Times New Roman" w:eastAsia="Times New Roman" w:hAnsi="Times New Roman"/>
          <w:sz w:val="18"/>
          <w:szCs w:val="18"/>
          <w:color w:val="auto"/>
        </w:rPr>
        <w:t>performance of any of its powers or duties hereunder. The Trustee shall notify the Company promptly of any claim asserted against the Trustee for which it may seek indemnity.</w:t>
      </w:r>
    </w:p>
    <w:p>
      <w:pPr>
        <w:spacing w:after="0" w:line="162"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The failure by the Trustee to so notify the Company shall not however relieve the Company of its obligations. Notwithstanding the foregoing, the Company need not reimburse the Trustee for any expense or indemnify it against any loss or liability incurred by the Trustee through its negligence or bad faith. To secure the payment obligations of the Company in this Section 7.7, the Trustee shall have a lien prior to the Securities of any Series on all money or property held or collected by the Trustee except such money or property held in trust to pay the principal of, interest and premium, if any, on particular Securities of that Series.</w:t>
      </w:r>
    </w:p>
    <w:p>
      <w:pPr>
        <w:spacing w:after="0" w:line="183" w:lineRule="exact"/>
        <w:rPr>
          <w:sz w:val="20"/>
          <w:szCs w:val="20"/>
          <w:color w:val="auto"/>
        </w:rPr>
      </w:pPr>
    </w:p>
    <w:p>
      <w:pPr>
        <w:ind w:right="580" w:firstLine="441"/>
        <w:spacing w:after="0" w:line="282" w:lineRule="auto"/>
        <w:rPr>
          <w:sz w:val="20"/>
          <w:szCs w:val="20"/>
          <w:color w:val="auto"/>
        </w:rPr>
      </w:pPr>
      <w:r>
        <w:rPr>
          <w:rFonts w:ascii="Times New Roman" w:cs="Times New Roman" w:eastAsia="Times New Roman" w:hAnsi="Times New Roman"/>
          <w:sz w:val="18"/>
          <w:szCs w:val="18"/>
          <w:color w:val="auto"/>
        </w:rPr>
        <w:t>When the Trustee incurs expenses or renders services after an Event of Default specified in Section 6.1(4) or (5) occurs, the expenses and the compensation for the services are intended to constitute expenses of administration under any Bankruptcy Law.</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this Section 7.7, the term “Trustee” shall include any trustee appointed pursuant to this Article 7.</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7.8. REPLACEMENT OF TRUSTEE.</w:t>
      </w:r>
    </w:p>
    <w:p>
      <w:pPr>
        <w:spacing w:after="0" w:line="121" w:lineRule="exact"/>
        <w:rPr>
          <w:sz w:val="20"/>
          <w:szCs w:val="20"/>
          <w:color w:val="auto"/>
        </w:rPr>
      </w:pPr>
    </w:p>
    <w:p>
      <w:pPr>
        <w:ind w:right="260" w:firstLine="441"/>
        <w:spacing w:after="0" w:line="282" w:lineRule="auto"/>
        <w:rPr>
          <w:sz w:val="20"/>
          <w:szCs w:val="20"/>
          <w:color w:val="auto"/>
        </w:rPr>
      </w:pPr>
      <w:r>
        <w:rPr>
          <w:rFonts w:ascii="Times New Roman" w:cs="Times New Roman" w:eastAsia="Times New Roman" w:hAnsi="Times New Roman"/>
          <w:sz w:val="18"/>
          <w:szCs w:val="18"/>
          <w:color w:val="auto"/>
        </w:rPr>
        <w:t>The Trustee may resign with respect to the Securities of one or more Series by so notifying the Company in writing at least 90 days in advance of such resignation.</w:t>
      </w:r>
    </w:p>
    <w:p>
      <w:pPr>
        <w:spacing w:after="0" w:line="162"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Securities of any Series may remove the Trustee with respect to that Series by notifying the removed Trustee in writing and may appoint a successor Trustee with respect to that Series with the consent of the Company, which consent shall not be unreasonably withheld. The Company may remove the Trustee with respect to that Series at its election if:</w:t>
      </w:r>
    </w:p>
    <w:p>
      <w:pPr>
        <w:spacing w:after="0" w:line="176" w:lineRule="exact"/>
        <w:rPr>
          <w:sz w:val="20"/>
          <w:szCs w:val="20"/>
          <w:color w:val="auto"/>
        </w:rPr>
      </w:pPr>
    </w:p>
    <w:p>
      <w:pPr>
        <w:ind w:left="1140" w:hanging="251"/>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or ceases to be eligible under, Section 7.10;</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a bankrupt or an insolvent, or an order for relief is entered with respect to the Trustee, under any Bankruptcy Law;</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other public officer takes charge of the Trustee or its property; or</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otherwise becomes incapable of acting.</w:t>
      </w:r>
    </w:p>
    <w:p>
      <w:pPr>
        <w:spacing w:after="0" w:line="225" w:lineRule="exact"/>
        <w:rPr>
          <w:rFonts w:ascii="Times New Roman" w:cs="Times New Roman" w:eastAsia="Times New Roman" w:hAnsi="Times New Roman"/>
          <w:sz w:val="18"/>
          <w:szCs w:val="18"/>
          <w:color w:val="auto"/>
        </w:rPr>
      </w:pPr>
    </w:p>
    <w:p>
      <w:pPr>
        <w:ind w:right="180" w:firstLine="889"/>
        <w:spacing w:after="0" w:line="282" w:lineRule="auto"/>
        <w:tabs>
          <w:tab w:leader="none" w:pos="11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resigns or is removed, or if a vacancy exists in the office of Trustee, with respect to any Series of Securities for any reason, the Company shall promptly appoint, by Board Resolution, a successor Trustee.</w:t>
      </w:r>
    </w:p>
    <w:p>
      <w:pPr>
        <w:spacing w:after="0" w:line="162" w:lineRule="exact"/>
        <w:rPr>
          <w:sz w:val="20"/>
          <w:szCs w:val="20"/>
          <w:color w:val="auto"/>
        </w:rPr>
      </w:pPr>
    </w:p>
    <w:p>
      <w:pPr>
        <w:jc w:val="both"/>
        <w:ind w:right="180" w:firstLine="441"/>
        <w:spacing w:after="0" w:line="266" w:lineRule="auto"/>
        <w:rPr>
          <w:sz w:val="20"/>
          <w:szCs w:val="20"/>
          <w:color w:val="auto"/>
        </w:rPr>
      </w:pPr>
      <w:r>
        <w:rPr>
          <w:rFonts w:ascii="Times New Roman" w:cs="Times New Roman" w:eastAsia="Times New Roman" w:hAnsi="Times New Roman"/>
          <w:sz w:val="18"/>
          <w:szCs w:val="18"/>
          <w:color w:val="auto"/>
        </w:rPr>
        <w:t>If a successor Trustee with respect to the Securities of one or more Series does not take office within 60 days after the retiring Trustee resigns or is removed, the retiring Trustee, the Company or the Holders of at least 10% in principal amount of the outstanding Securities of the applicable Series may petition any court of competent jurisdiction for the appointment of a successor Trustee.</w:t>
      </w:r>
    </w:p>
    <w:p>
      <w:pPr>
        <w:spacing w:after="0" w:line="176"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If the Trustee with respect to the Securities of one or more Series fails to comply with Section 7.10, any Securityholder of the applicable Series may petition any court of competent jurisdiction for the removal of the Trustee and the appointment of a successor Trustee.</w:t>
      </w:r>
    </w:p>
    <w:p>
      <w:pPr>
        <w:spacing w:after="0" w:line="162" w:lineRule="exact"/>
        <w:rPr>
          <w:sz w:val="20"/>
          <w:szCs w:val="20"/>
          <w:color w:val="auto"/>
        </w:rPr>
      </w:pPr>
    </w:p>
    <w:p>
      <w:pPr>
        <w:ind w:right="240" w:firstLine="441"/>
        <w:spacing w:after="0" w:line="261" w:lineRule="auto"/>
        <w:rPr>
          <w:sz w:val="20"/>
          <w:szCs w:val="20"/>
          <w:color w:val="auto"/>
        </w:rPr>
      </w:pPr>
      <w:r>
        <w:rPr>
          <w:rFonts w:ascii="Times New Roman" w:cs="Times New Roman" w:eastAsia="Times New Roman" w:hAnsi="Times New Roman"/>
          <w:sz w:val="18"/>
          <w:szCs w:val="18"/>
          <w:color w:val="auto"/>
        </w:rPr>
        <w:t>A successor Trustee shall deliver a written acceptance of its appointment to the retiring Trustee and to the Company. Immediately following such delivery, (i) the retiring Trustee with respect to one or more Series shall, subject to its rights under Section 7.7, transfer all property held by it as Trustee with respect to such Series to the successor Trustee, (ii) the resignation or removal of the retiring Trustee shall become effective and (iii) the successor Trustee with respect to such Series shall have all the rights, powers and duties of the Trustee under this Indenture.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180"/>
          </w:cols>
          <w:pgMar w:left="320" w:top="1417" w:right="3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successor Trustee with respect to the Securities of one or more Series shall mail notice of its succession to each Securityholder of such Series.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7.9. SUCCESSOR TRUSTEE BY CONSOLIDATION, MERGER OR CONVERSION.</w:t>
      </w:r>
    </w:p>
    <w:p>
      <w:pPr>
        <w:spacing w:after="0" w:line="121" w:lineRule="exact"/>
        <w:rPr>
          <w:sz w:val="20"/>
          <w:szCs w:val="20"/>
          <w:color w:val="auto"/>
        </w:rPr>
      </w:pPr>
    </w:p>
    <w:p>
      <w:pPr>
        <w:ind w:right="380" w:firstLine="441"/>
        <w:spacing w:after="0" w:line="312" w:lineRule="auto"/>
        <w:rPr>
          <w:sz w:val="20"/>
          <w:szCs w:val="20"/>
          <w:color w:val="auto"/>
        </w:rPr>
      </w:pPr>
      <w:r>
        <w:rPr>
          <w:rFonts w:ascii="Times New Roman" w:cs="Times New Roman" w:eastAsia="Times New Roman" w:hAnsi="Times New Roman"/>
          <w:sz w:val="17"/>
          <w:szCs w:val="17"/>
          <w:color w:val="auto"/>
        </w:rPr>
        <w:t>If the Trustee, or any Agent, consolidates with, merges or converts into, or transfers all or substantially all of its corporate trust assets to, another corporation, subject to Section 7.10, the successor corporation without any further act shall be the successor Trustee or Agent, as the case may be.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7.10. ELIGIBILITY; DISQUALIFICATION.</w:t>
      </w:r>
    </w:p>
    <w:p>
      <w:pPr>
        <w:spacing w:after="0" w:line="121"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This Indenture shall always have a Trustee who satisfies the requirements of TIA Sections 310(a)(1), (2) and (5) in every respect. The Trustee (or in the case of a Trustee that is a Person included in a bank holding company system, the related bank holding company) shall have a combined capital and surplus of at least $100,000,000 as set forth in its most recent published annual report of condition. The Trustee shall comply with TIA Section 310(b), including the provision in Section 310(b)(1). In addition, if the Trustee is a Person included in a bank holding company system, the Trustee, independently of such bank holding company, shall meet the capital requirements of TIA Section 310(a)(2). If at any time the Trustee shall cease to be eligible in accordance with the provisions of this Section 7.10, it shall resign immediately in the manner and with the effect specified in this Article 7.</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7.11. PREFERENTIAL COLLECTION OF CLAIMS AGAINST COMPANY.</w:t>
      </w:r>
    </w:p>
    <w:p>
      <w:pPr>
        <w:spacing w:after="0" w:line="121"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The Trustee shall comply with TIA Section 311(a), excluding any creditor relationship listed in TIA Section 311(b). A Trustee who has resigned or been removed shall be subject to TIA Section 311(a) to the extent indicated therein.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7.12. PAYING AGENTS.</w:t>
      </w:r>
    </w:p>
    <w:p>
      <w:pPr>
        <w:spacing w:after="0" w:line="121" w:lineRule="exact"/>
        <w:rPr>
          <w:sz w:val="20"/>
          <w:szCs w:val="20"/>
          <w:color w:val="auto"/>
        </w:rPr>
      </w:pPr>
    </w:p>
    <w:p>
      <w:pPr>
        <w:ind w:right="280" w:firstLine="441"/>
        <w:spacing w:after="0" w:line="282" w:lineRule="auto"/>
        <w:rPr>
          <w:sz w:val="20"/>
          <w:szCs w:val="20"/>
          <w:color w:val="auto"/>
        </w:rPr>
      </w:pPr>
      <w:r>
        <w:rPr>
          <w:rFonts w:ascii="Times New Roman" w:cs="Times New Roman" w:eastAsia="Times New Roman" w:hAnsi="Times New Roman"/>
          <w:sz w:val="18"/>
          <w:szCs w:val="18"/>
          <w:color w:val="auto"/>
        </w:rPr>
        <w:t>The Company shall cause each Paying Agent other than the Trustee to execute and deliver to it and the Trustee an instrument in which such agent shall agree with the Trustee, subject to the provisions of this Section 7.12:</w:t>
      </w:r>
    </w:p>
    <w:p>
      <w:pPr>
        <w:spacing w:after="0" w:line="162" w:lineRule="exact"/>
        <w:rPr>
          <w:sz w:val="20"/>
          <w:szCs w:val="20"/>
          <w:color w:val="auto"/>
        </w:rPr>
      </w:pPr>
    </w:p>
    <w:p>
      <w:pPr>
        <w:ind w:right="240" w:firstLine="889"/>
        <w:spacing w:after="0" w:line="312" w:lineRule="auto"/>
        <w:tabs>
          <w:tab w:leader="none" w:pos="1136"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it will hold all sums held by it as agent for the payment of the principal of, or interest or premium, if any, on, the Securities (whether such sums have been paid to it by the Company or by any obligor on the Securities) in trust for the benefit of Holders of the Securities or the Trustee;</w:t>
      </w:r>
    </w:p>
    <w:p>
      <w:pPr>
        <w:spacing w:after="0" w:line="139" w:lineRule="exact"/>
        <w:rPr>
          <w:rFonts w:ascii="Times New Roman" w:cs="Times New Roman" w:eastAsia="Times New Roman" w:hAnsi="Times New Roman"/>
          <w:sz w:val="17"/>
          <w:szCs w:val="17"/>
          <w:color w:val="auto"/>
        </w:rPr>
      </w:pPr>
    </w:p>
    <w:p>
      <w:pPr>
        <w:ind w:firstLine="889"/>
        <w:spacing w:after="0" w:line="282" w:lineRule="auto"/>
        <w:tabs>
          <w:tab w:leader="none" w:pos="11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at any time during the continuance of any Event of Default, upon written request from the Trustee, deliver to the Trustee all sums so held in trust by it together with a full accounting thereof; and</w:t>
      </w:r>
    </w:p>
    <w:p>
      <w:pPr>
        <w:spacing w:after="0" w:line="161" w:lineRule="exact"/>
        <w:rPr>
          <w:rFonts w:ascii="Times New Roman" w:cs="Times New Roman" w:eastAsia="Times New Roman" w:hAnsi="Times New Roman"/>
          <w:sz w:val="18"/>
          <w:szCs w:val="18"/>
          <w:color w:val="auto"/>
        </w:rPr>
      </w:pPr>
    </w:p>
    <w:p>
      <w:pPr>
        <w:ind w:right="40" w:firstLine="889"/>
        <w:spacing w:after="0" w:line="282" w:lineRule="auto"/>
        <w:tabs>
          <w:tab w:leader="none" w:pos="11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written notice within three Business Days after any failure of the Company (or by any obligor on the Securities) in the payment of any installment of the principal of, or interest or premium, if any, on, the Securities when the same shall be due and payable.</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 –</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AMENDMENTS, SUPPLEMENTS AND WAIVERS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 WITHOUT CONSENT OF HOLDERS.</w:t>
      </w:r>
    </w:p>
    <w:p>
      <w:pPr>
        <w:spacing w:after="0" w:line="121"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The Company, when authorized by a Board Resolution, and the Trustee may amend, restate or supplement this Indenture or the Securities of one or more Series without notice to or consent of any Securityholder:</w:t>
      </w:r>
    </w:p>
    <w:p>
      <w:pPr>
        <w:spacing w:after="0" w:line="162" w:lineRule="exact"/>
        <w:rPr>
          <w:sz w:val="20"/>
          <w:szCs w:val="20"/>
          <w:color w:val="auto"/>
        </w:rPr>
      </w:pPr>
    </w:p>
    <w:p>
      <w:pPr>
        <w:ind w:left="1140" w:hanging="251"/>
        <w:spacing w:after="0"/>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Section 5.1;</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certificated Securities in addition to uncertificated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20"/>
          </w:cols>
          <w:pgMar w:left="320" w:top="1417" w:right="359" w:bottom="1440" w:gutter="0" w:footer="0" w:header="0"/>
        </w:sectPr>
      </w:pPr>
    </w:p>
    <w:bookmarkStart w:id="78" w:name="page79"/>
    <w:bookmarkEnd w:id="78"/>
    <w:p>
      <w:pPr>
        <w:ind w:left="1140" w:hanging="251"/>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under the TIA;</w:t>
      </w:r>
    </w:p>
    <w:p>
      <w:pPr>
        <w:spacing w:after="0" w:line="225" w:lineRule="exact"/>
        <w:rPr>
          <w:rFonts w:ascii="Times New Roman" w:cs="Times New Roman" w:eastAsia="Times New Roman" w:hAnsi="Times New Roman"/>
          <w:sz w:val="18"/>
          <w:szCs w:val="18"/>
          <w:color w:val="auto"/>
        </w:rPr>
      </w:pPr>
    </w:p>
    <w:p>
      <w:pPr>
        <w:ind w:right="680" w:firstLine="889"/>
        <w:spacing w:after="0" w:line="282" w:lineRule="auto"/>
        <w:tabs>
          <w:tab w:leader="none" w:pos="11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or to make any other change herein or in the Securities that does not materially and adversely affect the rights of any Securityholder;</w:t>
      </w:r>
    </w:p>
    <w:p>
      <w:pPr>
        <w:spacing w:after="0" w:line="16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Securities of any Series as permitted by this Indenture; or</w:t>
      </w:r>
    </w:p>
    <w:p>
      <w:pPr>
        <w:spacing w:after="0" w:line="225" w:lineRule="exact"/>
        <w:rPr>
          <w:rFonts w:ascii="Times New Roman" w:cs="Times New Roman" w:eastAsia="Times New Roman" w:hAnsi="Times New Roman"/>
          <w:sz w:val="18"/>
          <w:szCs w:val="18"/>
          <w:color w:val="auto"/>
        </w:rPr>
      </w:pPr>
    </w:p>
    <w:p>
      <w:pPr>
        <w:ind w:right="180" w:firstLine="889"/>
        <w:spacing w:after="0" w:line="266" w:lineRule="auto"/>
        <w:tabs>
          <w:tab w:leader="none" w:pos="11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spacing w:after="0" w:line="176" w:lineRule="exact"/>
        <w:rPr>
          <w:sz w:val="20"/>
          <w:szCs w:val="20"/>
          <w:color w:val="auto"/>
        </w:rPr>
      </w:pPr>
    </w:p>
    <w:p>
      <w:pPr>
        <w:jc w:val="both"/>
        <w:ind w:right="200" w:firstLine="441"/>
        <w:spacing w:after="0" w:line="266" w:lineRule="auto"/>
        <w:rPr>
          <w:sz w:val="20"/>
          <w:szCs w:val="20"/>
          <w:color w:val="auto"/>
        </w:rPr>
      </w:pPr>
      <w:r>
        <w:rPr>
          <w:rFonts w:ascii="Times New Roman" w:cs="Times New Roman" w:eastAsia="Times New Roman" w:hAnsi="Times New Roman"/>
          <w:sz w:val="18"/>
          <w:szCs w:val="18"/>
          <w:color w:val="auto"/>
        </w:rPr>
        <w:t>The Trustee is hereby authorized to join with the Company in the execution of any supplemental indenture authorized or permitted by the terms of this Indenture, and to make any further appropriate agreements and stipulations which may be therein contained, but the Trustee shall not be obligated to enter into any such supplemental indenture which adversely affects its own rights, duties or immunities under this Indenture.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8.2. WITH CONSENT OF HOLDERS.</w:t>
      </w:r>
    </w:p>
    <w:p>
      <w:pPr>
        <w:spacing w:after="0" w:line="121" w:lineRule="exact"/>
        <w:rPr>
          <w:sz w:val="20"/>
          <w:szCs w:val="20"/>
          <w:color w:val="auto"/>
        </w:rPr>
      </w:pPr>
    </w:p>
    <w:p>
      <w:pPr>
        <w:ind w:right="100" w:firstLine="449"/>
        <w:spacing w:after="0" w:line="256" w:lineRule="auto"/>
        <w:tabs>
          <w:tab w:leader="none" w:pos="68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when authorized by a Board Resolution, and the Trustee may amend, restate or supplement this Indenture or the Securities of one or more Series with the written consent of the Holders of not less than a majority in aggregate principal amount of the outstanding Securities of such Series affected by such amendment, restatement or supplement without notice to any Securityholder. The Holders of not less than a majority in aggregate principal amount of the outstanding Securities of each such Series affected by such amendment, restatement or supplement may waive compliance by the Company in a particular instance with any provision of this Indenture or the Securities of such Series without notice to any Securityholder. Subject to Section 8.4, without the consent of each Securityholder affected, however, an amendment, supplement or waiver may not:</w:t>
      </w:r>
    </w:p>
    <w:p>
      <w:pPr>
        <w:spacing w:after="0" w:line="187"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Securities whose Holders must consent to an amendment, supplement or waiver to this Indenture or the Securities;</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any Security;</w:t>
      </w:r>
    </w:p>
    <w:p>
      <w:pPr>
        <w:spacing w:after="0" w:line="225" w:lineRule="exact"/>
        <w:rPr>
          <w:rFonts w:ascii="Times New Roman" w:cs="Times New Roman" w:eastAsia="Times New Roman" w:hAnsi="Times New Roman"/>
          <w:sz w:val="18"/>
          <w:szCs w:val="18"/>
          <w:color w:val="auto"/>
        </w:rPr>
      </w:pPr>
    </w:p>
    <w:p>
      <w:pPr>
        <w:ind w:right="40" w:firstLine="889"/>
        <w:spacing w:after="0" w:line="282" w:lineRule="auto"/>
        <w:tabs>
          <w:tab w:leader="none" w:pos="113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or change the Stated Maturity, of any Security, or reduce the amount of, or postpone the date fixed for, the payment of any sinking fund or analogous obligation;</w:t>
      </w:r>
    </w:p>
    <w:p>
      <w:pPr>
        <w:spacing w:after="0" w:line="16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Security payable in a currency other than that stated in the Security;</w:t>
      </w:r>
    </w:p>
    <w:p>
      <w:pPr>
        <w:spacing w:after="0" w:line="225" w:lineRule="exact"/>
        <w:rPr>
          <w:rFonts w:ascii="Times New Roman" w:cs="Times New Roman" w:eastAsia="Times New Roman" w:hAnsi="Times New Roman"/>
          <w:sz w:val="18"/>
          <w:szCs w:val="18"/>
          <w:color w:val="auto"/>
        </w:rPr>
      </w:pPr>
    </w:p>
    <w:p>
      <w:pPr>
        <w:ind w:right="720" w:firstLine="889"/>
        <w:spacing w:after="0" w:line="282" w:lineRule="auto"/>
        <w:tabs>
          <w:tab w:leader="none" w:pos="113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amount or time of any payment required by the Securities, or reduce the premium payable upon any redemption of the Securities, or change the time before which no such redemption may be made;</w:t>
      </w:r>
    </w:p>
    <w:p>
      <w:pPr>
        <w:spacing w:after="0" w:line="161" w:lineRule="exact"/>
        <w:rPr>
          <w:rFonts w:ascii="Times New Roman" w:cs="Times New Roman" w:eastAsia="Times New Roman" w:hAnsi="Times New Roman"/>
          <w:sz w:val="18"/>
          <w:szCs w:val="18"/>
          <w:color w:val="auto"/>
        </w:rPr>
      </w:pPr>
    </w:p>
    <w:p>
      <w:pPr>
        <w:ind w:right="100" w:firstLine="889"/>
        <w:spacing w:after="0" w:line="266" w:lineRule="auto"/>
        <w:tabs>
          <w:tab w:leader="none" w:pos="113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the principal of, or interest or premium,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7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Security, or change any of the provisions with respect to the redemption of any Securities;</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changes in Section 6.6 or this Section 8.2, except to increase any percentage of Securities the Holders of which must consent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or</w:t>
      </w:r>
    </w:p>
    <w:p>
      <w:pPr>
        <w:spacing w:after="0" w:line="206"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otherwise prohibited by this Indenture to be taken without the consent of each Holder affected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00"/>
          </w:cols>
          <w:pgMar w:left="320" w:top="1417" w:right="379" w:bottom="1440" w:gutter="0" w:footer="0" w:header="0"/>
        </w:sectPr>
      </w:pPr>
    </w:p>
    <w:bookmarkStart w:id="79" w:name="page80"/>
    <w:bookmarkEnd w:id="79"/>
    <w:p>
      <w:pPr>
        <w:ind w:right="180" w:firstLine="449"/>
        <w:spacing w:after="0" w:line="258" w:lineRule="auto"/>
        <w:tabs>
          <w:tab w:leader="none" w:pos="69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Company, accompanied by a Board Resolution authorizing the execution of any such supplemental indenture, and upon the receipt by the Trustee of evidence reasonably satisfactory to the Trustee of the consent of the Securityholders as aforesaid and of the documents described in Section 8.6, the Trustee shall join with the Company in the execution of such supplemental indenture, unless such supplemental indenture affects the Trustee’s own rights, duties or immunities under this Indenture, in which case the Trustee may in its discretion, but shall not be obligated to, enter into such supplemental indenture.</w:t>
      </w:r>
    </w:p>
    <w:p>
      <w:pPr>
        <w:spacing w:after="0" w:line="183" w:lineRule="exact"/>
        <w:rPr>
          <w:rFonts w:ascii="Times New Roman" w:cs="Times New Roman" w:eastAsia="Times New Roman" w:hAnsi="Times New Roman"/>
          <w:sz w:val="18"/>
          <w:szCs w:val="18"/>
          <w:color w:val="auto"/>
        </w:rPr>
      </w:pPr>
    </w:p>
    <w:p>
      <w:pPr>
        <w:ind w:right="60" w:firstLine="449"/>
        <w:spacing w:after="0" w:line="282" w:lineRule="auto"/>
        <w:tabs>
          <w:tab w:leader="none" w:pos="68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not be necessary for the consent of the Holders under this section to approve the particular form of any proposed amendment, restatement, supplement or waiver, but it shall be sufficient if such consent approves the substance thereof.</w:t>
      </w:r>
    </w:p>
    <w:p>
      <w:pPr>
        <w:spacing w:after="0" w:line="162" w:lineRule="exact"/>
        <w:rPr>
          <w:sz w:val="20"/>
          <w:szCs w:val="20"/>
          <w:color w:val="auto"/>
        </w:rPr>
      </w:pPr>
    </w:p>
    <w:p>
      <w:pPr>
        <w:jc w:val="both"/>
        <w:ind w:right="300" w:firstLine="441"/>
        <w:spacing w:after="0" w:line="266" w:lineRule="auto"/>
        <w:rPr>
          <w:sz w:val="20"/>
          <w:szCs w:val="20"/>
          <w:color w:val="auto"/>
        </w:rPr>
      </w:pPr>
      <w:r>
        <w:rPr>
          <w:rFonts w:ascii="Times New Roman" w:cs="Times New Roman" w:eastAsia="Times New Roman" w:hAnsi="Times New Roman"/>
          <w:sz w:val="18"/>
          <w:szCs w:val="18"/>
          <w:color w:val="auto"/>
        </w:rPr>
        <w:t>After an amendment, restatement or supplement under this Section becomes effective, the Company shall mail to Securityholders a notice briefly describing the amendment, restatement or supplement. Any failure of the Company to mail any such notice, or any defect therein, shall not, however, in any way impair or affect the validity of any supplemental indenture.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 COMPLIANCE WITH TRUST INDENTURE ACT.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Every amendment to, or supplement of, this Indenture or the Securities shall comply with the TIA as then in effect.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8.4. REVOCATION AND EFFECT OF CONSENTS.</w:t>
      </w:r>
    </w:p>
    <w:p>
      <w:pPr>
        <w:spacing w:after="0" w:line="121"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Until an amendment, restatement, supplement, waiver or other action becomes effective, a consent to it by a Holder of a Security is a continuing consent conclusive and binding upon such Holder and every subsequent Holder of the same Security or portion thereof, and of any Security issued upon the transfer thereof or in exchange therefor or in place thereof, even if notation of the consent is not made on any such Security. Any such Holder or subsequent Holder, however, may revoke the consent as to his Security or portion of a Security, if the Trustee receives the notice of revocation before the date the amendment, restatement, supplement, waiver or other action becomes effective.</w:t>
      </w:r>
    </w:p>
    <w:p>
      <w:pPr>
        <w:spacing w:after="0" w:line="183"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The Company may, but shall not be obligated to, fix a record date for the purpose of determining the Holders entitled to consent to any amendment, restatement, supplement or waiver, which record date shall be at least 30 days prior to the first solicitation of such consent. If a record date is fixed, then, notwithstanding the preceding paragraph, those Persons who were Holders at such record date (or their duly designated proxies), and only such Persons, shall be entitled to consent to such amendment, restatement, supplement or waiver, or to revoke any consent previously given, whether or not such Persons continue to be Holders after such record date.</w:t>
      </w:r>
    </w:p>
    <w:p>
      <w:pPr>
        <w:spacing w:after="0" w:line="183" w:lineRule="exact"/>
        <w:rPr>
          <w:sz w:val="20"/>
          <w:szCs w:val="20"/>
          <w:color w:val="auto"/>
        </w:rPr>
      </w:pPr>
    </w:p>
    <w:p>
      <w:pPr>
        <w:ind w:right="100" w:firstLine="441"/>
        <w:spacing w:after="0" w:line="256" w:lineRule="auto"/>
        <w:rPr>
          <w:sz w:val="20"/>
          <w:szCs w:val="20"/>
          <w:color w:val="auto"/>
        </w:rPr>
      </w:pPr>
      <w:r>
        <w:rPr>
          <w:rFonts w:ascii="Times New Roman" w:cs="Times New Roman" w:eastAsia="Times New Roman" w:hAnsi="Times New Roman"/>
          <w:sz w:val="18"/>
          <w:szCs w:val="18"/>
          <w:color w:val="auto"/>
        </w:rPr>
        <w:t>After an amendment, restatement, supplement, waiver or other action becomes effective, it shall bind every Securityholder, unless it makes a change described in any of clauses (1) through (9) of Section 8.2. In that case, the amendment, restatement, supplement, waiver or other action shall bind each Holder of a Security who has consented to it and every subsequent Holder of a Security or portion of a Security that evidences the same debt as the consenting Holder’s Security; PROVIDED, that any such waiver shall not impair or affect the right of any Holder to receive payment of the principal of, and interest and premium, if any, on, a Security, on or after the respective due dates expressed in such Security, or to bring suit for the enforcement of any such payment on or after such respective dates without the consent of such Holder.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8.5. NOTATION ON OR EXCHANGE OF SECURITIES.</w:t>
      </w:r>
    </w:p>
    <w:p>
      <w:pPr>
        <w:spacing w:after="0" w:line="121" w:lineRule="exact"/>
        <w:rPr>
          <w:sz w:val="20"/>
          <w:szCs w:val="20"/>
          <w:color w:val="auto"/>
        </w:rPr>
      </w:pPr>
    </w:p>
    <w:p>
      <w:pPr>
        <w:ind w:right="200" w:firstLine="441"/>
        <w:spacing w:after="0" w:line="266" w:lineRule="auto"/>
        <w:rPr>
          <w:sz w:val="20"/>
          <w:szCs w:val="20"/>
          <w:color w:val="auto"/>
        </w:rPr>
      </w:pPr>
      <w:r>
        <w:rPr>
          <w:rFonts w:ascii="Times New Roman" w:cs="Times New Roman" w:eastAsia="Times New Roman" w:hAnsi="Times New Roman"/>
          <w:sz w:val="18"/>
          <w:szCs w:val="18"/>
          <w:color w:val="auto"/>
        </w:rPr>
        <w:t>If an amendment, restatement, supplement or waiver changes the terms of a Security of any Series, the Trustee may request the Holder of such Security to deliver it to the Trustee. In such case, the Trustee shall place an appropriate notation on such Security about the changed terms and return it to the Holder. Alternatively, the Company, in exchange for such Security, may issue, and the Trustee shall authenticate, a new security that reflects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17" w:right="339" w:bottom="1440" w:gutter="0" w:footer="0" w:header="0"/>
        </w:sectPr>
      </w:pPr>
    </w:p>
    <w:bookmarkStart w:id="80" w:name="page81"/>
    <w:bookmarkEnd w:id="80"/>
    <w:p>
      <w:pPr>
        <w:ind w:right="60"/>
        <w:spacing w:after="0" w:line="282" w:lineRule="auto"/>
        <w:rPr>
          <w:sz w:val="20"/>
          <w:szCs w:val="20"/>
          <w:color w:val="auto"/>
        </w:rPr>
      </w:pPr>
      <w:r>
        <w:rPr>
          <w:rFonts w:ascii="Times New Roman" w:cs="Times New Roman" w:eastAsia="Times New Roman" w:hAnsi="Times New Roman"/>
          <w:sz w:val="18"/>
          <w:szCs w:val="18"/>
          <w:color w:val="auto"/>
        </w:rPr>
        <w:t>the changed terms. Failure to make the appropriate notation or issue a new Security shall not affect the validity and effect of such amendment, restatement, supplement or waiver.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8.6. TRUSTEE TO SIGN AMENDMENTS, ETC.</w:t>
      </w:r>
    </w:p>
    <w:p>
      <w:pPr>
        <w:spacing w:after="0" w:line="121"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The Trustee shall sign any amendment, restatement, supplement or waiver authorized pursuant to this Article 8 if the amendment, restatement, supplement or waiver does not adversely affect the rights, duties, liabilities or immunities of the Trustee. If it does, the Trustee may, but need not, sign it. In signing or refusing to sign such amendment, restatement, supplement or waiver the Trustee shall be entitled to receive and, subject to Section 7.1, shall be fully protected in relying upon an Officers’ Certificate and an Opinion of Counsel stating that such amendment, restatement, supplement or waiver is authorized or permitted by this Indenture. The Company may not sign an amendment, restatement or supplement until the Board of Directors of the Company approves it.</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9 –</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DISCHARGE OF INDENTURE; DEFEASANCE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9.1. DISCHARGE OF INDENTURE.</w:t>
      </w:r>
    </w:p>
    <w:p>
      <w:pPr>
        <w:spacing w:after="0" w:line="121" w:lineRule="exact"/>
        <w:rPr>
          <w:sz w:val="20"/>
          <w:szCs w:val="20"/>
          <w:color w:val="auto"/>
        </w:rPr>
      </w:pPr>
    </w:p>
    <w:p>
      <w:pPr>
        <w:ind w:right="180" w:firstLine="441"/>
        <w:spacing w:after="0" w:line="258" w:lineRule="auto"/>
        <w:rPr>
          <w:sz w:val="20"/>
          <w:szCs w:val="20"/>
          <w:color w:val="auto"/>
        </w:rPr>
      </w:pPr>
      <w:r>
        <w:rPr>
          <w:rFonts w:ascii="Times New Roman" w:cs="Times New Roman" w:eastAsia="Times New Roman" w:hAnsi="Times New Roman"/>
          <w:sz w:val="18"/>
          <w:szCs w:val="18"/>
          <w:color w:val="auto"/>
        </w:rPr>
        <w:t>The Company may terminate its obligations under the Securities of any Series and this Indenture with respect to such Series, except the obligations referred to in the last paragraph of this Section 9.1, if there shall have been canceled by the Trustee, or delivered to the Trustee for cancellation, all Securities of such Series theretofore authenticated and delivered (other than any Securities of such Series that are asserted to have been destroyed, lost or stolen and that shall have been replaced as provided in Section 2.8) and the Company has paid all sums payable by it hereunder or deposited all required sums with the Trustee.</w:t>
      </w:r>
    </w:p>
    <w:p>
      <w:pPr>
        <w:spacing w:after="0" w:line="183" w:lineRule="exact"/>
        <w:rPr>
          <w:sz w:val="20"/>
          <w:szCs w:val="20"/>
          <w:color w:val="auto"/>
        </w:rPr>
      </w:pPr>
    </w:p>
    <w:p>
      <w:pPr>
        <w:ind w:right="840" w:firstLine="441"/>
        <w:spacing w:after="0" w:line="282" w:lineRule="auto"/>
        <w:rPr>
          <w:sz w:val="20"/>
          <w:szCs w:val="20"/>
          <w:color w:val="auto"/>
        </w:rPr>
      </w:pPr>
      <w:r>
        <w:rPr>
          <w:rFonts w:ascii="Times New Roman" w:cs="Times New Roman" w:eastAsia="Times New Roman" w:hAnsi="Times New Roman"/>
          <w:sz w:val="18"/>
          <w:szCs w:val="18"/>
          <w:color w:val="auto"/>
        </w:rPr>
        <w:t>After such delivery the Trustee upon request shall acknowledge in a writing prepared by or on behalf of the Company the discharge of the Company’s obligations under the Securities of such Series and this Indenture, except for those surviving obligations specified below.</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the satisfaction and discharge of this Indenture, the obligations of the Company in Sections 7.7, 9.5 and 9.6 shall survive.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9.2. LEGAL DEFEASANCE.</w:t>
      </w:r>
    </w:p>
    <w:p>
      <w:pPr>
        <w:spacing w:after="0" w:line="121"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The Company may at its option, by Board Resolution, be discharged from its obligations with respect to the Securities of any Series on the date upon which the conditions set forth in Section 9.4 below are satisfied (hereinafter, “Legal Defeasance”). For this purpose, such Legal Defeasance means that the Company shall be deemed to have paid and discharged the entire Indebtedness represented by the Securities of such Series and to have satisfied all its other obligations under such Securities and this Indenture insofar as such Securities are concerned (and the Trustee, at the expense of the Company, shall, subject to Section 9.6, execute proper instruments acknowledging the same, as are delivered to it by the Company), except for the following, which shall survive until otherwise terminated or discharged hereunder: (A) the rights of Holders of outstanding Securities of such Series to receive solely from the trust funds described in Section 9.4 and as more fully set forth in such section, payments in respect of the principal of, and interest and premium, if any, on, the Securities of such Series when such payments are due, (B) the Company’s obligations with respect to the Securities of such Series under Sections 2.4, 2.5, 2.6, 2.7, 2.8 and 2.9, (C) the rights, powers, trusts, duties and immunities of the Trustee hereunder (including claims of, or payments to, the Trustee under or pursuant to Section 7.7) and (D) this Article 9. Subject to compliance with this Article 9, the Company may exercise its option under this Section 9.2 with respect to the Securities of any Series notwithstanding the prior exercise of its option under Section 9.3 below with respect to the Securities of such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20"/>
          </w:cols>
          <w:pgMar w:left="320" w:top="1417"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9.3. COVENANT DEFEASANCE.</w:t>
      </w:r>
    </w:p>
    <w:p>
      <w:pPr>
        <w:spacing w:after="0" w:line="121"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At the option of the Company, pursuant to a Board Resolution, the Company shall be released from its obligations with respect to the outstanding Securities of any Series under Sections 4.2 through 4.5, inclusive, and Section 5.1, with respect to the outstanding Securities of such Series, on and after the date the conditions set forth in Section 9.4 are satisfied (hereinafter, “Covenant Defeasance”). For this purpose, such Covenant Defeasance means that the Company may omit to comply with and shall have no liability in respect of any term, condition or limitation set forth in any such specified section or portion thereof, whether directly or indirectly by reason of any reference elsewhere herein to any such specified Section or portion thereof or by reason of any reference in any such specified section or portion thereof to any other provision herein or in any other document, but the remainder of this Indenture and the Securities of any Series shall be unaffected thereby.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9.4. CONDITIONS TO LEGAL DEFEASANCE OR COVENANT DEFEASANCE.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shall be the conditions to application of Section 9.2 or Section 9.3 to the outstanding Securities of a Series:</w:t>
      </w:r>
    </w:p>
    <w:p>
      <w:pPr>
        <w:spacing w:after="0" w:line="225" w:lineRule="exact"/>
        <w:rPr>
          <w:sz w:val="20"/>
          <w:szCs w:val="20"/>
          <w:color w:val="auto"/>
        </w:rPr>
      </w:pPr>
    </w:p>
    <w:p>
      <w:pPr>
        <w:ind w:right="120" w:firstLine="889"/>
        <w:spacing w:after="0" w:line="271" w:lineRule="auto"/>
        <w:tabs>
          <w:tab w:leader="none" w:pos="1136"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irrevocably have deposited or caused to be deposited with the Trustee (or another trustee satisfying the requirements of Section 7.10 who shall agree to comply with the provisions of this Article 9 applicable to it) as funds in trust for the purpose of making the following payments, specifically pledged as security for, and dedicated solely to, the benefit of the Holders of the Securities, (A) money in an amount, or (B) U.S. Government Obligations or Foreign Government Obligations which through the scheduled payment of principal and interest in respect thereof in accordance with their terms will provide, not later than the due date of any payment, money in an amount, or (C) a combination thereof, sufficient, in the opinion of a nationally recognized firm of independent public accountants expressed in a written certification thereof delivered to the Trustee, to pay and discharge, and which shall be applied by the Trustee (or other qualifying trustee) to pay and discharge, the principal of, and accrued interest and premium, if any, on, the outstanding Securities of such Series at the Stated Maturity of such principal, interest or premium, if any, or on dates for payment and redemption of such principal, interest and premium, if any, selected in accordance with the terms of this Indenture and of the Securities of such Series;</w:t>
      </w:r>
    </w:p>
    <w:p>
      <w:pPr>
        <w:spacing w:after="0" w:line="173" w:lineRule="exact"/>
        <w:rPr>
          <w:rFonts w:ascii="Times New Roman" w:cs="Times New Roman" w:eastAsia="Times New Roman" w:hAnsi="Times New Roman"/>
          <w:sz w:val="17"/>
          <w:szCs w:val="17"/>
          <w:color w:val="auto"/>
        </w:rPr>
      </w:pPr>
    </w:p>
    <w:p>
      <w:pPr>
        <w:ind w:right="60" w:firstLine="889"/>
        <w:spacing w:after="0" w:line="258" w:lineRule="auto"/>
        <w:tabs>
          <w:tab w:leader="none" w:pos="11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Default with respect to the Securities of such Series shall have occurred and be continuing on the date of such deposit, or shall have occurred and be continuing at any time during the period ending on the 91st day after the date of such deposit or, if longer, ending on the day following the expiration of the longest preference period under any Bankruptcy Law applicable to the Company in respect of such deposit as specified in the Opinion of Counsel identified in paragraph (8) below (it being understood that this condition shall not be deemed satisfied until the expiration of such period);</w:t>
      </w:r>
    </w:p>
    <w:p>
      <w:pPr>
        <w:spacing w:after="0" w:line="183" w:lineRule="exact"/>
        <w:rPr>
          <w:rFonts w:ascii="Times New Roman" w:cs="Times New Roman" w:eastAsia="Times New Roman" w:hAnsi="Times New Roman"/>
          <w:sz w:val="18"/>
          <w:szCs w:val="18"/>
          <w:color w:val="auto"/>
        </w:rPr>
      </w:pPr>
    </w:p>
    <w:p>
      <w:pPr>
        <w:ind w:right="460" w:firstLine="889"/>
        <w:spacing w:after="0" w:line="282" w:lineRule="auto"/>
        <w:tabs>
          <w:tab w:leader="none" w:pos="11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Legal Defeasance or Covenant Defeasance shall not cause the Trustee to have a conflicting interest for purposes of the TIA with respect to any securities of the Company;</w:t>
      </w:r>
    </w:p>
    <w:p>
      <w:pPr>
        <w:spacing w:after="0" w:line="161" w:lineRule="exact"/>
        <w:rPr>
          <w:rFonts w:ascii="Times New Roman" w:cs="Times New Roman" w:eastAsia="Times New Roman" w:hAnsi="Times New Roman"/>
          <w:sz w:val="18"/>
          <w:szCs w:val="18"/>
          <w:color w:val="auto"/>
        </w:rPr>
      </w:pPr>
    </w:p>
    <w:p>
      <w:pPr>
        <w:ind w:right="60" w:firstLine="889"/>
        <w:spacing w:after="0" w:line="282" w:lineRule="auto"/>
        <w:tabs>
          <w:tab w:leader="none" w:pos="11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Legal Defeasance or Covenant Defeasance shall not result in a breach or violation of, or constitute default under, any other agreement or instrument to which the Company is a party or by which it is bound;</w:t>
      </w:r>
    </w:p>
    <w:p>
      <w:pPr>
        <w:spacing w:after="0" w:line="161" w:lineRule="exact"/>
        <w:rPr>
          <w:rFonts w:ascii="Times New Roman" w:cs="Times New Roman" w:eastAsia="Times New Roman" w:hAnsi="Times New Roman"/>
          <w:sz w:val="18"/>
          <w:szCs w:val="18"/>
          <w:color w:val="auto"/>
        </w:rPr>
      </w:pPr>
    </w:p>
    <w:p>
      <w:pPr>
        <w:ind w:right="440" w:firstLine="889"/>
        <w:spacing w:after="0" w:line="266" w:lineRule="auto"/>
        <w:tabs>
          <w:tab w:leader="none" w:pos="11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Opinion of Counsel stating that, as a result of such Legal Defeasance or Covenant Defeasance, neither the trust nor the Trustee will be required to register as an investment company under the Investment Company Act of 1940, as amended;</w:t>
      </w:r>
    </w:p>
    <w:p>
      <w:pPr>
        <w:spacing w:after="0" w:line="175" w:lineRule="exact"/>
        <w:rPr>
          <w:rFonts w:ascii="Times New Roman" w:cs="Times New Roman" w:eastAsia="Times New Roman" w:hAnsi="Times New Roman"/>
          <w:sz w:val="18"/>
          <w:szCs w:val="18"/>
          <w:color w:val="auto"/>
        </w:rPr>
      </w:pPr>
    </w:p>
    <w:p>
      <w:pPr>
        <w:ind w:right="220" w:firstLine="889"/>
        <w:spacing w:after="0" w:line="258" w:lineRule="auto"/>
        <w:tabs>
          <w:tab w:leader="none" w:pos="11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9.2, the Company shall have delivered to the Trustee an Opinion of Counsel stating that (i) the Company has received from, or there has been published by, the Internal Revenue Service a ruling to the effect that or (ii) there has been a change in any applicable Federal income tax law with the effect that, and such opinion shall confirm that, the Holders of the outstanding Securities of such Series or Persons in their positions will not recognize income, gain or loss for Federal income tax purposes solely as a result of such Legal Defeasance and will be subject to Federal income tax on the same amounts, in the same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20"/>
          </w:cols>
          <w:pgMar w:left="320" w:top="1413"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including as a result of prepayment, and at the same times as would have been the case if such Legal Defeasance had not occurred;</w:t>
      </w:r>
    </w:p>
    <w:p>
      <w:pPr>
        <w:spacing w:after="0" w:line="225" w:lineRule="exact"/>
        <w:rPr>
          <w:sz w:val="20"/>
          <w:szCs w:val="20"/>
          <w:color w:val="auto"/>
        </w:rPr>
      </w:pPr>
    </w:p>
    <w:p>
      <w:pPr>
        <w:jc w:val="both"/>
        <w:ind w:right="60" w:firstLine="889"/>
        <w:spacing w:after="0" w:line="261" w:lineRule="auto"/>
        <w:tabs>
          <w:tab w:leader="none" w:pos="113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9.3, the Company shall have delivered to the Trustee an Opinion of Counsel to the effect that the Holders of the outstanding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79" w:lineRule="exact"/>
        <w:rPr>
          <w:rFonts w:ascii="Times New Roman" w:cs="Times New Roman" w:eastAsia="Times New Roman" w:hAnsi="Times New Roman"/>
          <w:sz w:val="18"/>
          <w:szCs w:val="18"/>
          <w:color w:val="auto"/>
        </w:rPr>
      </w:pPr>
    </w:p>
    <w:p>
      <w:pPr>
        <w:ind w:firstLine="889"/>
        <w:spacing w:after="0" w:line="266" w:lineRule="auto"/>
        <w:tabs>
          <w:tab w:leader="none" w:pos="113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provided for in this Article 9 relating to either the Legal Defeasance under Section 9.2 or the Covenant Defeasance under Section 9.3 (as the case may be) have been complied with;</w:t>
      </w:r>
    </w:p>
    <w:p>
      <w:pPr>
        <w:spacing w:after="0" w:line="175" w:lineRule="exact"/>
        <w:rPr>
          <w:rFonts w:ascii="Times New Roman" w:cs="Times New Roman" w:eastAsia="Times New Roman" w:hAnsi="Times New Roman"/>
          <w:sz w:val="18"/>
          <w:szCs w:val="18"/>
          <w:color w:val="auto"/>
        </w:rPr>
      </w:pPr>
    </w:p>
    <w:p>
      <w:pPr>
        <w:ind w:right="480" w:firstLine="889"/>
        <w:spacing w:after="0" w:line="282" w:lineRule="auto"/>
        <w:tabs>
          <w:tab w:leader="none" w:pos="113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stating that the deposit under clause (1) was not made by the Company with the intent of defeating, hindering, delaying or defrauding any creditors of the Company or others; and</w:t>
      </w:r>
    </w:p>
    <w:p>
      <w:pPr>
        <w:spacing w:after="0" w:line="161" w:lineRule="exact"/>
        <w:rPr>
          <w:rFonts w:ascii="Times New Roman" w:cs="Times New Roman" w:eastAsia="Times New Roman" w:hAnsi="Times New Roman"/>
          <w:sz w:val="18"/>
          <w:szCs w:val="18"/>
          <w:color w:val="auto"/>
        </w:rPr>
      </w:pPr>
    </w:p>
    <w:p>
      <w:pPr>
        <w:ind w:right="600" w:firstLine="889"/>
        <w:spacing w:after="0" w:line="282" w:lineRule="auto"/>
        <w:tabs>
          <w:tab w:leader="none" w:pos="122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paid, or duly provided for payment under terms mutually satisfactory to the Company and the Trustee, all amounts then due to the Trustee pursuant to Section 7.7.</w:t>
      </w:r>
    </w:p>
    <w:p>
      <w:pPr>
        <w:spacing w:after="0" w:line="266" w:lineRule="exact"/>
        <w:rPr>
          <w:sz w:val="20"/>
          <w:szCs w:val="20"/>
          <w:color w:val="auto"/>
        </w:rPr>
      </w:pPr>
    </w:p>
    <w:p>
      <w:pPr>
        <w:ind w:right="1520"/>
        <w:spacing w:after="0" w:line="286" w:lineRule="auto"/>
        <w:rPr>
          <w:sz w:val="20"/>
          <w:szCs w:val="20"/>
          <w:color w:val="auto"/>
        </w:rPr>
      </w:pPr>
      <w:r>
        <w:rPr>
          <w:rFonts w:ascii="Times New Roman" w:cs="Times New Roman" w:eastAsia="Times New Roman" w:hAnsi="Times New Roman"/>
          <w:sz w:val="18"/>
          <w:szCs w:val="18"/>
          <w:b w:val="1"/>
          <w:bCs w:val="1"/>
          <w:color w:val="auto"/>
        </w:rPr>
        <w:t>9.5. DEPOSITED MONEY AND U.S. AND FOREIGN GOVERNMENT OBLIGATIONS TO BE HELD IN TRUST; OTHER MISCELLANEOUS PROVISIONS.</w:t>
      </w:r>
    </w:p>
    <w:p>
      <w:pPr>
        <w:spacing w:after="0" w:line="51"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All money, U.S. Government Obligations and Foreign Government Obligations (including the proceeds thereof) deposited with the Trustee pursuant to Section 9.4 in respect of the outstanding Securities shall be held in trust and applied by the Trustee, in accordance with the provisions of such Securities and this Indenture, to the payment, either directly or through any Paying Agent as the Trustee may determine, to the Holders of such Securities, of all sums due and to become due thereon in respect of principal, accrued interest and premium, if any, but such money need not be segregated from other funds except to the extent required by law.</w:t>
      </w:r>
    </w:p>
    <w:p>
      <w:pPr>
        <w:spacing w:after="0" w:line="183" w:lineRule="exact"/>
        <w:rPr>
          <w:sz w:val="20"/>
          <w:szCs w:val="20"/>
          <w:color w:val="auto"/>
        </w:rPr>
      </w:pPr>
    </w:p>
    <w:p>
      <w:pPr>
        <w:ind w:right="480" w:firstLine="441"/>
        <w:spacing w:after="0" w:line="266" w:lineRule="auto"/>
        <w:rPr>
          <w:sz w:val="20"/>
          <w:szCs w:val="20"/>
          <w:color w:val="auto"/>
        </w:rPr>
      </w:pPr>
      <w:r>
        <w:rPr>
          <w:rFonts w:ascii="Times New Roman" w:cs="Times New Roman" w:eastAsia="Times New Roman" w:hAnsi="Times New Roman"/>
          <w:sz w:val="18"/>
          <w:szCs w:val="18"/>
          <w:color w:val="auto"/>
        </w:rPr>
        <w:t>The Company shall pay and indemnify the Trustee against any tax, fee or other charge imposed on or assessed against the U.S. Government Obligations and Foreign Government Obligations deposited pursuant to Section 9.4 or the principal, interest and premium, if any, received in respect thereof other than any such tax, fee or other charge which by law is for the account of the Holders of the outstanding Securities.</w:t>
      </w:r>
    </w:p>
    <w:p>
      <w:pPr>
        <w:spacing w:after="0" w:line="176" w:lineRule="exact"/>
        <w:rPr>
          <w:sz w:val="20"/>
          <w:szCs w:val="20"/>
          <w:color w:val="auto"/>
        </w:rPr>
      </w:pPr>
    </w:p>
    <w:p>
      <w:pPr>
        <w:ind w:right="220" w:firstLine="441"/>
        <w:spacing w:after="0" w:line="258" w:lineRule="auto"/>
        <w:rPr>
          <w:sz w:val="20"/>
          <w:szCs w:val="20"/>
          <w:color w:val="auto"/>
        </w:rPr>
      </w:pPr>
      <w:r>
        <w:rPr>
          <w:rFonts w:ascii="Times New Roman" w:cs="Times New Roman" w:eastAsia="Times New Roman" w:hAnsi="Times New Roman"/>
          <w:sz w:val="18"/>
          <w:szCs w:val="18"/>
          <w:color w:val="auto"/>
        </w:rPr>
        <w:t>Anything in this Article 9 to the contrary notwithstanding, but subject to payment of any of its outstanding fees and expenses, the Trustee shall deliver or pay to the Company from time to time upon Company Request any money, U.S. Government Obligations or Foreign Government Obligations held by the Trustee as provided in Section 9.4 which, in the opinion of a nationally-recognized firm of independent public accountants expressed in a written certification thereof delivered to the Trustee, are in excess of the amount thereof which would then be required to be deposited to effect an equivalent Legal Defeasance or Covenant Defeasance.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9.6. REINSTATEMENT.</w:t>
      </w:r>
    </w:p>
    <w:p>
      <w:pPr>
        <w:spacing w:after="0" w:line="121" w:lineRule="exact"/>
        <w:rPr>
          <w:sz w:val="20"/>
          <w:szCs w:val="20"/>
          <w:color w:val="auto"/>
        </w:rPr>
      </w:pPr>
    </w:p>
    <w:p>
      <w:pPr>
        <w:ind w:right="140" w:firstLine="441"/>
        <w:spacing w:after="0" w:line="255" w:lineRule="auto"/>
        <w:rPr>
          <w:sz w:val="20"/>
          <w:szCs w:val="20"/>
          <w:color w:val="auto"/>
        </w:rPr>
      </w:pPr>
      <w:r>
        <w:rPr>
          <w:rFonts w:ascii="Times New Roman" w:cs="Times New Roman" w:eastAsia="Times New Roman" w:hAnsi="Times New Roman"/>
          <w:sz w:val="18"/>
          <w:szCs w:val="18"/>
          <w:color w:val="auto"/>
        </w:rPr>
        <w:t>If the Trustee or Paying Agent is unable to apply any money, U.S. Government Obligations or Foreign Government Obligations in accordance with Section 9.1, 9.2, 9.3 or 9.4 by reason of any legal proceeding or by reason of any order or judgment of any court or governmental authority enjoining, restraining or otherwise prohibiting such application, the Company’s obligations under this Indenture and the Securities shall be revived and reinstated as though no deposit had occurred pursuant to this Article 9 until such time as the Trustee or Paying Agent is permitted to apply all such money, U.S. Government Obligations or Foreign Government Obligations, as the case may be, in accordance with Section 9.1, 9.2, 9.3 or 9.4; PROVIDED, HOWEVER, that if the Company has made any payment of principal of, or accrued interest or premium, if any, on, any Securities because of the reinstatement of its obligations, the Company shall be subrogated to the rights of the Holders of such Securities to receive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00"/>
          </w:cols>
          <w:pgMar w:left="320" w:top="1417" w:right="3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payment from the money, U.S. Government Obligations or Foreign Government Obligations held by the Trustee or Paying Agent.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9.7. MONEYS HELD BY PAYING AGENT.</w:t>
      </w:r>
    </w:p>
    <w:p>
      <w:pPr>
        <w:spacing w:after="0" w:line="121" w:lineRule="exact"/>
        <w:rPr>
          <w:sz w:val="20"/>
          <w:szCs w:val="20"/>
          <w:color w:val="auto"/>
        </w:rPr>
      </w:pPr>
    </w:p>
    <w:p>
      <w:pPr>
        <w:jc w:val="both"/>
        <w:ind w:right="16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satisfaction and discharge of this Indenture, all moneys then held by any Paying Agent under the provisions of this Indenture shall, upon demand of the Company, be paid to the Trustee, or, if sufficient moneys have been deposited pursuant to Section 9.1, be paid to the Company, and thereupon such Paying Agent shall be released from all further liability with respect to such moneys.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9.8. MONEYS HELD BY TRUSTEE.</w:t>
      </w:r>
    </w:p>
    <w:p>
      <w:pPr>
        <w:spacing w:after="0" w:line="121"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Any moneys deposited with the Trustee or any Paying Agent or then held by the Company in trust for the payment of the principal of, or interest or premium, if any, on, any Security that are not applied but remain unclaimed by the Holder of such Security for two years after the date upon which the principal of, or interest or premium, if any, on, such Security shall have respectively become due and payable shall be repaid to the Company upon Company Request, or if such moneys are then held by the Company in trust, such moneys shall be released from such trust; and the Holder of such Security entitled to receive such payment shall thereafter, as an unsecured general creditor, look only to the Company for the payment thereof, and all liability of the Trustee or such Paying Agent with respect to such trust money shall thereupon cease. After payment to the Company or the release of any money held in trust by the Company, Securityholders entitled to the money must look only to the Company for payment as general creditors, unless applicable abandoned property law designates another Person.</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10 –</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10.1. TRUST INDENTURE ACT CONTROLS.</w:t>
      </w:r>
    </w:p>
    <w:p>
      <w:pPr>
        <w:spacing w:after="0" w:line="121" w:lineRule="exact"/>
        <w:rPr>
          <w:sz w:val="20"/>
          <w:szCs w:val="20"/>
          <w:color w:val="auto"/>
        </w:rPr>
      </w:pPr>
    </w:p>
    <w:p>
      <w:pPr>
        <w:ind w:right="240" w:firstLine="441"/>
        <w:spacing w:after="0" w:line="266" w:lineRule="auto"/>
        <w:rPr>
          <w:sz w:val="20"/>
          <w:szCs w:val="20"/>
          <w:color w:val="auto"/>
        </w:rPr>
      </w:pPr>
      <w:r>
        <w:rPr>
          <w:rFonts w:ascii="Times New Roman" w:cs="Times New Roman" w:eastAsia="Times New Roman" w:hAnsi="Times New Roman"/>
          <w:sz w:val="18"/>
          <w:szCs w:val="18"/>
          <w:color w:val="auto"/>
        </w:rPr>
        <w:t>If any provision of this Indenture limits, qualifies or conflicts with another provision which is required to be included in this Indenture by the TIA, the required TIA provision shall control. If any provision of this Indenture modifies or excludes any provision of the TIA which may be so modified or excluded, the latter provision shall be deemed to apply to this Indenture as so modified or to be excluded,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10.2. NOTICES.</w:t>
      </w:r>
    </w:p>
    <w:p>
      <w:pPr>
        <w:spacing w:after="0" w:line="121"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Any notice or communication shall be given in writing and delivered in Person, sent by facsimile (and receipt confirmed by telephone or electronic transmission report), delivered by commercial courier service or mailed by first-class mail, postage prepaid, addressed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6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Sema4 Holdings Corp.</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333 Ludlow Street, North Tower, 8th Floor</w:t>
      </w:r>
    </w:p>
    <w:p>
      <w:pPr>
        <w:spacing w:after="0" w:line="2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Stamford, Connecticut 06902</w:t>
      </w:r>
    </w:p>
    <w:p>
      <w:pPr>
        <w:spacing w:after="0" w:line="2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Copy to:</w:t>
      </w:r>
    </w:p>
    <w:p>
      <w:pPr>
        <w:spacing w:after="0" w:line="18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Fenwick &amp; West LLP</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902 Broadway, Ste. 14</w:t>
      </w:r>
    </w:p>
    <w:p>
      <w:pPr>
        <w:spacing w:after="0" w:line="2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New York, NY 10010</w:t>
      </w:r>
    </w:p>
    <w:p>
      <w:pPr>
        <w:spacing w:after="0" w:line="2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Fax: (650) 938-5200</w:t>
      </w:r>
    </w:p>
    <w:p>
      <w:pPr>
        <w:spacing w:after="0" w:line="2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Attention: Per Chilstrom</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225"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The Company or the Trustee by written notice to the other may designate additional or different addresses for subsequent notices or communications. Any notice or communication to the Company or the Trustee shall be deemed to have been given or made as of the date so delivered if personally delivered; when receipt is confirmed by telephone or electronic transmission report, if sent by facsimile; and three Business Days after mailing if sent by registered or certified mail, postage prepaid (except that a notice of change of address shall not be deemed to have been given until actually received by the addressee).</w:t>
      </w:r>
    </w:p>
    <w:p>
      <w:pPr>
        <w:spacing w:after="0" w:line="183" w:lineRule="exact"/>
        <w:rPr>
          <w:sz w:val="20"/>
          <w:szCs w:val="20"/>
          <w:color w:val="auto"/>
        </w:rPr>
      </w:pPr>
    </w:p>
    <w:p>
      <w:pPr>
        <w:ind w:right="720" w:firstLine="441"/>
        <w:spacing w:after="0" w:line="282" w:lineRule="auto"/>
        <w:rPr>
          <w:sz w:val="20"/>
          <w:szCs w:val="20"/>
          <w:color w:val="auto"/>
        </w:rPr>
      </w:pPr>
      <w:r>
        <w:rPr>
          <w:rFonts w:ascii="Times New Roman" w:cs="Times New Roman" w:eastAsia="Times New Roman" w:hAnsi="Times New Roman"/>
          <w:sz w:val="18"/>
          <w:szCs w:val="18"/>
          <w:color w:val="auto"/>
        </w:rPr>
        <w:t>Any notice or communication mailed to a Securityholder shall be mailed to such Securityholder by first-class mail, postage prepaid, at such Securityholder’s address shown on the register kept by the Registrar.</w:t>
      </w:r>
    </w:p>
    <w:p>
      <w:pPr>
        <w:spacing w:after="0" w:line="162"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Failure to mail, or any defect in, a notice or communication to a Securityholder shall not affect its sufficiency with respect to other Securityholders. If a notice or communication to a Securityholder is mailed in the manner provided above, it shall be deemed duly given, three Business Days after such mailing, whether or not the addressee receives it.</w:t>
      </w:r>
    </w:p>
    <w:p>
      <w:pPr>
        <w:spacing w:after="0" w:line="176" w:lineRule="exact"/>
        <w:rPr>
          <w:sz w:val="20"/>
          <w:szCs w:val="20"/>
          <w:color w:val="auto"/>
        </w:rPr>
      </w:pPr>
    </w:p>
    <w:p>
      <w:pPr>
        <w:ind w:right="200" w:firstLine="441"/>
        <w:spacing w:after="0" w:line="282" w:lineRule="auto"/>
        <w:rPr>
          <w:sz w:val="20"/>
          <w:szCs w:val="20"/>
          <w:color w:val="auto"/>
        </w:rPr>
      </w:pPr>
      <w:r>
        <w:rPr>
          <w:rFonts w:ascii="Times New Roman" w:cs="Times New Roman" w:eastAsia="Times New Roman" w:hAnsi="Times New Roman"/>
          <w:sz w:val="18"/>
          <w:szCs w:val="18"/>
          <w:color w:val="auto"/>
        </w:rPr>
        <w:t>In case by reason of the suspension of regular mail service, or by reason of any other cause, it shall be impossible to mail any notice as required by this Indenture, then such method of notification as shall be made with the approval of the Trustee shall constitute a sufficient mailing of such notice.</w:t>
      </w:r>
    </w:p>
    <w:p>
      <w:pPr>
        <w:spacing w:after="0" w:line="162" w:lineRule="exact"/>
        <w:rPr>
          <w:sz w:val="20"/>
          <w:szCs w:val="20"/>
          <w:color w:val="auto"/>
        </w:rPr>
      </w:pPr>
    </w:p>
    <w:p>
      <w:pPr>
        <w:ind w:right="300" w:firstLine="441"/>
        <w:spacing w:after="0" w:line="282" w:lineRule="auto"/>
        <w:rPr>
          <w:sz w:val="20"/>
          <w:szCs w:val="20"/>
          <w:color w:val="auto"/>
        </w:rPr>
      </w:pPr>
      <w:r>
        <w:rPr>
          <w:rFonts w:ascii="Times New Roman" w:cs="Times New Roman" w:eastAsia="Times New Roman" w:hAnsi="Times New Roman"/>
          <w:sz w:val="18"/>
          <w:szCs w:val="18"/>
          <w:color w:val="auto"/>
        </w:rPr>
        <w:t>In the case of Global Securities, notices or communications to be given to Securityholders shall be given to the Depository, in accordance with its applicable policies as in effect from time to time.</w:t>
      </w:r>
    </w:p>
    <w:p>
      <w:pPr>
        <w:spacing w:after="0" w:line="162"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In addition to the manner provided for in the foregoing provisions, notices or communications to Securityholders may be given by the Company by release made to Reuters Economic Services and Bloomberg Business News.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20"/>
          </w:cols>
          <w:pgMar w:left="320" w:top="1413"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10.3. COMMUNICATIONS BY HOLDERS WITH OTHER HOLDERS.</w:t>
      </w:r>
    </w:p>
    <w:p>
      <w:pPr>
        <w:spacing w:after="0" w:line="121"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Securityholders of any Series may communicate pursuant to TIA Section 312(b) with other Securityholders of that Series or any other Series with respect to their rights under this Indenture or the Securities of that Series or any other Series. The Company, the Trustee, the Registrar and any other Person shall have the protection of TIA Section 312(c).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10.4. CERTIFICATE AND OPINION AS TO CONDITIONS PRECEDENT.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Upon any request or application by the Company to the Trustee to take any action under this Indenture, the Company shall furnish to the Trustee:</w:t>
      </w:r>
    </w:p>
    <w:p>
      <w:pPr>
        <w:spacing w:after="0" w:line="225" w:lineRule="exact"/>
        <w:rPr>
          <w:sz w:val="20"/>
          <w:szCs w:val="20"/>
          <w:color w:val="auto"/>
        </w:rPr>
      </w:pPr>
    </w:p>
    <w:p>
      <w:pPr>
        <w:ind w:right="300" w:firstLine="889"/>
        <w:spacing w:after="0" w:line="282" w:lineRule="auto"/>
        <w:tabs>
          <w:tab w:leader="none" w:pos="11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(which shall include the statements set forth in Section 10.5 below) stating that, in the opinion of the signers, all conditions precedent, if any, provided for in this Indenture relating to the proposed action have been complied with; and</w:t>
      </w:r>
    </w:p>
    <w:p>
      <w:pPr>
        <w:spacing w:after="0" w:line="161" w:lineRule="exact"/>
        <w:rPr>
          <w:rFonts w:ascii="Times New Roman" w:cs="Times New Roman" w:eastAsia="Times New Roman" w:hAnsi="Times New Roman"/>
          <w:sz w:val="18"/>
          <w:szCs w:val="18"/>
          <w:color w:val="auto"/>
        </w:rPr>
      </w:pPr>
    </w:p>
    <w:p>
      <w:pPr>
        <w:ind w:right="180" w:firstLine="889"/>
        <w:spacing w:after="0" w:line="282" w:lineRule="auto"/>
        <w:tabs>
          <w:tab w:leader="none" w:pos="11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(which shall include the statements set forth in Section 10.5 below) stating that, in the opinion of such counsel, all such conditions precedent have been complied with.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10.5. STATEMENT REQUIRED IN CERTIFICATE AND OPINION.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certificate and opinion with respect to compliance with a condition or covenant provided for in this Indenture (other than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4.4) shall include:</w:t>
      </w:r>
    </w:p>
    <w:p>
      <w:pPr>
        <w:spacing w:after="0" w:line="207" w:lineRule="exact"/>
        <w:rPr>
          <w:sz w:val="20"/>
          <w:szCs w:val="20"/>
          <w:color w:val="auto"/>
        </w:rPr>
      </w:pPr>
    </w:p>
    <w:p>
      <w:pPr>
        <w:ind w:left="1140" w:hanging="251"/>
        <w:spacing w:after="0"/>
        <w:tabs>
          <w:tab w:leader="none" w:pos="1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w:t>
      </w:r>
    </w:p>
    <w:p>
      <w:pPr>
        <w:spacing w:after="0" w:line="225" w:lineRule="exact"/>
        <w:rPr>
          <w:rFonts w:ascii="Times New Roman" w:cs="Times New Roman" w:eastAsia="Times New Roman" w:hAnsi="Times New Roman"/>
          <w:sz w:val="18"/>
          <w:szCs w:val="18"/>
          <w:color w:val="auto"/>
        </w:rPr>
      </w:pPr>
    </w:p>
    <w:p>
      <w:pPr>
        <w:ind w:right="280" w:firstLine="889"/>
        <w:spacing w:after="0" w:line="282" w:lineRule="auto"/>
        <w:tabs>
          <w:tab w:leader="none" w:pos="11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161" w:lineRule="exact"/>
        <w:rPr>
          <w:rFonts w:ascii="Times New Roman" w:cs="Times New Roman" w:eastAsia="Times New Roman" w:hAnsi="Times New Roman"/>
          <w:sz w:val="18"/>
          <w:szCs w:val="18"/>
          <w:color w:val="auto"/>
        </w:rPr>
      </w:pPr>
    </w:p>
    <w:p>
      <w:pPr>
        <w:ind w:right="280" w:firstLine="889"/>
        <w:spacing w:after="0" w:line="282" w:lineRule="auto"/>
        <w:tabs>
          <w:tab w:leader="none" w:pos="11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it or he has made such examination or investigation as is necessary to enable it or him to express an informed opinion as to whether or not such covenant or condition has been complied with; and</w:t>
      </w:r>
    </w:p>
    <w:p>
      <w:pPr>
        <w:spacing w:after="0" w:line="16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Person, such covenant or condition has been complied with.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10.6. RULES BY TRUSTEE AND AGENTS.</w:t>
      </w:r>
    </w:p>
    <w:p>
      <w:pPr>
        <w:spacing w:after="0" w:line="121" w:lineRule="exact"/>
        <w:rPr>
          <w:sz w:val="20"/>
          <w:szCs w:val="20"/>
          <w:color w:val="auto"/>
        </w:rPr>
      </w:pPr>
    </w:p>
    <w:p>
      <w:pPr>
        <w:ind w:right="200" w:firstLine="441"/>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at meetings of Securityholders. The Registrar, Paying Agent and Service Agent may make reasonable rules for their functions.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10.7. BUSINESS DAYS; LEGAL HOLIDAYS; PLACE OF PAYMENT.</w:t>
      </w:r>
    </w:p>
    <w:p>
      <w:pPr>
        <w:spacing w:after="0" w:line="121"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A “Business Day” is a day that is not a Legal Holiday. A “Legal Holiday” is a Saturday, a Sunday, a federally-recognized holiday or a day on which banking institutions are not authorized or required by law, regulation or executive order to be open in the State of New York.</w:t>
      </w:r>
    </w:p>
    <w:p>
      <w:pPr>
        <w:spacing w:after="0" w:line="162" w:lineRule="exact"/>
        <w:rPr>
          <w:sz w:val="20"/>
          <w:szCs w:val="20"/>
          <w:color w:val="auto"/>
        </w:rPr>
      </w:pPr>
    </w:p>
    <w:p>
      <w:pPr>
        <w:ind w:right="320" w:firstLine="441"/>
        <w:spacing w:after="0" w:line="261" w:lineRule="auto"/>
        <w:rPr>
          <w:sz w:val="20"/>
          <w:szCs w:val="20"/>
          <w:color w:val="auto"/>
        </w:rPr>
      </w:pPr>
      <w:r>
        <w:rPr>
          <w:rFonts w:ascii="Times New Roman" w:cs="Times New Roman" w:eastAsia="Times New Roman" w:hAnsi="Times New Roman"/>
          <w:sz w:val="18"/>
          <w:szCs w:val="18"/>
          <w:color w:val="auto"/>
        </w:rPr>
        <w:t>If a payment date is a Legal Holiday at a Place of Payment, payment may be made at that place on the next succeeding day that is not a Legal Holiday, and no interest shall accrue for the intervening period. “Place of Payment” means the place or places where the principal of, and interest and premium, if any, on, the Securities of a Series are payable as specified as contemplated by Section 2.2. If the regular record date is a Legal Holiday, the record date shall not be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00"/>
          </w:cols>
          <w:pgMar w:left="320" w:top="1413" w:right="3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10.8. GOVERNING LAW.</w:t>
      </w:r>
    </w:p>
    <w:p>
      <w:pPr>
        <w:spacing w:after="0" w:line="117" w:lineRule="exact"/>
        <w:rPr>
          <w:sz w:val="20"/>
          <w:szCs w:val="20"/>
          <w:color w:val="auto"/>
        </w:rPr>
      </w:pPr>
    </w:p>
    <w:p>
      <w:pPr>
        <w:ind w:right="14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THIS INDENTURE AND THE SECURITIES SHALL BE GOVERNED BY AND CONSTRUED IN ACCORDANCE WITH THE LAWS OF THE STATE OF NEW YORK, AS APPLIED TO CONTRACTS MADE AND PERFORMED WITHIN THE STATE OF NEW YORK WITHOUT REGARD TO PRINCIPLES OF CONFLICTS OF LAW.</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10.9. NO ADVERSE INTERPRETATION OF OTHER AGREEMENTS.</w:t>
      </w:r>
    </w:p>
    <w:p>
      <w:pPr>
        <w:spacing w:after="0" w:line="121"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This Indenture may not be used to interpret another indenture, loan, security or debt agreement of the Company or any Subsidiary thereof. No such indenture, loan, security or debt agreement may be used to interpret this Indenture.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10.10. NO RECOURSE AGAINST OTHERS.</w:t>
      </w:r>
    </w:p>
    <w:p>
      <w:pPr>
        <w:spacing w:after="0" w:line="121"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A director, officer, employee, stockholder or incorporator, as such, of the Company shall not have any liability for any obligations of the Company under the Securities or the Indenture. Each Securityholder by accepting a Security waives and releases all such liability. Such waiver and release are part of the consideration for the issuance of the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10.11. SUCCESSORS.</w:t>
      </w:r>
    </w:p>
    <w:p>
      <w:pPr>
        <w:spacing w:after="0" w:line="121" w:lineRule="exact"/>
        <w:rPr>
          <w:sz w:val="20"/>
          <w:szCs w:val="20"/>
          <w:color w:val="auto"/>
        </w:rPr>
      </w:pPr>
    </w:p>
    <w:p>
      <w:pPr>
        <w:ind w:right="220" w:firstLine="441"/>
        <w:spacing w:after="0" w:line="266" w:lineRule="auto"/>
        <w:rPr>
          <w:sz w:val="20"/>
          <w:szCs w:val="20"/>
          <w:color w:val="auto"/>
        </w:rPr>
      </w:pPr>
      <w:r>
        <w:rPr>
          <w:rFonts w:ascii="Times New Roman" w:cs="Times New Roman" w:eastAsia="Times New Roman" w:hAnsi="Times New Roman"/>
          <w:sz w:val="18"/>
          <w:szCs w:val="18"/>
          <w:color w:val="auto"/>
        </w:rPr>
        <w:t>All covenants and agreements of the Company in this Indenture and the Securities shall bind the Company’s successors and assigns, whether so expressed or not. All agreements of the Trustee, any additional trustee and any Paying Agents in this Indenture shall bind their respective successors and assigns.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10.12. MULTIPLE COUNTERPARTS.</w:t>
      </w:r>
    </w:p>
    <w:p>
      <w:pPr>
        <w:spacing w:after="0" w:line="121"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The parties may sign multiple counterparts (which may include counterparts delivered by any standard form of telecommunication) of this Indenture. Each signed counterpart shall be deemed an original, but all of them together represent one and the same agreement. Counterparts may be delivered via facsimile, electronic mail (including any electronic signature covered by the U.S. federal ESIGN Act of 2000, Uniform Electronic Transactions Act, the Electronics Signatures and Records Act or other applicable law, e.g., www.docusign.com) or other transmission method and any counterparty so delivered shall be deemed to have been duly and validly delivered and be valid and effective for all purposes.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10.13. TABLE OF CONTENTS, HEADINGS, ETC.</w:t>
      </w:r>
    </w:p>
    <w:p>
      <w:pPr>
        <w:spacing w:after="0" w:line="121" w:lineRule="exact"/>
        <w:rPr>
          <w:sz w:val="20"/>
          <w:szCs w:val="20"/>
          <w:color w:val="auto"/>
        </w:rPr>
      </w:pPr>
    </w:p>
    <w:p>
      <w:pPr>
        <w:ind w:right="600" w:firstLine="441"/>
        <w:spacing w:after="0" w:line="282" w:lineRule="auto"/>
        <w:rPr>
          <w:sz w:val="20"/>
          <w:szCs w:val="20"/>
          <w:color w:val="auto"/>
        </w:rPr>
      </w:pPr>
      <w:r>
        <w:rPr>
          <w:rFonts w:ascii="Times New Roman" w:cs="Times New Roman" w:eastAsia="Times New Roman" w:hAnsi="Times New Roman"/>
          <w:sz w:val="18"/>
          <w:szCs w:val="18"/>
          <w:color w:val="auto"/>
        </w:rPr>
        <w:t>The table of contents, cross-reference sheet and headings of the Articles and Sections of this Indenture have been inserted for convenience of reference only, are not to be considered a part hereof, and shall in no way modify or restrict any of the terms or provisions hereof.</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10.14. SEVERABILITY.</w:t>
      </w:r>
    </w:p>
    <w:p>
      <w:pPr>
        <w:spacing w:after="0" w:line="121" w:lineRule="exact"/>
        <w:rPr>
          <w:sz w:val="20"/>
          <w:szCs w:val="20"/>
          <w:color w:val="auto"/>
        </w:rPr>
      </w:pPr>
    </w:p>
    <w:p>
      <w:pPr>
        <w:ind w:right="280" w:firstLine="441"/>
        <w:spacing w:after="0" w:line="266" w:lineRule="auto"/>
        <w:rPr>
          <w:sz w:val="20"/>
          <w:szCs w:val="20"/>
          <w:color w:val="auto"/>
        </w:rPr>
      </w:pPr>
      <w:r>
        <w:rPr>
          <w:rFonts w:ascii="Times New Roman" w:cs="Times New Roman" w:eastAsia="Times New Roman" w:hAnsi="Times New Roman"/>
          <w:sz w:val="18"/>
          <w:szCs w:val="18"/>
          <w:color w:val="auto"/>
        </w:rPr>
        <w:t>Each provision of this Indenture shall be considered separable, and if for any reason any provision which is not essential to the effectuation of the basic purpose of this Indenture or the Securities shall be invalid, illegal or unenforceable, the validity, legality and enforceability of the remaining provisions shall not in any way be affected or impaired thereby, and a Holder shall have no claim therefor against any party hereto.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10.15. SECURITIES IN A FOREIGN CURRENCY OR IN EUROS.</w:t>
      </w:r>
    </w:p>
    <w:p>
      <w:pPr>
        <w:spacing w:after="0" w:line="121"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Unless otherwise specified in a Board Resolution, a supplemental indenture hereto or an Officers’ Certificate delivered pursuant to Section 2.2 with respect to a particular Series of Securities, whenever for purposes of this Indenture any action may be taken by the Holders of a specified percentage in aggregate principal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00"/>
          </w:cols>
          <w:pgMar w:left="320" w:top="1413" w:right="3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Securities of all Series or all Series affected by a particular action at the time outstanding and, at such time, there are outstanding Securities of any</w:t>
      </w:r>
    </w:p>
    <w:p>
      <w:pPr>
        <w:spacing w:after="0" w:line="2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Series which are denominated in a coin or currency other than Dollars (including Euros), then the principal amount of Securities of such Series which shall be deemed to be outstanding for the purpose of taking such action shall be that amount of Dollars that could be obtained for such amount at the Market Exchange Rate at such time. For purposes of this Section 10.15, “Market Exchange Rate” shall mean the noon Dollar buying rate in New York City for cable transfers of that currency as published by the Federal Reserve Bank of New York; PROVIDED, HOWEVER, in the case of Euros, Market Exchange Rate shall mean the rate of exchange determined by the Commission of the European Union (or any successor thereto) as published in the Official Journal of the European Union (such publication or any successor publication, the “Journal”). If such Market Exchange Rate is not available for any reason with respect to such currency, the Trustee shall use, in its sole discretion and without liability on its part, such quotation of the Federal Reserve Bank of New York or, in the case of Euros, the rate of exchange as published in the Journal, as of the most recent available date, or quotations or, in the case of Euros, rates of exchange from one or more major banks in New York City or in the country of issue of the currency in question or, in the case of Euros, in Luxembourg or such other quotations or, in the case of Euros, rates of exchange as the Trustee, upon consultation with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92" w:lineRule="exact"/>
        <w:rPr>
          <w:sz w:val="20"/>
          <w:szCs w:val="20"/>
          <w:color w:val="auto"/>
        </w:rPr>
      </w:pPr>
    </w:p>
    <w:p>
      <w:pPr>
        <w:jc w:val="both"/>
        <w:ind w:right="120" w:firstLine="441"/>
        <w:spacing w:after="0" w:line="266" w:lineRule="auto"/>
        <w:rPr>
          <w:sz w:val="20"/>
          <w:szCs w:val="20"/>
          <w:color w:val="auto"/>
        </w:rPr>
      </w:pPr>
      <w:r>
        <w:rPr>
          <w:rFonts w:ascii="Times New Roman" w:cs="Times New Roman" w:eastAsia="Times New Roman" w:hAnsi="Times New Roman"/>
          <w:sz w:val="18"/>
          <w:szCs w:val="18"/>
          <w:color w:val="auto"/>
        </w:rPr>
        <w:t>All decisions and determinations of the Trustee regarding the Market Exchange Rate or any alternative determination provided for in the preceding paragraph shall be in the Trustee’s sole discretion, and shall, in the absence of manifest error, be conclusive to the extent permitted by law for all purposes and irrevocably binding upon the Company and all 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10.16. JUDGMENT CURRENCY.</w:t>
      </w:r>
    </w:p>
    <w:p>
      <w:pPr>
        <w:spacing w:after="0" w:line="121"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The Company agrees, to the fullest extent that it may effectively do so under applicable law, that (a) if for the purpose of obtaining judgment in any court it is necessary to convert the sum due in respect of the principal of, or interest or premium, if any, or other amount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Business Day, in which instance, the rate of exchange used shall be the rate at which, in accordance with normal banking procedures, the Trustee could purchase in The City of New York the Required Currency with the Judgment Currency on the Business Day preceding the day on which final unappealable judgment is entered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20"/>
          </w:cols>
          <w:pgMar w:left="320" w:top="1417" w:right="359" w:bottom="1440" w:gutter="0" w:footer="0" w:header="0"/>
        </w:sectPr>
      </w:pPr>
    </w:p>
    <w:bookmarkStart w:id="88" w:name="page89"/>
    <w:bookmarkEnd w:id="88"/>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Indenture to be duly executed, and their respective corporate seals to be hereunto affixed and attested, all as of the day and year first above written.</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283"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17145</wp:posOffset>
            </wp:positionV>
            <wp:extent cx="13462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16"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17145</wp:posOffset>
            </wp:positionV>
            <wp:extent cx="10115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9">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7"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14605</wp:posOffset>
            </wp:positionV>
            <wp:extent cx="10115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0">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345"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b w:val="1"/>
          <w:bCs w:val="1"/>
          <w:color w:val="auto"/>
        </w:rPr>
        <w:t>[Name of Trustee]</w:t>
      </w:r>
    </w:p>
    <w:p>
      <w:pPr>
        <w:spacing w:after="0" w:line="283"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17145</wp:posOffset>
            </wp:positionV>
            <wp:extent cx="13462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1">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16"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17145</wp:posOffset>
            </wp:positionV>
            <wp:extent cx="10115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7"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14605</wp:posOffset>
            </wp:positionV>
            <wp:extent cx="10115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335"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17145</wp:posOffset>
            </wp:positionV>
            <wp:extent cx="13462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16"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17145</wp:posOffset>
            </wp:positionV>
            <wp:extent cx="10115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7"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14605</wp:posOffset>
            </wp:positionV>
            <wp:extent cx="10115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040"/>
          </w:cols>
          <w:pgMar w:left="320" w:top="1417" w:right="5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105410</wp:posOffset>
            </wp:positionV>
            <wp:extent cx="1508760" cy="3429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1508760" cy="34290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36830</wp:posOffset>
            </wp:positionV>
            <wp:extent cx="2383155" cy="4800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238315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August 26,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Sema4 Holdings Corp.</w:t>
      </w:r>
    </w:p>
    <w:p>
      <w:pPr>
        <w:spacing w:after="0" w:line="220" w:lineRule="auto"/>
        <w:rPr>
          <w:sz w:val="20"/>
          <w:szCs w:val="20"/>
          <w:color w:val="auto"/>
        </w:rPr>
      </w:pPr>
      <w:r>
        <w:rPr>
          <w:rFonts w:ascii="Times New Roman" w:cs="Times New Roman" w:eastAsia="Times New Roman" w:hAnsi="Times New Roman"/>
          <w:sz w:val="20"/>
          <w:szCs w:val="20"/>
          <w:color w:val="auto"/>
        </w:rPr>
        <w:t>333 Ludlow Street, North Tower, 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Stamford, Connecticut 06902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29" w:lineRule="exact"/>
        <w:rPr>
          <w:sz w:val="20"/>
          <w:szCs w:val="20"/>
          <w:color w:val="auto"/>
        </w:rPr>
      </w:pPr>
    </w:p>
    <w:p>
      <w:pPr>
        <w:jc w:val="both"/>
        <w:ind w:firstLine="441"/>
        <w:spacing w:after="0" w:line="251" w:lineRule="auto"/>
        <w:rPr>
          <w:sz w:val="20"/>
          <w:szCs w:val="20"/>
          <w:color w:val="auto"/>
        </w:rPr>
      </w:pPr>
      <w:r>
        <w:rPr>
          <w:rFonts w:ascii="Times New Roman" w:cs="Times New Roman" w:eastAsia="Times New Roman" w:hAnsi="Times New Roman"/>
          <w:sz w:val="20"/>
          <w:szCs w:val="20"/>
          <w:color w:val="auto"/>
        </w:rPr>
        <w:t>At your request, we have examined the Registration Statement on Form S-3 filed by Sema4 Holdings Corp.,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with the Securities and Exchange Commission (the “</w:t>
      </w:r>
      <w:r>
        <w:rPr>
          <w:rFonts w:ascii="Times New Roman" w:cs="Times New Roman" w:eastAsia="Times New Roman" w:hAnsi="Times New Roman"/>
          <w:sz w:val="20"/>
          <w:szCs w:val="20"/>
          <w:b w:val="1"/>
          <w:bCs w:val="1"/>
          <w:i w:val="1"/>
          <w:iCs w:val="1"/>
          <w:color w:val="auto"/>
        </w:rPr>
        <w:t>Commission</w:t>
      </w:r>
      <w:r>
        <w:rPr>
          <w:rFonts w:ascii="Times New Roman" w:cs="Times New Roman" w:eastAsia="Times New Roman" w:hAnsi="Times New Roman"/>
          <w:sz w:val="20"/>
          <w:szCs w:val="20"/>
          <w:color w:val="auto"/>
        </w:rPr>
        <w:t>”) on August 26, 2022 (the “</w:t>
      </w:r>
      <w:r>
        <w:rPr>
          <w:rFonts w:ascii="Times New Roman" w:cs="Times New Roman" w:eastAsia="Times New Roman" w:hAnsi="Times New Roman"/>
          <w:sz w:val="20"/>
          <w:szCs w:val="20"/>
          <w:b w:val="1"/>
          <w:bCs w:val="1"/>
          <w:i w:val="1"/>
          <w:iCs w:val="1"/>
          <w:color w:val="auto"/>
        </w:rPr>
        <w:t>Registration Statement</w:t>
      </w:r>
      <w:r>
        <w:rPr>
          <w:rFonts w:ascii="Times New Roman" w:cs="Times New Roman" w:eastAsia="Times New Roman" w:hAnsi="Times New Roman"/>
          <w:sz w:val="20"/>
          <w:szCs w:val="20"/>
          <w:color w:val="auto"/>
        </w:rPr>
        <w:t>”) in connection with the registration under the Securities Act of 1933, as amended (the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of the offering and sale from time to time of up to $300,000,000 aggregate offering amount of (i) shares of the Company’s Class A common stock, $0.0001 par value per share (the “</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(ii) shares of the Company’s preferred stock, $0.0001 par value per share (the “</w:t>
      </w:r>
      <w:r>
        <w:rPr>
          <w:rFonts w:ascii="Times New Roman" w:cs="Times New Roman" w:eastAsia="Times New Roman" w:hAnsi="Times New Roman"/>
          <w:sz w:val="20"/>
          <w:szCs w:val="20"/>
          <w:b w:val="1"/>
          <w:bCs w:val="1"/>
          <w:i w:val="1"/>
          <w:iCs w:val="1"/>
          <w:color w:val="auto"/>
        </w:rPr>
        <w:t>Preferred Stock</w:t>
      </w:r>
      <w:r>
        <w:rPr>
          <w:rFonts w:ascii="Times New Roman" w:cs="Times New Roman" w:eastAsia="Times New Roman" w:hAnsi="Times New Roman"/>
          <w:sz w:val="20"/>
          <w:szCs w:val="20"/>
          <w:color w:val="auto"/>
        </w:rPr>
        <w:t>”), (iii) one or more series of debt securities (the “</w:t>
      </w:r>
      <w:r>
        <w:rPr>
          <w:rFonts w:ascii="Times New Roman" w:cs="Times New Roman" w:eastAsia="Times New Roman" w:hAnsi="Times New Roman"/>
          <w:sz w:val="20"/>
          <w:szCs w:val="20"/>
          <w:b w:val="1"/>
          <w:bCs w:val="1"/>
          <w:i w:val="1"/>
          <w:iCs w:val="1"/>
          <w:color w:val="auto"/>
        </w:rPr>
        <w:t>Debt Securities</w:t>
      </w:r>
      <w:r>
        <w:rPr>
          <w:rFonts w:ascii="Times New Roman" w:cs="Times New Roman" w:eastAsia="Times New Roman" w:hAnsi="Times New Roman"/>
          <w:sz w:val="20"/>
          <w:szCs w:val="20"/>
          <w:color w:val="auto"/>
        </w:rPr>
        <w:t>”) issuable pursuant to an indenture (the “</w:t>
      </w:r>
      <w:r>
        <w:rPr>
          <w:rFonts w:ascii="Times New Roman" w:cs="Times New Roman" w:eastAsia="Times New Roman" w:hAnsi="Times New Roman"/>
          <w:sz w:val="20"/>
          <w:szCs w:val="20"/>
          <w:b w:val="1"/>
          <w:bCs w:val="1"/>
          <w:i w:val="1"/>
          <w:iCs w:val="1"/>
          <w:color w:val="auto"/>
        </w:rPr>
        <w:t>Indenture</w:t>
      </w:r>
      <w:r>
        <w:rPr>
          <w:rFonts w:ascii="Times New Roman" w:cs="Times New Roman" w:eastAsia="Times New Roman" w:hAnsi="Times New Roman"/>
          <w:sz w:val="20"/>
          <w:szCs w:val="20"/>
          <w:color w:val="auto"/>
        </w:rPr>
        <w:t>”) by and between the Company and a financial institution to be identified therein as trustee (the “</w:t>
      </w:r>
      <w:r>
        <w:rPr>
          <w:rFonts w:ascii="Times New Roman" w:cs="Times New Roman" w:eastAsia="Times New Roman" w:hAnsi="Times New Roman"/>
          <w:sz w:val="20"/>
          <w:szCs w:val="20"/>
          <w:b w:val="1"/>
          <w:bCs w:val="1"/>
          <w:i w:val="1"/>
          <w:iCs w:val="1"/>
          <w:color w:val="auto"/>
        </w:rPr>
        <w:t>Trustee</w:t>
      </w:r>
      <w:r>
        <w:rPr>
          <w:rFonts w:ascii="Times New Roman" w:cs="Times New Roman" w:eastAsia="Times New Roman" w:hAnsi="Times New Roman"/>
          <w:sz w:val="20"/>
          <w:szCs w:val="20"/>
          <w:color w:val="auto"/>
        </w:rPr>
        <w:t>”), (iv) warrants to purchase Common Stock, Preferred Stock and/or Debt Securities (the “</w:t>
      </w:r>
      <w:r>
        <w:rPr>
          <w:rFonts w:ascii="Times New Roman" w:cs="Times New Roman" w:eastAsia="Times New Roman" w:hAnsi="Times New Roman"/>
          <w:sz w:val="20"/>
          <w:szCs w:val="20"/>
          <w:b w:val="1"/>
          <w:bCs w:val="1"/>
          <w:i w:val="1"/>
          <w:iCs w:val="1"/>
          <w:color w:val="auto"/>
        </w:rPr>
        <w:t>Warrants</w:t>
      </w:r>
      <w:r>
        <w:rPr>
          <w:rFonts w:ascii="Times New Roman" w:cs="Times New Roman" w:eastAsia="Times New Roman" w:hAnsi="Times New Roman"/>
          <w:sz w:val="20"/>
          <w:szCs w:val="20"/>
          <w:color w:val="auto"/>
        </w:rPr>
        <w:t>”), (v) subscription rights to purchase Common Stock, Preferred Stock and/or Debt Securities (the “</w:t>
      </w:r>
      <w:r>
        <w:rPr>
          <w:rFonts w:ascii="Times New Roman" w:cs="Times New Roman" w:eastAsia="Times New Roman" w:hAnsi="Times New Roman"/>
          <w:sz w:val="20"/>
          <w:szCs w:val="20"/>
          <w:b w:val="1"/>
          <w:bCs w:val="1"/>
          <w:i w:val="1"/>
          <w:iCs w:val="1"/>
          <w:color w:val="auto"/>
        </w:rPr>
        <w:t>Subscription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Rights</w:t>
      </w:r>
      <w:r>
        <w:rPr>
          <w:rFonts w:ascii="Times New Roman" w:cs="Times New Roman" w:eastAsia="Times New Roman" w:hAnsi="Times New Roman"/>
          <w:sz w:val="20"/>
          <w:szCs w:val="20"/>
          <w:color w:val="auto"/>
        </w:rPr>
        <w:t>”), and/or (vi) units consisting of any combination of such foregoing securities described in clauses (i) through (v) above (the “</w:t>
      </w:r>
      <w:r>
        <w:rPr>
          <w:rFonts w:ascii="Times New Roman" w:cs="Times New Roman" w:eastAsia="Times New Roman" w:hAnsi="Times New Roman"/>
          <w:sz w:val="20"/>
          <w:szCs w:val="20"/>
          <w:b w:val="1"/>
          <w:bCs w:val="1"/>
          <w:i w:val="1"/>
          <w:iCs w:val="1"/>
          <w:color w:val="auto"/>
        </w:rPr>
        <w:t>Units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Common Stock, the Preferred Stock, the Debt Securities, the Warrants, the Subscription Rights and the Units are collectively referred to herein as the “</w:t>
      </w:r>
      <w:r>
        <w:rPr>
          <w:rFonts w:ascii="Times New Roman" w:cs="Times New Roman" w:eastAsia="Times New Roman" w:hAnsi="Times New Roman"/>
          <w:sz w:val="20"/>
          <w:szCs w:val="20"/>
          <w:b w:val="1"/>
          <w:bCs w:val="1"/>
          <w:i w:val="1"/>
          <w:iCs w:val="1"/>
          <w:color w:val="auto"/>
        </w:rPr>
        <w:t>Securities</w:t>
      </w:r>
      <w:r>
        <w:rPr>
          <w:rFonts w:ascii="Times New Roman" w:cs="Times New Roman" w:eastAsia="Times New Roman" w:hAnsi="Times New Roman"/>
          <w:sz w:val="20"/>
          <w:szCs w:val="20"/>
          <w:color w:val="auto"/>
        </w:rPr>
        <w:t>.” The Securities may be sold from time to time by the Company as set forth in the Registration Statement, the prospectus contained within the Registration Statement (the “</w:t>
      </w:r>
      <w:r>
        <w:rPr>
          <w:rFonts w:ascii="Times New Roman" w:cs="Times New Roman" w:eastAsia="Times New Roman" w:hAnsi="Times New Roman"/>
          <w:sz w:val="20"/>
          <w:szCs w:val="20"/>
          <w:b w:val="1"/>
          <w:bCs w:val="1"/>
          <w:i w:val="1"/>
          <w:iCs w:val="1"/>
          <w:color w:val="auto"/>
        </w:rPr>
        <w:t>Prospectus</w:t>
      </w:r>
      <w:r>
        <w:rPr>
          <w:rFonts w:ascii="Times New Roman" w:cs="Times New Roman" w:eastAsia="Times New Roman" w:hAnsi="Times New Roman"/>
          <w:sz w:val="20"/>
          <w:szCs w:val="20"/>
          <w:color w:val="auto"/>
        </w:rPr>
        <w:t>”) and supplements to the Prospectus.</w:t>
      </w:r>
    </w:p>
    <w:p>
      <w:pPr>
        <w:spacing w:after="0" w:line="178" w:lineRule="exact"/>
        <w:rPr>
          <w:sz w:val="20"/>
          <w:szCs w:val="20"/>
          <w:color w:val="auto"/>
        </w:rPr>
      </w:pPr>
    </w:p>
    <w:p>
      <w:pPr>
        <w:jc w:val="both"/>
        <w:ind w:firstLine="441"/>
        <w:spacing w:after="0" w:line="250" w:lineRule="auto"/>
        <w:rPr>
          <w:sz w:val="20"/>
          <w:szCs w:val="20"/>
          <w:color w:val="auto"/>
        </w:rPr>
      </w:pPr>
      <w:r>
        <w:rPr>
          <w:rFonts w:ascii="Times New Roman" w:cs="Times New Roman" w:eastAsia="Times New Roman" w:hAnsi="Times New Roman"/>
          <w:sz w:val="20"/>
          <w:szCs w:val="20"/>
          <w:color w:val="auto"/>
        </w:rPr>
        <w:t>In connection with our opinion expressed below we have examined originals or copies of the Company’s Third Amended and Restated Certificate of Incorporation, as amended (the “</w:t>
      </w:r>
      <w:r>
        <w:rPr>
          <w:rFonts w:ascii="Times New Roman" w:cs="Times New Roman" w:eastAsia="Times New Roman" w:hAnsi="Times New Roman"/>
          <w:sz w:val="20"/>
          <w:szCs w:val="20"/>
          <w:b w:val="1"/>
          <w:bCs w:val="1"/>
          <w:i w:val="1"/>
          <w:iCs w:val="1"/>
          <w:color w:val="auto"/>
        </w:rPr>
        <w:t>Certificate of Incorporation</w:t>
      </w:r>
      <w:r>
        <w:rPr>
          <w:rFonts w:ascii="Times New Roman" w:cs="Times New Roman" w:eastAsia="Times New Roman" w:hAnsi="Times New Roman"/>
          <w:sz w:val="20"/>
          <w:szCs w:val="20"/>
          <w:color w:val="auto"/>
        </w:rPr>
        <w:t>”), and the Company’s Restated Bylaws (the “</w:t>
      </w:r>
      <w:r>
        <w:rPr>
          <w:rFonts w:ascii="Times New Roman" w:cs="Times New Roman" w:eastAsia="Times New Roman" w:hAnsi="Times New Roman"/>
          <w:sz w:val="20"/>
          <w:szCs w:val="20"/>
          <w:b w:val="1"/>
          <w:bCs w:val="1"/>
          <w:i w:val="1"/>
          <w:iCs w:val="1"/>
          <w:color w:val="auto"/>
        </w:rPr>
        <w:t>Bylaws</w:t>
      </w:r>
      <w:r>
        <w:rPr>
          <w:rFonts w:ascii="Times New Roman" w:cs="Times New Roman" w:eastAsia="Times New Roman" w:hAnsi="Times New Roman"/>
          <w:sz w:val="20"/>
          <w:szCs w:val="20"/>
          <w:color w:val="auto"/>
        </w:rPr>
        <w:t>””), certain corporate proceedings of the Company’s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and stockholders relating to the Registration Statement, the Certificate of Incorporation and the Bylaws, and such other agreements, documents, certificates and statements of the Company, its transfer agent and public or government officials, as we have deemed advisable, and have examined such questions of law as we have considered necessary. We have assumed, and express no opinion as to, the genuineness of all signatures on documents submitted to us, the authenticity and completeness of all documents submitted to us as originals, the conformity to originals and completeness of all documents submitted to us as copies, the legal capacity of all persons or entities (except for the Company) executing the same, the absence of any undisclosed termination, modification, waiver or amendment to any document reviewed by us, the absence of any other extrinsic agreements or documents that might change or affect the interpretation or terms of documents we have reviewed, and the due authorization, execution and delivery of all such documents where due authorization, execution and delivery are prerequisites to the effectiveness thereof. In giving our opinion, we have also relied upon a good standing certificate regarding the Company issued by the Delaware Secretary of State dated August 26, 2022 and a management certificate addressed to us and dated of even date herewith executed by the Company containing certain factual representations (the “</w:t>
      </w:r>
      <w:r>
        <w:rPr>
          <w:rFonts w:ascii="Times New Roman" w:cs="Times New Roman" w:eastAsia="Times New Roman" w:hAnsi="Times New Roman"/>
          <w:sz w:val="20"/>
          <w:szCs w:val="20"/>
          <w:b w:val="1"/>
          <w:bCs w:val="1"/>
          <w:i w:val="1"/>
          <w:iCs w:val="1"/>
          <w:color w:val="auto"/>
        </w:rPr>
        <w:t>Management Certificate</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firstLine="441"/>
        <w:spacing w:after="0" w:line="257" w:lineRule="auto"/>
        <w:rPr>
          <w:sz w:val="20"/>
          <w:szCs w:val="20"/>
          <w:color w:val="auto"/>
        </w:rPr>
      </w:pPr>
      <w:r>
        <w:rPr>
          <w:rFonts w:ascii="Times New Roman" w:cs="Times New Roman" w:eastAsia="Times New Roman" w:hAnsi="Times New Roman"/>
          <w:sz w:val="20"/>
          <w:szCs w:val="20"/>
          <w:color w:val="auto"/>
        </w:rPr>
        <w:t>We also have assumed that any certificates or instruments representing the Securities will be, when issued, properly signed by authorized officers of the Company, and, in the case of Debt Securities, properly authenticated in accordance with the terms of the Indenture (as defined below) and delivered to the intended recipients with the intent that the Company be bound thereby. Furthermore, with respect to the Company’s uncertificated capital stock, we assume that issued Common Stock will not be reissued by the Company in uncertificated form until any previously issued stock</w:t>
      </w:r>
    </w:p>
    <w:p>
      <w:pPr>
        <w:sectPr>
          <w:pgSz w:w="11900" w:h="16838" w:orient="portrait"/>
          <w:cols w:equalWidth="0" w:num="1">
            <w:col w:w="11240"/>
          </w:cols>
          <w:pgMar w:left="320" w:top="104" w:right="339" w:bottom="1440" w:gutter="0" w:footer="0" w:header="0"/>
        </w:sectPr>
      </w:pPr>
    </w:p>
    <w:bookmarkStart w:id="90" w:name="page91"/>
    <w:bookmarkEnd w:id="90"/>
    <w:p>
      <w:pPr>
        <w:spacing w:after="0" w:line="200" w:lineRule="exact"/>
        <w:rPr>
          <w:sz w:val="20"/>
          <w:szCs w:val="20"/>
          <w:color w:val="auto"/>
        </w:rPr>
      </w:pPr>
    </w:p>
    <w:p>
      <w:pPr>
        <w:spacing w:after="0" w:line="2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certificate representing such issued Common Stock has been surrendered to the Company in accordance with Section 158 of the Delaware General Corporation Law, and that the Company will properly register the transfer of the Common Stock to the purchasers of such Common Stock on the Company’s record of uncertificated securities. We also have assumed that the Indenture at the time of execution, authentication, issuance and delivery of the Debt Securities will be a valid and legally binding obligation of the Company’s trustee (the “</w:t>
      </w:r>
      <w:r>
        <w:rPr>
          <w:rFonts w:ascii="Times New Roman" w:cs="Times New Roman" w:eastAsia="Times New Roman" w:hAnsi="Times New Roman"/>
          <w:sz w:val="20"/>
          <w:szCs w:val="20"/>
          <w:b w:val="1"/>
          <w:bCs w:val="1"/>
          <w:i w:val="1"/>
          <w:iCs w:val="1"/>
          <w:color w:val="auto"/>
        </w:rPr>
        <w:t>Trustee</w:t>
      </w:r>
      <w:r>
        <w:rPr>
          <w:rFonts w:ascii="Times New Roman" w:cs="Times New Roman" w:eastAsia="Times New Roman" w:hAnsi="Times New Roman"/>
          <w:sz w:val="20"/>
          <w:szCs w:val="20"/>
          <w:color w:val="auto"/>
        </w:rPr>
        <w:t>”), the Warrant Agreement (as defined below) at the time of issuance and delivery of the Warrants will be a valid and legally binding obligation of the Company’s warrant agent, Subscription Rights Agreement (as defined below) at the time of issuance and delivery of the Subscription Rights will be a valid and legally binding obligation of the Company’s rights agent and the Unit Agreement (as defined below) at the time of issuance and delivery of the Units will be a valid and legally binding obligation of the Company’s unit agent.</w:t>
      </w:r>
    </w:p>
    <w:p>
      <w:pPr>
        <w:spacing w:after="0" w:line="195"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20"/>
          <w:szCs w:val="20"/>
          <w:color w:val="auto"/>
        </w:rPr>
        <w:t>As to matters of fact relevant to this opinion, we have relied solely upon our examination of the documents referred to above and the Management Certificate and have assumed the current accuracy and completeness of the information obtained from the documents referred to above and the representations and warranties made by representatives of the Company to us, including but not limited to those set forth in the Management Certificate. We have made no independent investigation or other attempt to verify the accuracy of any of such information or to determine the existence or non-existence of any other factual matters.</w:t>
      </w:r>
    </w:p>
    <w:p>
      <w:pPr>
        <w:spacing w:after="0" w:line="192" w:lineRule="exact"/>
        <w:rPr>
          <w:sz w:val="20"/>
          <w:szCs w:val="20"/>
          <w:color w:val="auto"/>
        </w:rPr>
      </w:pPr>
    </w:p>
    <w:p>
      <w:pPr>
        <w:jc w:val="both"/>
        <w:ind w:firstLine="441"/>
        <w:spacing w:after="0" w:line="250" w:lineRule="auto"/>
        <w:rPr>
          <w:sz w:val="20"/>
          <w:szCs w:val="20"/>
          <w:color w:val="auto"/>
        </w:rPr>
      </w:pPr>
      <w:r>
        <w:rPr>
          <w:rFonts w:ascii="Times New Roman" w:cs="Times New Roman" w:eastAsia="Times New Roman" w:hAnsi="Times New Roman"/>
          <w:sz w:val="20"/>
          <w:szCs w:val="20"/>
          <w:color w:val="auto"/>
        </w:rPr>
        <w:t>We are admitted to practice law in the State of New York and we render this opinion only with respect to, and express no opinion herein concerning the application or effect of the laws of any jurisdiction other than (i) the Delaware General Corporation Law, and (ii) solely with respect to whether or not the Debt Securities, the Warrants, the Subscription Rights and the Units are the valid and binding obligations of the Company, the existing laws of the state of New York (clauses (i) through (ii) collectively, the “</w:t>
      </w:r>
      <w:r>
        <w:rPr>
          <w:rFonts w:ascii="Times New Roman" w:cs="Times New Roman" w:eastAsia="Times New Roman" w:hAnsi="Times New Roman"/>
          <w:sz w:val="20"/>
          <w:szCs w:val="20"/>
          <w:b w:val="1"/>
          <w:bCs w:val="1"/>
          <w:i w:val="1"/>
          <w:iCs w:val="1"/>
          <w:color w:val="auto"/>
        </w:rPr>
        <w:t>Applicable Laws</w:t>
      </w:r>
      <w:r>
        <w:rPr>
          <w:rFonts w:ascii="Times New Roman" w:cs="Times New Roman" w:eastAsia="Times New Roman" w:hAnsi="Times New Roman"/>
          <w:sz w:val="20"/>
          <w:szCs w:val="20"/>
          <w:color w:val="auto"/>
        </w:rPr>
        <w:t>”). To the extent that any Warrant Agreement, Subscription Rights Agreement or Unit Agreement (each as defined below) is governed by the laws of any jurisdiction other than the State of New York, our opinion expressed below assumes that Internal New York Law (as defined below) will exclusively apply to and govern such Warrant Agreement, Subscription Rights Agreement or Unit Agreement, without regard to any interpretation or construction that might be indicated by the laws stated as governing any such Warrant Agreement, Subscription Rights Agreement or Unit Agreement. As used herein “</w:t>
      </w:r>
      <w:r>
        <w:rPr>
          <w:rFonts w:ascii="Times New Roman" w:cs="Times New Roman" w:eastAsia="Times New Roman" w:hAnsi="Times New Roman"/>
          <w:sz w:val="20"/>
          <w:szCs w:val="20"/>
          <w:b w:val="1"/>
          <w:bCs w:val="1"/>
          <w:i w:val="1"/>
          <w:iCs w:val="1"/>
          <w:color w:val="auto"/>
        </w:rPr>
        <w:t>Internal New York Law</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means the internal laws of the State of New York applicable to a contract made by New York residents in the State of New York that selects New York law as the governing law of such contract, without regard to any laws or equitable principles regarding choice of law, conflict of laws or public policies that might make any other law(s) applicable. Without limitation, we express no opinion with respect to the federal laws of the United States of America or the securities or “blue sky” laws of any state or any local or regional laws.</w:t>
      </w:r>
    </w:p>
    <w:p>
      <w:pPr>
        <w:spacing w:after="0" w:line="180" w:lineRule="exact"/>
        <w:rPr>
          <w:sz w:val="20"/>
          <w:szCs w:val="20"/>
          <w:color w:val="auto"/>
        </w:rPr>
      </w:pPr>
    </w:p>
    <w:p>
      <w:pPr>
        <w:jc w:val="both"/>
        <w:ind w:firstLine="441"/>
        <w:spacing w:after="0" w:line="267" w:lineRule="auto"/>
        <w:rPr>
          <w:sz w:val="20"/>
          <w:szCs w:val="20"/>
          <w:color w:val="auto"/>
        </w:rPr>
      </w:pPr>
      <w:r>
        <w:rPr>
          <w:rFonts w:ascii="Times New Roman" w:cs="Times New Roman" w:eastAsia="Times New Roman" w:hAnsi="Times New Roman"/>
          <w:sz w:val="19"/>
          <w:szCs w:val="19"/>
          <w:color w:val="auto"/>
        </w:rPr>
        <w:t>In connection with our opinions expressed below, we have assumed that, (i) at or prior to the time of the delivery of any of the Securities, there will not have occurred any change in the law or the facts affecting the validity of the Securities, (ii) if any Debt Securities are issued, such Debt Securities will only be issued pursuant to the indenture in the form filed with the Registration Statement as an exhibit (the “</w:t>
      </w:r>
      <w:r>
        <w:rPr>
          <w:rFonts w:ascii="Times New Roman" w:cs="Times New Roman" w:eastAsia="Times New Roman" w:hAnsi="Times New Roman"/>
          <w:sz w:val="19"/>
          <w:szCs w:val="19"/>
          <w:b w:val="1"/>
          <w:bCs w:val="1"/>
          <w:i w:val="1"/>
          <w:iCs w:val="1"/>
          <w:color w:val="auto"/>
        </w:rPr>
        <w:t>Indenture</w:t>
      </w:r>
      <w:r>
        <w:rPr>
          <w:rFonts w:ascii="Times New Roman" w:cs="Times New Roman" w:eastAsia="Times New Roman" w:hAnsi="Times New Roman"/>
          <w:sz w:val="19"/>
          <w:szCs w:val="19"/>
          <w:color w:val="auto"/>
        </w:rPr>
        <w:t>”) and that there will not have occurred any change in law affecting the enforceability of the Debt Securities or the Indenture,</w:t>
      </w:r>
    </w:p>
    <w:p>
      <w:pPr>
        <w:spacing w:after="0" w:line="2" w:lineRule="exact"/>
        <w:rPr>
          <w:sz w:val="20"/>
          <w:szCs w:val="20"/>
          <w:color w:val="auto"/>
        </w:rPr>
      </w:pPr>
    </w:p>
    <w:p>
      <w:pPr>
        <w:jc w:val="both"/>
        <w:ind w:firstLine="8"/>
        <w:spacing w:after="0" w:line="250" w:lineRule="auto"/>
        <w:tabs>
          <w:tab w:leader="none" w:pos="373"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applicable covenants binding on or applicable to the Company restricting the issuance of Debt Securities will have been validly waived, (iv) the Registration Statement and any amendments (including any necessary post-effective amendments) will have been declared effective under the Securities Act, (v) at the time of the offer, issuance and sale of any Securities, no stop order suspending the Registration Statement’s effectiveness will have been issued and remain in effect, (vi) no future amendments will be made to the Certificate of Incorporation or the Bylaws that would be in conflict with or inconsistent with the Company’s right and ability to issue the Securities, (vii) at the time of each offer, issuance and sale of any Securities, the Company will have a sufficient number of authorized and unissued and unreserved shares of the applicable class or series of its capital stock included in (or purchasable upon exercise or conversion of) the Securities, so issued and sold (after taking into account all other outstanding securities of the Company which may require the Company to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91" w:name="page92"/>
    <w:bookmarkEnd w:id="91"/>
    <w:p>
      <w:pPr>
        <w:spacing w:after="0" w:line="200" w:lineRule="exact"/>
        <w:rPr>
          <w:sz w:val="20"/>
          <w:szCs w:val="20"/>
          <w:color w:val="auto"/>
        </w:rPr>
      </w:pPr>
    </w:p>
    <w:p>
      <w:pPr>
        <w:spacing w:after="0" w:line="2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shares of such applicable class or series) to be able to issue all such shares, and (viii) all purchasers of Securities, will timely pay in full to the Company all amounts they have agreed to pay to purchase such Securities, as approved by the Board or a duly authorized committee thereof, and that the purchase price of any Securities, that are shares of capital stock will not be less than the par value thereof. We also have assumed that the terms of any Debt Securities to be established subsequent to the date hereof, the issuance and delivery of Securities subsequent to the date hereof, and the compliance by the Company with the terms of such Securities, will not violate any applicable law (including, without limitation, any law relating to usury or similar laws) or result in a violation of any provision of any of the Certificate of Incorporation or the Bylaws or of any instrument or agreement then binding upon the Company or any restriction imposed by any court or governmental body having jurisdiction over the Company.</w:t>
      </w:r>
    </w:p>
    <w:p>
      <w:pPr>
        <w:spacing w:after="0" w:line="195" w:lineRule="exact"/>
        <w:rPr>
          <w:sz w:val="20"/>
          <w:szCs w:val="20"/>
          <w:color w:val="auto"/>
        </w:rPr>
      </w:pPr>
    </w:p>
    <w:p>
      <w:pPr>
        <w:jc w:val="both"/>
        <w:ind w:firstLine="441"/>
        <w:spacing w:after="0" w:line="269" w:lineRule="auto"/>
        <w:rPr>
          <w:sz w:val="20"/>
          <w:szCs w:val="20"/>
          <w:color w:val="auto"/>
        </w:rPr>
      </w:pPr>
      <w:r>
        <w:rPr>
          <w:rFonts w:ascii="Times New Roman" w:cs="Times New Roman" w:eastAsia="Times New Roman" w:hAnsi="Times New Roman"/>
          <w:sz w:val="20"/>
          <w:szCs w:val="20"/>
          <w:color w:val="auto"/>
        </w:rPr>
        <w:t>This opinion is qualified by, and is subject to, and we render no opinion with respect to, the following limitations and exceptions to the enforceability of the Debt Securities, the Warrants, the Subscription Rights and the Units:</w:t>
      </w:r>
    </w:p>
    <w:p>
      <w:pPr>
        <w:spacing w:after="0" w:line="200" w:lineRule="exact"/>
        <w:rPr>
          <w:sz w:val="20"/>
          <w:szCs w:val="20"/>
          <w:color w:val="auto"/>
        </w:rPr>
      </w:pPr>
    </w:p>
    <w:p>
      <w:pPr>
        <w:jc w:val="both"/>
        <w:ind w:left="1800" w:hanging="901"/>
        <w:spacing w:after="0" w:line="250" w:lineRule="auto"/>
        <w:tabs>
          <w:tab w:leader="none" w:pos="1795"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effect of the laws of bankruptcy, insolvency, reorganization, arrangement, moratorium, fraudulent conveyance, assignment for the benefit of creditors, and other similar laws now or hereinafter in effect relating to or affecting the rights and remedies of creditors, including the effect of statutory or other laws regarding fraudulent transfers or preferential transfers.</w:t>
      </w:r>
    </w:p>
    <w:p>
      <w:pPr>
        <w:spacing w:after="0" w:line="205" w:lineRule="exact"/>
        <w:rPr>
          <w:rFonts w:ascii="Times New Roman" w:cs="Times New Roman" w:eastAsia="Times New Roman" w:hAnsi="Times New Roman"/>
          <w:sz w:val="22"/>
          <w:szCs w:val="22"/>
          <w:color w:val="auto"/>
        </w:rPr>
      </w:pPr>
    </w:p>
    <w:p>
      <w:pPr>
        <w:jc w:val="both"/>
        <w:ind w:left="1800" w:hanging="901"/>
        <w:spacing w:after="0" w:line="250" w:lineRule="auto"/>
        <w:tabs>
          <w:tab w:leader="none" w:pos="1795"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effect of general principles of equity and similar principles, including, without limitation, concepts of materiality, reasonableness, good faith and fair dealing, public policy and unconscionability, and the possible unavailability of specific performance, injunctive relief, or other equitable remedies, regardless of whether considered in a proceeding in equity or at law.</w:t>
      </w:r>
    </w:p>
    <w:p>
      <w:pPr>
        <w:spacing w:after="0" w:line="219" w:lineRule="exact"/>
        <w:rPr>
          <w:rFonts w:ascii="Times New Roman" w:cs="Times New Roman" w:eastAsia="Times New Roman" w:hAnsi="Times New Roman"/>
          <w:sz w:val="22"/>
          <w:szCs w:val="22"/>
          <w:color w:val="auto"/>
        </w:rPr>
      </w:pPr>
    </w:p>
    <w:p>
      <w:pPr>
        <w:ind w:left="1800" w:hanging="901"/>
        <w:spacing w:after="0" w:line="245" w:lineRule="auto"/>
        <w:tabs>
          <w:tab w:leader="none" w:pos="1795"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the case of the Debt Securities, the effect of laws relating to usury or permissible rates of interest for loans, forbearances or the use of money.</w:t>
      </w:r>
    </w:p>
    <w:p>
      <w:pPr>
        <w:spacing w:after="0" w:line="195"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20"/>
          <w:szCs w:val="20"/>
          <w:color w:val="auto"/>
        </w:rPr>
        <w:t>We express no opinion regarding the effectiveness of any waiver or stay, extension or of unknown future rights. Further, we express no opinion regarding the effect of provisions relating to indemnification, exculpation or contribution to the extent such provisions may be held unenforceable as contrary to federal or state securities laws or public policy.</w:t>
      </w:r>
    </w:p>
    <w:p>
      <w:pPr>
        <w:spacing w:after="0" w:line="181" w:lineRule="exact"/>
        <w:rPr>
          <w:sz w:val="20"/>
          <w:szCs w:val="20"/>
          <w:color w:val="auto"/>
        </w:rPr>
      </w:pPr>
    </w:p>
    <w:p>
      <w:pPr>
        <w:jc w:val="both"/>
        <w:ind w:firstLine="441"/>
        <w:spacing w:after="0" w:line="264" w:lineRule="auto"/>
        <w:rPr>
          <w:sz w:val="20"/>
          <w:szCs w:val="20"/>
          <w:color w:val="auto"/>
        </w:rPr>
      </w:pPr>
      <w:r>
        <w:rPr>
          <w:rFonts w:ascii="Times New Roman" w:cs="Times New Roman" w:eastAsia="Times New Roman" w:hAnsi="Times New Roman"/>
          <w:sz w:val="19"/>
          <w:szCs w:val="19"/>
          <w:color w:val="auto"/>
        </w:rPr>
        <w:t>The Company has informed us that the Company intends to issue the Securities from time to time on a delayed or continuous basis. This opinion is limited to the Applicable Laws, including the rules and regulations thereunder, as in effect on the date hereof. We are basing this opinion on our understanding that, prior to issuing any Securities, in connection with the Registration Statement, the Company will advise us in writing of the terms thereof and other information material thereto, will afford us an opportunity to review the operative documents pursuant to which such Securities are to be issued (including the Registration Statement, the Prospectus and the applicable supplement to the Prospectus, as then in effect) and will file such supplement or amendment to this opinion (if any) as we may reasonably consider necessary or appropriate with respect to such Securities. However, we undertake no responsibility to monitor the Company’s future compliance with applicable laws, rules or regulations of the Commission or other governmental body. In particular, we assume that the Company will obtain the requisite approval of the Board and the requisite approval of its stockholders, if required by the laws of the State of Delaware and the Certificate of Incorporation and the Bylaws, or if necessary because the Company does not have a sufficient number of authorized but unissued and unreserved shares of its capital stock at the time of issuance to comply with any Securities. We also assume the Company will timely file any and all supplements to the Registration Statement and Prospectus as are necessary to comply with applicable laws in effect from time to time and duly amend its Certificate of Incorporation to increase the authorized number of shares of its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92" w:name="page93"/>
    <w:bookmarkEnd w:id="92"/>
    <w:p>
      <w:pPr>
        <w:spacing w:after="0" w:line="200" w:lineRule="exact"/>
        <w:rPr>
          <w:sz w:val="20"/>
          <w:szCs w:val="20"/>
          <w:color w:val="auto"/>
        </w:rPr>
      </w:pPr>
    </w:p>
    <w:p>
      <w:pPr>
        <w:spacing w:after="0" w:line="25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stock as necessary if the number of such shares to be sold pursuant to the Registration Statement would cause the Company to issue more such shares than it has authorized and unissued and unreserved.</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Based upon the foregoing, we are of the following opinion:</w:t>
      </w:r>
    </w:p>
    <w:p>
      <w:pPr>
        <w:spacing w:after="0" w:line="121" w:lineRule="exact"/>
        <w:rPr>
          <w:sz w:val="20"/>
          <w:szCs w:val="20"/>
          <w:color w:val="auto"/>
        </w:rPr>
      </w:pPr>
    </w:p>
    <w:p>
      <w:pPr>
        <w:jc w:val="both"/>
        <w:ind w:firstLine="449"/>
        <w:spacing w:after="0" w:line="250" w:lineRule="auto"/>
        <w:tabs>
          <w:tab w:leader="none" w:pos="64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shares of Common Stock registered pursuant to the Registration Statement when (i) the issuance of and the terms of the offering of such shares of Common Stock and related matters have been duly authorized by all required corporate action of the Board or a duly authorized committee thereof, and, if required, of the stockholders of the Company in accordance with the Certificate of Incorporation and the Bylaws and Applicable Laws and (ii) if required, certificates representing the shares of Common Stock have been duly executed, countersigned, registered and delivered either (a) in accordance with the applicable definitive purchase, underwriting or similar agreement approved by the Board, or upon the exercise of Warrants to purchase Common Stock, upon payment of the consideration therefor (in an amount not less than the par value of the Common Stock) provided for therein and approved by the Board or a duly authorized committee thereof, or (b) upon conversion or exercise of any other security of the Company, in accordance with the terms of such security or the instrument governing such security providing for such conversion or exercise as approved by the Board, for the consideration approved by the Board (in an amount not less than the par value per share of the Common Stock), then such shares of Common Stock will be validly issued, fully paid and nonassessable.</w:t>
      </w:r>
    </w:p>
    <w:p>
      <w:pPr>
        <w:spacing w:after="0" w:line="186" w:lineRule="exact"/>
        <w:rPr>
          <w:rFonts w:ascii="Times New Roman" w:cs="Times New Roman" w:eastAsia="Times New Roman" w:hAnsi="Times New Roman"/>
          <w:sz w:val="20"/>
          <w:szCs w:val="20"/>
          <w:color w:val="auto"/>
        </w:rPr>
      </w:pPr>
    </w:p>
    <w:p>
      <w:pPr>
        <w:jc w:val="both"/>
        <w:ind w:firstLine="449"/>
        <w:spacing w:after="0" w:line="264" w:lineRule="auto"/>
        <w:tabs>
          <w:tab w:leader="none" w:pos="664"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particular series of shares of Preferred Stock registered pursuant to the Registration Statement, when (i) the issuance and terms of such shares of Preferred Stock, the terms of the offering thereof and related matters, including the adoption of a certificate of designation relating to such Preferred Stock conforming to the Company’s Certificate of Incorporation and Bylaws and the Delaware General Corporation Law (a “</w:t>
      </w:r>
      <w:r>
        <w:rPr>
          <w:rFonts w:ascii="Times New Roman" w:cs="Times New Roman" w:eastAsia="Times New Roman" w:hAnsi="Times New Roman"/>
          <w:sz w:val="19"/>
          <w:szCs w:val="19"/>
          <w:b w:val="1"/>
          <w:bCs w:val="1"/>
          <w:i w:val="1"/>
          <w:iCs w:val="1"/>
          <w:color w:val="auto"/>
        </w:rPr>
        <w:t>Certificate</w:t>
      </w:r>
      <w:r>
        <w:rPr>
          <w:rFonts w:ascii="Times New Roman" w:cs="Times New Roman" w:eastAsia="Times New Roman" w:hAnsi="Times New Roman"/>
          <w:sz w:val="19"/>
          <w:szCs w:val="19"/>
          <w:color w:val="auto"/>
        </w:rPr>
        <w:t>”) and the filing of such Certificate with the Secretary of State of the State of Delaware (or the filing of an amendment to the Company’s Certificate of Incorporation to similar effect), have been duly authorized by all required corporate action of the Board and, if required, of the stockholders of the Company in accordance with the Certificate of Incorporation and the Bylaws and Applicable Laws and (ii) if required, certificates representing the shares of Preferred Stock have been duly executed, countersigned, registered and delivered either (a) in accordance with the applicable definitive purchase, underwriting or similar agreement approved by the Board, or upon the exercise of Warrants to purchase Preferred Stock, upon payment of the consideration therefor (in an amount not less than the par value per share of such Preferred Stock) provided for therein and approved by the Board or (b) upon conversion or exercise of any other security of the Company, in accordance with the terms of such security or the instrument governing such security providing for such conversion or exercise as approved by the Board, for the consideration approved by the Board (in an amount not less than the par value per share of the Preferred Stock), then such shares of Preferred Stock will be validly issued, fully paid and nonassessable.</w:t>
      </w:r>
    </w:p>
    <w:p>
      <w:pPr>
        <w:spacing w:after="0" w:line="183" w:lineRule="exact"/>
        <w:rPr>
          <w:rFonts w:ascii="Times New Roman" w:cs="Times New Roman" w:eastAsia="Times New Roman" w:hAnsi="Times New Roman"/>
          <w:sz w:val="19"/>
          <w:szCs w:val="19"/>
          <w:color w:val="auto"/>
        </w:rPr>
      </w:pPr>
    </w:p>
    <w:p>
      <w:pPr>
        <w:jc w:val="both"/>
        <w:ind w:firstLine="449"/>
        <w:spacing w:after="0" w:line="251" w:lineRule="auto"/>
        <w:tabs>
          <w:tab w:leader="none" w:pos="65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Debt Securities registered pursuant to the Registration Statement, when (i) the issuance of such Debt Securities has been duly authorized by all required corporate action of the Board and, if required, of the stockholders of the Company in accordance with the Certificate of Incorporation and the Bylaws and Applicable Laws, (ii) the Indenture has been duly authorized and validly executed and delivered by each of the Company (by duly authorized officers of the Company) and the Trustee, (iii) the form and terms of the Debt Securities have been duly established in accordance with the Indenture pursuant to resolutions duly adopted by the Board and as set forth in an officer’s certificate or supplemental indenture duly authorized by the Board in accordance with the Certificate of Incorporation and the Bylaws and Applicable Laws and duly executed by an authorized officer of the Company, and (iv) instruments representing such Debt Securities have been duly executed and authenticated in accordance with the terms of the Indenture and any supplement thereto, and issued, sold and delivered in the manner and for the consideration approved by the Board and stated in the Registration Statement, the Prospectus and any prospectus supplement relating thereto (as amended as of the date of such issuance, sale and delivery), any applicable definitive purchase, underwriting or similar agreement and upon the exercise of Warrants to purchase Debt Securities, upon payment of the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93" w:name="page94"/>
    <w:bookmarkEnd w:id="93"/>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therefor provided for therein, then the Debt Securities will be validly issued and will constitute valid and binding obligations of the Company.</w:t>
      </w:r>
    </w:p>
    <w:p>
      <w:pPr>
        <w:spacing w:after="0" w:line="241" w:lineRule="exact"/>
        <w:rPr>
          <w:sz w:val="20"/>
          <w:szCs w:val="20"/>
          <w:color w:val="auto"/>
        </w:rPr>
      </w:pPr>
    </w:p>
    <w:p>
      <w:pPr>
        <w:jc w:val="both"/>
        <w:ind w:firstLine="449"/>
        <w:spacing w:after="0" w:line="250" w:lineRule="auto"/>
        <w:tabs>
          <w:tab w:leader="none" w:pos="641"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Warrants registered pursuant to the Registration Statement, when (i) the issuance and terms of such Warrants, the terms, execution and delivery of the warrant agreement relating to the Warrants (“</w:t>
      </w:r>
      <w:r>
        <w:rPr>
          <w:rFonts w:ascii="Times New Roman" w:cs="Times New Roman" w:eastAsia="Times New Roman" w:hAnsi="Times New Roman"/>
          <w:sz w:val="20"/>
          <w:szCs w:val="20"/>
          <w:b w:val="1"/>
          <w:bCs w:val="1"/>
          <w:i w:val="1"/>
          <w:iCs w:val="1"/>
          <w:color w:val="auto"/>
        </w:rPr>
        <w:t>Warrant Agreement</w:t>
      </w:r>
      <w:r>
        <w:rPr>
          <w:rFonts w:ascii="Times New Roman" w:cs="Times New Roman" w:eastAsia="Times New Roman" w:hAnsi="Times New Roman"/>
          <w:sz w:val="20"/>
          <w:szCs w:val="20"/>
          <w:color w:val="auto"/>
        </w:rPr>
        <w:t>”), the terms of the offering thereof and related matters have been duly authorized by all required corporate action of the Board and, if required, of the stockholders of the Company in accordance with the Certificate of Incorporation and the Bylaws and Applicable Laws, (ii) the Warrant Agreement has been duly authorized and validly executed and delivered by the Company (by duly authorized officers of the Company) and the Company’s warrant agent, and (iii) such Warrants have been duly executed, issued and delivered by the Company by duly authorized officers of the Company in accordance with the provisions of the Warrant Agreement and the applicable definitive purchase, underwriting or similar agreement approved by the Board, upon payment of the consideration therefor provided for therein and approved by the Board, such Warrants will constitute valid and binding obligations of the Company.</w:t>
      </w:r>
    </w:p>
    <w:p>
      <w:pPr>
        <w:spacing w:after="0" w:line="192" w:lineRule="exact"/>
        <w:rPr>
          <w:rFonts w:ascii="Times New Roman" w:cs="Times New Roman" w:eastAsia="Times New Roman" w:hAnsi="Times New Roman"/>
          <w:sz w:val="20"/>
          <w:szCs w:val="20"/>
          <w:color w:val="auto"/>
        </w:rPr>
      </w:pPr>
    </w:p>
    <w:p>
      <w:pPr>
        <w:jc w:val="both"/>
        <w:ind w:firstLine="449"/>
        <w:spacing w:after="0" w:line="250" w:lineRule="auto"/>
        <w:tabs>
          <w:tab w:leader="none" w:pos="65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Subscription Rights registered pursuant to the Registration Statement, when (i) the issuance and terms of such Subscription Rights, the terms, execution and delivery of the subscription rights agreement relating to the Subscription Rights (“</w:t>
      </w:r>
      <w:r>
        <w:rPr>
          <w:rFonts w:ascii="Times New Roman" w:cs="Times New Roman" w:eastAsia="Times New Roman" w:hAnsi="Times New Roman"/>
          <w:sz w:val="20"/>
          <w:szCs w:val="20"/>
          <w:b w:val="1"/>
          <w:bCs w:val="1"/>
          <w:i w:val="1"/>
          <w:iCs w:val="1"/>
          <w:color w:val="auto"/>
        </w:rPr>
        <w:t>Subscription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Rights Agreement</w:t>
      </w:r>
      <w:r>
        <w:rPr>
          <w:rFonts w:ascii="Times New Roman" w:cs="Times New Roman" w:eastAsia="Times New Roman" w:hAnsi="Times New Roman"/>
          <w:sz w:val="20"/>
          <w:szCs w:val="20"/>
          <w:color w:val="auto"/>
        </w:rPr>
        <w:t>”), the terms of the offering thereof and related matters have been duly authorized by all required corporate action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Board and, if required, the stockholders of the Company in accordance with the Certificate of Incorporation and the Bylaws and Applicable Laws, (ii) the Subscription Rights Agreement has been duly authorized and validly executed and delivered by the Company (by duly authorized officers of the Company) and the Company’s rights agent, and (iii) such Subscription Rights have been duly executed, issued and delivered by the Company by duly authorized officers of the Company in accordance with the provisions of the Subscription Rights Agreement and the applicable definitive purchase, underwriting or similar agreement approved by the Board, upon payment of the consideration therefor provided for therein and approved by the Board, such Subscription Rights will constitute valid and binding obligations of the Company.</w:t>
      </w:r>
    </w:p>
    <w:p>
      <w:pPr>
        <w:spacing w:after="0" w:line="196" w:lineRule="exact"/>
        <w:rPr>
          <w:rFonts w:ascii="Times New Roman" w:cs="Times New Roman" w:eastAsia="Times New Roman" w:hAnsi="Times New Roman"/>
          <w:sz w:val="20"/>
          <w:szCs w:val="20"/>
          <w:color w:val="auto"/>
        </w:rPr>
      </w:pPr>
    </w:p>
    <w:p>
      <w:pPr>
        <w:jc w:val="both"/>
        <w:ind w:firstLine="449"/>
        <w:spacing w:after="0" w:line="252" w:lineRule="auto"/>
        <w:tabs>
          <w:tab w:leader="none" w:pos="665"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Units registered pursuant to the Registration Statement, when (i) the conditions outlined in the immediately preceding paragraphs (1) through (5) that apply to the Securities that make up such Units are all met, (ii) the issuance and terms of such Units, the terms, execution and delivery of the unit purchase agreement relating to such Units (“</w:t>
      </w:r>
      <w:r>
        <w:rPr>
          <w:rFonts w:ascii="Times New Roman" w:cs="Times New Roman" w:eastAsia="Times New Roman" w:hAnsi="Times New Roman"/>
          <w:sz w:val="20"/>
          <w:szCs w:val="20"/>
          <w:b w:val="1"/>
          <w:bCs w:val="1"/>
          <w:i w:val="1"/>
          <w:iCs w:val="1"/>
          <w:color w:val="auto"/>
        </w:rPr>
        <w:t>Unit Agreement</w:t>
      </w:r>
      <w:r>
        <w:rPr>
          <w:rFonts w:ascii="Times New Roman" w:cs="Times New Roman" w:eastAsia="Times New Roman" w:hAnsi="Times New Roman"/>
          <w:sz w:val="20"/>
          <w:szCs w:val="20"/>
          <w:color w:val="auto"/>
        </w:rPr>
        <w:t>”), the terms of the offering thereof and related matters have been duly authorized by all required corporate action of the Board and, if required, of the stockholders of the Company, (iii) the Unit Agreement has been duly authorized and validly executed and delivered by the Company (by duly authorized officers of the Company) and the Company’s unit agent, and (iv) such Units have been duly executed, issued and delivered by the Company by duly authorized officers of the Company in accordance with the provisions of the Unit Agreement and the applicable definitive purchase, underwriting or similar agreement approved by the Board, upon payment of the consideration therefor provided for therein and approved by the Board, such Units will constitute valid and binding obligations of the Company.</w:t>
      </w:r>
    </w:p>
    <w:p>
      <w:pPr>
        <w:spacing w:after="0" w:line="176"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20"/>
          <w:szCs w:val="20"/>
          <w:color w:val="auto"/>
        </w:rPr>
        <w:t>We consent to the use of this opinion as an exhibit to the Registration Statement and further consent to all references to us, if any, in the Registration Statement and the Prospectus constituting parts thereof and any amendments thereto. In giving this consent we do not thereby admit that we come within the category of persons whose consent is required by the Securities Act or by the rules and regulations promulgated thereunder.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[Concluding Paragraph Follows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94" w:name="page95"/>
    <w:bookmarkEnd w:id="94"/>
    <w:p>
      <w:pPr>
        <w:spacing w:after="0" w:line="200" w:lineRule="exact"/>
        <w:rPr>
          <w:sz w:val="20"/>
          <w:szCs w:val="20"/>
          <w:color w:val="auto"/>
        </w:rPr>
      </w:pPr>
    </w:p>
    <w:p>
      <w:pPr>
        <w:spacing w:after="0" w:line="259"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20"/>
          <w:szCs w:val="20"/>
          <w:color w:val="auto"/>
        </w:rPr>
        <w:t>This opinion is intended solely for use in connection with the issuance and sale of the Securities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is based solely on our understanding of facts in existence as of such date after the aforementioned examination and does not address any potential changes in facts, circumstance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00" w:lineRule="exact"/>
        <w:rPr>
          <w:sz w:val="20"/>
          <w:szCs w:val="20"/>
          <w:color w:val="auto"/>
        </w:rPr>
      </w:pPr>
    </w:p>
    <w:p>
      <w:pPr>
        <w:spacing w:after="0" w:line="236"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148"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20"/>
          <w:szCs w:val="20"/>
          <w:u w:val="single" w:color="auto"/>
          <w:color w:val="auto"/>
        </w:rPr>
        <w:t>/s/ Fenwick &amp; West LLP</w:t>
      </w:r>
    </w:p>
    <w:p>
      <w:pPr>
        <w:spacing w:after="0" w:line="148"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20"/>
          <w:szCs w:val="20"/>
          <w:color w:val="auto"/>
        </w:rPr>
        <w:t>FENWICK &amp; WEST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the Registration Statement (Form S-3) and related Prospectus of Sema4 Holdings Corp. for the registration of its Class A common stock, preferred stock, debt securities and warrants and to the incorporation by reference therein of our report dated March 14, 2022, with respect to the consolidated financial statements of Sema4 Holdings Corp., included in its Annual Report (Form 10-K) for the year ended December 31, 2021, filed with the Securities and Exchange Commission.</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York, NY</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26, 2022</w:t>
      </w:r>
    </w:p>
    <w:p>
      <w:pPr>
        <w:sectPr>
          <w:pgSz w:w="11900" w:h="16838" w:orient="portrait"/>
          <w:cols w:equalWidth="0" w:num="1">
            <w:col w:w="11240"/>
          </w:cols>
          <w:pgMar w:left="320" w:top="104"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333333"/>
        </w:rPr>
        <w:t>Consent of Independent Auditors</w:t>
      </w:r>
    </w:p>
    <w:p>
      <w:pPr>
        <w:spacing w:after="0" w:line="202"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0"/>
          <w:szCs w:val="20"/>
          <w:color w:val="auto"/>
        </w:rPr>
        <w:t>We consent to the reference to our firm under the caption "Experts" in this Registration Statement (Form S-3) and related Prospectus of Sema4 Holdings Corp. and to the incorporation by reference therein of our report dated March 15, 2022, with respect to the combined carve out financial statements of GeneDx, Inc. and subsidiary, included in the Proxy Statement of Sema4 Holdings Corp. dated March 31, 2022, filed with the Securities and Exchange Commission.</w:t>
      </w:r>
    </w:p>
    <w:p>
      <w:pPr>
        <w:spacing w:after="0" w:line="245"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9"/>
          <w:szCs w:val="19"/>
          <w:color w:val="auto"/>
        </w:rPr>
        <w:t>/s/ Ernst &amp; Young LLP</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Miami, Florida</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August 26, 2022</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lvl w:ilvl="1">
      <w:lvlJc w:val="left"/>
      <w:lvlText w:val="%2."/>
      <w:numFmt w:val="decimal"/>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7">
    <w:nsid w:val="39386575"/>
    <w:multiLevelType w:val="hybridMultilevel"/>
    <w:lvl w:ilvl="0">
      <w:lvlJc w:val="left"/>
      <w:lvlText w:val="%1"/>
      <w:numFmt w:val="lowerLetter"/>
      <w:start w:val="1"/>
    </w:lvl>
    <w:lvl w:ilvl="1">
      <w:lvlJc w:val="left"/>
      <w:lvlText w:val="(%2)"/>
      <w:numFmt w:val="decimal"/>
      <w:start w:val="3"/>
    </w:lvl>
    <w:lvl w:ilvl="2">
      <w:lvlJc w:val="left"/>
      <w:lvlText w:val="(%3)"/>
      <w:numFmt w:val="lowerRoman"/>
      <w:start w:val="1"/>
    </w:lvl>
  </w:abstractNum>
  <w:abstractNum w:abstractNumId="38">
    <w:nsid w:val="1CF10FD8"/>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9">
    <w:nsid w:val="180115BE"/>
    <w:multiLevelType w:val="hybridMultilevel"/>
    <w:lvl w:ilvl="0">
      <w:lvlJc w:val="left"/>
      <w:lvlText w:val="(%1)"/>
      <w:numFmt w:val="lowerLetter"/>
      <w:start w:val="4"/>
    </w:lvl>
  </w:abstractNum>
  <w:abstractNum w:abstractNumId="40">
    <w:nsid w:val="235BA861"/>
    <w:multiLevelType w:val="hybridMultilevel"/>
    <w:lvl w:ilvl="0">
      <w:lvlJc w:val="left"/>
      <w:lvlText w:val="(%1)"/>
      <w:numFmt w:val="decimal"/>
      <w:start w:val="2"/>
    </w:lvl>
  </w:abstractNum>
  <w:abstractNum w:abstractNumId="41">
    <w:nsid w:val="47398C89"/>
    <w:multiLevelType w:val="hybridMultilevel"/>
    <w:lvl w:ilvl="0">
      <w:lvlJc w:val="left"/>
      <w:lvlText w:val="(%1)"/>
      <w:numFmt w:val="decimal"/>
      <w:start w:val="1"/>
    </w:lvl>
  </w:abstractNum>
  <w:abstractNum w:abstractNumId="42">
    <w:nsid w:val="354FE9F9"/>
    <w:multiLevelType w:val="hybridMultilevel"/>
    <w:lvl w:ilvl="0">
      <w:lvlJc w:val="left"/>
      <w:lvlText w:val="(%1)"/>
      <w:numFmt w:val="decimal"/>
      <w:start w:val="1"/>
    </w:lvl>
  </w:abstractNum>
  <w:abstractNum w:abstractNumId="43">
    <w:nsid w:val="15B5AF5C"/>
    <w:multiLevelType w:val="hybridMultilevel"/>
    <w:lvl w:ilvl="0">
      <w:lvlJc w:val="left"/>
      <w:lvlText w:val="(%1)"/>
      <w:numFmt w:val="decimal"/>
      <w:start w:val="4"/>
    </w:lvl>
  </w:abstractNum>
  <w:abstractNum w:abstractNumId="44">
    <w:nsid w:val="741226BB"/>
    <w:multiLevelType w:val="hybridMultilevel"/>
    <w:lvl w:ilvl="0">
      <w:lvlJc w:val="left"/>
      <w:lvlText w:val="(%1)"/>
      <w:numFmt w:val="decimal"/>
      <w:start w:val="19"/>
    </w:lvl>
  </w:abstractNum>
  <w:abstractNum w:abstractNumId="45">
    <w:nsid w:val="D34B6A8"/>
    <w:multiLevelType w:val="hybridMultilevel"/>
    <w:lvl w:ilvl="0">
      <w:lvlJc w:val="left"/>
      <w:lvlText w:val="(%1)"/>
      <w:numFmt w:val="lowerLetter"/>
      <w:start w:val="1"/>
    </w:lvl>
  </w:abstractNum>
  <w:abstractNum w:abstractNumId="46">
    <w:nsid w:val="10233C99"/>
    <w:multiLevelType w:val="hybridMultilevel"/>
    <w:lvl w:ilvl="0">
      <w:lvlJc w:val="left"/>
      <w:lvlText w:val="(%1)"/>
      <w:numFmt w:val="lowerLetter"/>
      <w:start w:val="3"/>
    </w:lvl>
  </w:abstractNum>
  <w:abstractNum w:abstractNumId="47">
    <w:nsid w:val="3F6AB60F"/>
    <w:multiLevelType w:val="hybridMultilevel"/>
    <w:lvl w:ilvl="0">
      <w:lvlJc w:val="left"/>
      <w:lvlText w:val="(%1)"/>
      <w:numFmt w:val="lowerLetter"/>
      <w:start w:val="1"/>
    </w:lvl>
  </w:abstractNum>
  <w:abstractNum w:abstractNumId="48">
    <w:nsid w:val="61574095"/>
    <w:multiLevelType w:val="hybridMultilevel"/>
    <w:lvl w:ilvl="0">
      <w:lvlJc w:val="left"/>
      <w:lvlText w:val="(%1)"/>
      <w:numFmt w:val="lowerLetter"/>
      <w:start w:val="4"/>
    </w:lvl>
  </w:abstractNum>
  <w:abstractNum w:abstractNumId="49">
    <w:nsid w:val="7E0C57B1"/>
    <w:multiLevelType w:val="hybridMultilevel"/>
    <w:lvl w:ilvl="0">
      <w:lvlJc w:val="left"/>
      <w:lvlText w:val="(%1)"/>
      <w:numFmt w:val="decimal"/>
      <w:start w:val="1"/>
    </w:lvl>
  </w:abstractNum>
  <w:abstractNum w:abstractNumId="50">
    <w:nsid w:val="77AE35EB"/>
    <w:multiLevelType w:val="hybridMultilevel"/>
    <w:lvl w:ilvl="0">
      <w:lvlJc w:val="left"/>
      <w:lvlText w:val="(%1)"/>
      <w:numFmt w:val="lowerLetter"/>
      <w:start w:val="1"/>
    </w:lvl>
  </w:abstractNum>
  <w:abstractNum w:abstractNumId="51">
    <w:nsid w:val="579BE4F1"/>
    <w:multiLevelType w:val="hybridMultilevel"/>
    <w:lvl w:ilvl="0">
      <w:lvlJc w:val="left"/>
      <w:lvlText w:val="(%1)"/>
      <w:numFmt w:val="lowerLetter"/>
      <w:start w:val="1"/>
    </w:lvl>
  </w:abstractNum>
  <w:abstractNum w:abstractNumId="52">
    <w:nsid w:val="310C50B3"/>
    <w:multiLevelType w:val="hybridMultilevel"/>
    <w:lvl w:ilvl="0">
      <w:lvlJc w:val="left"/>
      <w:lvlText w:val="(%1)"/>
      <w:numFmt w:val="decimal"/>
      <w:start w:val="1"/>
    </w:lvl>
  </w:abstractNum>
  <w:abstractNum w:abstractNumId="53">
    <w:nsid w:val="5FF87E05"/>
    <w:multiLevelType w:val="hybridMultilevel"/>
    <w:lvl w:ilvl="0">
      <w:lvlJc w:val="left"/>
      <w:lvlText w:val="(%1)"/>
      <w:numFmt w:val="decimal"/>
      <w:start w:val="2"/>
    </w:lvl>
    <w:lvl w:ilvl="1">
      <w:lvlJc w:val="left"/>
      <w:lvlText w:val="(%2)"/>
      <w:numFmt w:val="upperLetter"/>
      <w:start w:val="1"/>
    </w:lvl>
  </w:abstractNum>
  <w:abstractNum w:abstractNumId="54">
    <w:nsid w:val="2F305DEF"/>
    <w:multiLevelType w:val="hybridMultilevel"/>
    <w:lvl w:ilvl="0">
      <w:lvlJc w:val="left"/>
      <w:lvlText w:val="(%1)"/>
      <w:numFmt w:val="decimal"/>
      <w:start w:val="5"/>
    </w:lvl>
  </w:abstractNum>
  <w:abstractNum w:abstractNumId="55">
    <w:nsid w:val="25A70BF7"/>
    <w:multiLevelType w:val="hybridMultilevel"/>
    <w:lvl w:ilvl="0">
      <w:lvlJc w:val="left"/>
      <w:lvlText w:val="(%1)"/>
      <w:numFmt w:val="decimal"/>
      <w:start w:val="1"/>
    </w:lvl>
  </w:abstractNum>
  <w:abstractNum w:abstractNumId="56">
    <w:nsid w:val="1DBABF00"/>
    <w:multiLevelType w:val="hybridMultilevel"/>
    <w:lvl w:ilvl="0">
      <w:lvlJc w:val="left"/>
      <w:lvlText w:val="(%1)"/>
      <w:numFmt w:val="decimal"/>
      <w:start w:val="3"/>
    </w:lvl>
  </w:abstractNum>
  <w:abstractNum w:abstractNumId="57">
    <w:nsid w:val="4AD084E9"/>
    <w:multiLevelType w:val="hybridMultilevel"/>
    <w:lvl w:ilvl="0">
      <w:lvlJc w:val="left"/>
      <w:lvlText w:val="(%1)"/>
      <w:numFmt w:val="lowerLetter"/>
      <w:start w:val="1"/>
    </w:lvl>
    <w:lvl w:ilvl="1">
      <w:lvlJc w:val="left"/>
      <w:lvlText w:val="(%2)"/>
      <w:numFmt w:val="decimal"/>
      <w:start w:val="1"/>
    </w:lvl>
  </w:abstractNum>
  <w:abstractNum w:abstractNumId="58">
    <w:nsid w:val="1F48EAA1"/>
    <w:multiLevelType w:val="hybridMultilevel"/>
    <w:lvl w:ilvl="0">
      <w:lvlJc w:val="left"/>
      <w:lvlText w:val="%1"/>
      <w:numFmt w:val="lowerLetter"/>
      <w:start w:val="1"/>
    </w:lvl>
    <w:lvl w:ilvl="1">
      <w:lvlJc w:val="left"/>
      <w:lvlText w:val="(%2)"/>
      <w:numFmt w:val="decimal"/>
      <w:start w:val="3"/>
    </w:lvl>
  </w:abstractNum>
  <w:abstractNum w:abstractNumId="59">
    <w:nsid w:val="1381823A"/>
    <w:multiLevelType w:val="hybridMultilevel"/>
    <w:lvl w:ilvl="0">
      <w:lvlJc w:val="left"/>
      <w:lvlText w:val="(%1)"/>
      <w:numFmt w:val="lowerLetter"/>
      <w:start w:val="4"/>
    </w:lvl>
    <w:lvl w:ilvl="1">
      <w:lvlJc w:val="left"/>
      <w:lvlText w:val="%2"/>
      <w:numFmt w:val="decimal"/>
      <w:start w:val="1"/>
    </w:lvl>
  </w:abstractNum>
  <w:abstractNum w:abstractNumId="60">
    <w:nsid w:val="5DB70AE5"/>
    <w:multiLevelType w:val="hybridMultilevel"/>
    <w:lvl w:ilvl="0">
      <w:lvlJc w:val="left"/>
      <w:lvlText w:val="(%1)"/>
      <w:numFmt w:val="lowerLetter"/>
      <w:start w:val="1"/>
    </w:lvl>
    <w:lvl w:ilvl="1">
      <w:lvlJc w:val="left"/>
      <w:lvlText w:val="(%2)"/>
      <w:numFmt w:val="decimal"/>
      <w:start w:val="1"/>
    </w:lvl>
  </w:abstractNum>
  <w:abstractNum w:abstractNumId="61">
    <w:nsid w:val="100F8FCA"/>
    <w:multiLevelType w:val="hybridMultilevel"/>
    <w:lvl w:ilvl="0">
      <w:lvlJc w:val="left"/>
      <w:lvlText w:val="(%1)"/>
      <w:numFmt w:val="decimal"/>
      <w:start w:val="1"/>
    </w:lvl>
  </w:abstractNum>
  <w:abstractNum w:abstractNumId="62">
    <w:nsid w:val="6590700B"/>
    <w:multiLevelType w:val="hybridMultilevel"/>
    <w:lvl w:ilvl="0">
      <w:lvlJc w:val="left"/>
      <w:lvlText w:val="(%1)"/>
      <w:numFmt w:val="decimal"/>
      <w:start w:val="1"/>
    </w:lvl>
  </w:abstractNum>
  <w:abstractNum w:abstractNumId="63">
    <w:nsid w:val="15014ACB"/>
    <w:multiLevelType w:val="hybridMultilevel"/>
    <w:lvl w:ilvl="0">
      <w:lvlJc w:val="left"/>
      <w:lvlText w:val="(%1)"/>
      <w:numFmt w:val="decimal"/>
      <w:start w:val="1"/>
    </w:lvl>
  </w:abstractNum>
  <w:abstractNum w:abstractNumId="64">
    <w:nsid w:val="5F5E7FD0"/>
    <w:multiLevelType w:val="hybridMultilevel"/>
    <w:lvl w:ilvl="0">
      <w:lvlJc w:val="left"/>
      <w:lvlText w:val="(%1)"/>
      <w:numFmt w:val="decimal"/>
      <w:start w:val="3"/>
    </w:lvl>
  </w:abstractNum>
  <w:abstractNum w:abstractNumId="65">
    <w:nsid w:val="98A3148"/>
    <w:multiLevelType w:val="hybridMultilevel"/>
    <w:lvl w:ilvl="0">
      <w:lvlJc w:val="left"/>
      <w:lvlText w:val="(%1)"/>
      <w:numFmt w:val="lowerLetter"/>
      <w:start w:val="1"/>
    </w:lvl>
    <w:lvl w:ilvl="1">
      <w:lvlJc w:val="left"/>
      <w:lvlText w:val="(%2)"/>
      <w:numFmt w:val="decimal"/>
      <w:start w:val="1"/>
    </w:lvl>
  </w:abstractNum>
  <w:abstractNum w:abstractNumId="66">
    <w:nsid w:val="799D0247"/>
    <w:multiLevelType w:val="hybridMultilevel"/>
    <w:lvl w:ilvl="0">
      <w:lvlJc w:val="left"/>
      <w:lvlText w:val="(%1)"/>
      <w:numFmt w:val="lowerLetter"/>
      <w:start w:val="2"/>
    </w:lvl>
  </w:abstractNum>
  <w:abstractNum w:abstractNumId="67">
    <w:nsid w:val="6B94764"/>
    <w:multiLevelType w:val="hybridMultilevel"/>
    <w:lvl w:ilvl="0">
      <w:lvlJc w:val="left"/>
      <w:lvlText w:val="(%1)"/>
      <w:numFmt w:val="decimal"/>
      <w:start w:val="1"/>
    </w:lvl>
  </w:abstractNum>
  <w:abstractNum w:abstractNumId="68">
    <w:nsid w:val="42C296BD"/>
    <w:multiLevelType w:val="hybridMultilevel"/>
    <w:lvl w:ilvl="0">
      <w:lvlJc w:val="left"/>
      <w:lvlText w:val="(%1)"/>
      <w:numFmt w:val="decimal"/>
      <w:start w:val="7"/>
    </w:lvl>
  </w:abstractNum>
  <w:abstractNum w:abstractNumId="69">
    <w:nsid w:val="168E121F"/>
    <w:multiLevelType w:val="hybridMultilevel"/>
    <w:lvl w:ilvl="0">
      <w:lvlJc w:val="left"/>
      <w:lvlText w:val="(%1)"/>
      <w:numFmt w:val="decimal"/>
      <w:start w:val="1"/>
    </w:lvl>
  </w:abstractNum>
  <w:abstractNum w:abstractNumId="70">
    <w:nsid w:val="1EBA5D23"/>
    <w:multiLevelType w:val="hybridMultilevel"/>
    <w:lvl w:ilvl="0">
      <w:lvlJc w:val="left"/>
      <w:lvlText w:val="(%1)"/>
      <w:numFmt w:val="decimal"/>
      <w:start w:val="1"/>
    </w:lvl>
  </w:abstractNum>
  <w:abstractNum w:abstractNumId="71">
    <w:nsid w:val="661E3F1E"/>
    <w:multiLevelType w:val="hybridMultilevel"/>
    <w:lvl w:ilvl="0">
      <w:lvlJc w:val="left"/>
      <w:lvlText w:val="(%1)"/>
      <w:numFmt w:val="lowerRoman"/>
      <w:start w:val="3"/>
    </w:lvl>
  </w:abstractNum>
  <w:abstractNum w:abstractNumId="72">
    <w:nsid w:val="5DC79EA8"/>
    <w:multiLevelType w:val="hybridMultilevel"/>
    <w:lvl w:ilvl="0">
      <w:lvlJc w:val="left"/>
      <w:lvlText w:val="(%1)"/>
      <w:numFmt w:val="decimal"/>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jpe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40" Type="http://schemas.openxmlformats.org/officeDocument/2006/relationships/image" Target="media/image16.png"/><Relationship Id="rId41" Type="http://schemas.openxmlformats.org/officeDocument/2006/relationships/image" Target="media/image17.png"/><Relationship Id="rId42" Type="http://schemas.openxmlformats.org/officeDocument/2006/relationships/image" Target="media/image18.png"/><Relationship Id="rId43" Type="http://schemas.openxmlformats.org/officeDocument/2006/relationships/image" Target="media/image19.png"/><Relationship Id="rId44" Type="http://schemas.openxmlformats.org/officeDocument/2006/relationships/image" Target="media/image20.png"/><Relationship Id="rId45" Type="http://schemas.openxmlformats.org/officeDocument/2006/relationships/image" Target="media/image21.png"/><Relationship Id="rId46" Type="http://schemas.openxmlformats.org/officeDocument/2006/relationships/image" Target="media/image22.png"/><Relationship Id="rId47" Type="http://schemas.openxmlformats.org/officeDocument/2006/relationships/image" Target="media/image23.png"/><Relationship Id="rId48" Type="http://schemas.openxmlformats.org/officeDocument/2006/relationships/image" Target="media/image24.png"/><Relationship Id="rId49" Type="http://schemas.openxmlformats.org/officeDocument/2006/relationships/image" Target="media/image25.png"/><Relationship Id="rId50" Type="http://schemas.openxmlformats.org/officeDocument/2006/relationships/image" Target="media/image26.png"/><Relationship Id="rId51" Type="http://schemas.openxmlformats.org/officeDocument/2006/relationships/image" Target="media/image27.png"/><Relationship Id="rId52" Type="http://schemas.openxmlformats.org/officeDocument/2006/relationships/image" Target="media/image28.png"/><Relationship Id="rId53" Type="http://schemas.openxmlformats.org/officeDocument/2006/relationships/image" Target="media/image29.png"/><Relationship Id="rId54" Type="http://schemas.openxmlformats.org/officeDocument/2006/relationships/image" Target="media/image30.png"/><Relationship Id="rId55" Type="http://schemas.openxmlformats.org/officeDocument/2006/relationships/image" Target="media/image31.png"/><Relationship Id="rId56" Type="http://schemas.openxmlformats.org/officeDocument/2006/relationships/image" Target="media/image32.png"/><Relationship Id="rId57" Type="http://schemas.openxmlformats.org/officeDocument/2006/relationships/image" Target="media/image33.png"/><Relationship Id="rId58" Type="http://schemas.openxmlformats.org/officeDocument/2006/relationships/image" Target="media/image34.png"/><Relationship Id="rId59" Type="http://schemas.openxmlformats.org/officeDocument/2006/relationships/image" Target="media/image35.png"/><Relationship Id="rId60" Type="http://schemas.openxmlformats.org/officeDocument/2006/relationships/image" Target="media/image36.png"/><Relationship Id="rId61" Type="http://schemas.openxmlformats.org/officeDocument/2006/relationships/image" Target="media/image37.png"/><Relationship Id="rId62" Type="http://schemas.openxmlformats.org/officeDocument/2006/relationships/image" Target="media/image38.png"/><Relationship Id="rId63" Type="http://schemas.openxmlformats.org/officeDocument/2006/relationships/image" Target="media/image39.png"/><Relationship Id="rId64" Type="http://schemas.openxmlformats.org/officeDocument/2006/relationships/image" Target="media/image40.png"/><Relationship Id="rId65"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jpeg"/><Relationship Id="rId68" Type="http://schemas.openxmlformats.org/officeDocument/2006/relationships/image" Target="media/image44.jpeg"/><Relationship Id="rId17" Type="http://schemas.openxmlformats.org/officeDocument/2006/relationships/hyperlink" Target="https://www.sec.gov/ix?doc=/Archives/edgar/data/1818331/000181833122000037/cmlf-20211231.htm" TargetMode="External"/><Relationship Id="rId18" Type="http://schemas.openxmlformats.org/officeDocument/2006/relationships/hyperlink" Target="https://www.sec.gov/ix?doc=/Archives/edgar/data/1818331/000181833122000046/cmlf-20220331.htm" TargetMode="External"/><Relationship Id="rId19" Type="http://schemas.openxmlformats.org/officeDocument/2006/relationships/hyperlink" Target="https://www.sec.gov/ix?doc=/Archives/edgar/data/1818331/000181833122000069/cmlf-20220630.htm" TargetMode="External"/><Relationship Id="rId20" Type="http://schemas.openxmlformats.org/officeDocument/2006/relationships/hyperlink" Target="https://www.sec.gov/ix?doc=/Archives/edgar/data/0001818331/000181833122000010/smfr-20220114.htm" TargetMode="External"/><Relationship Id="rId21" Type="http://schemas.openxmlformats.org/officeDocument/2006/relationships/hyperlink" Target="https://www.sec.gov/ix?doc=/Archives/edgar/data/0001818331/000162828022011605/smfr-20220429.htm" TargetMode="External"/><Relationship Id="rId22" Type="http://schemas.openxmlformats.org/officeDocument/2006/relationships/hyperlink" Target="https://www.sec.gov/ix?doc=/Archives/edgar/data/1818331/000181833122000053/smfr-20220610.htm" TargetMode="External"/><Relationship Id="rId23" Type="http://schemas.openxmlformats.org/officeDocument/2006/relationships/hyperlink" Target="https://www.sec.gov/ix?doc=/Archives/edgar/data/1818331/000181833122000060/smfr-20220627.htm" TargetMode="External"/><Relationship Id="rId24" Type="http://schemas.openxmlformats.org/officeDocument/2006/relationships/hyperlink" Target="https://www.sec.gov/ix?doc=/Archives/edgar/data/0001818331/000162828022023779/smfr-20220825.htm" TargetMode="External"/><Relationship Id="rId25" Type="http://schemas.openxmlformats.org/officeDocument/2006/relationships/hyperlink" Target="https://www.sec.gov/Archives/edgar/data/0001818331/000121390020024549/ea126225-8a12b_cmlifescience.htm" TargetMode="External"/><Relationship Id="rId32" Type="http://schemas.openxmlformats.org/officeDocument/2006/relationships/hyperlink" Target="https://www.sec.gov/Archives/edgar/data/1818331/000162828021013404/sema4proxy.htm#i8b8880c1ddfa423593153735d1fc233d_1878" TargetMode="External"/><Relationship Id="rId33" Type="http://schemas.openxmlformats.org/officeDocument/2006/relationships/hyperlink" Target="https://www.sec.gov/Archives/edgar/data/0001818331/000181833122000010/exhibit21-mergeragreement2.htm" TargetMode="External"/><Relationship Id="rId34" Type="http://schemas.openxmlformats.org/officeDocument/2006/relationships/hyperlink" Target="https://www.sec.gov/Archives/edgar/data/0001818331/000162828022011605/exhibit992closing8-k.htm" TargetMode="External"/><Relationship Id="rId35" Type="http://schemas.openxmlformats.org/officeDocument/2006/relationships/hyperlink" Target="https://www.sec.gov/Archives/edgar/data/1818331/000162828021014760/exhibit31-super8xk.htm" TargetMode="External"/><Relationship Id="rId36" Type="http://schemas.openxmlformats.org/officeDocument/2006/relationships/hyperlink" Target="https://www.sec.gov/Archives/edgar/data/0001818331/000162828022011605/exhibit31-closing8xk.htm" TargetMode="External"/><Relationship Id="rId37" Type="http://schemas.openxmlformats.org/officeDocument/2006/relationships/hyperlink" Target="https://www.sec.gov/Archives/edgar/data/1818331/000162828021014760/exhibit32-super8xk.htm" TargetMode="External"/><Relationship Id="rId38" Type="http://schemas.openxmlformats.org/officeDocument/2006/relationships/hyperlink" Target="https://www.sec.gov/Archives/edgar/data/1818331/000121390020023383/fs12020a1ex4-3_cmlifesci.htm" TargetMode="External"/><Relationship Id="rId39" Type="http://schemas.openxmlformats.org/officeDocument/2006/relationships/hyperlink" Target="https://www.sec.gov/Archives/edgar/data/1818331/000121390020025454/ea126481ex10-1_cmlif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2022-08-26T18:12:32Z</dcterms:created>
  <dcterms:modified xsi:type="dcterms:W3CDTF">2022-08-26T18:12:32Z</dcterms:modified>
</cp:coreProperties>
</file>