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321945</wp:posOffset>
            </wp:positionV>
            <wp:extent cx="69088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8800" cy="76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16" w:lineRule="exact"/>
        <w:rPr>
          <w:sz w:val="24"/>
          <w:szCs w:val="24"/>
          <w:color w:val="auto"/>
        </w:rPr>
      </w:pPr>
    </w:p>
    <w:p>
      <w:pPr>
        <w:ind w:left="2320" w:hanging="1013"/>
        <w:spacing w:after="0"/>
        <w:tabs>
          <w:tab w:leader="none" w:pos="23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ANNUAL REPORT PURSUANT TO SECTION 13 OR 15(d) OF THE</w:t>
      </w:r>
    </w:p>
    <w:p>
      <w:pPr>
        <w:spacing w:after="0" w:line="37" w:lineRule="exact"/>
        <w:rPr>
          <w:rFonts w:ascii="Wingdings" w:cs="Wingdings" w:eastAsia="Wingdings" w:hAnsi="Wingdings"/>
          <w:sz w:val="18"/>
          <w:szCs w:val="18"/>
          <w:b w:val="1"/>
          <w:bCs w:val="1"/>
          <w:color w:val="auto"/>
        </w:rPr>
      </w:pPr>
    </w:p>
    <w:p>
      <w:pPr>
        <w:ind w:left="3640"/>
        <w:spacing w:after="0"/>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SECURITIES EXCHANGE ACT OF 1934</w:t>
      </w:r>
    </w:p>
    <w:p>
      <w:pPr>
        <w:spacing w:after="0" w:line="18" w:lineRule="exact"/>
        <w:rPr>
          <w:rFonts w:ascii="Wingdings" w:cs="Wingdings" w:eastAsia="Wingdings" w:hAnsi="Wingdings"/>
          <w:sz w:val="18"/>
          <w:szCs w:val="18"/>
          <w:b w:val="1"/>
          <w:bCs w:val="1"/>
          <w:color w:val="auto"/>
        </w:rPr>
      </w:pPr>
    </w:p>
    <w:p>
      <w:pPr>
        <w:ind w:left="3760"/>
        <w:spacing w:after="0"/>
        <w:rPr>
          <w:rFonts w:ascii="Wingdings" w:cs="Wingdings" w:eastAsia="Wingdings" w:hAnsi="Wingdings"/>
          <w:sz w:val="18"/>
          <w:szCs w:val="18"/>
          <w:b w:val="1"/>
          <w:bCs w:val="1"/>
          <w:color w:val="auto"/>
        </w:rPr>
      </w:pPr>
      <w:r>
        <w:rPr>
          <w:rFonts w:ascii="Times New Roman" w:cs="Times New Roman" w:eastAsia="Times New Roman" w:hAnsi="Times New Roman"/>
          <w:sz w:val="20"/>
          <w:szCs w:val="20"/>
          <w:b w:val="1"/>
          <w:bCs w:val="1"/>
          <w:color w:val="auto"/>
        </w:rPr>
        <w:t>For the fiscal year ended December 31, 2023</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16" w:lineRule="exact"/>
        <w:rPr>
          <w:sz w:val="24"/>
          <w:szCs w:val="24"/>
          <w:color w:val="auto"/>
        </w:rPr>
      </w:pPr>
    </w:p>
    <w:p>
      <w:pPr>
        <w:ind w:left="2080" w:hanging="767"/>
        <w:spacing w:after="0"/>
        <w:tabs>
          <w:tab w:leader="none" w:pos="2080" w:val="left"/>
        </w:tabs>
        <w:numPr>
          <w:ilvl w:val="0"/>
          <w:numId w:val="2"/>
        </w:numPr>
        <w:rPr>
          <w:rFonts w:ascii="Wingdings" w:cs="Wingdings" w:eastAsia="Wingdings" w:hAnsi="Wingdings"/>
          <w:sz w:val="19"/>
          <w:szCs w:val="19"/>
          <w:b w:val="1"/>
          <w:bCs w:val="1"/>
          <w:color w:val="auto"/>
        </w:rPr>
      </w:pPr>
      <w:r>
        <w:rPr>
          <w:rFonts w:ascii="Times New Roman" w:cs="Times New Roman" w:eastAsia="Times New Roman" w:hAnsi="Times New Roman"/>
          <w:sz w:val="21"/>
          <w:szCs w:val="21"/>
          <w:b w:val="1"/>
          <w:bCs w:val="1"/>
          <w:color w:val="auto"/>
        </w:rPr>
        <w:t>TRANSITION REPORT PURSUANT TO SECTION 13 OR 15(d) OF THE</w:t>
      </w:r>
    </w:p>
    <w:p>
      <w:pPr>
        <w:spacing w:after="0" w:line="48" w:lineRule="exact"/>
        <w:rPr>
          <w:rFonts w:ascii="Wingdings" w:cs="Wingdings" w:eastAsia="Wingdings" w:hAnsi="Wingdings"/>
          <w:sz w:val="19"/>
          <w:szCs w:val="19"/>
          <w:b w:val="1"/>
          <w:bCs w:val="1"/>
          <w:color w:val="auto"/>
        </w:rPr>
      </w:pPr>
    </w:p>
    <w:p>
      <w:pPr>
        <w:ind w:left="3640"/>
        <w:spacing w:after="0"/>
        <w:rPr>
          <w:rFonts w:ascii="Wingdings" w:cs="Wingdings" w:eastAsia="Wingdings" w:hAnsi="Wingdings"/>
          <w:sz w:val="19"/>
          <w:szCs w:val="19"/>
          <w:b w:val="1"/>
          <w:bCs w:val="1"/>
          <w:color w:val="auto"/>
        </w:rPr>
      </w:pPr>
      <w:r>
        <w:rPr>
          <w:rFonts w:ascii="Times New Roman" w:cs="Times New Roman" w:eastAsia="Times New Roman" w:hAnsi="Times New Roman"/>
          <w:sz w:val="22"/>
          <w:szCs w:val="22"/>
          <w:b w:val="1"/>
          <w:bCs w:val="1"/>
          <w:color w:val="auto"/>
        </w:rPr>
        <w:t>SECURITIES EXCHANGE ACT OF 1934</w:t>
      </w:r>
    </w:p>
    <w:p>
      <w:pPr>
        <w:spacing w:after="0" w:line="1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 to _______</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50165</wp:posOffset>
            </wp:positionV>
            <wp:extent cx="1600200" cy="554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200" cy="554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35" w:lineRule="exact"/>
        <w:rPr>
          <w:sz w:val="24"/>
          <w:szCs w:val="24"/>
          <w:color w:val="auto"/>
        </w:rPr>
      </w:pPr>
    </w:p>
    <w:p>
      <w:pPr>
        <w:ind w:left="2520"/>
        <w:spacing w:after="0"/>
        <w:tabs>
          <w:tab w:leader="none" w:pos="7380" w:val="left"/>
        </w:tabs>
        <w:rPr>
          <w:sz w:val="20"/>
          <w:szCs w:val="20"/>
          <w:color w:val="auto"/>
        </w:rPr>
      </w:pPr>
      <w:r>
        <w:rPr>
          <w:rFonts w:ascii="Times New Roman" w:cs="Times New Roman" w:eastAsia="Times New Roman" w:hAnsi="Times New Roman"/>
          <w:sz w:val="20"/>
          <w:szCs w:val="20"/>
          <w:b w:val="1"/>
          <w:bCs w:val="1"/>
          <w:color w:val="auto"/>
        </w:rPr>
        <w:t>Delaware</w:t>
      </w:r>
      <w:r>
        <w:rPr>
          <w:sz w:val="20"/>
          <w:szCs w:val="20"/>
          <w:color w:val="auto"/>
        </w:rPr>
        <w:tab/>
      </w:r>
      <w:r>
        <w:rPr>
          <w:rFonts w:ascii="Times New Roman" w:cs="Times New Roman" w:eastAsia="Times New Roman" w:hAnsi="Times New Roman"/>
          <w:sz w:val="20"/>
          <w:szCs w:val="20"/>
          <w:b w:val="1"/>
          <w:bCs w:val="1"/>
          <w:color w:val="auto"/>
        </w:rPr>
        <w:t>85-1966622</w:t>
      </w:r>
    </w:p>
    <w:p>
      <w:pPr>
        <w:sectPr>
          <w:pgSz w:w="12240" w:h="15840" w:orient="portrait"/>
          <w:cols w:equalWidth="0" w:num="1">
            <w:col w:w="10800"/>
          </w:cols>
          <w:pgMar w:left="720" w:top="208" w:right="720" w:bottom="1001" w:gutter="0" w:footer="0" w:header="0"/>
        </w:sectPr>
      </w:pPr>
    </w:p>
    <w:p>
      <w:pPr>
        <w:spacing w:after="0" w:line="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9"/>
          <w:szCs w:val="19"/>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134" w:lineRule="exact"/>
        <w:rPr>
          <w:sz w:val="24"/>
          <w:szCs w:val="24"/>
          <w:color w:val="auto"/>
        </w:rPr>
      </w:pPr>
    </w:p>
    <w:p>
      <w:pPr>
        <w:sectPr>
          <w:pgSz w:w="12240" w:h="15840" w:orient="portrait"/>
          <w:cols w:equalWidth="0" w:num="2">
            <w:col w:w="5720" w:space="720"/>
            <w:col w:w="4360"/>
          </w:cols>
          <w:pgMar w:left="720" w:top="208" w:right="720" w:bottom="1001"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b w:val="1"/>
          <w:bCs w:val="1"/>
          <w:color w:val="auto"/>
        </w:rPr>
        <w:t>333 Ludlow Street, North Tower, 6th Floor</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Stamford, Connecticut 06902</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18"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(888) 729-1206</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5260" w:type="dxa"/>
            <w:vAlign w:val="bottom"/>
          </w:tcPr>
          <w:p>
            <w:pPr>
              <w:ind w:left="1880"/>
              <w:spacing w:after="0"/>
              <w:rPr>
                <w:sz w:val="20"/>
                <w:szCs w:val="20"/>
                <w:color w:val="auto"/>
              </w:rPr>
            </w:pPr>
            <w:r>
              <w:rPr>
                <w:rFonts w:ascii="Times New Roman" w:cs="Times New Roman" w:eastAsia="Times New Roman" w:hAnsi="Times New Roman"/>
                <w:sz w:val="20"/>
                <w:szCs w:val="20"/>
                <w:b w:val="1"/>
                <w:bCs w:val="1"/>
                <w:color w:val="auto"/>
              </w:rPr>
              <w:t>Title of each class</w:t>
            </w:r>
          </w:p>
        </w:tc>
        <w:tc>
          <w:tcPr>
            <w:tcW w:w="6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Trading Symbol</w:t>
            </w:r>
          </w:p>
        </w:tc>
        <w:tc>
          <w:tcPr>
            <w:tcW w:w="60" w:type="dxa"/>
            <w:vAlign w:val="bottom"/>
          </w:tcPr>
          <w:p>
            <w:pPr>
              <w:spacing w:after="0"/>
              <w:rPr>
                <w:sz w:val="22"/>
                <w:szCs w:val="22"/>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each exchange on which registered</w:t>
            </w:r>
          </w:p>
        </w:tc>
      </w:tr>
      <w:tr>
        <w:trPr>
          <w:trHeight w:val="27"/>
        </w:trPr>
        <w:tc>
          <w:tcPr>
            <w:tcW w:w="5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60"/>
        </w:trPr>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tc>
        <w:tc>
          <w:tcPr>
            <w:tcW w:w="6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WGS</w:t>
            </w:r>
          </w:p>
        </w:tc>
        <w:tc>
          <w:tcPr>
            <w:tcW w:w="60" w:type="dxa"/>
            <w:vAlign w:val="bottom"/>
          </w:tcPr>
          <w:p>
            <w:pPr>
              <w:spacing w:after="0"/>
              <w:rPr>
                <w:sz w:val="22"/>
                <w:szCs w:val="22"/>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r>
      <w:tr>
        <w:trPr>
          <w:trHeight w:val="206"/>
        </w:trPr>
        <w:tc>
          <w:tcPr>
            <w:tcW w:w="5260" w:type="dxa"/>
            <w:vAlign w:val="bottom"/>
          </w:tcPr>
          <w:p>
            <w:pPr>
              <w:ind w:left="60"/>
              <w:spacing w:after="0" w:line="206" w:lineRule="exact"/>
              <w:rPr>
                <w:sz w:val="20"/>
                <w:szCs w:val="20"/>
                <w:color w:val="auto"/>
              </w:rPr>
            </w:pPr>
            <w:r>
              <w:rPr>
                <w:rFonts w:ascii="Times New Roman" w:cs="Times New Roman" w:eastAsia="Times New Roman" w:hAnsi="Times New Roman"/>
                <w:sz w:val="20"/>
                <w:szCs w:val="20"/>
                <w:color w:val="auto"/>
              </w:rPr>
              <w:t>Warrants to purchase one share of Class A common stock,</w:t>
            </w:r>
          </w:p>
        </w:tc>
        <w:tc>
          <w:tcPr>
            <w:tcW w:w="60" w:type="dxa"/>
            <w:vAlign w:val="bottom"/>
          </w:tcPr>
          <w:p>
            <w:pPr>
              <w:spacing w:after="0"/>
              <w:rPr>
                <w:sz w:val="17"/>
                <w:szCs w:val="17"/>
                <w:color w:val="auto"/>
              </w:rPr>
            </w:pPr>
          </w:p>
        </w:tc>
        <w:tc>
          <w:tcPr>
            <w:tcW w:w="1520" w:type="dxa"/>
            <w:vAlign w:val="bottom"/>
          </w:tcPr>
          <w:p>
            <w:pPr>
              <w:jc w:val="center"/>
              <w:spacing w:after="0" w:line="206" w:lineRule="exact"/>
              <w:rPr>
                <w:sz w:val="20"/>
                <w:szCs w:val="20"/>
                <w:color w:val="auto"/>
              </w:rPr>
            </w:pPr>
            <w:r>
              <w:rPr>
                <w:rFonts w:ascii="Times New Roman" w:cs="Times New Roman" w:eastAsia="Times New Roman" w:hAnsi="Times New Roman"/>
                <w:sz w:val="20"/>
                <w:szCs w:val="20"/>
                <w:color w:val="auto"/>
                <w:w w:val="99"/>
              </w:rPr>
              <w:t>WGSWW</w:t>
            </w:r>
          </w:p>
        </w:tc>
        <w:tc>
          <w:tcPr>
            <w:tcW w:w="60" w:type="dxa"/>
            <w:vAlign w:val="bottom"/>
          </w:tcPr>
          <w:p>
            <w:pPr>
              <w:spacing w:after="0"/>
              <w:rPr>
                <w:sz w:val="17"/>
                <w:szCs w:val="17"/>
                <w:color w:val="auto"/>
              </w:rPr>
            </w:pPr>
          </w:p>
        </w:tc>
        <w:tc>
          <w:tcPr>
            <w:tcW w:w="3900" w:type="dxa"/>
            <w:vAlign w:val="bottom"/>
          </w:tcPr>
          <w:p>
            <w:pPr>
              <w:jc w:val="center"/>
              <w:spacing w:after="0" w:line="206" w:lineRule="exact"/>
              <w:rPr>
                <w:sz w:val="20"/>
                <w:szCs w:val="20"/>
                <w:color w:val="auto"/>
              </w:rPr>
            </w:pPr>
            <w:r>
              <w:rPr>
                <w:rFonts w:ascii="Times New Roman" w:cs="Times New Roman" w:eastAsia="Times New Roman" w:hAnsi="Times New Roman"/>
                <w:sz w:val="20"/>
                <w:szCs w:val="20"/>
                <w:color w:val="auto"/>
                <w:w w:val="99"/>
              </w:rPr>
              <w:t>The Nasdaq Stock Market LLC</w:t>
            </w:r>
          </w:p>
        </w:tc>
      </w:tr>
      <w:tr>
        <w:trPr>
          <w:trHeight w:val="260"/>
        </w:trPr>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each at an exercise price of $379.50 per share</w:t>
            </w:r>
          </w:p>
        </w:tc>
        <w:tc>
          <w:tcPr>
            <w:tcW w:w="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900" w:type="dxa"/>
            <w:vAlign w:val="bottom"/>
          </w:tcPr>
          <w:p>
            <w:pPr>
              <w:spacing w:after="0"/>
              <w:rPr>
                <w:sz w:val="22"/>
                <w:szCs w:val="22"/>
                <w:color w:val="auto"/>
              </w:rPr>
            </w:pPr>
          </w:p>
        </w:tc>
      </w:tr>
    </w:tbl>
    <w:p>
      <w:pPr>
        <w:spacing w:after="0" w:line="2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0"/>
          <w:szCs w:val="20"/>
          <w:color w:val="auto"/>
        </w:rPr>
        <w:t xml:space="preserve">Securities registered pursuant to section 12(g) of the Act: </w:t>
      </w:r>
      <w:r>
        <w:rPr>
          <w:rFonts w:ascii="Times New Roman" w:cs="Times New Roman" w:eastAsia="Times New Roman" w:hAnsi="Times New Roman"/>
          <w:sz w:val="20"/>
          <w:szCs w:val="20"/>
          <w:b w:val="1"/>
          <w:bCs w:val="1"/>
          <w:color w:val="auto"/>
        </w:rPr>
        <w:t>None</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5"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12"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ectPr>
          <w:pgSz w:w="12240" w:h="15840" w:orient="portrait"/>
          <w:cols w:equalWidth="0" w:num="1">
            <w:col w:w="10800"/>
          </w:cols>
          <w:pgMar w:left="720" w:top="208" w:right="720" w:bottom="100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880" w:type="dxa"/>
            <w:vAlign w:val="bottom"/>
          </w:tcPr>
          <w:p>
            <w:pPr>
              <w:ind w:left="600"/>
              <w:spacing w:after="0"/>
              <w:rPr>
                <w:sz w:val="20"/>
                <w:szCs w:val="20"/>
                <w:color w:val="auto"/>
              </w:rPr>
            </w:pPr>
            <w:r>
              <w:rPr>
                <w:rFonts w:ascii="Wingdings" w:cs="Wingdings" w:eastAsia="Wingdings" w:hAnsi="Wingdings"/>
                <w:sz w:val="20"/>
                <w:szCs w:val="20"/>
                <w:b w:val="1"/>
                <w:bCs w:val="1"/>
                <w:color w:val="auto"/>
              </w:rPr>
              <w:t>o</w:t>
            </w:r>
          </w:p>
        </w:tc>
        <w:tc>
          <w:tcPr>
            <w:tcW w:w="37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Accelerated filer</w:t>
            </w:r>
          </w:p>
        </w:tc>
        <w:tc>
          <w:tcPr>
            <w:tcW w:w="620" w:type="dxa"/>
            <w:vAlign w:val="bottom"/>
          </w:tcPr>
          <w:p>
            <w:pPr>
              <w:ind w:left="420"/>
              <w:spacing w:after="0"/>
              <w:rPr>
                <w:sz w:val="20"/>
                <w:szCs w:val="20"/>
                <w:color w:val="auto"/>
              </w:rPr>
            </w:pPr>
            <w:r>
              <w:rPr>
                <w:rFonts w:ascii="Wingdings" w:cs="Wingdings" w:eastAsia="Wingdings" w:hAnsi="Wingdings"/>
                <w:sz w:val="20"/>
                <w:szCs w:val="20"/>
                <w:b w:val="1"/>
                <w:bCs w:val="1"/>
                <w:color w:val="auto"/>
                <w:w w:val="84"/>
              </w:rPr>
              <w:t>x</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188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620" w:type="dxa"/>
            <w:vAlign w:val="bottom"/>
          </w:tcPr>
          <w:p>
            <w:pPr>
              <w:ind w:left="420"/>
              <w:spacing w:after="0"/>
              <w:rPr>
                <w:sz w:val="20"/>
                <w:szCs w:val="20"/>
                <w:color w:val="auto"/>
              </w:rPr>
            </w:pPr>
            <w:r>
              <w:rPr>
                <w:rFonts w:ascii="Wingdings" w:cs="Wingdings" w:eastAsia="Wingdings" w:hAnsi="Wingdings"/>
                <w:sz w:val="18"/>
                <w:szCs w:val="18"/>
                <w:b w:val="1"/>
                <w:bCs w:val="1"/>
                <w:color w:val="auto"/>
                <w:w w:val="94"/>
              </w:rPr>
              <w:t>x</w:t>
            </w:r>
          </w:p>
        </w:tc>
      </w:tr>
      <w:tr>
        <w:trPr>
          <w:trHeight w:val="270"/>
        </w:trPr>
        <w:tc>
          <w:tcPr>
            <w:tcW w:w="2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7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Emerging growth company</w:t>
            </w:r>
          </w:p>
        </w:tc>
        <w:tc>
          <w:tcPr>
            <w:tcW w:w="620" w:type="dxa"/>
            <w:vAlign w:val="bottom"/>
          </w:tcPr>
          <w:p>
            <w:pPr>
              <w:ind w:left="42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7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b w:val="1"/>
          <w:bCs w:val="1"/>
          <w:color w:val="auto"/>
        </w:rPr>
        <w:t>o</w:t>
      </w:r>
    </w:p>
    <w:p>
      <w:pPr>
        <w:spacing w:after="0" w:line="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7252(b)) by the registered public accounting firm that prepared or issued its audit report. </w:t>
      </w:r>
      <w:r>
        <w:rPr>
          <w:rFonts w:ascii="Wingdings" w:cs="Wingdings" w:eastAsia="Wingdings" w:hAnsi="Wingdings"/>
          <w:sz w:val="20"/>
          <w:szCs w:val="20"/>
          <w:b w:val="1"/>
          <w:bCs w:val="1"/>
          <w:color w:val="auto"/>
        </w:rPr>
        <w:t>o</w:t>
      </w:r>
    </w:p>
    <w:p>
      <w:pPr>
        <w:spacing w:after="0" w:line="52"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20"/>
          <w:szCs w:val="20"/>
          <w:b w:val="1"/>
          <w:bCs w:val="1"/>
          <w:color w:val="auto"/>
        </w:rPr>
        <w:t>☐</w:t>
      </w:r>
    </w:p>
    <w:p>
      <w:pPr>
        <w:spacing w:after="0" w:line="143"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20"/>
          <w:szCs w:val="20"/>
          <w:b w:val="1"/>
          <w:bCs w:val="1"/>
          <w:color w:val="auto"/>
        </w:rPr>
        <w:t>ﬃ</w:t>
      </w:r>
      <w:r>
        <w:rPr>
          <w:rFonts w:ascii="Times New Roman" w:cs="Times New Roman" w:eastAsia="Times New Roman" w:hAnsi="Times New Roman"/>
          <w:sz w:val="20"/>
          <w:szCs w:val="20"/>
          <w:color w:val="auto"/>
        </w:rPr>
        <w:t xml:space="preserve">cers during the relevant recovery period pursuant to §240.10D-1(b). </w:t>
      </w:r>
      <w:r>
        <w:rPr>
          <w:rFonts w:ascii="Arial Unicode MS" w:cs="Arial Unicode MS" w:eastAsia="Arial Unicode MS" w:hAnsi="Arial Unicode MS"/>
          <w:sz w:val="20"/>
          <w:szCs w:val="20"/>
          <w:b w:val="1"/>
          <w:b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aggregate market value of voting common stock held by non-affiliates of the registrant (assuming for purposes of this calculation, without conceding, that all executive officers and directors are “affiliates”) was approximately $96 million as of June 30, 2023, based on the closing sale price of such stock as reported on the Nasdaq Global Select Market.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registrant had outstanding 26,053,551 shares of Class A common stock as of February 20, 2024.</w:t>
      </w:r>
    </w:p>
    <w:p>
      <w:pPr>
        <w:spacing w:after="0" w:line="1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Part III incorporates information by reference from the registrant’s definitive proxy statement to be filed with the Securities and Exchange Commission pursuant to Regulation 14A, not later than 120 days after the end of the fiscal year covered by this Annual Report on Form 10-K, in connection with the registrant’s 2024 Annual Meeting of Stockholders (the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153670</wp:posOffset>
            </wp:positionV>
            <wp:extent cx="6908800" cy="76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8800" cy="76200"/>
                    </a:xfrm>
                    <a:prstGeom prst="rect">
                      <a:avLst/>
                    </a:prstGeom>
                    <a:noFill/>
                  </pic:spPr>
                </pic:pic>
              </a:graphicData>
            </a:graphic>
          </wp:anchor>
        </w:drawing>
      </w:r>
    </w:p>
    <w:p>
      <w:pPr>
        <w:sectPr>
          <w:pgSz w:w="12240" w:h="15840" w:orient="portrait"/>
          <w:cols w:equalWidth="0" w:num="1">
            <w:col w:w="10800"/>
          </w:cols>
          <w:pgMar w:left="720" w:top="208" w:right="72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22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0"/>
        </w:trPr>
        <w:tc>
          <w:tcPr>
            <w:tcW w:w="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gridSpan w:val="12"/>
          </w:tcPr>
          <w:p>
            <w:pPr>
              <w:ind w:left="5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916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Cautionary Note Regarding Forward Looking Statements</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4</w:t>
            </w:r>
          </w:p>
        </w:tc>
        <w:tc>
          <w:tcPr>
            <w:tcW w:w="0" w:type="dxa"/>
            <w:vAlign w:val="bottom"/>
          </w:tcPr>
          <w:p>
            <w:pPr>
              <w:spacing w:after="0"/>
              <w:rPr>
                <w:sz w:val="1"/>
                <w:szCs w:val="1"/>
                <w:color w:val="auto"/>
              </w:rPr>
            </w:pPr>
          </w:p>
        </w:tc>
      </w:tr>
      <w:tr>
        <w:trPr>
          <w:trHeight w:val="593"/>
        </w:trPr>
        <w:tc>
          <w:tcPr>
            <w:tcW w:w="60" w:type="dxa"/>
            <w:vAlign w:val="bottom"/>
          </w:tcPr>
          <w:p>
            <w:pPr>
              <w:spacing w:after="0"/>
              <w:rPr>
                <w:sz w:val="24"/>
                <w:szCs w:val="24"/>
                <w:color w:val="auto"/>
              </w:rPr>
            </w:pPr>
          </w:p>
        </w:tc>
        <w:tc>
          <w:tcPr>
            <w:tcW w:w="45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458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Borders>
              <w:bottom w:val="single" w:sz="8" w:color="0000FF"/>
            </w:tcBorders>
            <w:gridSpan w:val="4"/>
          </w:tcPr>
          <w:p>
            <w:pPr>
              <w:spacing w:after="0" w:line="201" w:lineRule="exact"/>
              <w:rPr>
                <w:sz w:val="20"/>
                <w:szCs w:val="20"/>
                <w:color w:val="auto"/>
              </w:rPr>
            </w:pPr>
            <w:r>
              <w:rPr>
                <w:rFonts w:ascii="Times New Roman" w:cs="Times New Roman" w:eastAsia="Times New Roman" w:hAnsi="Times New Roman"/>
                <w:sz w:val="20"/>
                <w:szCs w:val="20"/>
                <w:color w:val="0000FF"/>
                <w:w w:val="97"/>
              </w:rPr>
              <w:t>Item 1. Business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center"/>
              <w:ind w:left="280"/>
              <w:spacing w:after="0" w:line="221" w:lineRule="exact"/>
              <w:rPr>
                <w:sz w:val="20"/>
                <w:szCs w:val="20"/>
                <w:color w:val="auto"/>
              </w:rPr>
            </w:pPr>
            <w:r>
              <w:rPr>
                <w:rFonts w:ascii="Times New Roman" w:cs="Times New Roman" w:eastAsia="Times New Roman" w:hAnsi="Times New Roman"/>
                <w:sz w:val="20"/>
                <w:szCs w:val="20"/>
                <w:color w:val="auto"/>
                <w:w w:val="99"/>
              </w:rPr>
              <w:t>5</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Item 1A. Risk Factors</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20</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Item 1B. Unresolved Staff Comments</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57</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Item 1C. Cybersecurity</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57</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Item 2. Properties</w:t>
            </w:r>
          </w:p>
        </w:tc>
        <w:tc>
          <w:tcPr>
            <w:tcW w:w="68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58</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Item 3. Legal Proceedings</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58</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Item 4. Mine Safety Disclosures</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58</w:t>
            </w:r>
          </w:p>
        </w:tc>
        <w:tc>
          <w:tcPr>
            <w:tcW w:w="0" w:type="dxa"/>
            <w:vAlign w:val="bottom"/>
          </w:tcPr>
          <w:p>
            <w:pPr>
              <w:spacing w:after="0"/>
              <w:rPr>
                <w:sz w:val="1"/>
                <w:szCs w:val="1"/>
                <w:color w:val="auto"/>
              </w:rPr>
            </w:pPr>
          </w:p>
        </w:tc>
      </w:tr>
      <w:tr>
        <w:trPr>
          <w:trHeight w:val="614"/>
        </w:trPr>
        <w:tc>
          <w:tcPr>
            <w:tcW w:w="60" w:type="dxa"/>
            <w:vAlign w:val="bottom"/>
          </w:tcPr>
          <w:p>
            <w:pPr>
              <w:spacing w:after="0"/>
              <w:rPr>
                <w:sz w:val="24"/>
                <w:szCs w:val="24"/>
                <w:color w:val="auto"/>
              </w:rPr>
            </w:pPr>
          </w:p>
        </w:tc>
        <w:tc>
          <w:tcPr>
            <w:tcW w:w="9160" w:type="dxa"/>
            <w:vAlign w:val="bottom"/>
            <w:gridSpan w:val="28"/>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0" w:type="dxa"/>
            <w:vAlign w:val="bottom"/>
            <w:gridSpan w:val="27"/>
          </w:tcPr>
          <w:p>
            <w:pPr>
              <w:spacing w:after="0" w:line="221" w:lineRule="exact"/>
              <w:rPr>
                <w:sz w:val="20"/>
                <w:szCs w:val="20"/>
                <w:color w:val="auto"/>
              </w:rPr>
            </w:pPr>
            <w:r>
              <w:rPr>
                <w:rFonts w:ascii="Times New Roman" w:cs="Times New Roman" w:eastAsia="Times New Roman" w:hAnsi="Times New Roman"/>
                <w:sz w:val="20"/>
                <w:szCs w:val="20"/>
                <w:color w:val="0000FF"/>
              </w:rPr>
              <w:t>Item 5. Market for Registrant's Common Equity, Related Stockholder Matters and Issuer Purchases of Equity</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Borders>
              <w:top w:val="single" w:sz="8" w:color="0000FF"/>
              <w:bottom w:val="single" w:sz="8" w:color="0000FF"/>
            </w:tcBorders>
          </w:tcPr>
          <w:p>
            <w:pPr>
              <w:spacing w:after="0" w:line="194" w:lineRule="exact"/>
              <w:rPr>
                <w:sz w:val="20"/>
                <w:szCs w:val="20"/>
                <w:color w:val="auto"/>
              </w:rPr>
            </w:pPr>
            <w:r>
              <w:rPr>
                <w:rFonts w:ascii="Times New Roman" w:cs="Times New Roman" w:eastAsia="Times New Roman" w:hAnsi="Times New Roman"/>
                <w:sz w:val="20"/>
                <w:szCs w:val="20"/>
                <w:color w:val="0000FF"/>
                <w:w w:val="96"/>
              </w:rPr>
              <w:t>Securities</w:t>
            </w:r>
          </w:p>
        </w:tc>
        <w:tc>
          <w:tcPr>
            <w:tcW w:w="6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340" w:type="dxa"/>
            <w:vAlign w:val="bottom"/>
            <w:tcBorders>
              <w:top w:val="single" w:sz="8" w:color="0000FF"/>
              <w:bottom w:val="single" w:sz="8" w:color="0000FF"/>
            </w:tcBorders>
            <w:gridSpan w:val="2"/>
          </w:tcPr>
          <w:p>
            <w:pPr>
              <w:spacing w:after="0"/>
              <w:rPr>
                <w:sz w:val="17"/>
                <w:szCs w:val="17"/>
                <w:color w:val="auto"/>
              </w:rPr>
            </w:pPr>
          </w:p>
        </w:tc>
        <w:tc>
          <w:tcPr>
            <w:tcW w:w="840" w:type="dxa"/>
            <w:vAlign w:val="bottom"/>
            <w:tcBorders>
              <w:top w:val="single" w:sz="8" w:color="0000FF"/>
              <w:bottom w:val="single" w:sz="8" w:color="0000FF"/>
            </w:tcBorders>
            <w:gridSpan w:val="5"/>
            <w:vMerge w:val="restart"/>
          </w:tcPr>
          <w:p>
            <w:pPr>
              <w:spacing w:after="0"/>
              <w:rPr>
                <w:sz w:val="17"/>
                <w:szCs w:val="17"/>
                <w:color w:val="auto"/>
              </w:rPr>
            </w:pPr>
          </w:p>
        </w:tc>
        <w:tc>
          <w:tcPr>
            <w:tcW w:w="240" w:type="dxa"/>
            <w:vAlign w:val="bottom"/>
            <w:tcBorders>
              <w:top w:val="single" w:sz="8" w:color="0000FF"/>
              <w:bottom w:val="single" w:sz="8" w:color="0000FF"/>
            </w:tcBorders>
            <w:vMerge w:val="restart"/>
          </w:tcPr>
          <w:p>
            <w:pPr>
              <w:spacing w:after="0"/>
              <w:rPr>
                <w:sz w:val="17"/>
                <w:szCs w:val="17"/>
                <w:color w:val="auto"/>
              </w:rPr>
            </w:pPr>
          </w:p>
        </w:tc>
        <w:tc>
          <w:tcPr>
            <w:tcW w:w="280" w:type="dxa"/>
            <w:vAlign w:val="bottom"/>
            <w:tcBorders>
              <w:top w:val="single" w:sz="8" w:color="0000FF"/>
              <w:bottom w:val="single" w:sz="8" w:color="0000FF"/>
            </w:tcBorders>
            <w:gridSpan w:val="2"/>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1160" w:type="dxa"/>
            <w:vAlign w:val="bottom"/>
            <w:tcBorders>
              <w:top w:val="single" w:sz="8" w:color="0000FF"/>
              <w:bottom w:val="single" w:sz="8" w:color="0000FF"/>
            </w:tcBorders>
            <w:gridSpan w:val="2"/>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380" w:type="dxa"/>
            <w:vAlign w:val="bottom"/>
            <w:tcBorders>
              <w:top w:val="single" w:sz="8" w:color="0000FF"/>
              <w:bottom w:val="single" w:sz="8" w:color="0000FF"/>
            </w:tcBorders>
            <w:gridSpan w:val="2"/>
            <w:vMerge w:val="restart"/>
          </w:tcPr>
          <w:p>
            <w:pPr>
              <w:spacing w:after="0"/>
              <w:rPr>
                <w:sz w:val="17"/>
                <w:szCs w:val="17"/>
                <w:color w:val="auto"/>
              </w:rPr>
            </w:pPr>
          </w:p>
        </w:tc>
        <w:tc>
          <w:tcPr>
            <w:tcW w:w="960" w:type="dxa"/>
            <w:vAlign w:val="bottom"/>
            <w:tcBorders>
              <w:top w:val="single" w:sz="8" w:color="0000FF"/>
              <w:bottom w:val="single" w:sz="8" w:color="0000FF"/>
            </w:tcBorders>
            <w:vMerge w:val="restart"/>
          </w:tcPr>
          <w:p>
            <w:pPr>
              <w:spacing w:after="0"/>
              <w:rPr>
                <w:sz w:val="17"/>
                <w:szCs w:val="17"/>
                <w:color w:val="auto"/>
              </w:rPr>
            </w:pPr>
          </w:p>
        </w:tc>
        <w:tc>
          <w:tcPr>
            <w:tcW w:w="340" w:type="dxa"/>
            <w:vAlign w:val="bottom"/>
            <w:tcBorders>
              <w:top w:val="single" w:sz="8" w:color="0000FF"/>
              <w:bottom w:val="single" w:sz="8" w:color="0000FF"/>
            </w:tcBorders>
            <w:vMerge w:val="restart"/>
          </w:tcPr>
          <w:p>
            <w:pPr>
              <w:spacing w:after="0"/>
              <w:rPr>
                <w:sz w:val="17"/>
                <w:szCs w:val="17"/>
                <w:color w:val="auto"/>
              </w:rPr>
            </w:pPr>
          </w:p>
        </w:tc>
        <w:tc>
          <w:tcPr>
            <w:tcW w:w="580" w:type="dxa"/>
            <w:vAlign w:val="bottom"/>
            <w:tcBorders>
              <w:top w:val="single" w:sz="8" w:color="0000FF"/>
              <w:bottom w:val="single" w:sz="8" w:color="0000FF"/>
            </w:tcBorders>
            <w:vMerge w:val="restart"/>
          </w:tcPr>
          <w:p>
            <w:pPr>
              <w:spacing w:after="0"/>
              <w:rPr>
                <w:sz w:val="17"/>
                <w:szCs w:val="17"/>
                <w:color w:val="auto"/>
              </w:rPr>
            </w:pPr>
          </w:p>
        </w:tc>
        <w:tc>
          <w:tcPr>
            <w:tcW w:w="580" w:type="dxa"/>
            <w:vAlign w:val="bottom"/>
            <w:tcBorders>
              <w:top w:val="single" w:sz="8" w:color="0000FF"/>
              <w:bottom w:val="single" w:sz="8" w:color="0000FF"/>
            </w:tcBorders>
            <w:vMerge w:val="restart"/>
          </w:tcPr>
          <w:p>
            <w:pPr>
              <w:spacing w:after="0"/>
              <w:rPr>
                <w:sz w:val="17"/>
                <w:szCs w:val="17"/>
                <w:color w:val="auto"/>
              </w:rPr>
            </w:pPr>
          </w:p>
        </w:tc>
        <w:tc>
          <w:tcPr>
            <w:tcW w:w="1000" w:type="dxa"/>
            <w:vAlign w:val="bottom"/>
            <w:tcBorders>
              <w:top w:val="single" w:sz="8" w:color="0000FF"/>
              <w:bottom w:val="single" w:sz="8" w:color="0000FF"/>
            </w:tcBorders>
            <w:vMerge w:val="restart"/>
          </w:tcPr>
          <w:p>
            <w:pPr>
              <w:spacing w:after="0"/>
              <w:rPr>
                <w:sz w:val="17"/>
                <w:szCs w:val="17"/>
                <w:color w:val="auto"/>
              </w:rPr>
            </w:pPr>
          </w:p>
        </w:tc>
        <w:tc>
          <w:tcPr>
            <w:tcW w:w="160" w:type="dxa"/>
            <w:vAlign w:val="bottom"/>
            <w:tcBorders>
              <w:top w:val="single" w:sz="8" w:color="0000FF"/>
              <w:bottom w:val="single" w:sz="8" w:color="0000FF"/>
            </w:tcBorders>
            <w:vMerge w:val="restart"/>
          </w:tcPr>
          <w:p>
            <w:pPr>
              <w:spacing w:after="0"/>
              <w:rPr>
                <w:sz w:val="17"/>
                <w:szCs w:val="17"/>
                <w:color w:val="auto"/>
              </w:rPr>
            </w:pPr>
          </w:p>
        </w:tc>
        <w:tc>
          <w:tcPr>
            <w:tcW w:w="86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vMerge w:val="restart"/>
          </w:tcPr>
          <w:p>
            <w:pPr>
              <w:jc w:val="center"/>
              <w:ind w:left="300"/>
              <w:spacing w:after="0"/>
              <w:rPr>
                <w:sz w:val="20"/>
                <w:szCs w:val="20"/>
                <w:color w:val="auto"/>
              </w:rPr>
            </w:pPr>
            <w:r>
              <w:rPr>
                <w:rFonts w:ascii="Times New Roman" w:cs="Times New Roman" w:eastAsia="Times New Roman" w:hAnsi="Times New Roman"/>
                <w:sz w:val="20"/>
                <w:szCs w:val="20"/>
                <w:color w:val="auto"/>
                <w:w w:val="99"/>
              </w:rPr>
              <w:t>59</w:t>
            </w: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0000FF"/>
                <w:w w:val="98"/>
              </w:rPr>
              <w:t>Item 6. Reserved</w:t>
            </w:r>
          </w:p>
        </w:tc>
        <w:tc>
          <w:tcPr>
            <w:tcW w:w="840" w:type="dxa"/>
            <w:vAlign w:val="bottom"/>
            <w:gridSpan w:val="5"/>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Borders>
              <w:bottom w:val="single" w:sz="8" w:color="0000FF"/>
            </w:tcBorders>
            <w:gridSpan w:val="5"/>
            <w:vMerge w:val="continue"/>
          </w:tcPr>
          <w:p>
            <w:pPr>
              <w:spacing w:after="0"/>
              <w:rPr>
                <w:sz w:val="19"/>
                <w:szCs w:val="19"/>
                <w:color w:val="auto"/>
              </w:rPr>
            </w:pPr>
          </w:p>
        </w:tc>
        <w:tc>
          <w:tcPr>
            <w:tcW w:w="840" w:type="dxa"/>
            <w:vAlign w:val="bottom"/>
            <w:gridSpan w:val="5"/>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800" w:type="dxa"/>
            <w:vAlign w:val="bottom"/>
          </w:tcPr>
          <w:p>
            <w:pPr>
              <w:jc w:val="center"/>
              <w:ind w:left="300"/>
              <w:spacing w:after="0" w:line="221" w:lineRule="exact"/>
              <w:rPr>
                <w:sz w:val="20"/>
                <w:szCs w:val="20"/>
                <w:color w:val="auto"/>
              </w:rPr>
            </w:pPr>
            <w:r>
              <w:rPr>
                <w:rFonts w:ascii="Times New Roman" w:cs="Times New Roman" w:eastAsia="Times New Roman" w:hAnsi="Times New Roman"/>
                <w:sz w:val="20"/>
                <w:szCs w:val="20"/>
                <w:color w:val="auto"/>
                <w:w w:val="99"/>
              </w:rPr>
              <w:t>59</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7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9"/>
              </w:rPr>
              <w:t>Item 7. Management's Discussion and Analysis of Financial Condition and Results of Operations</w:t>
            </w:r>
          </w:p>
        </w:tc>
        <w:tc>
          <w:tcPr>
            <w:tcW w:w="160" w:type="dxa"/>
            <w:vAlign w:val="bottom"/>
          </w:tcPr>
          <w:p>
            <w:pPr>
              <w:spacing w:after="0"/>
              <w:rPr>
                <w:sz w:val="23"/>
                <w:szCs w:val="23"/>
                <w:color w:val="auto"/>
              </w:rPr>
            </w:pPr>
          </w:p>
        </w:tc>
        <w:tc>
          <w:tcPr>
            <w:tcW w:w="880" w:type="dxa"/>
            <w:vAlign w:val="bottom"/>
            <w:gridSpan w:val="2"/>
          </w:tcPr>
          <w:p>
            <w:pPr>
              <w:spacing w:after="0"/>
              <w:rPr>
                <w:sz w:val="23"/>
                <w:szCs w:val="23"/>
                <w:color w:val="auto"/>
              </w:rPr>
            </w:pP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60</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9"/>
              </w:rPr>
              <w:t>Item 7A. Quantitative and Qualitative Disclosures About Market Risk</w:t>
            </w: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880" w:type="dxa"/>
            <w:vAlign w:val="bottom"/>
            <w:gridSpan w:val="2"/>
          </w:tcPr>
          <w:p>
            <w:pPr>
              <w:spacing w:after="0"/>
              <w:rPr>
                <w:sz w:val="23"/>
                <w:szCs w:val="23"/>
                <w:color w:val="auto"/>
              </w:rPr>
            </w:pP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9"/>
              </w:rPr>
              <w:t>Item 8. Financial Statements and Supplementary Data</w:t>
            </w:r>
          </w:p>
        </w:tc>
        <w:tc>
          <w:tcPr>
            <w:tcW w:w="960" w:type="dxa"/>
            <w:vAlign w:val="bottom"/>
          </w:tcPr>
          <w:p>
            <w:pPr>
              <w:spacing w:after="0"/>
              <w:rPr>
                <w:sz w:val="23"/>
                <w:szCs w:val="23"/>
                <w:color w:val="auto"/>
              </w:rPr>
            </w:pPr>
          </w:p>
        </w:tc>
        <w:tc>
          <w:tcPr>
            <w:tcW w:w="92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880" w:type="dxa"/>
            <w:vAlign w:val="bottom"/>
            <w:gridSpan w:val="2"/>
          </w:tcPr>
          <w:p>
            <w:pPr>
              <w:spacing w:after="0"/>
              <w:rPr>
                <w:sz w:val="23"/>
                <w:szCs w:val="23"/>
                <w:color w:val="auto"/>
              </w:rPr>
            </w:pP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9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9"/>
              </w:rPr>
              <w:t>Item 9. Changes in and Disagreements With Accountants on Accounting and Financial Disclosures</w:t>
            </w:r>
          </w:p>
        </w:tc>
        <w:tc>
          <w:tcPr>
            <w:tcW w:w="880" w:type="dxa"/>
            <w:vAlign w:val="bottom"/>
            <w:gridSpan w:val="2"/>
          </w:tcPr>
          <w:p>
            <w:pPr>
              <w:spacing w:after="0"/>
              <w:rPr>
                <w:sz w:val="23"/>
                <w:szCs w:val="23"/>
                <w:color w:val="auto"/>
              </w:rPr>
            </w:pP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107</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Item 9A. Controls and Procedures</w:t>
            </w: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3"/>
                <w:szCs w:val="23"/>
                <w:color w:val="auto"/>
              </w:rPr>
            </w:pPr>
          </w:p>
        </w:tc>
        <w:tc>
          <w:tcPr>
            <w:tcW w:w="92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2040" w:type="dxa"/>
            <w:vAlign w:val="bottom"/>
            <w:gridSpan w:val="4"/>
          </w:tcPr>
          <w:p>
            <w:pPr>
              <w:spacing w:after="0"/>
              <w:rPr>
                <w:sz w:val="23"/>
                <w:szCs w:val="23"/>
                <w:color w:val="auto"/>
              </w:rPr>
            </w:pP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107</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Item 9B. Other Information</w:t>
            </w:r>
          </w:p>
        </w:tc>
        <w:tc>
          <w:tcPr>
            <w:tcW w:w="24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118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3"/>
                <w:szCs w:val="23"/>
                <w:color w:val="auto"/>
              </w:rPr>
            </w:pPr>
          </w:p>
        </w:tc>
        <w:tc>
          <w:tcPr>
            <w:tcW w:w="92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2040" w:type="dxa"/>
            <w:vAlign w:val="bottom"/>
            <w:gridSpan w:val="4"/>
          </w:tcPr>
          <w:p>
            <w:pPr>
              <w:spacing w:after="0"/>
              <w:rPr>
                <w:sz w:val="23"/>
                <w:szCs w:val="23"/>
                <w:color w:val="auto"/>
              </w:rPr>
            </w:pP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109</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1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Item 9C. Disclosure Regarding Foreign Jurisdictions that Prevent Inspections</w:t>
            </w:r>
          </w:p>
        </w:tc>
        <w:tc>
          <w:tcPr>
            <w:tcW w:w="580" w:type="dxa"/>
            <w:vAlign w:val="bottom"/>
          </w:tcPr>
          <w:p>
            <w:pPr>
              <w:spacing w:after="0"/>
              <w:rPr>
                <w:sz w:val="23"/>
                <w:szCs w:val="23"/>
                <w:color w:val="auto"/>
              </w:rPr>
            </w:pPr>
          </w:p>
        </w:tc>
        <w:tc>
          <w:tcPr>
            <w:tcW w:w="2040" w:type="dxa"/>
            <w:vAlign w:val="bottom"/>
            <w:gridSpan w:val="4"/>
          </w:tcPr>
          <w:p>
            <w:pPr>
              <w:spacing w:after="0"/>
              <w:rPr>
                <w:sz w:val="23"/>
                <w:szCs w:val="23"/>
                <w:color w:val="auto"/>
              </w:rPr>
            </w:pP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109</w:t>
            </w:r>
          </w:p>
        </w:tc>
        <w:tc>
          <w:tcPr>
            <w:tcW w:w="0" w:type="dxa"/>
            <w:vAlign w:val="bottom"/>
          </w:tcPr>
          <w:p>
            <w:pPr>
              <w:spacing w:after="0"/>
              <w:rPr>
                <w:sz w:val="1"/>
                <w:szCs w:val="1"/>
                <w:color w:val="auto"/>
              </w:rPr>
            </w:pPr>
          </w:p>
        </w:tc>
      </w:tr>
      <w:tr>
        <w:trPr>
          <w:trHeight w:val="614"/>
        </w:trPr>
        <w:tc>
          <w:tcPr>
            <w:tcW w:w="60" w:type="dxa"/>
            <w:vAlign w:val="bottom"/>
          </w:tcPr>
          <w:p>
            <w:pPr>
              <w:spacing w:after="0"/>
              <w:rPr>
                <w:sz w:val="24"/>
                <w:szCs w:val="24"/>
                <w:color w:val="auto"/>
              </w:rPr>
            </w:pPr>
          </w:p>
        </w:tc>
        <w:tc>
          <w:tcPr>
            <w:tcW w:w="9160" w:type="dxa"/>
            <w:vAlign w:val="bottom"/>
            <w:gridSpan w:val="28"/>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60" w:type="dxa"/>
            <w:vAlign w:val="bottom"/>
            <w:tcBorders>
              <w:bottom w:val="single" w:sz="8" w:color="0000FF"/>
            </w:tcBorders>
            <w:gridSpan w:val="20"/>
          </w:tcPr>
          <w:p>
            <w:pPr>
              <w:spacing w:after="0" w:line="201" w:lineRule="exact"/>
              <w:rPr>
                <w:sz w:val="20"/>
                <w:szCs w:val="20"/>
                <w:color w:val="auto"/>
              </w:rPr>
            </w:pPr>
            <w:r>
              <w:rPr>
                <w:rFonts w:ascii="Times New Roman" w:cs="Times New Roman" w:eastAsia="Times New Roman" w:hAnsi="Times New Roman"/>
                <w:sz w:val="20"/>
                <w:szCs w:val="20"/>
                <w:color w:val="0000FF"/>
                <w:w w:val="99"/>
              </w:rPr>
              <w:t>Item 10. Directors, Executive Officers and Corporate Governance</w:t>
            </w:r>
          </w:p>
        </w:tc>
        <w:tc>
          <w:tcPr>
            <w:tcW w:w="1500" w:type="dxa"/>
            <w:vAlign w:val="bottom"/>
            <w:gridSpan w:val="3"/>
          </w:tcPr>
          <w:p>
            <w:pPr>
              <w:spacing w:after="0"/>
              <w:rPr>
                <w:sz w:val="19"/>
                <w:szCs w:val="19"/>
                <w:color w:val="auto"/>
              </w:rPr>
            </w:pPr>
          </w:p>
        </w:tc>
        <w:tc>
          <w:tcPr>
            <w:tcW w:w="2040" w:type="dxa"/>
            <w:vAlign w:val="bottom"/>
            <w:gridSpan w:val="4"/>
          </w:tcPr>
          <w:p>
            <w:pPr>
              <w:spacing w:after="0"/>
              <w:rPr>
                <w:sz w:val="19"/>
                <w:szCs w:val="19"/>
                <w:color w:val="auto"/>
              </w:rPr>
            </w:pPr>
          </w:p>
        </w:tc>
        <w:tc>
          <w:tcPr>
            <w:tcW w:w="800" w:type="dxa"/>
            <w:vAlign w:val="bottom"/>
          </w:tcPr>
          <w:p>
            <w:pPr>
              <w:jc w:val="center"/>
              <w:ind w:left="280"/>
              <w:spacing w:after="0" w:line="221" w:lineRule="exact"/>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Item 11. Executive Compensation</w:t>
            </w:r>
          </w:p>
        </w:tc>
        <w:tc>
          <w:tcPr>
            <w:tcW w:w="118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c>
          <w:tcPr>
            <w:tcW w:w="2840" w:type="dxa"/>
            <w:vAlign w:val="bottom"/>
            <w:gridSpan w:val="6"/>
          </w:tcPr>
          <w:p>
            <w:pPr>
              <w:spacing w:after="0"/>
              <w:rPr>
                <w:sz w:val="23"/>
                <w:szCs w:val="23"/>
                <w:color w:val="auto"/>
              </w:rPr>
            </w:pPr>
          </w:p>
        </w:tc>
        <w:tc>
          <w:tcPr>
            <w:tcW w:w="2040" w:type="dxa"/>
            <w:vAlign w:val="bottom"/>
            <w:gridSpan w:val="4"/>
          </w:tcPr>
          <w:p>
            <w:pPr>
              <w:spacing w:after="0"/>
              <w:rPr>
                <w:sz w:val="23"/>
                <w:szCs w:val="23"/>
                <w:color w:val="auto"/>
              </w:rPr>
            </w:pP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w w:val="99"/>
              </w:rPr>
              <w:t>Item 12. Security Ownership of Certain Beneficial Owners and Management and Related Stockholder Matters</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7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w w:val="99"/>
              </w:rPr>
              <w:t>Item 13. Certain Relationships and Related Transactions, and Director Independence</w:t>
            </w:r>
          </w:p>
        </w:tc>
        <w:tc>
          <w:tcPr>
            <w:tcW w:w="2040" w:type="dxa"/>
            <w:vAlign w:val="bottom"/>
            <w:gridSpan w:val="4"/>
          </w:tcPr>
          <w:p>
            <w:pPr>
              <w:spacing w:after="0"/>
              <w:rPr>
                <w:sz w:val="23"/>
                <w:szCs w:val="23"/>
                <w:color w:val="auto"/>
              </w:rPr>
            </w:pP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Item 14. Principal Accounting Fees and Services</w:t>
            </w:r>
          </w:p>
        </w:tc>
        <w:tc>
          <w:tcPr>
            <w:tcW w:w="20" w:type="dxa"/>
            <w:vAlign w:val="bottom"/>
          </w:tcPr>
          <w:p>
            <w:pPr>
              <w:spacing w:after="0"/>
              <w:rPr>
                <w:sz w:val="23"/>
                <w:szCs w:val="23"/>
                <w:color w:val="auto"/>
              </w:rPr>
            </w:pPr>
          </w:p>
        </w:tc>
        <w:tc>
          <w:tcPr>
            <w:tcW w:w="4880" w:type="dxa"/>
            <w:vAlign w:val="bottom"/>
            <w:gridSpan w:val="10"/>
          </w:tcPr>
          <w:p>
            <w:pPr>
              <w:spacing w:after="0"/>
              <w:rPr>
                <w:sz w:val="23"/>
                <w:szCs w:val="23"/>
                <w:color w:val="auto"/>
              </w:rPr>
            </w:pP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110</w:t>
            </w:r>
          </w:p>
        </w:tc>
        <w:tc>
          <w:tcPr>
            <w:tcW w:w="0" w:type="dxa"/>
            <w:vAlign w:val="bottom"/>
          </w:tcPr>
          <w:p>
            <w:pPr>
              <w:spacing w:after="0"/>
              <w:rPr>
                <w:sz w:val="1"/>
                <w:szCs w:val="1"/>
                <w:color w:val="auto"/>
              </w:rPr>
            </w:pPr>
          </w:p>
        </w:tc>
      </w:tr>
      <w:tr>
        <w:trPr>
          <w:trHeight w:val="614"/>
        </w:trPr>
        <w:tc>
          <w:tcPr>
            <w:tcW w:w="60" w:type="dxa"/>
            <w:vAlign w:val="bottom"/>
          </w:tcPr>
          <w:p>
            <w:pPr>
              <w:spacing w:after="0"/>
              <w:rPr>
                <w:sz w:val="24"/>
                <w:szCs w:val="24"/>
                <w:color w:val="auto"/>
              </w:rPr>
            </w:pPr>
          </w:p>
        </w:tc>
        <w:tc>
          <w:tcPr>
            <w:tcW w:w="9160" w:type="dxa"/>
            <w:vAlign w:val="bottom"/>
            <w:gridSpan w:val="28"/>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tcBorders>
              <w:bottom w:val="single" w:sz="8" w:color="0000FF"/>
            </w:tcBorders>
            <w:gridSpan w:val="17"/>
          </w:tcPr>
          <w:p>
            <w:pPr>
              <w:spacing w:after="0" w:line="201" w:lineRule="exact"/>
              <w:rPr>
                <w:sz w:val="20"/>
                <w:szCs w:val="20"/>
                <w:color w:val="auto"/>
              </w:rPr>
            </w:pPr>
            <w:r>
              <w:rPr>
                <w:rFonts w:ascii="Times New Roman" w:cs="Times New Roman" w:eastAsia="Times New Roman" w:hAnsi="Times New Roman"/>
                <w:sz w:val="20"/>
                <w:szCs w:val="20"/>
                <w:color w:val="0000FF"/>
                <w:w w:val="99"/>
              </w:rPr>
              <w:t>Item 15. Exhibits, Financial Statement Schedules</w:t>
            </w:r>
          </w:p>
        </w:tc>
        <w:tc>
          <w:tcPr>
            <w:tcW w:w="4880" w:type="dxa"/>
            <w:vAlign w:val="bottom"/>
            <w:gridSpan w:val="10"/>
          </w:tcPr>
          <w:p>
            <w:pPr>
              <w:spacing w:after="0"/>
              <w:rPr>
                <w:sz w:val="19"/>
                <w:szCs w:val="19"/>
                <w:color w:val="auto"/>
              </w:rPr>
            </w:pPr>
          </w:p>
        </w:tc>
        <w:tc>
          <w:tcPr>
            <w:tcW w:w="800" w:type="dxa"/>
            <w:vAlign w:val="bottom"/>
          </w:tcPr>
          <w:p>
            <w:pPr>
              <w:jc w:val="center"/>
              <w:ind w:left="280"/>
              <w:spacing w:after="0" w:line="221" w:lineRule="exact"/>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9"/>
              </w:rPr>
              <w:t>Item 16. Form 10-K Summary</w:t>
            </w:r>
          </w:p>
        </w:tc>
        <w:tc>
          <w:tcPr>
            <w:tcW w:w="6360" w:type="dxa"/>
            <w:vAlign w:val="bottom"/>
            <w:gridSpan w:val="16"/>
          </w:tcPr>
          <w:p>
            <w:pPr>
              <w:spacing w:after="0"/>
              <w:rPr>
                <w:sz w:val="23"/>
                <w:szCs w:val="23"/>
                <w:color w:val="auto"/>
              </w:rPr>
            </w:pP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114</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Signatures</w:t>
            </w:r>
          </w:p>
        </w:tc>
        <w:tc>
          <w:tcPr>
            <w:tcW w:w="180" w:type="dxa"/>
            <w:vAlign w:val="bottom"/>
          </w:tcPr>
          <w:p>
            <w:pPr>
              <w:spacing w:after="0"/>
              <w:rPr>
                <w:sz w:val="23"/>
                <w:szCs w:val="23"/>
                <w:color w:val="auto"/>
              </w:rPr>
            </w:pPr>
          </w:p>
        </w:tc>
        <w:tc>
          <w:tcPr>
            <w:tcW w:w="7780" w:type="dxa"/>
            <w:vAlign w:val="bottom"/>
            <w:gridSpan w:val="24"/>
          </w:tcPr>
          <w:p>
            <w:pPr>
              <w:spacing w:after="0"/>
              <w:rPr>
                <w:sz w:val="23"/>
                <w:szCs w:val="23"/>
                <w:color w:val="auto"/>
              </w:rPr>
            </w:pP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115</w:t>
            </w:r>
          </w:p>
        </w:tc>
        <w:tc>
          <w:tcPr>
            <w:tcW w:w="0" w:type="dxa"/>
            <w:vAlign w:val="bottom"/>
          </w:tcPr>
          <w:p>
            <w:pPr>
              <w:spacing w:after="0"/>
              <w:rPr>
                <w:sz w:val="1"/>
                <w:szCs w:val="1"/>
                <w:color w:val="auto"/>
              </w:rPr>
            </w:pPr>
          </w:p>
        </w:tc>
      </w:tr>
    </w:tbl>
    <w:p>
      <w:pPr>
        <w:sectPr>
          <w:pgSz w:w="12240" w:h="15840" w:orient="portrait"/>
          <w:cols w:equalWidth="0" w:num="1">
            <w:col w:w="10020"/>
          </w:cols>
          <w:pgMar w:left="1080" w:top="195" w:right="11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48" w:lineRule="exact"/>
        <w:rPr>
          <w:sz w:val="20"/>
          <w:szCs w:val="20"/>
          <w:color w:val="auto"/>
        </w:rPr>
      </w:pPr>
    </w:p>
    <w:p>
      <w:pPr>
        <w:ind w:left="720" w:hanging="360"/>
        <w:spacing w:after="0" w:line="26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the sufficiency of our existing capital resources combined with future anticipated cash flows and future capital requirements to finance our operating requirements, and capital expenditures;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for generating revenue, incurring losses, and becoming profitable on a sustained basis;</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circumstances or other disruptions to normal business operations arising from general economic and political conditions such as recessions, rising inflation and interest rates, supply chain interruptions and manufacturing constraints, public health emergencies such as but not limited to the COVID-19 pandemic, natural disasters, acts of terrorism or other uncontrollable events;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implement our business strategy;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or ability to enter into service, collaboration and other partnership agreements;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or ability to build our own commercial infrastructure to scale, market and sell our products;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or authorizations by the U.S. Food and Drug Administration (the “FDA”), or other regulatory authorities;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governmental regulation and other legal obligations, including privacy, data protection, information security, consumer protection, and anti-corruption and anti-bribery;</w:t>
      </w: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intellectual property protection for our product candidates;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against existing and emerging technologies;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payor reimbursement and coverage decisions, negotiations and settlements;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third-party service providers for our data programs;</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accounting estimates and judgments, including our expectations regarding the adequacy of our reserves for third party payor claims, our estimates of the fair value of the second Milestone Payment (as defined below) related to the Acquisition (as defined below) and our conclusions regarding the appropriateness of the carrying value of intangible assets;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 price and its volatility;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key personnel.</w:t>
      </w:r>
    </w:p>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208" w:right="108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The description of our business and operations below reflect the exits from the somatic tumor testing and the reproductive and women’s health testing businesses during the fourth quarter of 2022 and the first quarter of 2023,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stated in this Annual Report or the context otherwise requires, references to:</w:t>
      </w:r>
    </w:p>
    <w:p>
      <w:pPr>
        <w:spacing w:after="0" w:line="190" w:lineRule="exact"/>
        <w:rPr>
          <w:sz w:val="20"/>
          <w:szCs w:val="20"/>
          <w:color w:val="auto"/>
        </w:rPr>
      </w:pPr>
    </w:p>
    <w:p>
      <w:pPr>
        <w:ind w:left="720" w:hanging="360"/>
        <w:spacing w:after="0" w:line="26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“GeneDx Holdings” refer to GeneDx Holdings Corp., a Delaware corporation (f/k/a Sema4 Holdings Corp. (“Sema4 Holdings”));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GeneDx” refer to GeneDx, LLC, a Delaware limited liability company (formerly, GeneDx, Inc., a New Jersey corporation), which we acquired on April 29, 2022 (the “Acquisition”);</w:t>
      </w:r>
    </w:p>
    <w:p>
      <w:pPr>
        <w:jc w:val="both"/>
        <w:ind w:left="720" w:hanging="360"/>
        <w:spacing w:after="0" w:line="25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Sema4” refer to Mount Sinai Genomics, Inc. d/b/a as Sema4, a Delaware corporation, which consummated the business combination with CM Life Sciences, Inc. (“CMLS”) on July 22, 2021 (the “Business Combination”); and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“us” and “our,” the “Company” and “GeneDx” refer, as the context requires, to:</w:t>
      </w:r>
    </w:p>
    <w:p>
      <w:pPr>
        <w:spacing w:after="0" w:line="10" w:lineRule="exact"/>
        <w:rPr>
          <w:rFonts w:ascii="Times New Roman" w:cs="Times New Roman" w:eastAsia="Times New Roman" w:hAnsi="Times New Roman"/>
          <w:sz w:val="20"/>
          <w:szCs w:val="20"/>
          <w:color w:val="auto"/>
        </w:rPr>
      </w:pPr>
    </w:p>
    <w:p>
      <w:pPr>
        <w:ind w:left="1440" w:hanging="360"/>
        <w:spacing w:after="0" w:line="250" w:lineRule="auto"/>
        <w:tabs>
          <w:tab w:leader="none" w:pos="144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Sema4 prior to the Business Combination, and GeneDx Holdings and its consolidated subsidiaries following the consummation of the Business Combination; and</w:t>
      </w:r>
    </w:p>
    <w:p>
      <w:pPr>
        <w:ind w:left="1440" w:hanging="360"/>
        <w:spacing w:after="0" w:line="250" w:lineRule="auto"/>
        <w:tabs>
          <w:tab w:leader="none" w:pos="144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GeneDx prior to the Acquisition, and GeneDx Holdings and its consolidated subsidiaries following the consummation of the Acquisition.</w:t>
      </w: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or “GeneDx” refer to (i) Legacy Sema4 prior to the consummation of the Business Combination; and</w:t>
      </w:r>
    </w:p>
    <w:p>
      <w:pPr>
        <w:spacing w:after="0" w:line="10" w:lineRule="exact"/>
        <w:rPr>
          <w:rFonts w:ascii="Times New Roman" w:cs="Times New Roman" w:eastAsia="Times New Roman" w:hAnsi="Times New Roman"/>
          <w:sz w:val="20"/>
          <w:szCs w:val="20"/>
          <w:color w:val="auto"/>
        </w:rPr>
      </w:pPr>
    </w:p>
    <w:p>
      <w:pPr>
        <w:ind w:left="720"/>
        <w:spacing w:after="0" w:line="260" w:lineRule="auto"/>
        <w:tabs>
          <w:tab w:leader="none" w:pos="104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GeneDx Holdings and its subsidiaries following the consummation of the Business Combination (including, following the consummation of the Acquisition, Legacy GeneDx).</w:t>
      </w:r>
    </w:p>
    <w:p>
      <w:pPr>
        <w:spacing w:after="0" w:line="14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On January 9, 2023, Sema4 Holdings Corp. changed its name to GeneDx Holdings Corp. The Company’s Class A common stock and public warrants are listed on the Nasdaq under the symbols “WGS” and “WGSWW,”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operate with conviction that what is best for patients must be embedded in every aspect of our work. In support of these beliefs, we value equitability, simplicity and transparency. Through this value system, we aim to deliver personalized and actionable health insights to inform diagnosis, direct treatment and improve drug discovery, bringing better health from genomics to patients around the world.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GeneDx sits at the intersection of diagnostics and data science, pairing decades of genomic expertise with an ability to interpret clinical data at scale. We believe we are well-positioned to accelerate the use of genomics to enable precision medicine as the standard of care. Our initial focus is in pediatric and rare diseases, two areas in which we believe we have competitive advantages and can deliver on our vision today.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More than 20 years later, we have amassed one of the world’s largest rare disease data sets and remain a leader in genomics.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Today, we are powered by our industry-leading genomic interpretation platform, and we believe exome and genome testing will become the standard for diagnosis of genetic disease, with the potential to transform healthcare and improve patients’ quality of life.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Targeted genetic tests and panel testing make up the vast majority of diagnostics tests ordered today. While panel testing can be immensely valuable, it has an increasing limitation as we move towards genetic-based healthcare. Panels only allow you to test for insights that physicians predefine based on symptoms, which can lead to inconclusive results and an inefficient process. It is hypothesis-based medicine based on symptoms that may overlap across diseases. We firmly believe that an affordable, scalable and actionable genome is the future of medicine. The barrier to having actionable information from a genomic sequence is significant—and not just due to costs, which are coming down. The less-discussed barrier to having actionable information lies in the ability to process a genome’s worth of information—quickly and scalably—and to deliver</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208" w:right="108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both a result that a clinician can easily act upon to help a patient and a robust dataset that enables clinicians to drive precise diagnosis and researchers to develop and advance therapeutics.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Most companies in today’s genetics industry are taking a test-by-test approach to cross the chasm from genetics early adopters to genome-guided healthcare in the mainstream market. We believe that driving clinician and patient awareness and influencing policy decisions may facilitate uptake within the industry. In addition, making genetics part of mainstream medicine requires advancing the technology to provide personalized and actionable health insights. It also requires having a robust, well-characterized dataset that can maximize answers and minimize unknowns to drive a new era of discovery.</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Exome and whole genome sequencing provide the broadest view into the genomic variant—we are looking comprehensively into over 20,000 genes, while panels look at anywhere from two to a few hundred genes. While most of the industry has focused on panels, we have focused on exome and whole genome developing structured gene-disease knowledge curated by our team of experts to power automated interpretation and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One Test</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genome is composed of 3 billion “letters”, or base pairs, of DNA. The exome is a portion of the genome that encodes proteins, which are involved in many different types of cellular functions. Changes in a genome or exome can change the way proteins are formed or utilized by the cell, potentially causing disease.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When patients present with complex issues, a genetic diagnosis may be available, but a traditional genetic panel test may be too narrow to identify the cause. Some genetic disorders present with very specific symptoms, so tests that read the “letters” of a single gene or a small panel of genes, may make sense for physicians to use in diagnosis. But for many other genetic diseases, patients can present with overlapping symptoms so finding the correct diagnosis is not always straightforward and may require multiple tests, costly evaluations, invasive procedures, and long hospital stays. Exome and genome sequencing can find different genetic alterations, or variants, that more targeted tests miss and are especially useful when the timing is critical to directing or altering medical management.</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color w:val="auto"/>
        </w:rPr>
        <w:t>With over 20 years of operation, GeneDx has a proven track record of expertise in genetic testing. We launched the industry’s first commercially available next generation sequencing panels in 2008, pioneered exome sequencing in 2012 and have sequenced over 500,000 exomes to date. We have performed over a million genetic tests and worked tirelessly to develop:</w:t>
      </w:r>
    </w:p>
    <w:p>
      <w:pPr>
        <w:spacing w:after="0" w:line="119"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curated database of disease-associated genomic variants;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Proprietary bioinformatics and variant interpretation pipelines;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Rapid exome and whole genome sequencing testing options.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status quo of genetic testing requires repeated and fragmented testing which, in many cases, is conducted too late for physicians to use in treatment of patients. Targeted genetic tests and panels have been largely commoditized leaving physicians, healthcare partners and patients searching for deeper answers and enhanced utility. The scalable exome and whole genome interpretation that we can deliver at speed do not require a long, complex, expensive, expert-guided search and may make most other genetic tests obsolete. In addition, using whole genome testing is incredibly simple: it’s designed to be Just One Test.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Advanced Technology with a Human Touch</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team includes approximately 250 genetic counselors, physicians, scientists, and clinical and molecular genomics specialists. We believe we are one of the industry’s leading genetic testing experts. We share the same goal as healthcare providers, patients, and families: to provide personalized and actionable health insights.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years of exome and genome sequencing experience have provided us with a substantial dataset, including over 2.7 million structured phenotypes with nearly 60% of all exomes to date processed as parent-child trios. We have invested resources over time to annotate the phenotypes and sequence the parents of patients, because their genetic sequences can often provide additional diagnostic information, potentially improving the precision of genetic analysis. In addition, the data from more families allows us to continually improve interpretation of genetic code and variants that may cause disease. We believe we have more expertly annotated disease-causing variants than the largest public archive.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Internally developed with over one million sequenced specimens, our database is designed to lead to increasingly reliable diagnostic test results. The structured gene-disease knowledge curated by our team of experts is powering automated interpretation and reporting built to handle genomic data at scale. Combined with our proprietary, state-of-the-art variant identification software, our ability to deliver highly accurate test results makes finding definitive diagnoses, even in complex cases, possible. Implemented with expert oversight, our advanced interpretation methods incorporate automation,</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208" w:right="108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bioinformatics, and cloud-based machine learning, enabling efficient discovery of genetic differences at previously undetectable levels.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the number of new patients we test grows, so does our database, as new data increases the potential for greater insights. As we capture more genomic and phenotypic data, we hope to fuel a positive feedback cycle of discovery that continuously delivers more value for patients, providers and healthcare partners.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Opportunity</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primary growth engine in the short term will be expanding our current market-leading exome sequencing capabilities in the outpatient setting, including geneticists, pediatric development specialists, and other pediatric specialists, as well as the in-patient setting, also referred to as Neonatal Intensive Care Units (“NICU”). As we plan for longer-term growth, we believe there is a large data partnership opportunity with biopharmaceutical (“biopharma”) companies, international testing opportunities, as well as a market to provide interpretation and information services for customers that sequence locally but look to GeneDx for analysis and interpretation.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believe we are particularly well-suited for helping rare disease and pediatric developmental disorder patients, their care teams and biopharma companies today. This is a large market with immense unmet medical need. There are nearly 7,000 individual diseases affecting nearly 10% of the total population in the United States, of which 50% are children. As a result, there are over 700 medicines in development for these diseases, with a regulatory pathway facilitated by the Orphan Drug Act of 1983. By providing the precise genetic diagnosis of patients with rare disease, our expertise and technology may provide researchers and biopharma companies with the information needed to develop and commercialize a new treatment for the disease.</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longer-term growth strategy is the expansion into whole genome testing for Adult Disorders and Newborn Screening, supported with the launch of a new customer experience platform for non-geneticists, patients and caregivers, and evidence generation to establish the clinical and economic benefits of screening.</w:t>
      </w:r>
    </w:p>
    <w:p>
      <w:pPr>
        <w:spacing w:after="0" w:line="1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By unlocking the value of the products, our knowledge base, network of relationships, and expertise, our team is well positioned to lead what we believe is a nearly $30 billion global market opportunity.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believe that the span and depth of our experience and dataset allows us to return more positive findings and thus clinical utility both immediately and over time through reanalysis. Importantly, we believe that we return fewer uncertain findings compared to public data sets, which makes our analysis easier to interpret outside of the medical genetics community.</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At the same time, we have improved quality and speed to delivery of exome and genome tests and have significantly lowered exome sequencing costs since 2013. Much of this decline was driven by reduced sequencing costs shared across the industry; however, we have reduced costs in the interpretation layer through accumulating data and experience, and we expect further decline in costs going forward.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Leveraging these capabilities, we aim to be the global market leader in the development and delivery of reliable, actionable, scalable exome and genome sequencing and interpretation and information services. Our strategy focuses on the following objectives:</w:t>
      </w:r>
    </w:p>
    <w:p>
      <w:pPr>
        <w:spacing w:after="0" w:line="135" w:lineRule="exact"/>
        <w:rPr>
          <w:sz w:val="20"/>
          <w:szCs w:val="20"/>
          <w:color w:val="auto"/>
        </w:rPr>
      </w:pPr>
    </w:p>
    <w:p>
      <w:pPr>
        <w:ind w:left="720" w:hanging="360"/>
        <w:spacing w:after="0" w:line="26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the utilization of exome and genome sequencing as the first- or second-tier test over most other genetically targeted tests by leveraging decades of earned trust amongst expert geneticists; and</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3"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the utilization of industry-leading exome and genome sequencing beyond the genetic experts into the non-expert setting, potentially creating a new standard of care which enables faster diagnoses, reduces suffering, and helps healthcare systems save money. In the near term, our principal target markets will be settings with the most vulnerable patients who can benefit the most including, but not limited to, NICU and patients with Pediatric Developmental Disorders.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achieve these objectives, we:</w:t>
      </w:r>
    </w:p>
    <w:p>
      <w:pPr>
        <w:spacing w:after="0" w:line="190" w:lineRule="exact"/>
        <w:rPr>
          <w:sz w:val="20"/>
          <w:szCs w:val="20"/>
          <w:color w:val="auto"/>
        </w:rPr>
      </w:pPr>
    </w:p>
    <w:p>
      <w:pPr>
        <w:jc w:val="both"/>
        <w:ind w:left="720" w:hanging="360"/>
        <w:spacing w:after="0" w:line="24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Deploy our team of approximately 70 field-based sales representatives and medical science liaisons, and plan to construct an industry-leading brand, product, marketing, communications and market access platform by leveraging decades of earned trust across the genetics community.</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Partner with leaders across health systems, manufacturers, commercial and governmental payors and advocacy groups. We aim to collaborate on programs to establish definitive clinical and economic case for broad use of genomic-guided medicine. Such programs will focus on:</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208" w:right="108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440" w:hanging="360"/>
        <w:spacing w:after="0"/>
        <w:tabs>
          <w:tab w:leader="none" w:pos="14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for rapid whole genome sequencing in the NICU and Pediatric Developmental Disorder settings;</w:t>
      </w:r>
    </w:p>
    <w:p>
      <w:pPr>
        <w:spacing w:after="0" w:line="30" w:lineRule="exact"/>
        <w:rPr>
          <w:rFonts w:ascii="Times New Roman" w:cs="Times New Roman" w:eastAsia="Times New Roman" w:hAnsi="Times New Roman"/>
          <w:sz w:val="20"/>
          <w:szCs w:val="20"/>
          <w:color w:val="auto"/>
        </w:rPr>
      </w:pPr>
    </w:p>
    <w:p>
      <w:pPr>
        <w:ind w:left="1440" w:hanging="360"/>
        <w:spacing w:after="0"/>
        <w:tabs>
          <w:tab w:leader="none" w:pos="14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diagnosis of disease and prevention of chronic conditions in adults; and</w:t>
      </w:r>
    </w:p>
    <w:p>
      <w:pPr>
        <w:spacing w:after="0" w:line="10" w:lineRule="exact"/>
        <w:rPr>
          <w:rFonts w:ascii="Times New Roman" w:cs="Times New Roman" w:eastAsia="Times New Roman" w:hAnsi="Times New Roman"/>
          <w:sz w:val="20"/>
          <w:szCs w:val="20"/>
          <w:color w:val="auto"/>
        </w:rPr>
      </w:pPr>
    </w:p>
    <w:p>
      <w:pPr>
        <w:ind w:left="1440" w:hanging="360"/>
        <w:spacing w:after="0"/>
        <w:tabs>
          <w:tab w:leader="none" w:pos="14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rapid whole genome sequencing for broad newborn screening.</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to open new markets and geographies and unlock the value of our dataset with independently scalable cloud-based interpretation and information service offerings. This will enable healthcare partners to incorporate genetics into clinical care by accessing our analysis and interpretation capabilities remotely while sequencing locally to reduce complexity, logistics cost and wait times, and align to local restrictions where applicable;</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to launch a new provider and patient experience with the eventual goal of providing lifelong access and portability of genomic information. At initial sequence, rapid results provide clinicians simple, actionable, easy to understand results for non-geneticists and tailored resources for patients and caregivers. On an ongoing basis, reanalysis unlocks a renewable source of insight, replacing any future germline screening. We will sequence once, and analyze for life.</w:t>
      </w:r>
    </w:p>
    <w:p>
      <w:pPr>
        <w:spacing w:after="0" w:line="2"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to optimize our services to become a solutions provider of choice for biopharma. Such solutions will focus on three value-added services:</w:t>
      </w:r>
    </w:p>
    <w:p>
      <w:pPr>
        <w:ind w:left="1440" w:hanging="360"/>
        <w:spacing w:after="0"/>
        <w:tabs>
          <w:tab w:leader="none" w:pos="14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FIND: Finding rare disease patients for clinical trial recruitment and/or delivery of targeted therapeutics.</w:t>
      </w:r>
    </w:p>
    <w:p>
      <w:pPr>
        <w:spacing w:after="0" w:line="10" w:lineRule="exact"/>
        <w:rPr>
          <w:rFonts w:ascii="Times New Roman" w:cs="Times New Roman" w:eastAsia="Times New Roman" w:hAnsi="Times New Roman"/>
          <w:sz w:val="20"/>
          <w:szCs w:val="20"/>
          <w:color w:val="auto"/>
        </w:rPr>
      </w:pPr>
    </w:p>
    <w:p>
      <w:pPr>
        <w:ind w:left="1440" w:hanging="360"/>
        <w:spacing w:after="0" w:line="250" w:lineRule="auto"/>
        <w:tabs>
          <w:tab w:leader="none" w:pos="14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UNDERSTAND: Supporting research and development for targeted therapies with analytic reports leveraging clinicogenomics data across multiple therapeutic areas with an initial emphasis in rare disease.</w:t>
      </w:r>
    </w:p>
    <w:p>
      <w:pPr>
        <w:ind w:left="1440" w:hanging="360"/>
        <w:spacing w:after="0" w:line="260" w:lineRule="auto"/>
        <w:tabs>
          <w:tab w:leader="none" w:pos="14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PLATFORM: In the long term, providing a therapeutic area agnostic platform to access to data, patients and insights for real world evidence and data to support end-to-end drug discovery pipeline.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research and development activities include information technology, product development, customer experience, medical affairs, collaborations and research. These activities are principally focused on our efforts to develop and improve the software we use to analyze data, process genomic test orders, deliver reports, and improve customer experience.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also participating in certain collaborative studies aimed to provide evidence of the clinical and economic benefit for exome and whole genome sequencing. Two such studies currently underway include the SeqFirst study—in collaboration with Seattle Children’s Hospital and University of Washington—which is designed to demonstrate the broad utility of rapid whole genome sequencing for critically ill newborns and, the Genomic Uniform-Screening Against Rare Diseases In All Newborns (“GUARDIAN”) study—in collaboration with New York-Presbyterian, Columbia University, New York State Department of Health and Illumina—which is designed to assess whole genome sequencing to screen newborns for more conditions than those currently included in standard newborn screening in the United States. The goals of these studies are to drive earlier diagnosis and treatment to improve the health of the newborns who participate in such studies, generate evidence to support the expansion of newborn screening through genomic sequencing, and characterize the prevalence and natural history of rare genetic conditions.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competitors include companies that offer molecular genetic testing and consulting services, including specialty and reference laboratories that offer traditional single- and multi-gene tests and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our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companies such as Baylor, Centogene, Exact Sciences, Rady Children’s Hospital as well as other commercial and academic labs.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 and Seasonality</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receive payment for our products and services from third-party payors, patients, business-to-business clients, and from other healthcare partners. Substantially all of our revenue for the year ended December 31, 2023 has been primarily derived from diagnostic test reports and we expect this trend to continue in the near-term. We expect over time to achieve a mix of revenue from diagnostic tests, data and information solutions, newborn screening products and information and interpretation services.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Less than 5% of our revenues today are derived from referral sources outside of the United States. We expect over time to increase rest of world revenue as knowledge and understanding of the benefits of exome and whole genome sequencing continue to expand.</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208" w:right="10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have historically experienced higher revenue in our fourth quarter compared to other quarters in our fiscal year due in part to seasonal demand of our tests from patients who have met their annual insurance deductible. However, changes in our product and payor mix might cause these historical seasonal patterns to be different than future patterns of revenue or financial performance.</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For information regarding our customer concentration in relation to certain of the Company’s third-party payors, see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in the notes to our consolidated financial statements. We have experienced incrementally less concentration among third-party payors following the exits from reproductive health and somatic tumor testing in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Suppliers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rely on a limited number of suppliers, including Illumina, Inc., Integrated DNA Technologies Incorporated, Agilent Technologies, Roche Holdings Ltd., QIAGEN, Inc. and Twist Biosciences, for certain laboratory reagents, as well as sequencers and other equipment and materials, which we use in our laboratory operations. Our operations could be interrupted if we encounter delays or difficulties in securing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operations, including sequencers and various associated reagents and enzymes. The use of equipment or materials provided by these replacement suppliers would require us to alter our operations. Transitioning to a new supplier would be time consuming and expensive, may result in interruptions in operations, could affect the performance specifications of our laboratory operations or could require that we revalidate our tests. We cannot be certain that we will be able to secure alternative equipment, reagents and other materials, or bring such equipment, reagents and materials online and revalidate them without experiencing interruptions in our workflow. If we encounter delays or difficulties in securing, reconfiguring or revalidating equipment and materials, our business and reputation could be adversely affected.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rely on a combination of intellectual property rights, including trade secrets, copyrights, trademarks, customary contractual protections to protect our core technology and intellectual property.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we have three pending U.S. non-provisional utility patent applications and one patent application pending in the European Patent Office. The utility patent applications include a U.S. patent application related to identifying cancer diagnosis from electronic health records using a cancer diagnosis analysis system, a U.S. patent application related to providing a homologous recombination DNA repair deficiency score for a cancer patient,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the early 2040s, subject to potential extensions of the patent term that will be calculated based on the length of the patent examination process. The claim scope of any potentially issued patents stemming from the present applications may be narrowed from initial filings due to any amendments that may arise throughout their prosecution.</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do not presently have any patents or patent applications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rely on trade secrets, including unpatented know-how, technology and other proprietary information, to maintain and develop our competitive position. 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208" w:right="108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valuable trade secrets relate to proprietary bioinformatic tools such as:</w:t>
      </w:r>
    </w:p>
    <w:p>
      <w:pPr>
        <w:spacing w:after="0" w:line="190" w:lineRule="exact"/>
        <w:rPr>
          <w:sz w:val="20"/>
          <w:szCs w:val="20"/>
          <w:color w:val="auto"/>
        </w:rPr>
      </w:pPr>
    </w:p>
    <w:p>
      <w:pPr>
        <w:ind w:left="720" w:hanging="36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 data processing methods and analytical pipelines for NGS, aCGH, MLPA, Sanger, and other genomic data, optimized and validated to the highest performance standards;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novel detection method to uncover notoriously difficult to detect sequence variants called mobile element insertions and partial-exon deletions; and</w:t>
      </w: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 variant analysis platforms built from the ground up for exome and genome-scale data interpretation.</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Although we take steps to protect our proprietary information and trade secrets, including through contractual means with our employees and consultants, these steps may be circumvented, or third parties may independently develop substantially equivalent proprietary information and techniques or otherwise gain access to our trade secrets or disclose our technology. Accordingly, we may not be able to meaningfully protect our trade secrets.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own or are applying for various trademarks, service marks, trade names, and product service names in the U.S and other commercially important markets. We intend to invest significant resources in the growth and protection of our reputation and trademarks. Our trademark portfolio is designed to protect the brands for our products and services, both current and in the pipeline.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aim to recruit, develop, and retain diverse, high-quality talent and are committed to creating a workplace that supports the success of its people by investing in their personal development and career growth. Our team of nearly 1,000 individuals are champions of not only our organization, but our patients, providers and partners.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values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values guide our interactions. Our model represents the interconnectedness of sometimes opposing values, where both are required to accomplish our mission. These values are:</w:t>
      </w:r>
    </w:p>
    <w:p>
      <w:pPr>
        <w:spacing w:after="0" w:line="121" w:lineRule="exact"/>
        <w:rPr>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Bravery &amp; Humility</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Openness &amp; Accountability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Equitability &amp; Integrity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Rigorous &amp; Efficient Development</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Simplicity &amp; Curiosity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color w:val="auto"/>
        </w:rPr>
        <w:t>We are committed to developing our workforce. Our talent development programs provide employees with the resources they need to achieve their career goals, build management skills and lead their teams. Managers coach and hold conversations with employees’ regarding their career and development plans, thereby staying true to our belief in accountability and openness.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Rewards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offer competitive compensation to attract and retain high quality talent, and we care for our people so they can focus on our mission. Our employees' total compensation package includes competitive salary, bonuses or sales incentives, equity and a 401(K) plan with matching opportunities. Equity participation is provided for certain positions because ownership in the company drives commitment to our long-term success. We provide programs including healthcare and insurance benefits, health savings and flexible spending accounts, paid time off, family leave, flexible work schedules, fertility, adoption and surrogacy assistance, employee assistance and wellness support, among many others.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business and the services (both current and in the pipeline) we provide are subject to and impacted by extensive and frequently changing laws and regulations in the United States (at both the federal and state levels) and internationally.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080" w:top="208" w:right="10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Laboratory Improvement Amendments of 1988 and State Regulation</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clinical laboratories must hold certain federal</w:t>
      </w:r>
      <w:r>
        <w:rPr>
          <w:rFonts w:ascii="Times New Roman" w:cs="Times New Roman" w:eastAsia="Times New Roman" w:hAnsi="Times New Roman"/>
          <w:sz w:val="20"/>
          <w:szCs w:val="20"/>
          <w:color w:val="008080"/>
        </w:rPr>
        <w:t>,</w:t>
      </w:r>
      <w:r>
        <w:rPr>
          <w:rFonts w:ascii="Times New Roman" w:cs="Times New Roman" w:eastAsia="Times New Roman" w:hAnsi="Times New Roman"/>
          <w:sz w:val="20"/>
          <w:szCs w:val="20"/>
          <w:color w:val="auto"/>
        </w:rPr>
        <w:t xml:space="preserve"> state and local licenses, certifications and permits to conduct our business. Laboratories in the United States that perform testing on human specimens for the purpose of providing information for the diagnosis, prevention, or treatment of disease or impairment, or the assessment of health are subject to the Clinical Laboratory Improvement Amendments of 1988, as amended, and its implementing regulations (“CLIA”). CLIA requires such laboratories to be certified by the federal government and mandates compliance with various operational, personnel, facilities administration, inspections, quality control, quality assessment and proficiency testing requirements intended to ensure that testing services are accurate, reliable and timely. CLIA certification also is a prerequisite to be eligible to bill state and federal health care programs, as well as many commercial third-party payors, for laboratory testing services. Our laboratory located in Gaithersburg, Maryland is CLIA certified to perform high complexity tests. Laboratories performing high complexity testing are required to meet more stringent requirements than laboratories performing less complex tests. The regulatory and compliance standards applicable to the testing we perform may change over time, and any such changes could have a material effect on our business.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condition of CLIA certification, our laboratory is subject to survey and inspection every two years to assess compliance with program standards, in addition to being subject to additional random inspections. The biennial survey is conducted by the Centers for Medicare &amp; Medicaid Services (“CMS”), a CMS agent (typically a state agency), or a CMS-approved accreditation organization. Our Gaithersburg laboratory has been accredited by the College of American Pathologists (“CAP”), which means that our laboratory has been certified as following CAP guidelines in operating the laboratory and in performing tests that ensure the quality of our results. Because our laboratory is accredited by CAP, which is a CMS-approved accreditation organization, CMS does not perform these biennial surveys and inspections and relies on our CAP surveys and inspections. We may also be subject to additional unannounced inspections.</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CLIA provides that a state may adopt laboratory regulations that are not inconsistent with those under federal law, and a number of states have implemented their own (sometimes more stringent) laboratory regulatory requirements. CLIA does not preempt state laws that have established laboratory quality standards that are at least as stringent as the federal law requirements under CLIA. State laws may require that nonresident laboratories, or out-of-state laboratories, maintain a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We maintain state laboratory licenses for our Gaithersburg facility in Maryland, New York, California, Pennsylvania and Rhode Island. In addition to having a laboratory license in New York, our laboratory is also required to obtain approval on a test-specific basis for the tests it runs as laboratory developed tests (“LDTs”) by the New York Department of Health before specific testing is performed on samples from New York. If any states currently have or adopt similar licensure requirements in the future, we may be required to modify, delay or stop our operations in those states.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If a laboratory is out of compliance with state laws or regulations governing licensed laboratories or with CLIA, penalties may include suspension, limitation or revocation of the license or CLIA certificate, assessment of civil monetary penalties or fines, civil injunctive suit or criminal penalties. Failure to comply with CLIA could also result in a directed plan of correction and state on-site monitoring. Loss of a laboratory’s CLIA certificate or state license may also result in the inability to receive payments from state and federal health care programs as well as private third-party payors. We believe that we are in material compliance with CLIA and all applicable licensing laws and regulations.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CLIA and state laws and regulations, operating together, sometimes limit the ability of laboratories to offer consumer-initiated testing (also known as “direct access testing”). CLIA certified laboratories are permitted to perform testing only upon the order of an “authorized person,” defined as an individual authorized under state law to order tests or receive test results, or both. Many states do not permit persons other than licensed healthcare providers to order tests. We currently do not offer direct access testing and our CLIA tests may only be ordered by authorized healthcare providers.</w:t>
      </w:r>
    </w:p>
    <w:p>
      <w:pPr>
        <w:spacing w:after="0" w:line="135" w:lineRule="exact"/>
        <w:rPr>
          <w:sz w:val="20"/>
          <w:szCs w:val="20"/>
          <w:color w:val="auto"/>
        </w:rPr>
      </w:pPr>
    </w:p>
    <w:p>
      <w:pPr>
        <w:ind w:right="4180"/>
        <w:spacing w:after="0" w:line="443" w:lineRule="auto"/>
        <w:rPr>
          <w:sz w:val="20"/>
          <w:szCs w:val="20"/>
          <w:color w:val="auto"/>
        </w:rPr>
      </w:pPr>
      <w:r>
        <w:rPr>
          <w:rFonts w:ascii="Times New Roman" w:cs="Times New Roman" w:eastAsia="Times New Roman" w:hAnsi="Times New Roman"/>
          <w:sz w:val="20"/>
          <w:szCs w:val="20"/>
          <w:b w:val="1"/>
          <w:bCs w:val="1"/>
          <w:i w:val="1"/>
          <w:iCs w:val="1"/>
          <w:color w:val="auto"/>
        </w:rPr>
        <w:t>Diagnostic Products and FDA Oversight of Laboratory Developed Tests FDA Oversight of Laboratory Developed Tests</w:t>
      </w:r>
    </w:p>
    <w:p>
      <w:pPr>
        <w:jc w:val="both"/>
        <w:spacing w:after="0" w:line="256" w:lineRule="auto"/>
        <w:rPr>
          <w:sz w:val="20"/>
          <w:szCs w:val="20"/>
          <w:color w:val="auto"/>
        </w:rPr>
      </w:pPr>
      <w:r>
        <w:rPr>
          <w:rFonts w:ascii="Times New Roman" w:cs="Times New Roman" w:eastAsia="Times New Roman" w:hAnsi="Times New Roman"/>
          <w:sz w:val="20"/>
          <w:szCs w:val="20"/>
          <w:color w:val="auto"/>
        </w:rPr>
        <w:t>We provide our tests as LDTs. Under the FDA’s regulatory framework, in vitro diagnostic devices (IVDs)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that is certified under CLIA. Such LDT testing is primarily under the purview of CMS and state agencies that provide oversight over clinical laboratory operations. Although the FDA has taken the position that it has statutory authority to assure that medical devices, including certain LDTs, are safe and effective for their intended use, the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208" w:right="10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FDA has historically exercised enforcement discretion with respect to most LDTs and has not required laboratories that furnish LDTs to comply with the agency's requirements for medical devices (e.g., establishment registration, device listing, premarket clearance or approval, quality systems regulations, and post-market controls). In recent years, the FDA has stated it intends to end its policy of general enforcement discretion and regulate certain LDTs as medical devices. For example, in 2014 the FDA issued two draft guidance documents that set forth a proposed risk-based regulatory framework that would apply varying levels of FDA oversight to LDTs. These documents have not been finalized to date. Subsequently, in August 2020, the U.S. Department of Health and Human Services – the parent agency of the FDA – announced that the FDA will not require premarket review of LDTs absent notice-and-comment rulemaking, as opposed to through guidance documents and other informal issuances. In November 2021, the Biden Administration rescinded this policy. At this time, it is unclear when, or if, the FDA will finalize its plans to end enforcement discretion, and even then, the new regulatory requirements are expected to be phased-in over time. Nevertheless, the FDA may decide to regulate certain LDTs on a case-by-case basis at any time.</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Legislative proposals addressing the FDA's oversight of LDTs have also been introduced in previous Congresses, and we expect that new legislative proposals will be introduced from time- to- time. For example, versions of the Verifying Accurate Leading-edge IVCT Development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Federal Food, Drug, and Cosmetic Act (the “FDCA”) and establish a risk-based approach to imposing requirements related to premarket review, quality systems, and labeling requirements on all IVCTs, including LDTs, but a grandfathering provision would create exemptions from certain requirements for certain LDTs offered for clinical use within 45 days of enactment of the bill. The likelihood that Congress will pass such legislation and the extent to which such legislation may affect the FDA's plans to regulate certain LDTs as medical devices is difficult to predict at this time.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certain of our diagnostic products in development may be subject to regulation by the FDA and similar international health authorities. For these products, we would have an obligation to adhere to the FDA’s current Good Manufacturing Practices (“cGMP”)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 quality control practices, it may impose restrictions on marketing specific products until corrected. Regulation by governmental authorities in the U.S. and other countries may be a significant factor in how we develop, test, produce and market our diagnostic test products.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Practice of Medicine</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 or the professional through licensure proceedings.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208" w:right="10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Regulatory Requirements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to laws and regulations related to the protection of the environment, the health and safety of employees and the handling, transportation and disposal of regulated medical waste, hazardous waste and biohazardous waste, including chemical, biological agents and compounds, blood and bone marrow samples and other human tissue, and radioactive materials. For example, the U.S. Occupational Safety and Health Administration (“OSHA”) has established extensive requirements relating specifically to workplace safety for healthcare employers in the United States. For purposes of transportation, some biological materials and laboratory supplies are classified as hazardous materials and are subject to regulation by one or more of the following: the U.S. Department of Transportation, the U.S. Public Health Service, the U.S.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These vendors are licensed or otherwise qualified to handle and dispose of such wastes.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Healthcare Fraud &amp; Abuse Laws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Physician Self-Referral Prohibitions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to the federal physician self-referral prohibitions, commonly known as the Stark Law. These restrictions generally prohibit a physician who has (or whose immediate family member has) a financial relationship, such as an ownership or investment interest in or compensation arrangement with us, from making referrals for “designated health services”, including clinical laboratory services, if payment for the services may be made under Medicare. If such a financial relationship exists, referrals are prohibited unless a statutory or regulatory exception applies. The Stark Law also prohibits us from billing for any such prohibited referral. These prohibitions apply regardless of any intent by the parties to induce or reward referrals or the reasons for the financial relationship and the referral. Several Stark Law exceptions are relevant to many common financial relationships involving clinical laboratories and referring physicians and may be relied upon if all of the elements of the applicable exception are satisfied. Penalties for violating the Stark Law include the return of funds received for all prohibited referrals, fines, civil monetary penalties and possible exclusion from federal health care programs. In addition, violations of the Stark Law may also serve as the basis for liability under the federal False Claims Act (the “FCA”), which can result in additional civil and criminal penalties. Several states have enacted comparable self-referral laws which may be broader in scope and apply regardless of payor.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Anti-Kickback Laws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federal Anti-Kickback Statute (the “AKS”), makes it a felony for a person or entity, including a clinical laboratory, to, among other things, knowingly and willfully offer, pay, solicit or receive any remuneration, directly or indirectly, overtly or covertly, in cash or in kind, in order to induce or reward either the referral of an individual for, or the purchase, order or recommendation of, any good or service, for which payment may be made under federal health care programs.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payors or to state program payors. Penalties for violations of such laws include imprisonment and significant monetary fines and, in the case of the AKS, exclusion from federal health care programs.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conditions of an applicable exception or safe harbor, it is deemed not to violate the AKS. An arrangement must fully meet each condition of an applicable exception or safe harbor in order to qualify for protection. Failure to meet the conditions of a safe harbor, however, does not render an arrangement illegal. Rather, the government may evaluate such arrangements on a case-by-case basis, taking into account all facts and circumstances.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the federal Eliminating Kickbacks in Recovery Act (the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and certain other entities or in exchange for an individual using the services of such entities. The EKRA applies to all payors including commercial payors and government payors, and EKRA violations result in significant fines and/or up</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208" w:right="10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to 10 years in jail, separate and apart from existing AKS liability. Several EKRA exceptions are relevant to many common financial relationships involving clinical laboratories and may be relied upon if all of the elements of the applicable exception are satisfied. Failure to meet the requirements of an exception, however, does not render an arrangement illegal. Rather, the government may evaluate such arrangements on a case-by-case basis, taking into account all facts and circumstances.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Federal and State Fraud &amp; Abuse Healthcare Laws</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addition to the requirements discussed above, several other health care fraud and abuse laws could have an effect on 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Under the FCA, a person acts knowingly if he or she has actual knowledge of the information or acts in deliberate ignorance or in reckless disregard of the truth or falsity of the information. Specific intent to defraud is not required. FCA violations can result in penalties of up to three times the actual damages sustained by the government, plus civil penalties for each false claim.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Several states have enacted comparable false claims laws which may be broader in scope and apply regardless of payor.</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Several states have enacted comparable laws which may be broader in scope and apply regardless of payor.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law. Moreover, in certain cases, providers who routinely waive copayments and deductibles for Medicare and Medicaid beneficiaries, can also be held liable under the civil monetary penalty provisions and certain other laws, such as the AKS and FCA. One of the statutory exceptions to the civil monetary penalty prohibition is non-routine, unadvertised waivers of copayments or deductible amounts based on individualized determinations of financial need or exhaustion of reasonable collection efforts. The Office of Inspector General of the U.S. Department of Health and Human Services (“HHS”), emphasizes, however, that this exception should only be used occasionally to address special financial needs of a particular patient. States may have similar prohibitions.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Federal and State Healthcare Laws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addition to the fraud and abuse laws discussed above, our business potentially is subject to the following additional healthcare regulatory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Laws Governing Genetic Counseling Services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genetic counseling partner may provide services via electronic means that could subject it to various federal, state and local certification and licensing laws, regulations and approvals,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physician providing telehealth to be physically located in the same state as the patient. Any failure to comply with these laws and regulations could result in civil or criminal penalties against telehealth providers.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and Human Subjects Research Regulations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may collaborate or support ongoing clinical or other human subjects research that could subject us to a number of laws and regulations pertaining to such research, including, but not limited to the Federal Policy for Protection of Human Subjects (as set forth in the implementing regulations of any signatory federal department or agency), the FDCA and its applicable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208" w:right="10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implementing regulations at 21 C.F.R. Parts 11, 50, 54, 56, 58 and 812 and all equivalent legal requirements in other jurisdictions.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Privacy and Security Laws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Insurance Portability and Accountability Act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Health Insurance Portability and Accountability Act of 1996 (“HIPAA”), as amended by the Health Information Technology for Economic and Clinical Health Act (“HITECH”), HHS has issued regulations to protect the privacy and provide for the security of protected health information (“PHI”) used or disclosed by covered entities, including most health care providers and their respective business associates, as well as the business associates’ subcontractors. HIPAA also regulates standardization of data content, codes, and formats used in certain health care transactions and standardization of identifiers for health plans and providers. Four principal regulations with which we are required to comply have been issued in final form under HIPAA and HITECH: privacy regulations, security regulations, breach notification regulations, and standards for electronic transactions, which establish standards for common healthcare transactions.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privacy regulations cover the use and disclosure of PHI by covered entities as well as business associates, which are persons or entities that perform certain functions for or on behalf of a covered entity that involve the creation, receipt, maintenance, or transmission of PHI. Business associates are defined to include a subcontractor to whom a business associate delegates a function, activity, or service, other than in the capacity of the business associate’s workforce. As a general rule, a covered entity or business associate may not use or disclose PHI except as permitted or required under the privacy regulations. The privacy regulations also set forth certain rights that an individual has with respect to his or her PHI maintained by a covered entity or business associate, including the right to access or amend certain records containing his, her or their PHI, request restrictions on the use or disclosure of his, her or their PHI, or request an accounting of disclosures of his or her PHI.</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Covered entities and business associates also must comply with the security regulations, which establish requirements for safeguarding the confidentiality, integrity, and availability of PHI that is electronically transmitted or electronically stored. In addition, HITECH, among other things, established certain PHI breach notification requirements with which covered entities and business associates must comply. In particular, a covered entity must notify any individual whose unsecured PHI is breached according to the specifications set forth in the breach notification rule. A covered entity must also notify the Secretary of HHS and, under certain circumstances, the media of a breach of unsecured PHI.</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HIPAA privacy, security, and breach notification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In addition, individuals (or their personal representatives, as applicable) generally have the right to access test reports directly from laboratories and to direct that copies of those reports be transmitted to persons or entities designated by the individual.</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violations of HIPAA could result in significant penalties imposed by the HHS’s Office for Civil Rights. HIPAA also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Further, there are a number of state laws regarding the privacy and security of health information and personal data that are applicable to our clinical laboratories. We believe that we have taken the steps required of us to comply with health information privacy and security statutes and regulations in all jurisdictions, both state and federal, and we intend to continue to comprehensively protect all personal information and to comply with all applicable laws regarding the protection of such information. However, these laws constantly change, and we may not be able to maintain compliance in all jurisdictions where we do business. Failure to maintain compliance, including in connection with changes in state or federal laws regarding privacy or security, could result in civil and/or criminal penalties as well as significant reputational damage and could also have a material adverse effect on our business.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208" w:right="10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California Consumer Privacy Act</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California Consumer Privacy Act, as amended by the California Privacy Rights Act (“CPRA,” and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 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also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CCPA does not apply to personal information that is PHI under HIPAA and that is collected by a business associate or covered entity under HIPAA. The CCPA also exempts patient information that is processed by a 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CCPA is enforceable through administrative fines of up to $2,500 for each violation, or $7,500 for intentional violations or where we have actual knowledge that the personal information relates to an individual under 16 years of age.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the CCPA, four new state privacy laws went into effect in 2023, including the Virginia Consumer Data Protection Act, the Utah Consumer Privacy Act, the Colorado Privacy Act, and the Connecticut Personal Data Privacy and Online Monitoring Act. In 2023, seven other states passed comprehensive consumer data privacy laws, and many others have introduced similar consumer privacy laws. These new state privacy laws and any potential federal consumer privacy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Genetic Privacy and Testing Laws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to myriad laws that require us to establish safeguards for the conduct of genomic testing and analysis and to protect against the misuse of genetic information and human biological specimens (“samples”) from which genetic information can be derived. These laws vary in their scope and in the nature of their requirements and restrictions. For example, certain genetic privacy laws prohibit the retention of samples after performing a genomic analysis and prohibit the collection, use or disclosure of genetic information or samples for certain purposes, such as research, without appropriate informed consent from the individual or unless the genetic information or samples are appropriately de-identified. Other laws may impose additional requirements, including requirements regarding institutional review board review and approval for certain research uses of genetic information or samples or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Data Protection Laws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There are a growing number of jurisdictions around the globe that have privacy and data protection laws that may apply to us as we enter or expand our business in jurisdictions outside of the U.S.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208" w:right="108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goods or services. Certain data protection laws, such as those in the European Union, (the “EU”) and United Kingdom, are comprehensive in nature and include significant requirements around the processing of personal information, while other jurisdictions may have laws less restrictive or prescriptive than those in the U.S. Enforcement of these laws varies from jurisdiction to jurisdiction, with a variety of consequences, including civil or criminal penalties, litigation private rights of action, or damage to our reputation.</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example, the EU’s General Data Protection Regulation (“GDPR”), including as implemented and amended through the UK Data Protection Act 2018 (“UK GDPR”), applies to any data collection, use and sharing in the context of an establishment in the EU or UK as well as extraterritorially to any entity outside the EU and UK when they process personal information related to an offer of goods or services to, or monitoring the behavior of, individuals who are located in the EU or UK. The GDPR and UK GDPR impose requirements on controllers and processors of personal data, including when personal information is transferred outside of the EU or the UK to another country and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result in significant administrative fines issued by EU or UK regulators.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Blocking Prohibition</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May 1, 2020, the Office of the National Coordinator for Health Information Technology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became effective on April 5, 2021. Under the 21st Century Cures Act, health care providers that violate the information blocking prohibition will be subject to appropriate disincentives, which the HHS has yet to establish through required rulemaking. Developers of certified information technology and health information networks/health information exchanges, however, may be subject to civil monetary penalties of up to $1 million per violation. The HHS Office of Inspector General has the authority to impose such penalties and on April 24, 2020, published a proposed rule to codify new authority in regulation, which the agency proposed would be effective 60 days after it issues a final rule but in no event before November 2, 2020. The HHS Office of Inspector General has not yet issued a final rule.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Consumer Protection Laws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Federal Trade Commission (the “FTC”) is an independent U.S. law enforcement agency charged with protecting consumers and enhancing competition across broad sectors of the economy. The FTC’s primary legal authority with respect to data privacy and security comes from Section 5 of the FTC Act, which prohibits unfair or deceptive acts or practices in the marketplace. The FTC has increasingly used this broad authority to police data privacy and security, using its powers to investigate and bring lawsuits. Where appropriate, the FTC can seek a variety of remedies, such as but not limited to requiring the implementation of comprehensive privacy and security programs, biennial assessments by independent experts, monetary redress to consumers, and provision of robust notice and choice mechanisms to consumers. In addition to its enforcement mechanisms, the FTC uses a variety of tools to protect consumers’ privacy and personal information, including pursuing enforcement actions to stop violations of law, conducting studies and issuing reports, hosting public workshops, developing educational materials and testifying before the U.S. Congress on issues that affect consumer privacy. Recently, the FTC has issued guidance emphasizing that their authority to prevent unfair or deceptive acts or practices extends to advertising and marketing claims for health care and health-related products.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majority of data privacy cases brought by the FTC fall under the “deceptive” acts prong of Section 5. These cases often involve a failure on the part of a company to adhere to its own privacy and data protection principles set forth in its policies or other statements made to consumers. To avoid Section 5 violations, the FTC encourages companies to build privacy protections and safeguards into relevant portions of their business, and to consider privacy and data protection as the company grows and evolves. In addition, privacy notices should clearly and accurately disclose the type(s) of personal information the company collects, how the company uses and shares that information, and the security measures used by the company to protect that information.</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208" w:right="10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recent years, the FTC’s enforcement under Section 5 related to data security has included alleged violations of the “unfairness” prong. Many of these cases have alleged that companies were unfair to consumers because they failed to take reasonable and necessary measures to protect consumer data. The FTC has not provided bright line rules defining what constitutes “reasonable and necessary measures” for implementing a cybersecurity program, but it has provided guidance, tips and advice for companies. The FTC has also published past complaints and consent orders, which it urges companies use as guidance to help avoid an FTC enforcement action, even if a data breach or loss occurs.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to the FTC Act, most U.S. states have unfair and deceptive acts and practices statutes, known as Unfair Deceptive Acts and Practices ("UDAP") statutes, that substantially mirror the FTC Act and have been applied in the privacy and data security context. These vary in substance and strength from state to state. Many have broad prohibitions against unfair and deceptive acts and practices. These statutes generally allow for private rights of action and are enforced by the states’ Attorneys General.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Reimbursement and Billing</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2024 and every three years thereafter (or annually for “advanced diagnostic laboratory tests”), private payor payment rates and volumes for their tests. None of our tests meet the current definition of advanced diagnostic laboratory tests, and therefore we believe we are required to report private payor rates for our tests on an every-three-years basis, starting next in 2024. CMS uses the rates and volumes reported by laboratories to develop Medicare payment rates for the tests equal to the volume-weighted median of the private payor payment rates for the tests. Laboratories that fail to report the required payment information may be subject to substantial civil money penalties.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As set forth under the regulations implementing PAMA, for tests furnished on or after January 1, 2018, Medicare payments for clinical diagnostic laboratory tests are paid based upon these reported private payor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and 2022 and will continue to be held at such levels in 2023. Then, where applicable based upon median private payor rates reported in 2017 or 2024, reduced by up to 15% per test per year in each of 2024 through 2026 (with a second round of private payor rate reporting in 2024 to establish rates for 2025 through 2027).</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(“MACs”). These same contractors may also be designated to process claims if CMS determines that such a model is appropriate. It is unclear whether CMS will proceed with contractor consolidation under this authorization.</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Reimbursement and billing for diagnostic services is highly complex, and errors in billing potentially can result denied claims and/or in substantial obligations to repay overpayments to payors. Laboratories must bill various payors, such as private third-party payors, including managed care organizations (“MCO”), and state and federal health care programs, such as Medicare and Medicaid, and each may have different billing requirements. Additionally, the audit requirements we must meet to ensure compliance with applicable laws and regulations, as well as our internal compliance policies and procedures, add further complexity to the billing process. Other factors that complicate billing include:</w:t>
      </w:r>
    </w:p>
    <w:p>
      <w:pPr>
        <w:spacing w:after="0" w:line="148" w:lineRule="exact"/>
        <w:rPr>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variability in coverage and information requirements among various payors;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financial assistance programs;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208" w:right="10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missing, incomplete or inaccurate billing information provided by ordering physicians;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billings to payors with whom we do not have contracts;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with payors as to which party is responsible for payment;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with payors as to the appropriate level of reimbursement.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Depending on the reimbursement arrangement and applicable law, the party that reimburses us for our services may be:</w:t>
      </w:r>
    </w:p>
    <w:p>
      <w:pPr>
        <w:spacing w:after="0" w:line="190" w:lineRule="exact"/>
        <w:rPr>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third party who provides coverage to the patient, such as an insurance company or MCO;</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 or federal healthcare program; or</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patient.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make our annual reports on Form 10-K, quarterly reports on Form 10-Q, current reports on Form 8-K and amendments to these reports, as well as our other SEC filings, available on our website, free of charge, as soon as reasonably practicable after they are electronically filed with or furnished to the SEC. Our website address is www.genedx.com. The information contained on our website is not incorporated by reference in this document.</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80"/>
          </w:cols>
          <w:pgMar w:left="1080" w:top="208" w:right="10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You should carefully review and consider the following risk factors and the other information contained in this Annual Report on Form 10-K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consolidated financial statements and notes thereto included herein.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business is subject to a number of risks and uncertainties, including those risks discussed at length below. These risks include, among others, the following:</w:t>
      </w:r>
    </w:p>
    <w:p>
      <w:pPr>
        <w:spacing w:after="0" w:line="121" w:lineRule="exact"/>
        <w:rPr>
          <w:sz w:val="20"/>
          <w:szCs w:val="20"/>
          <w:color w:val="auto"/>
        </w:rPr>
      </w:pPr>
    </w:p>
    <w:p>
      <w:pPr>
        <w:jc w:val="both"/>
        <w:ind w:left="720" w:hanging="360"/>
        <w:spacing w:after="0" w:line="257"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limited experience with the development and commercialization of our databases and our health information and genomic platforms.</w:t>
      </w:r>
    </w:p>
    <w:p>
      <w:pPr>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raise additional capital to fund our existing operations, develop additional products and services, commercialize new products and services or expand our operations.</w:t>
      </w:r>
    </w:p>
    <w:p>
      <w:pPr>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federal and state laboratory licensing requirements or standards, we could lose the ability to perform our tests or experience disruptions to our business.</w:t>
      </w:r>
    </w:p>
    <w:p>
      <w:pPr>
        <w:jc w:val="both"/>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in the development and commercialization of our enhanced or new tests or services could materially adversely affect our business, financial condition and results of operations.</w:t>
      </w:r>
    </w:p>
    <w:p>
      <w:pPr>
        <w:jc w:val="both"/>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could be subject to significant fluctuation, which could increase the volatility of our stock and warrant prices and cause losses to our stockholders.</w:t>
      </w:r>
    </w:p>
    <w:p>
      <w:pPr>
        <w:jc w:val="both"/>
        <w:ind w:left="720" w:hanging="36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realize the level of the anticipated benefits that we expect from exiting businesses and restructuring our operations, which may adversely impact our business and results of operations.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1080" w:top="208" w:right="10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hanging="360"/>
        <w:spacing w:after="0" w:line="26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changes in FDA enforcement discretion for LDTs could subject our operations to much more significant regulatory requirements.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the HIPAA security, privacy and breach notification regulations may increase our costs.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uncertainty related to healthcare reform, pricing, coverage and reimbursement, which could reduce our revenue.</w:t>
      </w:r>
    </w:p>
    <w:p>
      <w:pPr>
        <w:ind w:left="720" w:hanging="36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effectively protect our proprietary products, processes, and technologies, including the confidentiality of our trade secrets, could harm our competitive position.</w:t>
      </w:r>
    </w:p>
    <w:p>
      <w:pPr>
        <w:jc w:val="both"/>
        <w:ind w:left="720" w:hanging="360"/>
        <w:spacing w:after="0" w:line="255"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Industry and Operations</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need to scale our infrastructure in advance of demand for our tests, and our failure to generate sufficient demand for our tests would have a negative impact on our business and our ability to attain profitability.</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success depends in large part on our ability to extend our market position, to provide customers with high-quality test reports quickly and at a lower price than our competitors, and to achieve sufficient test volume to realize economies of scale. In addition, we regularly evaluate and refine our testing process, often significantly updating our workflows, including with respect to exome sequencing and whole genome sequencing. In order to execute our business model, we intend to continue to invest heavily in order to significantly scale our infrastructure, including our testing capacity, particularly with respect to exome sequencing and whole genome sequencing to supplement our panel testing capabilities and information systems, expand our commercial operations, customer service, billing and systems processes and enhance our internal quality assurance program. We expect that much of this growth will be in advance of demand for our tests. Our current and future expense levels are to a large extent fixed and are largely based on investment plans and estimates of future revenue. Because the timing and amount of revenue from our tests is difficult to forecast, when revenue does not meet expectations, we may not be able to adjust our spending promptly or reduce spending to levels commensurate with our revenue. Even if we successfully scale our infrastructure and operations, there can be no assurance that tests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4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continue to generate substantial demand for our tests, our commercial success will be negatively affected.</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business model assumes that we will be able to generate significant test volume, particularly with respect to exome sequencing and whole genome sequencing in addition to our panel testing offerings, and we may not succeed in continuing to drive adoption of our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ours, there may be distrust as to the reliability of such information when compared with more limited and focused genetic tests. To generate further demand for our tests, we will need to continue to make clinicians aware of the benefits of our tests, including the price, the breadth of our testing options, and the benefits of having additional genetic data available from which to make treatment decisions. A lack of or delay in clinical acceptance of our exome sequencing and whole genome sequencing testing, or our legacy broad-based panels testing, would negatively impact sales and market acceptance of our tests and limit our revenue growth and potential profitability. Genetic testing is expensive, and many potential customers may be sensitive to pricing. In addition, potential customers may not adopt our tests if adequate reimbursement is not available, or if we are not able to maintain low prices relative to our competitors.</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If we are not able to generate demand for our tests at sufficient volume, or if it takes significantly more time to generate this demand than we anticipate, our business, prospects, financial condition and results of operations could be materially harmed.</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laboratories become inoperable due to disasters, health epidemics or for any other reasons, we will be unable to perform tests and our business will be harmed.</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perform all of our exome sequencing and whole genome sequencing tests at our production facilities in Gaithersburg, Maryland. Our laboratories and the equipment we use to perform our tests would be costly to replace and could require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080" w:top="208" w:right="10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substantial lead time to replace and qualify for use. Our laboratories may be harmed or rendered inoperable by natural or man-made disasters, including flooding, fire and power outages, or by health epidemics, which may render it difficult or impossible for us to perform our tests for some period of time. The inability to perform our tests or the backlog that could develop if our laboratories are inoperable for even a short period of time may result in the loss of customers or harm our reputation. Although we maintain insurance for damage to our property and the disruption of our business, this insurance may not be sufficient to cover all potential losses and may not continue to be available to us on acceptable terms, if at all.</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Other companies or institutions may develop and market novel or improved technologies, which may make our technologies less competitive or obsolete.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exome and genome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testing and screening products, including exome and whole genome sequencing products, health information services, and analytics, and data science services, and other diagnostic products. These competitors include:</w:t>
      </w:r>
    </w:p>
    <w:p>
      <w:pPr>
        <w:spacing w:after="0" w:line="149" w:lineRule="exact"/>
        <w:rPr>
          <w:sz w:val="20"/>
          <w:szCs w:val="20"/>
          <w:color w:val="auto"/>
        </w:rPr>
      </w:pPr>
    </w:p>
    <w:p>
      <w:pPr>
        <w:jc w:val="both"/>
        <w:ind w:left="720" w:hanging="360"/>
        <w:spacing w:after="0" w:line="257"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academic and scientific institutions;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agencies;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and private research organizations.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exome and whole genome sequencing,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than our Company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genetic testing and screening, health information and data science products and services. Our competitors may be able to innovate and provide products and services faster than we can or may foresee the need for products and services before we do.</w:t>
      </w:r>
    </w:p>
    <w:p>
      <w:pPr>
        <w:spacing w:after="0" w:line="1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operating results may also suffer if our products and services are not responsive to the needs of our customers and partners. As technologies continue to develop, our competitors may be able to offer products and services that are, or that are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208" w:right="10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genetic testing and screening, health information and data science products and services, our operating results could be harmed.</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ability to increase the number of billable tests and our revenue therefrom will depend on our success in achieving reimbursement for our tests from third-party payors. Reimbursement by a payor may depend on a number of factors, including a payor’s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payors (e.g., Medicare and Medicaid).</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Since each payor makes its own decision as to whether to establish a policy or enter into a contract to cover our tests, as well as the amount it will reimburse for a test, seeking these approvals is a time-consuming and costly process. In addition, the determination by a payor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U.S., and the Centers for Medicare &amp; Medicaid Services (“CMS”).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Furthermore, 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payors as a result of such audits, including but not limited to the remaining $22 million of the $42 million settlement regarding certain overpayments to Legacy Sema4 allegedly received from a payor, and may be required to repay other payors for alleged overpayments due to lack of compliance with their reimbursement policies. For more information regarding this matter, see Note 4, “</w:t>
      </w: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Recognition</w:t>
      </w:r>
      <w:r>
        <w:rPr>
          <w:rFonts w:ascii="Times New Roman" w:cs="Times New Roman" w:eastAsia="Times New Roman" w:hAnsi="Times New Roman"/>
          <w:sz w:val="20"/>
          <w:szCs w:val="20"/>
          <w:color w:val="auto"/>
        </w:rPr>
        <w:t>” to our consolidated financial statements included within this Annual Report. In addition to potential repayment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obligations, failure to comply with payor reimbursement policies could result in government enforcement actions and, potentially, exclusion from certain payor programs, which could have a material adverse effect on our business.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80"/>
          </w:cols>
          <w:pgMar w:left="1080" w:top="208" w:right="10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limited experience with the development and commercialization of our databases and our health information and genomic platforms.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limited experience with the development or commercialization of clinical or research products in connection with the databases we manage and to which we have access, including our Centrellis® platform.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w:t>
      </w:r>
    </w:p>
    <w:p>
      <w:pPr>
        <w:spacing w:after="0" w:line="1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currently incorporate artificial intelligence (“AI”) solutions into our Centrellis® platform to access, combine, curate and analyze health information, including longitudinal patient medical history data, and these applications may become important in our operations over time. Our competitors or other third parties may incorporate AI into their products and offerings more quickly or more successfully than us, which could impair our ability to compete effectively and adversely affect our results of operations. Additionally, if the content, analyses, or recommendations that AI applications assist in producing are or are alleged to be inaccurate, deficient, or biased, our business, financial condition and results of operations may be adversely affected. The use of AI applications has resulted in, and may in the future result in, cybersecurity incidents that implicate the personal medical and genetic data of patients analyzed within such applications. Any such cybersecurity incidents related to our use of AI applications to analyze personal data could adversely affect our reputation and results of operations. AI also presents emerging ethical issues and if our use of AI becomes controversial, we may experience brand or reputational harm, competitive harm, or legal liability. The rapid evolution of AI, including potential government regulation of AI and its various uses, will require significant resources to develop, test and maintain our Centrellis® platform, offerings, services, and features to help us implement AI ethically in order to minimize unintended, harmful impact.</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have incurred net losses and negative cash flows from operations since its inception, with an accumulated deficit of $1.3 billion as of December 31, 2023. We expect to continue to generate significant operating losses for the foreseeable future.</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may seek to sell common or preferred equity or convertible debt securities, enter into a credit facility or another form of third-party funding or seek other debt financing. For example, we have an effective shelf registration statement that we filed with the SEC in August of 2022, registering $300 million shares of our Class A common stock and other securities. As of December 31, 2023, approximately $150 million of securities remained available under this registration statement.</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may also consider raising additional capital in the future to expand our business, to pursue strategic investments, to take advantage of financing opportunities or for other reasons, including to:</w:t>
      </w:r>
    </w:p>
    <w:p>
      <w:pPr>
        <w:spacing w:after="0" w:line="121" w:lineRule="exact"/>
        <w:rPr>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our sales and marketing efforts to drive market adoption of our current and future products and services;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development efforts for our current and future products and services;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products and services into other disease indications and clinical applications;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license or invest in technologies;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invest in complementary businesses or assets;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finance capital expenditures and general and administrative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present and future funding requirements will depend on many factors, including:</w:t>
      </w:r>
    </w:p>
    <w:p>
      <w:pPr>
        <w:spacing w:after="0" w:line="190" w:lineRule="exact"/>
        <w:rPr>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revenue growth;</w:t>
      </w:r>
    </w:p>
    <w:p>
      <w:pPr>
        <w:spacing w:after="0" w:line="3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establishing payor coverage and reimbursement arrangements with commercial third-party payors and government payors;</w:t>
      </w: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expanding our laboratory operations and offerings, including our sales and marketing efforts;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208" w:right="10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hanging="360"/>
        <w:spacing w:after="0" w:line="26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and cost of the sales and marketing activities associated with, establishing adoption of our services for biopharma partners;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and cost of research and development activities associated with, products and services in research and early development;</w:t>
      </w:r>
    </w:p>
    <w:p>
      <w:pPr>
        <w:ind w:left="720" w:hanging="36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product and market developments;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international expansion; and</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cost of and delays in product development as a result of any regulatory oversight applicable to our products and services.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credit agreement contains operating and financial restrictions that may limit our business and financing activities.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credit agreement with Perceptive Credit Holdings IV, LP (“Perceptive”) contains operating and financial restrictions that may limit our business and financing activities. In particular, our credit agreement includes customary affirmative and negative covenants and events of default, including negative covenants that restrict, among other things, our ability to incur indebtedness and liens, dispose of property and make investments. In addition, the credit agreement requires us to maintain aggregate unrestricted cash of not less than $5.0 million and minimum levels of quarterly core revenue through the third quarter of 2028. The operating and financial restrictions in the credit agreement, as well as any other financing arrangements that we may enter into, may limit our ability to finance our operations, or engage in, expand, or otherwise pursue our business activities and strategies. Our ability to comply with these or other covenants may be affected by events beyond our control, and future breaches of these or other covenants could result in a default under the credit agreement or any other financing arrangement. If not waived, future defaults could cause all of the outstanding indebtedness under our credit agreement or other financing arrangement to become immediately due and payable and terminate all commitments to extend further credit, if any. Furthermore, if we were unable to repay our credit agreement or other indebtedness then due and payable, secured lenders could proceed against the assets, if any, securing such indebtedness. A default would also likely significantly diminish the market price of our securities.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Ethical, legal and social concerns related to the use of genomic medicine and health information analysis could reduce demand for our tests.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College of American Pathologists ("CAP"), and other certifications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080" w:top="208" w:right="10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to conduct our tests at our laboratory in Maryland. To renew these certifications, we are subject to survey and inspection on a regular basis and at the request of the certifying bodies. Moreover, CLIA inspectors may make random inspections of our clinical reference laboratory.</w:t>
      </w:r>
    </w:p>
    <w:p>
      <w:pPr>
        <w:spacing w:after="0" w:line="1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would also be required to maintain in-state licenses if we were to conduct testing in other states. Several states require the licensure of out-of-state laboratories that accept specimens from certain states.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having a laboratory license in New York, our clinical reference laboratory is approved on test-specific bases for the tests it runs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U.S. Complying with licensure requirements in new jurisdictions may be expensive, time-consuming, and subject us to significant and unanticipated delays.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U.S. require CAP accreditation as a condition to permitting clinical laboratories to test samples taken from their citizens. We have a CAP accreditations for our laboratory. Failure to maintain CAP accreditation could have a material adverse effect on the sales of our tests and the results of our operations.</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if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due to a change in circumstances, we have re-evaluated our position and concluded that the funds received under the ERC</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80"/>
          </w:cols>
          <w:pgMar w:left="1080" w:top="208" w:right="10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needed to be repaid. Therefore, in July 2023, we remitted $2.7 million of payment and reduced a liability initially recorded in other current liabilities on our balance sheets.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Due to the high degree of uncertainty regarding the implementation of the CARES Act, the Consolidated Appropriations Act, 2021, other stimulus legislation and our revenue revisions, there can be no assurance that the terms and conditions of the PRF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COVID-19 pandemic affected and any similar public health emergency in the future may materially and adversely affect our business and financial results.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COVID-19 pandemic, together with related precautionary measures in response to the pandemic, materially disrupted our business during certain periods in 2021. Although our test volumes improved to what would be considered normalized market conditions during 2022 and we maintained normalized volumes during 2023, the COVID-19 pandemic, or other similar public health emergencies in the future, may disrupt our business in the future and materially and adversely affect our business and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Model</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geographies in which we operate. Further, we may be unable to obtain the necessary visas for foreign personnel to work in the U.S.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any member or change in structure of our senior management team could adversely affect our business.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success depends in large part upon the skills, experience and performance of key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80"/>
          </w:cols>
          <w:pgMar w:left="1080" w:top="208" w:right="10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manage our future growth effectively, which could make it difficult to execute our business strategy.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w:t>
      </w:r>
    </w:p>
    <w:p>
      <w:pPr>
        <w:spacing w:after="0" w:line="1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International expansion of our business could expose us to business, regulatory, political, operational, financial and economic risks associated with doing business outside of the U.S. and Canada.</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When cleared, authorized or approved, we and our collaborators may market, sell, and distribute our products and services outside of the U.S., and our business would be subject to risks associated with doing business outside of the U.S.,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44" w:lineRule="exact"/>
        <w:rPr>
          <w:sz w:val="20"/>
          <w:szCs w:val="20"/>
          <w:color w:val="auto"/>
        </w:rPr>
      </w:pPr>
    </w:p>
    <w:p>
      <w:pPr>
        <w:jc w:val="both"/>
        <w:ind w:left="720" w:hanging="360"/>
        <w:spacing w:after="0" w:line="257"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 approvals, permits and licenses;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us, our collaborators or our distributors to obtain regulatory clearance, authorization or approval for the use of our products and services in various countries;</w:t>
      </w: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potentially relevant third-party patent rights;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and difficulties in obtaining intellectual property protection and enforcing our intellectual property;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 including repatriating foreign earned profits;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associated with managing multiple payor reimbursement regimes, government payors or patient self-pay systems;</w:t>
      </w: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negotiating favorable reimbursement negotiations with governmental authorities;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logistics and regulations associated with shipping samples, including infrastructure conditions and transportation delays;</w:t>
      </w:r>
    </w:p>
    <w:p>
      <w:pPr>
        <w:ind w:left="720" w:hanging="36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in our ability to penetrate international markets if we are not able to conduct our clinical diagnostic services locally;</w:t>
      </w:r>
    </w:p>
    <w:p>
      <w:pPr>
        <w:jc w:val="both"/>
        <w:ind w:left="720" w:hanging="36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regulations and license requirements that may restrict foreign investment in and operation of the internet, IT infrastructure, data centers and other sectors, and international transfers of data;</w:t>
      </w:r>
    </w:p>
    <w:p>
      <w:pPr>
        <w:ind w:left="720" w:hanging="36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political and economic instability, including wars, terrorism and political unrest, and outbreak of disease;</w:t>
      </w: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boycotts, curtailment of trade and other business restrictions; and</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and compliance risks that relate to maintaining accurate information and control over sales and distributors’ activities that may fall within the purview of the Foreign Corrupt Practices Act of 1977 (the “FCPA”), its books and records provisions, or its anti-bribery provisions, Canada’s Corruption of Foreign Public Officials Act, or laws similar to the FCPA in other jurisdictions in which we may in the future operate, such as the United Kingdom’s Bribery Act of 2010 and anti-bribery requirements of member states in the European Union (the “EU”).</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Any of these factors could significantly harm our future international expansion and operations and, consequently, our revenue and results of operations.</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Unfavorable U.S. or global economic conditions could adversely affect our business, financial condition or results of operations.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financial markets. A severe or prolonged economic downturn or increase in inflation and interest rates could result in a variety of risks to our business, including weakened demand for our products and services, increased costs and expenses and a reduced ability to raise additional capital when needed on favorable terms, if at all. A weak declining or inflationary economy could also strain</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80"/>
          </w:cols>
          <w:pgMar w:left="1080" w:top="208" w:right="10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collaborators and suppliers, resulting in supply disruption, or cause delays in their payments to us. For example, we have experienced and may continue to experience interruptions in the supply of the diagnostic testing materials necessary for our testing products and material and shipping cost increases. We also have significant supply contracts that are short-term and, as we enter into the renewal cycles for these contracts, we may face material price increases upon renewal.</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particular, challenging macroeconomic conditions, including cost inflation, decreases in per capita income and levels of disposable income, increased and/or prolonged unemployment or a decline in consumer confidence, as well as limited or significantly reduced points of access of our tests, could have a material adverse effect on the demand for our tests. Under difficult economic conditions, consumers may seek to reduce discretionary spending by forgoing our tests. Decreased demand for our tests, could negatively affect our overall financial performance.</w:t>
      </w:r>
    </w:p>
    <w:p>
      <w:pPr>
        <w:spacing w:after="0" w:line="1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Any of the foregoing could harm our business and we cannot anticipate all of the ways in which the current economic climate and financial market conditions could adversely impact our business, financial condition, or results of operations.</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we face.</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208" w:right="10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currently rely upon third-party services for data storage and workflow management, including cloud storage solution providers, such as Microsoft Azure (“Azure”), Amazon Web Services (“AWS”), and Google Cloud Platform (“GCP”). We rely on each of these providers to complete several vital workflows in our health information and data science service delivery. To varying degrees some of those services are proprietary to how each platform performs in connection with our current usage of the services.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Nearly all of our data storage and analytics are conducted on, and the data and content we generate on our platforms are processed through, servers hosted by these providers, particularly Azure,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Azure, AWS or GCP, and if such agreements are terminated, we may not be able to enter into similar relationships in the future on reasonable terms or at all.</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current and future products and services may never achieve significant commercial market acceptance.</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services in general.</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and our collaborators may not succeed in achieving significant commercial market acceptance for our current or future products and services due to a number of factors, including:</w:t>
      </w:r>
    </w:p>
    <w:p>
      <w:pPr>
        <w:spacing w:after="0" w:line="121" w:lineRule="exact"/>
        <w:rPr>
          <w:sz w:val="20"/>
          <w:szCs w:val="20"/>
          <w:color w:val="auto"/>
        </w:rPr>
      </w:pPr>
    </w:p>
    <w:p>
      <w:pPr>
        <w:jc w:val="both"/>
        <w:ind w:left="720" w:hanging="360"/>
        <w:spacing w:after="0" w:line="257"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demonstrate the utility of our platforms and related products and services and their potential advantages over existing clinical AI technology, life sciences research, clinical diagnostic and drug discovery technologies to academic institutions, biopharma companies and the medical community;</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that of our collaborators, to perform clinical trials or other research to gather adequate evidence and/ or to secure and maintain FDA and other regulatory clearance authorization or approval for our products or products developed based off our platform;</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adoption of our platforms and related products and services by academic institutions, clinicians, patients, key opinion leaders, advocacy groups and biopharma companies; and</w:t>
      </w: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our investments in product and services, and technological innovation and commercial growth.</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080" w:top="208" w:right="108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Additionally, our customers and collaborators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estimated the global market opportunity for our current and future products and services, and these markets may be smaller than we estimate.</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estimates of the global market opportunity for our current products and services and those under development are based on a number of internal and third-party estimates, including, the market opportunity for rare disease and pediatric developmental disorders, adult disorders and newborn screening.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success will depend in part on our ability to effectively introduce enhanced or new offerings, with a focus on expanding the clinical utility and application of exome and whole genome sequencing and developing solutions our health information platform can provide to partners.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relatively limited experience developing and commercializing products and services outside of the diagnostics business,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cannot provide assurance that we can successfully complete the development of any new or enhanced product, or that we can establish or maintain the collaborative relationships that may be essential to our collaborators’ goals, including clinical development or commercialization efforts. For example,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80"/>
          </w:cols>
          <w:pgMar w:left="1080" w:top="208" w:right="108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Accessing, combining, curating, and analyzing health information, including longitudinal patient medical history data and genetic data, are core features of the Centrellis</w:t>
      </w:r>
      <w:r>
        <w:rPr>
          <w:rFonts w:ascii="Times New Roman" w:cs="Times New Roman" w:eastAsia="Times New Roman" w:hAnsi="Times New Roman"/>
          <w:sz w:val="26"/>
          <w:szCs w:val="26"/>
          <w:color w:val="008080"/>
          <w:vertAlign w:val="superscript"/>
        </w:rPr>
        <w:t>®</w:t>
      </w:r>
      <w:r>
        <w:rPr>
          <w:rFonts w:ascii="Times New Roman" w:cs="Times New Roman" w:eastAsia="Times New Roman" w:hAnsi="Times New Roman"/>
          <w:sz w:val="20"/>
          <w:szCs w:val="20"/>
          <w:color w:val="auto"/>
        </w:rPr>
        <w:t xml:space="preserve"> platform.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Our future success depends in part on our ability to maintain and grow our existing relationships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5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products and services do not perform as expected, we may not realize the expected benefits of such products and services.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208" w:right="10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electronic medical record,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we are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never become profitable.</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incurred losses since our formation and we expect to continue to generate significant operating losses for the foreseeable future. We expect to continue investing significantly toward development and commercialization of our products and services and expect to continue efforts to reduce operating costs. If our revenue does not grow significantly, or if we are unable to achieve planned cost reductions, we will not be profitable. We cannot be certain that the revenue from the sale of any products or services based on our technologies will be sufficient to make us profitable.</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could be subject to significant fluctuation, which could increase the volatility of our stock and warrant prices and cause losses to our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revenues and results of operations may fluctuate significantly, depending on a variety of factors, including the following:</w:t>
      </w:r>
    </w:p>
    <w:p>
      <w:pPr>
        <w:spacing w:after="0" w:line="190" w:lineRule="exact"/>
        <w:rPr>
          <w:sz w:val="20"/>
          <w:szCs w:val="20"/>
          <w:color w:val="auto"/>
        </w:rPr>
      </w:pPr>
    </w:p>
    <w:p>
      <w:pPr>
        <w:ind w:left="720" w:hanging="36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marketing and selling, and changes in demand for, our tests, and the level of reimbursement and collection obtained for such tests;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and environmental variations affecting healthcare provider recommendations for our tests and patient compliance with healthcare provider recommendations, including without limitation holidays, weather events, and</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208" w:right="10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20"/>
          <w:szCs w:val="20"/>
          <w:color w:val="auto"/>
        </w:rPr>
        <w:t>circumstances such as the outbreak of coronavirus or influenza that may limit patient access to medical practices for diagnostic tests and preventive services;</w:t>
      </w:r>
    </w:p>
    <w:p>
      <w:pPr>
        <w:spacing w:after="0" w:line="2" w:lineRule="exact"/>
        <w:rPr>
          <w:sz w:val="20"/>
          <w:szCs w:val="20"/>
          <w:color w:val="auto"/>
        </w:rPr>
      </w:pPr>
    </w:p>
    <w:p>
      <w:pPr>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collecting payments from third-party payors, patients and collaborative partners, variation in the timing of these payments and recognition of these payments as revenues;</w:t>
      </w:r>
    </w:p>
    <w:p>
      <w:pPr>
        <w:ind w:left="720" w:hanging="36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of our tests, including potential changes in CMS or other reimbursement rates;</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amount and timing of our selling and marketing costs and our ability to manage costs and expenses and effectively implement our business;</w:t>
      </w:r>
    </w:p>
    <w:p>
      <w:pPr>
        <w:ind w:left="720" w:hanging="36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research and development activities; and</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collect, use, and commercialize data in a changing regulatory environment at a time when the public is growing increasingly concerned about privacy.</w:t>
      </w:r>
    </w:p>
    <w:p>
      <w:pPr>
        <w:spacing w:after="0" w:line="13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revenue growth rate could decline over time, and it may experience downward pressure on our operating margins in the future.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may affect our operating margins.</w:t>
      </w:r>
    </w:p>
    <w:p>
      <w:pPr>
        <w:spacing w:after="0" w:line="1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Due to these factors and the evolving nature of our business, our historical revenue growth rate and historical gross operating margins may not be indicative of our future performance.</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the course of preparing Legacy Sema4’s financial statements as of December 31, 2020, we previously identified material weaknesses in our internal control over financial reporting. Certain of these material weaknesses remain unremediated as of December 31, 2023. For a discussion of these material weaknesses, see “Item 9A. Controls and Procedures.”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management is actively engaged and committed to taking the steps necessary to remediate the control deficiencies that constituted the material weaknesses. However, we cannot guarantee that the steps we have taken or may subsequently take have been or will be sufficient to remediate the material weaknesses or ensure that our internal controls are effective. For a discussion of our remediation plan and actions, see “Item 9A. Controls and Procedures.”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 w:cs="Times New Roman" w:eastAsia="Times New Roman" w:hAnsi="Times New Roman"/>
          <w:sz w:val="20"/>
          <w:szCs w:val="20"/>
          <w:b w:val="1"/>
          <w:bCs w:val="1"/>
          <w:i w:val="1"/>
          <w:iCs w:val="1"/>
          <w:color w:val="auto"/>
        </w:rPr>
        <w:t>Risks Related to Being a Public Company—Our internal controls over financial reporting may not be effective and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independent registered public accounting firm may not be able to certify as to their effectiveness, which could have a significant and adverse effect on our business and reputation.</w:t>
      </w:r>
      <w:r>
        <w:rPr>
          <w:rFonts w:ascii="Times New Roman" w:cs="Times New Roman" w:eastAsia="Times New Roman" w:hAnsi="Times New Roman"/>
          <w:sz w:val="20"/>
          <w:szCs w:val="20"/>
          <w:color w:val="auto"/>
        </w:rPr>
        <w:t>”</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208" w:right="10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 forwards and certain other tax attributes may be limited.</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of December 31, 2023, our total gross deferred tax assets were approximately $326 million. Future realization of the tax benefits of existing temporary differences and carryforwards ultimately depends on the existence of sufficient taxable income within the carryforward period. As of December 31, 2023 and December 31, 2022,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full valuation allowance as of December 31, 2023 and December 31, 2022.</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Furthermore, under Section 382 of the Internal Revenue Code of 1986, as amended (the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Key Relationships</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commercial delivery services to transport samples to our facilities in a timely and cost-efficient manner and if these delivery services are disrupted, our business could be harmed.</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core business depends on our ability to quickly and reliably deliver test results to our customers. We typically receive blood and saliva samples for analysis at our laboratory facilities within days of collection from the patient. Disruptions and errors in these delivery service and accessioning errors and breaches, whether due to error by the delivery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Acquisitions and Other Strategic Transactions</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realize the level of the anticipated benefits that we expect from exiting businesses and restructuring our operations, which may adversely impact our business and results of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From time to time, we may decide to exit certain businesses or otherwise undertake restructuring, reorganization, or other strategic initiatives and business transformation plans to realign our resources with our growth strategies, operate more efficiently and control costs. The successful implementation of our restructuring activities may from time to time require us to effect business and asset dispositions, workforce reductions, management restructurings, decisions to limit investments in or otherwise exit businesses, facility consolidations and closures, and other actions, each of which may depend on a number of factors that may not be within our control. For example, as described in more detail elsewhere in this Annual Report, we enacted a plan to reduce our operating expenses during the fourth quarter of 2023, we exited our reproductive and women’s health testing business during the first quarter of 2023, and we exited our somatic tumor testing business during the fourth quarter of 2022.</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Any such effort to realign or streamline our organization may result in the recording of restructuring or other charges, such as asset impairment charges, contract and lease termination costs, exit costs, termination benefits and other restructuring costs. Further, as a result of restructuring initiatives, we may experience a loss of continuity, loss of accumulated knowledge and proficiency, adverse effects on employee morale, loss of key employees and/or other retention issues during transitional periods. Reorganization and restructuring can impact a significant amount of management and other employees’ time and focus, which may divert attention from operating and growing our business. Further, upon completion of any restructuring initiatives, our business may not be more efficient or effective than prior to the implementation of the plan and we may be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208" w:right="10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unable to achieve anticipated operating enhancements or cost reductions, which would adversely affect our business, competitive position, operating results and financial condition.</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From time to time, we may consider additional opportunities to acquire other products or technologies that may enhance our product platform or technology, expand the breadth of our markets or customer base, or advance our business strategies. In addition, we exited both our reproductive and women's health testing business and our somatic tumor testing business, which involves the divestiture of these businesses, and we may consider disposing other assets or businesses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Potential acquisitions involve numerous risks, including:</w:t>
      </w:r>
    </w:p>
    <w:p>
      <w:pPr>
        <w:spacing w:after="0" w:line="190" w:lineRule="exact"/>
        <w:rPr>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problems assimilating the acquired products or technologies;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issues maintaining uniform standards, procedures, controls and policies;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costs associated with acquisitions;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our existing business;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entering new markets in which we have limited or no experience;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legal and accounting costs relating to the acquisitions or compliance with regulatory matters.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Dispositions may similarly involve </w:t>
      </w:r>
      <w:r>
        <w:rPr>
          <w:rFonts w:ascii="Times New Roman" w:cs="Times New Roman" w:eastAsia="Times New Roman" w:hAnsi="Times New Roman"/>
          <w:sz w:val="20"/>
          <w:szCs w:val="20"/>
          <w:color w:val="212529"/>
        </w:rPr>
        <w:t>risks associated with the potential disruption of our ongoing business and distraction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 xml:space="preserve">our management team, and the anticipated benefits and cost savings of these transactions may not be realized fully, or at all, or take longer to realize than anticipated. In addition, dispositions </w:t>
      </w:r>
      <w:r>
        <w:rPr>
          <w:rFonts w:ascii="Times New Roman" w:cs="Times New Roman" w:eastAsia="Times New Roman" w:hAnsi="Times New Roman"/>
          <w:sz w:val="20"/>
          <w:szCs w:val="20"/>
          <w:color w:val="000000"/>
        </w:rPr>
        <w:t>may involve our continued financial involvement in a</w:t>
      </w:r>
      <w:r>
        <w:rPr>
          <w:rFonts w:ascii="Times New Roman" w:cs="Times New Roman" w:eastAsia="Times New Roman" w:hAnsi="Times New Roman"/>
          <w:sz w:val="20"/>
          <w:szCs w:val="20"/>
          <w:color w:val="212529"/>
        </w:rPr>
        <w:t xml:space="preserve"> </w:t>
      </w:r>
      <w:r>
        <w:rPr>
          <w:rFonts w:ascii="Times New Roman" w:cs="Times New Roman" w:eastAsia="Times New Roman" w:hAnsi="Times New Roman"/>
          <w:sz w:val="20"/>
          <w:szCs w:val="20"/>
          <w:color w:val="000000"/>
        </w:rPr>
        <w:t>divested business, such as through continuing equity ownership, transition service 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Legal, Regulatory and Compliance</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increased compliance risks as a result of our rapid growth, including our dependence on our sales, marketing and billing efforts.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use hazardous materials in a manner that causes injury, we could be liable for resulting damages.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activities currently require the use of hazardous chemicals and biological material. We cannot eliminate the risk of accidental contamination or injury to employees or third parties from the use, storage, handling or disposal of these materials.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208" w:right="10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changes in FDA enforcement discretion for LDTs could subject our operations to much more significant regulatory requirements.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We currently offer an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 w:cs="Times New Roman" w:eastAsia="Times New Roman" w:hAnsi="Times New Roman"/>
          <w:sz w:val="20"/>
          <w:szCs w:val="20"/>
          <w:b w:val="1"/>
          <w:bCs w:val="1"/>
          <w:i w:val="1"/>
          <w:iCs w:val="1"/>
          <w:color w:val="auto"/>
        </w:rPr>
        <w:t>de novo</w:t>
      </w:r>
      <w:r>
        <w:rPr>
          <w:rFonts w:ascii="Times New Roman" w:cs="Times New Roman" w:eastAsia="Times New Roman" w:hAnsi="Times New Roman"/>
          <w:sz w:val="20"/>
          <w:szCs w:val="20"/>
          <w:color w:val="auto"/>
        </w:rPr>
        <w:t xml:space="preserve"> or approval of a premarket approval.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Recently, the FDA has also taken a more active role in certain diagnostic areas, including the oversight of pharmacogenetic (“PGx”)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particular, the clinical laboratory and healthcare industry is subject to significant governmental certification and licensing regulations, as well as federal, state and foreign laws regarding:</w:t>
      </w:r>
    </w:p>
    <w:p>
      <w:pPr>
        <w:spacing w:after="0" w:line="121" w:lineRule="exact"/>
        <w:rPr>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 ordering and billing practices;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marketing, sales and pricing practices;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information privacy and security, including HIPAA and comparable state laws;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anti-markup legislation;</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fraud and abuse; and</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80"/>
          </w:cols>
          <w:pgMar w:left="1080" w:top="208" w:right="10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hanging="36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protection.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also required to comply with FDA regulations, including with respect to our labeling and promotion activities. In addition, advertising and marketing of our clinical products are subject to regulation by the Federal Trade Commission (the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with the HIPAA security, privacy and breach notification regulations may increase our costs.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HIPAA privacy, security and breach notification regulations, which include requirements implemented under the HITECH Act, establish federal standards with respect to the uses and disclosures of protected health information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spacing w:after="0" w:line="148" w:lineRule="exact"/>
        <w:rPr>
          <w:sz w:val="20"/>
          <w:szCs w:val="20"/>
          <w:color w:val="auto"/>
        </w:rPr>
      </w:pPr>
    </w:p>
    <w:p>
      <w:pPr>
        <w:jc w:val="both"/>
        <w:ind w:left="720" w:hanging="360"/>
        <w:spacing w:after="0" w:line="257"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patient’s rights to access, amend and receive an accounting of certain disclosures of PHI;</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notify individuals if there is a breach of their PHI;</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contents of notices of privacy practices related to the use and disclosure of PHI;</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technical and physical safeguards required of entities that use or receive PHI;</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criteria related to the deidentification and aggregation of PHI;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and protection of electronic PHI.</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Although HIPAA does not provide for private rights of action, HIPAA gives OCR and the Department of Justice the authority to assess significant fines and other penalties for wrongful use or disclosure of PHI, including potential civil and</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208" w:right="10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criminal fines and penalties. OCR may require an entity to enter into a settlement agreement which may include ongoing oversight and auditing of a company’s HIPAA compliance program.</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 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was determined to be reportable breaches requiring disclosure to 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Some of our activities may subject the Company to risks under federal and state laws prohibiting ‘kickbacks’ and false or fraudulent claims.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These laws constrain, among other things, the sales, marketing and other promotional activities of manufacturers of medical devices and providers of laboratory services by limiting the kinds 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in some cases, criminal penalties (including fines) for noncompliance that can be substantial. In addition, various states have enacted false claim laws analogous to the federal laws that apply where a claim is submitted to any third-party payor and not only a governmental payor program. Moreover, any claim for reimbursement that is predicated on a violation of the Anti-Kickback Statute may constitute a “false claim” under the False Claims Act (discussed in further detail below).</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employees and personal service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208" w:right="10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False Claims Act prohibits knowingly presenting (or causing the presentation of) a false claim for reimbursement by a federal health care program. Violation of the False Claims Act can result in substantial penalties, including treble damages. Moreover, the False Claims Act permits enforcement by qui tam relators (i.e., whistleblowers), such as competitors, customers, or current/former employees, who will receive a portion of any settlement. As discussed 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80"/>
          </w:cols>
          <w:pgMar w:left="1080" w:top="208" w:right="10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operations are subject to other extensive federal, state, local and foreign laws and regulations, all of which are subject to change. These laws and regulations currently include, among others:</w:t>
      </w:r>
    </w:p>
    <w:p>
      <w:pPr>
        <w:spacing w:after="0" w:line="121" w:lineRule="exact"/>
        <w:rPr>
          <w:sz w:val="20"/>
          <w:szCs w:val="20"/>
          <w:color w:val="auto"/>
        </w:rPr>
      </w:pPr>
    </w:p>
    <w:p>
      <w:pPr>
        <w:ind w:left="720" w:hanging="360"/>
        <w:spacing w:after="0" w:line="26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which establishes comprehensive federal standards with respect to the privacy and security of protected health information and requirements for the use of certain standardized electronic transactions;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Data Protection Regulation (“GDPR”) and UK Data Protection Act 2018 (“UK GDPR”),, which imposes strict privacy and security requirements on controllers and processors of European and UK personal data, including enhanced protections for “special categories” of personal data, including sensitive information such as health and genetic information of data subjects;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CCPA , and similar consumer privacy laws in Colorado, Connecticut, Utah, and Virginia, which, among other things, regulate how subject businesses may collect, use, disclose and/or sell the personal information of consumers who reside in each state, affords rights to consumers that they may exercise against businesses that collect their information, and requires implementation of reasonable security measures to safeguard personal information of consumers;</w:t>
      </w:r>
    </w:p>
    <w:p>
      <w:pPr>
        <w:spacing w:after="0" w:line="2"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4"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and human subjects research regulations, including but not limited to the federal Policy for Protection of Human Subjects (45 C.F.R. Part 46), the FDCA and its applicable implementing regulations at 21 C.F.R. Parts 11, 50, 54, 56, 58 and 812, and all equivalent legal requirements in other jurisdictions.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2"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EKRA, which prohibits payments for referrals to recovery homes, clinical treatment facilities, and laboratories and reaches beyond federal health care programs, to include private insurance;</w:t>
      </w:r>
    </w:p>
    <w:p>
      <w:pPr>
        <w:jc w:val="both"/>
        <w:ind w:left="720" w:hanging="360"/>
        <w:spacing w:after="0" w:line="255"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80"/>
          </w:cols>
          <w:pgMar w:left="1080" w:top="208" w:right="10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20"/>
          <w:szCs w:val="20"/>
          <w:color w:val="auto"/>
        </w:rPr>
        <w:t>unless an exception applies, and prohibits an entity from billing for designated health services furnished pursuant to a prohibited referral;</w:t>
      </w:r>
    </w:p>
    <w:p>
      <w:pPr>
        <w:spacing w:after="0" w:line="2" w:lineRule="exact"/>
        <w:rPr>
          <w:sz w:val="20"/>
          <w:szCs w:val="20"/>
          <w:color w:val="auto"/>
        </w:rPr>
      </w:pPr>
    </w:p>
    <w:p>
      <w:pPr>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Claims Act, which imposes liability on any person or entity that, among other things, knowingly presents, or causes to be presented, a false or fraudulent claim for payment to the federal government;</w:t>
      </w:r>
    </w:p>
    <w:p>
      <w:pPr>
        <w:jc w:val="both"/>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payor, including private insurers;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21st Century Cures Act information blocking prohibition, which prohibits covered actors from engaging in certain practices that are likely to interfere with the access, exchange, or use of electronic health information;</w:t>
      </w:r>
    </w:p>
    <w:p>
      <w:pPr>
        <w:jc w:val="both"/>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of medicine, osteopathy,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w:t>
      </w:r>
    </w:p>
    <w:p>
      <w:pPr>
        <w:spacing w:after="0" w:line="2"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limit or prohibit the provision of certain payments and other transfers of value to certain covered healthcare providers;</w:t>
      </w:r>
    </w:p>
    <w:p>
      <w:pPr>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reassignment of Medicare claims, which, subject to certain exceptions, precludes the reassignment of Medicare claims to any other party;</w:t>
      </w:r>
    </w:p>
    <w:p>
      <w:pPr>
        <w:jc w:val="both"/>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payors;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foreign laws and regulations that may apply to us in the countries in which we operate or may operate in the future; and</w:t>
      </w:r>
    </w:p>
    <w:p>
      <w:pPr>
        <w:ind w:left="720" w:hanging="360"/>
        <w:spacing w:after="0" w:line="26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that relate to maintaining accurate information and control over activities that may fall within the purview of the U.S. Foreign Corrupt Practices Act, its books and records provisions, or anti-bribery provisions.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growth of our business and our expansion outside of the U.S.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uncertainty related to healthcare reform, pricing, coverage and reimbursement, which could reduce our revenue.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208" w:right="108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payor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payors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Product and professional liability suits against us could result in expensive and time-consuming litigation, payment of substantial damages and increases in our insurance rates.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Errors, defects, or mistakes in our products or services, and operations could harm our reputation, decrease market acceptance of our products or services.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higher-than-expected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208" w:right="10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3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increasingly complex taxation rules and practices, which may affect how we conduct our business and our results of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inability to effectively protect our proprietary products, processes, and technologies, could harm our competitive position.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currently rely upon trade secret protection and copyright, as well as non-disclosure agreements and confidentiality and intellectual property ownership provisions in agreements with our consultants collaborators, vendors and other third parties, confidentiality and proprietary rights agreements, including invention assignment provisions, with our employees, and, to a limited extent, patent protection, to protect our confidential and proprietary information. As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we deem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rejected during examination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It would be expensive, if we initiate lawsuits to protect or enforce our patents or trade secrets, or defend against third-party IP claims, and if we lose, we may lose some of our intellectual property rights. Furthermore, these lawsuits may divert the attention of our management and technical personnel.</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expect to continue relying substantially upon trade secrets and proprietary know-how protection for our confidential and proprietary information, and we have taken security measures to maintain such protection for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become known. Enforcing a claim that a party illegally disclosed or</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080" w:top="208" w:right="10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inability to effectively protect our proprietary technologies under certain jurisdictions and legal regimes could harm our competitive position.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success and ability to compete in certain jurisdictions and under certain legal regimes depend to a large extent on our ability to develop proprietary products and technologies and to maintain adequate protection of our intellectual property in the U.S. and other countries; this becomes increasingly important as we expand our operations and enter into strategic collaborations with partners to develop and commercialize products outside of the U.S. The laws of some foreign countries do not protect proprietary rights to the same extent as the laws of the U.S., and we may encounter difficulties in establishing and enforcing its proprietary rights in some jurisdictions.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issues arising under patents and patent applications owned or controlled by our collaborators and licensors.</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Any of these factors could adversely affect our ability to obtain commercially relevant or competitively advantageous patent protection for our products.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patent regulations or standards are modified, such changes could have a negative impact on our business.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From time to time, the U.S. Supreme Court, other federal courts, the U.S. Congress or the U.S. Patent &amp; Trademark Office (“USPTO”) may change the standards of patentability and validity of patents within the screening and diagnostics space, and any such changes could have a negative impact on our business.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There have been several cases involving “gene patents” and diagnostic claims that have been considered by the U.S. Supreme Court. In March 2012, the Supreme Court </w:t>
      </w:r>
      <w:r>
        <w:rPr>
          <w:rFonts w:ascii="Times New Roman" w:cs="Times New Roman" w:eastAsia="Times New Roman" w:hAnsi="Times New Roman"/>
          <w:sz w:val="20"/>
          <w:szCs w:val="20"/>
          <w:b w:val="1"/>
          <w:bCs w:val="1"/>
          <w:i w:val="1"/>
          <w:iCs w:val="1"/>
          <w:color w:val="auto"/>
        </w:rPr>
        <w:t>in Mayo Collaborative Services v. Prometheus Laboratories, Inc,</w:t>
      </w:r>
      <w:r>
        <w:rPr>
          <w:rFonts w:ascii="Times New Roman" w:cs="Times New Roman" w:eastAsia="Times New Roman" w:hAnsi="Times New Roman"/>
          <w:sz w:val="20"/>
          <w:szCs w:val="20"/>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Times New Roman" w:cs="Times New Roman" w:eastAsia="Times New Roman" w:hAnsi="Times New Roman"/>
          <w:sz w:val="20"/>
          <w:szCs w:val="20"/>
          <w:b w:val="1"/>
          <w:bCs w:val="1"/>
          <w:i w:val="1"/>
          <w:iCs w:val="1"/>
          <w:color w:val="auto"/>
        </w:rPr>
        <w:t>ACLU v. Myriad Genetics, Inc,</w:t>
      </w:r>
      <w:r>
        <w:rPr>
          <w:rFonts w:ascii="Times New Roman" w:cs="Times New Roman" w:eastAsia="Times New Roman" w:hAnsi="Times New Roman"/>
          <w:sz w:val="20"/>
          <w:szCs w:val="20"/>
          <w:color w:val="auto"/>
        </w:rPr>
        <w:t xml:space="preserve"> that an isolated genomic DNA sequence is not patent eligible, but complimentary DNA, or “cDNA,” is eligible. The </w:t>
      </w:r>
      <w:r>
        <w:rPr>
          <w:rFonts w:ascii="Times New Roman" w:cs="Times New Roman" w:eastAsia="Times New Roman" w:hAnsi="Times New Roman"/>
          <w:sz w:val="20"/>
          <w:szCs w:val="20"/>
          <w:b w:val="1"/>
          <w:bCs w:val="1"/>
          <w:i w:val="1"/>
          <w:iCs w:val="1"/>
          <w:color w:val="auto"/>
        </w:rPr>
        <w:t>Prometheus and Myriad</w:t>
      </w:r>
      <w:r>
        <w:rPr>
          <w:rFonts w:ascii="Times New Roman" w:cs="Times New Roman" w:eastAsia="Times New Roman" w:hAnsi="Times New Roman"/>
          <w:sz w:val="20"/>
          <w:szCs w:val="20"/>
          <w:color w:val="auto"/>
        </w:rPr>
        <w:t xml:space="preserve"> decisions, as well as subsequent case law, affect the legal concept of subject matter eligibility by seemingly narrowing the scope of the statute defining patentable inventions.</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 w:cs="Times New Roman" w:eastAsia="Times New Roman" w:hAnsi="Times New Roman"/>
          <w:sz w:val="20"/>
          <w:szCs w:val="20"/>
          <w:b w:val="1"/>
          <w:bCs w:val="1"/>
          <w:i w:val="1"/>
          <w:iCs w:val="1"/>
          <w:color w:val="auto"/>
        </w:rPr>
        <w:t>Mayo,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Association for Molecular Pathology v. Myriad Genetics, Inc.</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i w:val="1"/>
          <w:iCs w:val="1"/>
          <w:color w:val="auto"/>
        </w:rPr>
        <w:t xml:space="preserve"> Alice Corporation Pty. Ltd. v. CLS Bank International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others. The guidance indicates that claims directed to a law of nature, a natural phenomenon, or an 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 substantive changes to patent law, whether new or associated with the America Invents Act 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non-disclosure agreements and our employees to enter into confidentiality and proprietary rights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208" w:right="10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remedy may not adequately compensate us for the harm caused by the breach. These risks are heightened in countries where laws or law enforcement practices may not protect proprietary rights as fully as in the U.S.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pending trademark applications in the U.S.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Because the USPTO maintains patent applications in secrecy until a patent application publishes or the patent is issued, we have no way of knowing if others may have filed patent applications covering technologies used by it or our partners. Additionally, there may be third-party patents, and other intellectual property rights relevant to our technologies that may block us from commercializing our technologies. From time-to-time, we have received correspondence from third parties alleging to hold intellectual property rights that could block our development or commercialization of products. While none of these inquiries to date have had any material effect on us,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we would prevail in any such suits to the extent necessary to conduct our business according to our strategic plan or that the damages or other remedies, if any, awarded against us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addition, our agreements with some of our customers, suppliers, and other entities with whom we do business require us to defend or indemnify these parties to the extent they become involved in patent infringement claims, including the types of</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208" w:right="10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strategic collaborative and licensing arrangements with third parties to develop intellectual property. We may not be able to successfully establish and maintain such intellectual property.</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Cybersecurity, Privacy and Information Technology</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80"/>
          </w:cols>
          <w:pgMar w:left="1080" w:top="208" w:right="10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payors and other parties. We manage and maintain our applications and data utilizing a combination of on-site systems, managed data center systems and cloud-based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payors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we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208" w:right="10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malicious harm. Penalties for unfair or deceptive acts or practices under the FTC Act or state UDAP, statutes may also vary significantly.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has been unprecedented activity in the development of data protection regulation around the world. As a result, the interpretation and application of consumer, health-related and data protection laws in the U.S., Europe and elsewhere are often uncertain, contradictory and in flux.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U.S. are beginning to propose and enact laws similar to the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It is possible the GDPR, CCPA and other emerging U.S.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In the U.S., the SEC has adopted rules for mandatory disclosure of cybersecurity incidents suffered by public companies, as well as cybersecurity governance and risk management. Complying with these various laws and regulations could cause us to incur substantial costs or require it to change our business practices and compliance procedures in a manner adverse to our business. Any failure or perceived failure by us to comply with these laws may also subject us to enforcement action or litigation, any of which could harm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080" w:top="208" w:right="10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products and services involve the storage and transmission of protected health information and other personal information,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failure to comply with our privacy policies, and/ 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depend on our scientific computing and information technology and management systems and any failure of these systems could harm our business.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depend on scientific computing and information technology and management systems, including third-party cloud computing infrastructure, operating systems and AI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installed, and expect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080" w:top="208" w:right="10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transfer data stored outside of the U.S. could be limited by international regulations or other action by foreign governments, which could adversely affect our business.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Some of the data we process in the ordinary course of our business may be stored outside of the U.S.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market for our securities may not continue, which would adversely affect the liquidity and price of our securities.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meet the expectations of investors, stockholders or financial analysts, the market price of our securities may decline.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affecting the trading price of our securities may include:</w:t>
      </w:r>
    </w:p>
    <w:p>
      <w:pPr>
        <w:spacing w:after="0" w:line="190" w:lineRule="exact"/>
        <w:rPr>
          <w:sz w:val="20"/>
          <w:szCs w:val="20"/>
          <w:color w:val="auto"/>
        </w:rPr>
      </w:pPr>
    </w:p>
    <w:p>
      <w:pPr>
        <w:ind w:left="720" w:hanging="360"/>
        <w:spacing w:after="0" w:line="26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financial results or the quarterly financial results of companies perceived to be similar to us;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market’s expectations about our operating results;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our other public announcements and our filings with the SEC;</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technological innovation, new products, acquisitions, strategic alliances, significant agreements by us or competitors;</w:t>
      </w: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 of competitors;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80"/>
          </w:cols>
          <w:pgMar w:left="1080" w:top="208" w:right="10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hanging="360"/>
        <w:spacing w:after="0" w:line="26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falling below our financial guidance or other projections or failing to meet the expectation of securities analysts or investors in a particular period;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and recommendations by securities analysts concerning us or the market in general;</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and stock price performance of other companies that investors deem comparable to us;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market new and enhanced products on a timely basis;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affecting our business;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commencement of, or involvement in, litigation involving us;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capital structure, such as future issuances of securities or the incurrence of additional debt;</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of shares of our Class A common stock available for public sale;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major change in our Board or management;</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substantial amounts of Class A common stock by our directors, officers or significant stockholders or the perception that such sales could occur;</w:t>
      </w: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the market stand-off or contractual lock-up agreements;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realization of any of the risk factors described herein;</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requirements of the Nasdaq;</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Sarbanes-Oxley Act or other laws or regulations;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potential or perceived control, accounting or reporting problems;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 policies and guidelines; and</w:t>
      </w:r>
    </w:p>
    <w:p>
      <w:pPr>
        <w:spacing w:after="0" w:line="10" w:lineRule="exact"/>
        <w:rPr>
          <w:rFonts w:ascii="Times New Roman" w:cs="Times New Roman" w:eastAsia="Times New Roman" w:hAnsi="Times New Roman"/>
          <w:sz w:val="20"/>
          <w:szCs w:val="20"/>
          <w:color w:val="auto"/>
        </w:rPr>
      </w:pPr>
    </w:p>
    <w:p>
      <w:pPr>
        <w:ind w:left="720" w:right="420" w:hanging="360"/>
        <w:spacing w:after="0" w:line="255"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political conditions such as recessions, rising inflation and interest rates, uncertainty with respect to the U.S. federal budget, global conflicts such as the war in Ukraine and the war in Israel, fuel prices, international currency fluctuations and acts of war or terrorism.</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 the past, securities class action litigation has often been initiated against companies following periods of volatility in their stock price. In particular, on September 7, 2022, a shareholder class action lawsuit was filed in the U.S. District Court for the District of Connecticut against the Company and certain of the Company’s current and former officers. Further, on February 7, 2023, a stockholder commenced a lawsuit in the Delaware Court of Chancery against, among other parties, certain of the Company’s current and former directors. In addition, on November 28, 2023, a stockholder filed a lawsuit in the U.S. District Court for the District of Delaware against, among other parties, certain of the Company’s current and former officers and directors. For more information, see Note 11, </w:t>
      </w:r>
      <w:r>
        <w:rPr>
          <w:rFonts w:ascii="Times New Roman" w:cs="Times New Roman" w:eastAsia="Times New Roman" w:hAnsi="Times New Roman"/>
          <w:sz w:val="20"/>
          <w:szCs w:val="20"/>
          <w:b w:val="1"/>
          <w:bCs w:val="1"/>
          <w:i w:val="1"/>
          <w:iCs w:val="1"/>
          <w:color w:val="auto"/>
        </w:rPr>
        <w:t>“Purchase Commitments and Contingencies”</w:t>
      </w:r>
      <w:r>
        <w:rPr>
          <w:rFonts w:ascii="Times New Roman" w:cs="Times New Roman" w:eastAsia="Times New Roman" w:hAnsi="Times New Roman"/>
          <w:sz w:val="20"/>
          <w:szCs w:val="20"/>
          <w:color w:val="auto"/>
        </w:rPr>
        <w:t xml:space="preserve"> in the consolidated financial statements included in this Annual Report. This type of litigation could result in substantial costs and divert our management’s attention and resources, and could also require us to make substantial payments to satisfy judgments or to settle litigation.</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laws, regulations or rules, or a failure to comply with any laws, regulations or rules, may adversely affect our business, investments and results of operations.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080" w:top="208" w:right="10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contained in our Charter and Bylaws, as well as provisions of Delaware law, could impair a takeover attempt.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Third Amended and Restated Certificate of Incorporation, as amended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44" w:lineRule="exact"/>
        <w:rPr>
          <w:sz w:val="20"/>
          <w:szCs w:val="20"/>
          <w:color w:val="auto"/>
        </w:rPr>
      </w:pPr>
    </w:p>
    <w:p>
      <w:pPr>
        <w:ind w:left="720" w:hanging="360"/>
        <w:spacing w:after="0" w:line="26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cumulative voting in the election of directors, which limits the ability of minority stockholders to elect director candidates;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of directors with three-year staggered terms, which could delay the ability of stockholders to change the membership of a majority of the Board;</w:t>
      </w: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directors may only be removed from the Board for cause;</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by written consent, which forces stockholder action to be taken at an annual or special meeting of our stockholders;</w:t>
      </w:r>
    </w:p>
    <w:p>
      <w:pPr>
        <w:jc w:val="both"/>
        <w:ind w:left="720" w:hanging="36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changes or amendments to certain provisions of our Charter must be approved by holders of at least two-thirds of our Class A common stock; and</w:t>
      </w:r>
    </w:p>
    <w:p>
      <w:pPr>
        <w:jc w:val="both"/>
        <w:ind w:left="720" w:hanging="360"/>
        <w:spacing w:after="0" w:line="253"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currently qualify as an “emerging growth company” as defined in Section 2(a)(19) of the Securities Act, as modified by the Jumpstart Our Business Startups Act (“JOBS”).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$1.235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208" w:right="10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Additionally, we are a “smaller reporting company” as defined in Item 10(f)(1) of Regulation S-K. Smaller reporting companies may take advantage of certain reduced disclosure obligations, including, among other things, providing only two years of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1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internal controls over financial reporting may not be effective which could have a significant and adverse effect on our business and reputation.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Charter and our Amended and Restated Bylaws (as amended,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Charter and our Bylaws provide that, subject to limited exceptions, the Court of Chancery of the State of Delaware and federal court within the State of Delaware will be exclusive forums for any:</w:t>
      </w:r>
    </w:p>
    <w:p>
      <w:pPr>
        <w:spacing w:after="0" w:line="121" w:lineRule="exact"/>
        <w:rPr>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action or proceeding brought on our behalf;</w:t>
      </w:r>
    </w:p>
    <w:p>
      <w:pPr>
        <w:spacing w:after="0" w:line="3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asserting a claim of breach of a fiduciary duty owed by, or other wrongdoing by, any of our directors, officers, stockholders, employees or agents to us or our stockholders;</w:t>
      </w:r>
    </w:p>
    <w:p>
      <w:pPr>
        <w:jc w:val="both"/>
        <w:ind w:left="720" w:hanging="360"/>
        <w:spacing w:after="0" w:line="25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asserting a claim against the us or any of our directors, officers, stockholders, employees or agents arising pursuant to any provision of the General Corporation Law, our Charter or our Bylaws or as to which the General Corporation Law confers jurisdiction on the Court of Chancery of the State of Delaware:</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to interpret, apply, enforce or determine the validity of our Charter or our Bylaws; or</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action asserting a claim against us or any of our directors, officers, stockholders, employees or agents that is governed by the internal affairs doctrine.</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provisions do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U.S. will be, to the fullest extent permitted by law, the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208" w:right="10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exclusive forum for the resolution of any complaint asserting a cause of action arising under the Securities Act. Any person or entity purchasing or otherwise acquiring or holding any interest in any of our securities shall be deemed to have notice of and consented these provisions in our Charter and our Bylaws.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provisions contained in our Charter and our Bylaws to be inapplicable or unenforceable in an action, we may incur additional costs associated with resolving such action in other jurisdictions, which could harm our business, results of operations and financial condition.</w:t>
      </w:r>
    </w:p>
    <w:p>
      <w:pPr>
        <w:spacing w:after="0" w:line="1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stockholders will not be deemed to have waived our compliance with the federal securities laws and the regulations promulgated thereunder.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Any person or entity purchasing or otherwise acquiring or holding any interest in any of our securities shall be deemed to have notice of and consented to our exclusive forum provisions.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 and Warrants</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ownership of our outstanding Class A common stock is concentrated, with certain of our stockholders owning significant percentages of our outstanding shares.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Icahn School of Medicine at Mount Sinai (“ISMMS”), OPKO Health, Inc. (“OPKO”), entities affiliated with Casdin Partners Master Fund, L.P. (“Casdin Partners”), and Corvex Management, L.P. (“Corvex Management”) are some of our significant stockholders, which owned approximately 11%, 11%, 12% and 10%, respectively, of our outstanding shares of our Class A common stock as of December 31, 2023. In addition, Mr. Richard C. Pfenniger, Jr., one of our directors also serves as a director of OPKO, Mr. Eli D. Casdin, one of our directors, is affiliated with Casdin Partners and CMLS Holdings, LLC (“CMLS Holdings”), which owned approximately 1% of our outstanding shares of our Class A common stock as of December 31, 2023, and Mr. Keith Meister, one of our directors, is affiliated with Corvex Management and CMLS Holdings.</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stockholders may choose to dispose of some or all of the shares of our Class A common stock held by them. Any disposal of shares of Class A common stock by any of these stockholders, or the perception that these sales could occur, could cause the market price of our stock or warrants to decline.</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Class A common stock purchasable upon exercise of a public warrant could be decreased, all without the approval of that warrant holder.</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redeem unexpired public warrants prior to their exercise at a time that is disadvantageous to warrant holders, thereby making their public warrants worthless.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the ability to redeem outstanding public warrants at any time after they become exercisable and prior to their expiration, at a price of $0.33 per public warrant; provided that the last reported sales price of our Class A common stock equals or exceeds $594.00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80"/>
          </w:cols>
          <w:pgMar w:left="1080" w:top="208" w:right="10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its permitted transferees. Additionally, none of the private warrants issued to Perceptive are redeemable by us so long as the warrants are held by Perceptive, or its permitted transferees.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of December 31, 2023, our public warrants were exercisable for 452,272 shares of Class A common stock at $379.50 per share, our private warrants were exercisable for 214,243 shares of Class A common stock at $379.50 per share, and our private warrants issued to Perceptive were exercisable for 800,000 shares of Class A common stock at $3.18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warrants are accounted for as liabilities and the changes in value of our warrants could have a material effect on our financial results.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Included on our consolidated balance sheet as of December 31, 2023, are liabilities related to our public and private warrants which are each remeasured at fair value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in our results of operations and that the amount of such gains or losses could be material. For example, during 2023, we recognized $0.2 million in non-cash gains on the fair value of our warrants due to the change in fair market value. If the price of our Class A common stock decreases, we expect we would recognize non-cash gains on our warrants in future reporting periods.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resales of our Class A common stock could cause the market price of our Class A common stock to drop significantly, even if our business is doing well.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had 25,978,863 shares of Class A common stock outstanding as of December 31, 2023. We have filed a registration statement which registers the offer and sale from time to time by certain selling stockholders of up to 10,803,779 shares of our Class A common stock, although the 2,873,738 shares of our Class A common stock registered on behalf of OPKO pursuant to this registration statement will be subject to certain transfer restrictions pursuant to the shareholder agreements that were entered into in connection with the Acquisition. To the extent shares of our Class A common stock are sold into the market pursuant to an effective registration statement, under Rule 144 under the Securities Act or otherwise, particularly in substantial quantities and following the end of the transfer restrictions provided for in the shareholder agreements in the case of OPKO and the other stockholders party to such shareholder agreements, the market price of our Class A common stock could decline.</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There is no guarantee that the public warrants will ever be in the money, and they may expire worthless and the terms of our public warrants may be amended.</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exercise price for the public warrants is $379.50 per share of Class A common stock. There is no guarantee that the public warrants will ever be in the money prior to their expiration, and as such, the public warrants may expire worthless.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80"/>
          </w:cols>
          <w:pgMar w:left="1080" w:top="208" w:right="10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Class A common stock and public warrants are listed on the Nasdaq under the symbols “WGS” and “WGSWW,” respectively. However, we cannot ensure that we will be able to satisfy the continued listing standards of Nasdaq, including the minimum closing bid price requirement, going forward. If we cannot satisfy the continued listing standards going forward, The Nasdaq Stock Market may commence delisting procedures against us, which could result in our Class A common stock or public warrants being removed from listing on Nasdaq. If either of our Class A common stock or public warrants were to be delisted, the liquidity of our Class A common stock or warrants could be adversely affected and the market price of our Class A common stock or warrants could decrease. Delisting could also adversely affect our securityholders’ ability to trade or obtain quotations on our securities because of lower trading volumes and transaction delays. These factors could contribute to lower prices and larger spreads in the bid and ask price for our securities. Investors may also not be able to resell their Class A common stock or warrants at or above the price they paid for such securities or at all.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221E1F"/>
        </w:rPr>
        <w:t>Our board of directors recognizes the critical importance of maintaining the trust and confidence of our customers, healthcare providers, clients, business partners, and employees. Our board of directors actively oversees our risk management program, and cybersecurity represents an important component of our overall approach to enterprise risk management (“ERM”). In general, we seek to address cybersecurity risks through a cross-functional approach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21E1F"/>
        </w:rPr>
        <w:t>Risk Management and Strategy</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one of the critical elements of our overall ERM approach, our cybersecurity program is focused on the following key areas: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Governance: </w:t>
      </w:r>
      <w:r>
        <w:rPr>
          <w:rFonts w:ascii="Times New Roman" w:cs="Times New Roman" w:eastAsia="Times New Roman" w:hAnsi="Times New Roman"/>
          <w:sz w:val="20"/>
          <w:szCs w:val="20"/>
          <w:color w:val="auto"/>
        </w:rPr>
        <w:t>As discussed in more detail under the heading “Governance,” the audit committee of our board of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supports the board of directors oversight of cybersecurity risk management, which regularly interacts with our ERM function, our Head of Information Security (“HIS”) and other members of management.</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Cross-Functional Approach: </w:t>
      </w:r>
      <w:r>
        <w:rPr>
          <w:rFonts w:ascii="Times New Roman" w:cs="Times New Roman" w:eastAsia="Times New Roman" w:hAnsi="Times New Roman"/>
          <w:sz w:val="20"/>
          <w:szCs w:val="20"/>
          <w:color w:val="auto"/>
        </w:rPr>
        <w:t>We have implemented a cross-functional approach to identifying, preventing, and mitigating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Technical Safeguards: </w:t>
      </w:r>
      <w:r>
        <w:rPr>
          <w:rFonts w:ascii="Times New Roman" w:cs="Times New Roman" w:eastAsia="Times New Roman" w:hAnsi="Times New Roman"/>
          <w:sz w:val="20"/>
          <w:szCs w:val="20"/>
          <w:color w:val="auto"/>
        </w:rPr>
        <w:t>We deploy commercially reasonable technical safeguards that are designed to protect our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Third-Party Risk Management: </w:t>
      </w:r>
      <w:r>
        <w:rPr>
          <w:rFonts w:ascii="Times New Roman" w:cs="Times New Roman" w:eastAsia="Times New Roman" w:hAnsi="Times New Roman"/>
          <w:sz w:val="20"/>
          <w:szCs w:val="20"/>
          <w:color w:val="auto"/>
        </w:rPr>
        <w:t>We maintain a risk-based approach to identifying and overseeing cybersecurity risks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presented by third parties, including vendors, service providers and other external users of our systems, as well as the systems of third parties that could adversely impact our business in the event of a cybersecurity incident affecting those third-party systems.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Education and Awareness: </w:t>
      </w:r>
      <w:r>
        <w:rPr>
          <w:rFonts w:ascii="Times New Roman" w:cs="Times New Roman" w:eastAsia="Times New Roman" w:hAnsi="Times New Roman"/>
          <w:sz w:val="20"/>
          <w:szCs w:val="20"/>
          <w:color w:val="auto"/>
        </w:rPr>
        <w:t>We provide regular, mandatory training for personnel regarding cybersecurity threats as a means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equip our personnel with effective tools to address cybersecurity threats, and to communicate our evolving information security policies, standards, processes and practices.</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221E1F"/>
        </w:rPr>
        <w:t>We engage in the routine, periodic assessment and testing of our policies, standards, processes and practices that are designed to address cybersecurity threats and incidents. These efforts include a wide range of activities, including audits, assessments and other exercises focused on evaluating the effectiveness of our cybersecurity measures and planning. We regularly engage third parties to perform assessments on our cybersecurity measures, including information security maturity assessments,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80"/>
          </w:cols>
          <w:pgMar w:left="1080" w:top="208" w:right="10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21E1F"/>
        </w:rPr>
        <w:t>audits and independent reviews of our information security control environment and operating effectiveness. The results of such assessments, audits and reviews are reported to our audit committee, and we adjust our cybersecurity policies, standards, processes, and practices as necessary based on the information provided by these assessments, audits and reviews.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21E1F"/>
        </w:rPr>
        <w:t>Governance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221E1F"/>
        </w:rPr>
        <w:t>Our board of directors, in coordination with our audit committee, oversees our ERM process, including the management of risks arising from cybersecurity threats. Our audit committee receives regular presentations and reports on cybersecurity risks. Our board of directors and audit committee receives and reviews prompt and timely information regarding any incident that may be considered material to investor or otherwise could materially affect core company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21E1F"/>
        </w:rPr>
        <w:t>Our HIS works collaboratively across the company to implement a program designed to protect our information systems from cybersecurity threats and to promptly respond to any cybersecurity incidents in accordance with our incident response and recovery plans. Through ongoing communications with these teams, our HIS monitors the prevention, detection, mitigation and remediation of cybersecurity threats and incidents in real time, and such threats and incidents are reported to our audit committee when appropriate.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21E1F"/>
        </w:rPr>
        <w:t>Our HIS has served in various roles in information technology and information security for over 14 years and holds an undergraduate degree in Management Information System and a graduate degree in Human Resource Management and has attained the professional certification of Certified Chief Information Security Officer.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21E1F"/>
        </w:rPr>
        <w:t>Risks from cybersecurity threats, including as a result of any previous cybersecurity incidents, have not materially affected, and the Company believes that such risks are not reasonably likely to materially affect the Company, including its business strategy, results of operations or financial condition.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221E1F"/>
        </w:rPr>
        <w:t>Although we are subject to ongoing and evolving cybersecurity threats, we are not aware of any material risks from cybersecurity threats in 2023 that have materially affected or are reasonably likely to materially affect us, including our business strategy, results of operations or financial condition. For more information on our cybersecurity risks, see “Risk Factors</w:t>
      </w:r>
      <w:r>
        <w:rPr>
          <w:rFonts w:ascii="Times New Roman" w:cs="Times New Roman" w:eastAsia="Times New Roman" w:hAnsi="Times New Roman"/>
          <w:sz w:val="20"/>
          <w:szCs w:val="20"/>
          <w:b w:val="1"/>
          <w:bCs w:val="1"/>
          <w:i w:val="1"/>
          <w:iCs w:val="1"/>
          <w:color w:val="221E1F"/>
        </w:rPr>
        <w:t>—Risks Related to Cybersecurity, Privacy and Information Technology</w:t>
      </w:r>
      <w:r>
        <w:rPr>
          <w:rFonts w:ascii="Times New Roman" w:cs="Times New Roman" w:eastAsia="Times New Roman" w:hAnsi="Times New Roman"/>
          <w:sz w:val="20"/>
          <w:szCs w:val="20"/>
          <w:color w:val="221E1F"/>
        </w:rPr>
        <w: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Properties for our core operations include our corporate office and headquarters located in Stamford, Connecticut, our primary operating laboratory located in Gaithersburg, Maryland, and a satellite meeting space located in New York City; each are leased spaces with an aggregate of approximately 115,000 square feet. The lease agreements for these properties expire in 2034, 2031, and 2025, respectively.</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previously disclosed, our laboratories in Branford, Connecticut and Stamford, Connecticut have ceased operations as part of our announced exits in 2022 from reproductive health and somatic tumor testing. These facilities as well as a portion of our headquarters located in Stamford, Connecticut are actively being marketed for sublet; however, the outstanding lease obligations remain obligations. The lease agreements for these properties expire in 2030 and 2036,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that our current facilities are suitable and adequate to meet our current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Information regarding legal proceedings can be found in the consolidated financial statements in Note 11, “</w:t>
      </w:r>
      <w:r>
        <w:rPr>
          <w:rFonts w:ascii="Times New Roman" w:cs="Times New Roman" w:eastAsia="Times New Roman" w:hAnsi="Times New Roman"/>
          <w:sz w:val="20"/>
          <w:szCs w:val="20"/>
          <w:b w:val="1"/>
          <w:bCs w:val="1"/>
          <w:i w:val="1"/>
          <w:iCs w:val="1"/>
          <w:color w:val="auto"/>
        </w:rPr>
        <w:t>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included in this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080"/>
          </w:cols>
          <w:pgMar w:left="1080" w:top="208" w:right="10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9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Since January 10, 2023, our Class A common stock and public warrants have been trading on the Nasdaq Global Select Market under the symbols “WGS” and “WGSWW,” respectively. From July 23, 2021 to January 9, 2023, our Class A common stock and public warrants traded on the Nasdaq Global Select Market under the symbols “SMFR” and “SMFRW”, respectively. Prior to the Business Combination, CMLS’s Class A common stock, CMLS’s public warrants, and CMLS’s public units were listed on the Nasdaq Capital Market under the symbols “CMLF”, “CMFLW”, and “CMLFU”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of February 20, 2024, there were 45 record holders of our Class A common stock and 5 record holders of our public warrants, based upon information received from our transfer agent. However, this number does not reflect beneficial owners whose shares were held of record by nominees or broker dealers. We believe a substantially greater number of beneficial owners hold shares of our Class A common stock or public warrants through brokers, banks, or other nominees.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 Policy</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have never paid any cash dividends on our capital stock. We anticipate that we will retain earnings, if any, to support operations and to finance the growth and development of our business. In addition, the terms of our credit agreement with Perceptive Credit Holdings IV, LP restrict us from paying cash dividends. Therefore, we do not expect to pay cash dividends for the foreseeable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Unregistered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of Equity Securities by the Issuer and Affiliated Purchasers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80"/>
          </w:cols>
          <w:pgMar w:left="1080" w:top="208" w:right="10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You should read the following discussion and analysis of our financial condition and results of operations together with our consolidated financial statements and related notes appearing elsewhere in this Annual Report on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History Overview</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Mount Sinai Genomics, Inc. d/b/a as Sema4 (“Legacy Sema4”) was established out of the Mount Sinai Health System and commenced operations as a commercial entity on June 1, 2017. Legacy Sema4 derived the majority of its revenue from diagnostic testing services, which primarily related to reproductive and women’s health and somatic tumor testing. In addition, between May 2020 through March 31, 2022, Legacy Sema4 provided COVID-19 diagnostic testing services.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GeneDx, LLC (formerly, GeneDx, Inc.) (“Legacy GeneDx”), which derives its revenue primarily from diagnostic testing services, including revenue related to exome sequencing and whole genome sequencing, was acquired by us on April 29, 2022 (the “Acquisition”). The diagnostic testing services businesses of Legacy Sema4 were discontinued as of the end of the first quarter of 2023, and our continuing operations now include the combination of the Legacy GeneDx diagnostic testing services business with the data and information business of Legacy Sema4.</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Additional information on Legacy GeneDx and Legacy Sema4 can be found in the consolidated financial statements in Note 1, “</w:t>
      </w:r>
      <w:r>
        <w:rPr>
          <w:rFonts w:ascii="Times New Roman" w:cs="Times New Roman" w:eastAsia="Times New Roman" w:hAnsi="Times New Roman"/>
          <w:sz w:val="20"/>
          <w:szCs w:val="20"/>
          <w:b w:val="1"/>
          <w:bCs w:val="1"/>
          <w:i w:val="1"/>
          <w:iCs w:val="1"/>
          <w:color w:val="auto"/>
        </w:rPr>
        <w:t>Organization and Description of Business</w:t>
      </w:r>
      <w:r>
        <w:rPr>
          <w:rFonts w:ascii="Times New Roman" w:cs="Times New Roman" w:eastAsia="Times New Roman" w:hAnsi="Times New Roman"/>
          <w:sz w:val="20"/>
          <w:szCs w:val="20"/>
          <w:color w:val="auto"/>
        </w:rPr>
        <w:t>” included within this Annual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Our Performance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20"/>
          <w:szCs w:val="20"/>
          <w:b w:val="1"/>
          <w:bCs w:val="1"/>
          <w:i w:val="1"/>
          <w:iCs w:val="1"/>
          <w:color w:val="auto"/>
        </w:rPr>
        <w:t>Item 1A. Risk Factors</w:t>
      </w:r>
      <w:r>
        <w:rPr>
          <w:rFonts w:ascii="Times New Roman" w:cs="Times New Roman" w:eastAsia="Times New Roman" w:hAnsi="Times New Roman"/>
          <w:sz w:val="20"/>
          <w:szCs w:val="20"/>
          <w:color w:val="auto"/>
        </w:rPr>
        <w:t>” for more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Number of resulted tests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Success obtaining and maintaining reimbursement</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80"/>
          </w:cols>
          <w:pgMar w:left="1080" w:top="208" w:right="10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Ability to lower the costs associated with performing our tests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Increasing adoption of our services by existing and new customers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in platform innovation to support commercial growth</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COVID-19 Impact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2023, our test volumes improved to what would, at this time, be considered normalized market conditions.</w:t>
      </w:r>
    </w:p>
    <w:p>
      <w:pPr>
        <w:spacing w:after="0" w:line="19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In March 2020, the Coronavirus Aid, Relief and Economic Security Act (“CARES Act”), was signed into law. The CARES Act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expense (income), net in the statements of operations and comprehensive loss during the periods in which we received the funds.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Funds provided under the ERC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80"/>
          </w:cols>
          <w:pgMar w:left="1080" w:top="208" w:right="10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for the ERC, we concluded that it was reasonably possible the eligibility requirements would be met; however, due to a change in circumstances, we re-evaluated our position and concluded that the funds received under the ERC needed to be repaid. In 2022, we deferred the recognition of the funds received under the ERC and repaid them in July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report.</w:t>
      </w:r>
    </w:p>
    <w:p>
      <w:pPr>
        <w:spacing w:after="0" w:line="1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we resulted 222,934 tests, all of which were processed by the Legacy GeneDx laboratory compared to the period ended December 31, 2022, in which we resulted 528,876 tests in our Legacy GeneDx and Legacy Sema4 laboratories. This volume decrease from 2022 to 2023 was primarily attributed to our decision to terminate our Legacy Sema4 reproductive health and somatic oncology testing activities in 2022, and was partially offset by the addition of volumes from Legacy GeneDx’s laboratory subsequent to the closing of the Acquisition.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 Revenue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The discontinued Legacy Sema4 diagnostics business previously provided reproductive and women’s health testing and screening, as well as somatic tumor testing.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Services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cost of services reflect the aggregate costs incurred in performing services, which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IT costs associated with delivery</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080"/>
          </w:cols>
          <w:pgMar w:left="1080" w:top="208" w:right="10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services. Allocated costs include depreciation of laboratory equipment, facility occupancy, and information technology costs.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cost of services are recorded as the services are performed.</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and Marketing Expenses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for us. Allocated genetic counseling service cost for Legacy Sema4 is recorded as general and administrative expenses, as the activities are not expected to support selling and marketing expenses of Legacy Sema4. Selling and marketing costs are expensed as incurred.</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expenses primarily consist of personnel-related expenses (comprising salaries, billing and benefits) and stock-based compensation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We expect these expenses to decrease as a percentage of revenue in the long term as revenue increases, although the percentage may fluctuate from period to period due to fluctuations in our compensation-related charges.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080" w:top="208" w:right="10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2023 and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147320</wp:posOffset>
            </wp:positionV>
            <wp:extent cx="6429375" cy="432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9375" cy="4327525"/>
                    </a:xfrm>
                    <a:prstGeom prst="rect">
                      <a:avLst/>
                    </a:prstGeom>
                    <a:noFill/>
                  </pic:spPr>
                </pic:pic>
              </a:graphicData>
            </a:graphic>
          </wp:anchor>
        </w:drawing>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4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8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2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23"/>
                <w:szCs w:val="23"/>
                <w:color w:val="auto"/>
              </w:rPr>
            </w:pPr>
          </w:p>
        </w:tc>
        <w:tc>
          <w:tcPr>
            <w:tcW w:w="13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Diagnostic test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195,654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227,334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88"/>
        </w:trPr>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65"/>
        </w:trPr>
        <w:tc>
          <w:tcPr>
            <w:tcW w:w="4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202,566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234,694</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(32,128)</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65"/>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112,560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261,444</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(148,884)</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65"/>
        </w:trPr>
        <w:tc>
          <w:tcPr>
            <w:tcW w:w="4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Gross profit (loss)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90,006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(26,750)</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116,756</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58,266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86,203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85"/>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85"/>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133,755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85"/>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Impairment loss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8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expenses,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7,223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911</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r>
        <w:trPr>
          <w:trHeight w:val="265"/>
        </w:trPr>
        <w:tc>
          <w:tcPr>
            <w:tcW w:w="4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Loss from operations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(180,596)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(667,652)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487,056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54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Non-operating income (expenses), net</w:t>
            </w: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2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Change in fair market value of warrant and earn-out</w:t>
            </w: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70,229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(69,059)</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60"/>
        </w:trPr>
        <w:tc>
          <w:tcPr>
            <w:tcW w:w="4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contingent liabilities</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0" w:type="dxa"/>
            <w:vAlign w:val="bottom"/>
          </w:tcPr>
          <w:p>
            <w:pPr>
              <w:spacing w:after="0"/>
              <w:rPr>
                <w:sz w:val="1"/>
                <w:szCs w:val="1"/>
                <w:color w:val="auto"/>
              </w:rPr>
            </w:pPr>
          </w:p>
        </w:tc>
      </w:tr>
      <w:tr>
        <w:trPr>
          <w:trHeight w:val="288"/>
        </w:trPr>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1,562</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2740 %</w:t>
            </w:r>
          </w:p>
        </w:tc>
        <w:tc>
          <w:tcPr>
            <w:tcW w:w="0" w:type="dxa"/>
            <w:vAlign w:val="bottom"/>
          </w:tcPr>
          <w:p>
            <w:pPr>
              <w:spacing w:after="0"/>
              <w:rPr>
                <w:sz w:val="1"/>
                <w:szCs w:val="1"/>
                <w:color w:val="auto"/>
              </w:rPr>
            </w:pPr>
          </w:p>
        </w:tc>
      </w:tr>
      <w:tr>
        <w:trPr>
          <w:trHeight w:val="265"/>
        </w:trPr>
        <w:tc>
          <w:tcPr>
            <w:tcW w:w="4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non-operating income, net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3,903</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69,620</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(65,717)</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(176,693)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(598,032)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421,339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8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49,052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(48,126)</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373,213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Total revenue decreased by $32.1 million, or 14%, to $203 million for the year ended December 31, 2023, from $234.7 million for the year ended December 31, 2022.</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Diagnostic test revenue decreased by $31.7 million, or 14%, to $195.7 million for the year ended December 31, 2023, from $227.3 million for the year ended December 31, 2022. The decrease was attributable to lower revenues from the now discontinued Legacy Sema4 business, partially offset by an increase in diagnostic test revenue from Legacy GeneDx driven by an increase in whole exome and genome sequencing test volumes. In addition, the prior period only reflected Legacy GeneDx’s revenue following the closing of the Acquisition.</w:t>
      </w:r>
    </w:p>
    <w:p>
      <w:pPr>
        <w:spacing w:after="0" w:line="1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Other revenue decreased by $0.4 million, or 6%, to $6.9 million for the year ended December 31, 2023, from $7.4 million for the year ended December 31, 2022 due to lower revenues from the now discontinued Legacy Sema4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 (Loss)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Gross profit increased by $116.8 million for the year ended December 31, 2023, driven by a combination of lower cost of services from the now discontinued Legacy Sema4 business and improved margins from Legacy GeneDx. The gross profit performance from Legacy GeneDx reflected favorable volume mix shift to higher margin whole exome and genome tests, and lower average cost per test associated with these tests. In addition, the prior year only reflected Legacy GeneDx’s results following the closing of the Acquisition in April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Research and development expenses decreased by $27.9 million, or 32%, to $58.3 million for the year ended December 31, 2023, from $86.2 million for the year ended December 31, 2022. The decrease was primarily attributable to lower current year costs from the now discontinued Legacy Sema4 business, which included a $4.3 million decrease in stock compensation</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080"/>
          </w:cols>
          <w:pgMar w:left="1080" w:top="208" w:right="108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expense resulting from forfeitures of unvested equity awards by terminated employees. In addition, the prior year only reflected Legacy GeneDx’s research and development costs following the closing of the Acquisition in April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and Marketing</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Selling and marketing expenses decreased by $61.1 million, or 50%, to $61.0 million for the year ended December 31, 2023, from $122.1 million for the year ended December 31, 2022. The decrease was primarily attributable to lower current year costs from the now discontinued Legacy Sema4 business, including a $6.7 million decrease in stock compensation expense resulting from forfeitures of unvested equity awards by terminated employees. In addition, the prior year only reflected Legacy GeneDx’s selling and marketing costs following the closing of the Acquisition in April 2022. This decrease was partially offset by higher Legacy GeneDx costs, in line with the increase in post-Acquisition revenue.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General and administrative expenses decreased by $82.4 million, or 38%, to $133.8 million for the year ended December 31, 2023, from $216.2 million for the year ended December 31, 2022. The decrease was primarily attributable to lower current year cost from the now discontinued Legacy Sema4 business and a $25.0 million reduction of stock compensation expense in the current period resulting from forfeitures of unvested equity awards by employees terminated in connection with fiscal 2023 headcount reduction actions. In addition, the prior year only reflected Legacy GeneDx’s general and administrative costs following the closing of the Acquisition in April 2022. The decrease was partially offset by $4.0 million of accelerated depreciation recorded in the current year to write-down the remaining assets at the two closed Legacy Sema4 labs.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Loss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non-cash charge of $10.4 million for the year ended December 31, 2023 reflected the impairment of certain capital and right-of-use asset leases. See Note 6, “</w:t>
      </w:r>
      <w:r>
        <w:rPr>
          <w:rFonts w:ascii="Times New Roman" w:cs="Times New Roman" w:eastAsia="Times New Roman" w:hAnsi="Times New Roman"/>
          <w:sz w:val="20"/>
          <w:szCs w:val="20"/>
          <w:b w:val="1"/>
          <w:bCs w:val="1"/>
          <w:i w:val="1"/>
          <w:iCs w:val="1"/>
          <w:color w:val="auto"/>
        </w:rPr>
        <w:t>Property and Equipment, net</w:t>
      </w:r>
      <w:r>
        <w:rPr>
          <w:rFonts w:ascii="Times New Roman" w:cs="Times New Roman" w:eastAsia="Times New Roman" w:hAnsi="Times New Roman"/>
          <w:sz w:val="20"/>
          <w:szCs w:val="20"/>
          <w:color w:val="auto"/>
        </w:rPr>
        <w:t>” to our consolidated financial statements for further information.</w:t>
      </w:r>
    </w:p>
    <w:p>
      <w:pPr>
        <w:spacing w:after="0" w:line="1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non-cash charge of $210.1 million for the year ended December 31, 2022 reflected the impairment of goodwill and other charges associated with the now discontinued Legacy Sema4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Operating Expenses, Net</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Other operating expenses, net were $7.2 million for the year ended December 31, 2023 and included related party expenses of $6.0 million and non-cash charges of $3.6 million to reserve for obsolete Legacy Sema4 inventory, partially offset by a current year gain of $1.7 million recognized on the sale of certain assets sold as a result of an auction. Other operating expenses, net were $6.3 million for the year ended December 31, 2022 primarily reflected related party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Net</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Non-operating income, net, decreased by $65.7 million, due to the significant decline in fair value of our warrant and earn-out contingent liabilities taken in the prior year and $1.0 million of contract termination costs in the current year associated with the now discontinued Legacy Sema4 business. This decrease was partially offset by interest income in the current year due to higher interest rates associated with money market funds we invested in with proceeds from our public offering of Class A common stock in the first quarter of 2023 and the principal loan forgiveness of $2.8 million under the amendment to the Connecticut Department of Economic and Community Development (“DECD”) loan. See Note 9, </w:t>
      </w:r>
      <w:r>
        <w:rPr>
          <w:rFonts w:ascii="Times New Roman" w:cs="Times New Roman" w:eastAsia="Times New Roman" w:hAnsi="Times New Roman"/>
          <w:sz w:val="20"/>
          <w:szCs w:val="20"/>
          <w:b w:val="1"/>
          <w:bCs w:val="1"/>
          <w:i w:val="1"/>
          <w:iCs w:val="1"/>
          <w:color w:val="auto"/>
        </w:rPr>
        <w:t>“Long-Term Debt”</w:t>
      </w:r>
      <w:r>
        <w:rPr>
          <w:rFonts w:ascii="Times New Roman" w:cs="Times New Roman" w:eastAsia="Times New Roman" w:hAnsi="Times New Roman"/>
          <w:sz w:val="20"/>
          <w:szCs w:val="20"/>
          <w:color w:val="auto"/>
        </w:rPr>
        <w:t xml:space="preserve"> to our consolidated financial statements for further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80"/>
          </w:cols>
          <w:pgMar w:left="1080" w:top="208" w:right="108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and the reconciliation of these non-GAAP financial measures to their most directly comparable GAAP financial measures, and not to rely on any single financial measure to evaluate our business.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43" w:lineRule="exact"/>
        <w:rPr>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expenditures or future requirements for capital expenditures or contractual commitments;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working capital needs;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replacing the assets being depreciated, which will often have to be replaced in the future;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non-cash component of employee compensation expense; and</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earnings or charges resulting from matters we consider not to be reflective, on a recurring basis, of our ongoing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Gross Profit and Adjusted Gross Margin</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22222"/>
        </w:rPr>
        <w:t>The following is a reconciliation of revenue to our Adjusted Gross Profit and Adjusted Gross Margin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22222"/>
        </w:rPr>
        <w:t xml:space="preserve">December 31, 2023 and 2022 </w:t>
      </w:r>
      <w:r>
        <w:rPr>
          <w:rFonts w:ascii="Times New Roman" w:cs="Times New Roman" w:eastAsia="Times New Roman" w:hAnsi="Times New Roman"/>
          <w:sz w:val="20"/>
          <w:szCs w:val="20"/>
          <w:color w:val="000000"/>
        </w:rPr>
        <w:t>(in thousands)</w:t>
      </w:r>
      <w:r>
        <w:rPr>
          <w:rFonts w:ascii="Times New Roman" w:cs="Times New Roman" w:eastAsia="Times New Roman" w:hAnsi="Times New Roman"/>
          <w:sz w:val="20"/>
          <w:szCs w:val="20"/>
          <w:color w:val="222222"/>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4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0" w:type="dxa"/>
            <w:vAlign w:val="bottom"/>
          </w:tcPr>
          <w:p>
            <w:pPr>
              <w:spacing w:after="0"/>
              <w:rPr>
                <w:sz w:val="1"/>
                <w:szCs w:val="1"/>
                <w:color w:val="auto"/>
              </w:rPr>
            </w:pPr>
          </w:p>
        </w:tc>
      </w:tr>
      <w:tr>
        <w:trPr>
          <w:trHeight w:val="265"/>
        </w:trPr>
        <w:tc>
          <w:tcPr>
            <w:tcW w:w="7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364"/>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64"/>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30"/>
        </w:trPr>
        <w:tc>
          <w:tcPr>
            <w:tcW w:w="74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Revenue</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42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202,566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234,694</w:t>
            </w:r>
          </w:p>
        </w:tc>
        <w:tc>
          <w:tcPr>
            <w:tcW w:w="0" w:type="dxa"/>
            <w:vAlign w:val="bottom"/>
          </w:tcPr>
          <w:p>
            <w:pPr>
              <w:spacing w:after="0"/>
              <w:rPr>
                <w:sz w:val="1"/>
                <w:szCs w:val="1"/>
                <w:color w:val="auto"/>
              </w:rPr>
            </w:pPr>
          </w:p>
        </w:tc>
      </w:tr>
      <w:tr>
        <w:trPr>
          <w:trHeight w:val="28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color w:val="auto"/>
              </w:rPr>
              <w:t>112,560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color w:val="auto"/>
              </w:rPr>
              <w:t>261,444</w:t>
            </w:r>
          </w:p>
        </w:tc>
        <w:tc>
          <w:tcPr>
            <w:tcW w:w="0" w:type="dxa"/>
            <w:vAlign w:val="bottom"/>
          </w:tcPr>
          <w:p>
            <w:pPr>
              <w:spacing w:after="0"/>
              <w:rPr>
                <w:sz w:val="1"/>
                <w:szCs w:val="1"/>
                <w:color w:val="auto"/>
              </w:rPr>
            </w:pPr>
          </w:p>
        </w:tc>
      </w:tr>
      <w:tr>
        <w:trPr>
          <w:trHeight w:val="26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Gross Profit (Loss)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90,006</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(26,750)</w:t>
            </w:r>
          </w:p>
        </w:tc>
        <w:tc>
          <w:tcPr>
            <w:tcW w:w="0" w:type="dxa"/>
            <w:vAlign w:val="bottom"/>
          </w:tcPr>
          <w:p>
            <w:pPr>
              <w:spacing w:after="0"/>
              <w:rPr>
                <w:sz w:val="1"/>
                <w:szCs w:val="1"/>
                <w:color w:val="auto"/>
              </w:rPr>
            </w:pPr>
          </w:p>
        </w:tc>
      </w:tr>
      <w:tr>
        <w:trPr>
          <w:trHeight w:val="259"/>
        </w:trPr>
        <w:tc>
          <w:tcPr>
            <w:tcW w:w="7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Gross Margin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44 %</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w:t>
            </w:r>
          </w:p>
        </w:tc>
        <w:tc>
          <w:tcPr>
            <w:tcW w:w="0" w:type="dxa"/>
            <w:vAlign w:val="bottom"/>
          </w:tcPr>
          <w:p>
            <w:pPr>
              <w:spacing w:after="0"/>
              <w:rPr>
                <w:sz w:val="1"/>
                <w:szCs w:val="1"/>
                <w:color w:val="auto"/>
              </w:rPr>
            </w:pPr>
          </w:p>
        </w:tc>
      </w:tr>
      <w:tr>
        <w:trPr>
          <w:trHeight w:val="28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Add: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4,350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31,328</w:t>
            </w:r>
          </w:p>
        </w:tc>
        <w:tc>
          <w:tcPr>
            <w:tcW w:w="0" w:type="dxa"/>
            <w:vAlign w:val="bottom"/>
          </w:tcPr>
          <w:p>
            <w:pPr>
              <w:spacing w:after="0"/>
              <w:rPr>
                <w:sz w:val="1"/>
                <w:szCs w:val="1"/>
                <w:color w:val="auto"/>
              </w:rPr>
            </w:pP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(1,217)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5,080</w:t>
            </w:r>
          </w:p>
        </w:tc>
        <w:tc>
          <w:tcPr>
            <w:tcW w:w="0" w:type="dxa"/>
            <w:vAlign w:val="bottom"/>
          </w:tcPr>
          <w:p>
            <w:pPr>
              <w:spacing w:after="0"/>
              <w:rPr>
                <w:sz w:val="1"/>
                <w:szCs w:val="1"/>
                <w:color w:val="auto"/>
              </w:rPr>
            </w:pPr>
          </w:p>
        </w:tc>
      </w:tr>
      <w:tr>
        <w:trPr>
          <w:trHeight w:val="288"/>
        </w:trPr>
        <w:tc>
          <w:tcPr>
            <w:tcW w:w="7420" w:type="dxa"/>
            <w:vAlign w:val="bottom"/>
          </w:tcPr>
          <w:p>
            <w:pPr>
              <w:ind w:left="60"/>
              <w:spacing w:after="0" w:line="288" w:lineRule="exact"/>
              <w:rPr>
                <w:sz w:val="20"/>
                <w:szCs w:val="20"/>
                <w:color w:val="auto"/>
              </w:rPr>
            </w:pPr>
            <w:r>
              <w:rPr>
                <w:rFonts w:ascii="Times New Roman" w:cs="Times New Roman" w:eastAsia="Times New Roman" w:hAnsi="Times New Roman"/>
                <w:sz w:val="20"/>
                <w:szCs w:val="20"/>
                <w:color w:val="auto"/>
              </w:rPr>
              <w:t xml:space="preserve">Restructuring expense </w:t>
            </w:r>
            <w:r>
              <w:rPr>
                <w:rFonts w:ascii="Times New Roman" w:cs="Times New Roman" w:eastAsia="Times New Roman" w:hAnsi="Times New Roman"/>
                <w:sz w:val="26"/>
                <w:szCs w:val="26"/>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color w:val="auto"/>
              </w:rPr>
              <w:t>1,926</w:t>
            </w:r>
          </w:p>
        </w:tc>
        <w:tc>
          <w:tcPr>
            <w:tcW w:w="0" w:type="dxa"/>
            <w:vAlign w:val="bottom"/>
          </w:tcPr>
          <w:p>
            <w:pPr>
              <w:spacing w:after="0"/>
              <w:rPr>
                <w:sz w:val="1"/>
                <w:szCs w:val="1"/>
                <w:color w:val="auto"/>
              </w:rPr>
            </w:pPr>
          </w:p>
        </w:tc>
      </w:tr>
      <w:tr>
        <w:trPr>
          <w:trHeight w:val="26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Adjusted 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93,278</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11,584</w:t>
            </w:r>
          </w:p>
        </w:tc>
        <w:tc>
          <w:tcPr>
            <w:tcW w:w="0" w:type="dxa"/>
            <w:vAlign w:val="bottom"/>
          </w:tcPr>
          <w:p>
            <w:pPr>
              <w:spacing w:after="0"/>
              <w:rPr>
                <w:sz w:val="1"/>
                <w:szCs w:val="1"/>
                <w:color w:val="auto"/>
              </w:rPr>
            </w:pPr>
          </w:p>
        </w:tc>
      </w:tr>
      <w:tr>
        <w:trPr>
          <w:trHeight w:val="259"/>
        </w:trPr>
        <w:tc>
          <w:tcPr>
            <w:tcW w:w="7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Adjusted Gross Margin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46 %</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5 %</w:t>
            </w:r>
          </w:p>
        </w:tc>
        <w:tc>
          <w:tcPr>
            <w:tcW w:w="0" w:type="dxa"/>
            <w:vAlign w:val="bottom"/>
          </w:tcPr>
          <w:p>
            <w:pPr>
              <w:spacing w:after="0"/>
              <w:rPr>
                <w:sz w:val="1"/>
                <w:szCs w:val="1"/>
                <w:color w:val="auto"/>
              </w:rPr>
            </w:pPr>
          </w:p>
        </w:tc>
      </w:tr>
      <w:tr>
        <w:trPr>
          <w:trHeight w:val="275"/>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-1986280</wp:posOffset>
            </wp:positionV>
            <wp:extent cx="6426200" cy="1835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6200" cy="18351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4705350</wp:posOffset>
                </wp:positionH>
                <wp:positionV relativeFrom="paragraph">
                  <wp:posOffset>-2173605</wp:posOffset>
                </wp:positionV>
                <wp:extent cx="169545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171.1499pt" to="504pt,-171.1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-1973580</wp:posOffset>
                </wp:positionV>
                <wp:extent cx="169545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155.3999pt" to="504pt,-155.3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-1611630</wp:posOffset>
                </wp:positionV>
                <wp:extent cx="82867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126.8999pt" to="435.75pt,-126.8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-1611630</wp:posOffset>
                </wp:positionV>
                <wp:extent cx="8286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26.8999pt" to="504pt,-126.8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-1430655</wp:posOffset>
                </wp:positionV>
                <wp:extent cx="82867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112.6499pt" to="435.75pt,-112.6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-1430655</wp:posOffset>
                </wp:positionV>
                <wp:extent cx="8286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12.6499pt" to="504pt,-112.6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-525780</wp:posOffset>
                </wp:positionV>
                <wp:extent cx="82867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41.3999pt" to="435.75pt,-41.3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-525780</wp:posOffset>
                </wp:positionV>
                <wp:extent cx="82867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41.3999pt" to="504pt,-41.3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-344805</wp:posOffset>
                </wp:positionV>
                <wp:extent cx="82867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27.1499pt" to="435.75pt,-27.1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-344805</wp:posOffset>
                </wp:positionV>
                <wp:extent cx="82867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27.1499pt" to="504pt,-27.1499pt" o:allowincell="f" strokecolor="#222222" strokeweight="0pt"/>
            </w:pict>
          </mc:Fallback>
        </mc:AlternateContent>
      </w:r>
    </w:p>
    <w:p>
      <w:pPr>
        <w:spacing w:after="0" w:line="23" w:lineRule="exact"/>
        <w:rPr>
          <w:sz w:val="20"/>
          <w:szCs w:val="20"/>
          <w:color w:val="auto"/>
        </w:rPr>
      </w:pPr>
    </w:p>
    <w:p>
      <w:pPr>
        <w:ind w:left="360" w:right="420" w:hanging="360"/>
        <w:spacing w:after="0" w:line="282" w:lineRule="auto"/>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restructuring activities, which include severance to impacted employees and costs incurred in connection with these activities.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Loss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Adjusted net loss is a non-GAAP financial measure that we define as net loss adjusted for depreciation and amortization, stock-based compensation expenses, transaction costs, other (income) expense, net, impairment loss, restructuring and business exit related charges, acquisition costs and change in fair market value of warrant and earn-out contingent liabilities. We believe Adjusted net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080" w:top="208" w:right="10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22222"/>
        </w:rPr>
        <w:t xml:space="preserve">The following is a reconciliation of our net loss to Adjusted net loss for the years ended December 31, 2023 and 2022 </w:t>
      </w:r>
      <w:r>
        <w:rPr>
          <w:rFonts w:ascii="Times New Roman" w:cs="Times New Roman" w:eastAsia="Times New Roman" w:hAnsi="Times New Roman"/>
          <w:sz w:val="20"/>
          <w:szCs w:val="20"/>
          <w:color w:val="000000"/>
        </w:rPr>
        <w:t>(in</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color w:val="000000"/>
        </w:rPr>
        <w:t>thousands)</w:t>
      </w:r>
      <w:r>
        <w:rPr>
          <w:rFonts w:ascii="Times New Roman" w:cs="Times New Roman" w:eastAsia="Times New Roman" w:hAnsi="Times New Roman"/>
          <w:sz w:val="20"/>
          <w:szCs w:val="20"/>
          <w:color w:val="222222"/>
        </w:rPr>
        <w:t>:</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20"/>
        </w:trPr>
        <w:tc>
          <w:tcPr>
            <w:tcW w:w="7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33,734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59,309</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41,975</w:t>
            </w:r>
          </w:p>
        </w:tc>
      </w:tr>
      <w:tr>
        <w:trPr>
          <w:trHeight w:val="291"/>
        </w:trPr>
        <w:tc>
          <w:tcPr>
            <w:tcW w:w="7360" w:type="dxa"/>
            <w:vAlign w:val="bottom"/>
          </w:tcPr>
          <w:p>
            <w:pPr>
              <w:spacing w:after="0" w:line="291" w:lineRule="exact"/>
              <w:rPr>
                <w:sz w:val="20"/>
                <w:szCs w:val="20"/>
                <w:color w:val="auto"/>
              </w:rPr>
            </w:pPr>
            <w:r>
              <w:rPr>
                <w:rFonts w:ascii="Times New Roman" w:cs="Times New Roman" w:eastAsia="Times New Roman" w:hAnsi="Times New Roman"/>
                <w:sz w:val="20"/>
                <w:szCs w:val="20"/>
                <w:color w:val="auto"/>
              </w:rPr>
              <w:t xml:space="preserve">Impairment loss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210,145</w:t>
            </w:r>
          </w:p>
        </w:tc>
      </w:tr>
      <w:tr>
        <w:trPr>
          <w:trHeight w:val="285"/>
        </w:trPr>
        <w:tc>
          <w:tcPr>
            <w:tcW w:w="73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Transaction, acquisition and business integration costs </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13,436</w:t>
            </w:r>
          </w:p>
        </w:tc>
      </w:tr>
      <w:tr>
        <w:trPr>
          <w:trHeight w:val="285"/>
        </w:trPr>
        <w:tc>
          <w:tcPr>
            <w:tcW w:w="73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Restructuring costs </w:t>
            </w:r>
            <w:r>
              <w:rPr>
                <w:rFonts w:ascii="Times New Roman" w:cs="Times New Roman" w:eastAsia="Times New Roman" w:hAnsi="Times New Roman"/>
                <w:sz w:val="26"/>
                <w:szCs w:val="26"/>
                <w:color w:val="auto"/>
                <w:vertAlign w:val="superscript"/>
              </w:rPr>
              <w:t>(3)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25,810</w:t>
            </w:r>
          </w:p>
        </w:tc>
      </w:tr>
      <w:tr>
        <w:trPr>
          <w:trHeight w:val="285"/>
        </w:trPr>
        <w:tc>
          <w:tcPr>
            <w:tcW w:w="73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Change in fair market value of financial liabilities </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(70,229)</w:t>
            </w:r>
          </w:p>
        </w:tc>
      </w:tr>
      <w:tr>
        <w:trPr>
          <w:trHeight w:val="30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Gain on sale of assets </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excess and obsolete inventory associated with Legacy Sema4</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45"/>
        </w:trPr>
        <w:tc>
          <w:tcPr>
            <w:tcW w:w="73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Adjusted 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(126,257)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(268,591)</w:t>
            </w:r>
          </w:p>
        </w:tc>
      </w:tr>
      <w:tr>
        <w:trPr>
          <w:trHeight w:val="20"/>
        </w:trPr>
        <w:tc>
          <w:tcPr>
            <w:tcW w:w="7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4705350</wp:posOffset>
                </wp:positionH>
                <wp:positionV relativeFrom="paragraph">
                  <wp:posOffset>-2162175</wp:posOffset>
                </wp:positionV>
                <wp:extent cx="169545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170.2499pt" to="504pt,-170.2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-2009775</wp:posOffset>
                </wp:positionV>
                <wp:extent cx="8286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158.2499pt" to="435.75pt,-158.2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-2009775</wp:posOffset>
                </wp:positionV>
                <wp:extent cx="82867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58.2499pt" to="504pt,-158.2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-200025</wp:posOffset>
                </wp:positionV>
                <wp:extent cx="82867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15.7499pt" to="435.75pt,-15.7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5572125</wp:posOffset>
                </wp:positionH>
                <wp:positionV relativeFrom="paragraph">
                  <wp:posOffset>-200025</wp:posOffset>
                </wp:positionV>
                <wp:extent cx="8286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5pt,-15.7499pt" to="504pt,-15.7499pt" o:allowincell="f" strokecolor="#222222"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-2021840</wp:posOffset>
            </wp:positionV>
            <wp:extent cx="6438900" cy="2041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extLst>
                    </a:blip>
                    <a:srcRect/>
                    <a:stretch>
                      <a:fillRect/>
                    </a:stretch>
                  </pic:blipFill>
                  <pic:spPr bwMode="auto">
                    <a:xfrm>
                      <a:off x="0" y="0"/>
                      <a:ext cx="6438900" cy="2041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68" w:lineRule="exact"/>
        <w:rPr>
          <w:sz w:val="20"/>
          <w:szCs w:val="20"/>
          <w:color w:val="auto"/>
        </w:rPr>
      </w:pPr>
    </w:p>
    <w:p>
      <w:pPr>
        <w:ind w:left="360" w:right="400" w:hanging="360"/>
        <w:spacing w:after="0" w:line="261" w:lineRule="auto"/>
        <w:tabs>
          <w:tab w:leader="none" w:pos="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fiscal year 2023, represents the impairment of certain capital and right-of-use asset leases. For fiscal year 2022, represents impairment charge incurred in connection with the business exit activities and discontinuance of testing for Legacy Sema4.</w:t>
      </w:r>
    </w:p>
    <w:p>
      <w:pPr>
        <w:ind w:left="360" w:hanging="360"/>
        <w:spacing w:after="0"/>
        <w:tabs>
          <w:tab w:leader="none" w:pos="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fiscal year 2022, represents costs incurred in connection with the Legacy GeneDx Acquisition, which include due diligence and legal costs.</w:t>
      </w:r>
    </w:p>
    <w:p>
      <w:pPr>
        <w:spacing w:after="0" w:line="8" w:lineRule="exact"/>
        <w:rPr>
          <w:rFonts w:ascii="Times New Roman" w:cs="Times New Roman" w:eastAsia="Times New Roman" w:hAnsi="Times New Roman"/>
          <w:sz w:val="16"/>
          <w:szCs w:val="16"/>
          <w:color w:val="auto"/>
        </w:rPr>
      </w:pPr>
    </w:p>
    <w:p>
      <w:pPr>
        <w:ind w:left="360" w:hanging="360"/>
        <w:spacing w:after="0" w:line="250" w:lineRule="auto"/>
        <w:tabs>
          <w:tab w:leader="none" w:pos="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restructuring activities, which include severance for impacted employees and costs incurred in connection with these activities.</w:t>
      </w:r>
    </w:p>
    <w:p>
      <w:pPr>
        <w:ind w:left="360" w:hanging="360"/>
        <w:spacing w:after="0" w:line="250" w:lineRule="auto"/>
        <w:tabs>
          <w:tab w:leader="none" w:pos="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market value of the liabilities associated with our public warrants, private placement warrants, Perceptive warrants and the earn-out shares that were issuable under the terms of the merger agreement for our business combination.</w:t>
      </w:r>
    </w:p>
    <w:p>
      <w:pPr>
        <w:ind w:left="360" w:hanging="360"/>
        <w:spacing w:after="0"/>
        <w:tabs>
          <w:tab w:leader="none" w:pos="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current year gain recognized on the sale of certain assets sold as a result of an auction.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April 29, 2022, upon the closing of the Acquisition, we received gross proceeds of $200 million from the issuance of 1.5 million shares of our Class A common stock pursuant to a related private placement (the “Acquisition PIPE Investment”). The gross proceeds were partially used to pay for the cash consideration of the Acquisition and transaction costs incurred in connection with the Acquisition.</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January 31, 2023, we announced the closing of an underwritten public offering of 9,962,316 shares of our Class A common stock and a concurrent registered direct offering of 2,353,436 shares of our Class A common stock. On April 17, 2023, we issued the remaining 676,868 shares of our Class A common stock in the registered direct offering. The total gross proceeds were approximately $150 million.</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October 27, 2023, we entered into a five-year senior secured credit facility with Perceptive Credit Holdings IV, LP that provides for a senior secured delayed draw term loan facility in an aggregate principal amount of up to $75.0 million (the “Perceptive Term Loan Facility”), and received an initial tranche of $50 million under the facility. In addition, the facility includes an additional tranche of $25.0 million, which will be accessible by us so long as we satisfy certain customary conditions precedent, including a specified revenue milestone. See Note 9, “Long-Term Debt” to our consolidated financial statements for further information.</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Management believes that our cash and cash equivalents and available-for-sale marketable securities provide us with sufficient liquidity for at least twelve months from the filing date of this Annual Report.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Accordingly, our consolidated financial statements included in this Annual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drawing on the additional $25.0 tranche of the term loan under the Perceptive Term Loan Facility, the entry into other credit facilities or another form of third-party funding or by seeking other debt financing. We have an effective shelf registration statement that we filed with the SEC in August of 2022, registering $300 million shares of our Class A common stock and other securities. Following the underwritten and registered direct offerings described above, approximately $150 million of securities remained available under this registration statement.</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080" w:top="208" w:right="10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Cash Requirements for Known Contractual Obligations and Commitments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following is a description of commitments for known and reasonably likely cash requirements as of December 31, 2023 and December 31, 2022. We anticipate fulfilling such commitments with our existing cash and cash equivalents and available-for-sale marketable securities, which amounted to $130.1 million and $123.9 million as of December 31, 2023 and December 31, 2022, respectively, or through additional capital raised to finance our operations.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future minimum payments under non-cancellable operating lease and finance lease agreements were $66.8 million and $34.3 million, respectively as of December 31, 2023. The timing of these future payments, by year, can be found in our consolidated financial statements in Note 10,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included within this Annual Report.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discussed above, the Legacy Sema4 business recently entered into a settlement agreement with one of its third-party payors in order to settle the claims related to coverage and billing matters allegedly resulting in the overpayments by the payor to the Legacy Sema4 business including those related to multi-gene tests, such as carrier screening services. Under the settlement agreement, the total settlement amount is $42 million, to be paid by us to the payor in a series of installments over the next four years with the final installment payment scheduled to be on or before June 30, 2026. The first installment payment of $15 million was made on December 31, 2022 and the second installment of $5 million was made on December 27, 2023. In consideration for the payments, the payor has agreed to provide releases of the Disputed Claims, which releases will become effective 91 days after the first installment payment was received by the payor. For more information regarding this matter, see Note 4, “</w:t>
      </w:r>
      <w:r>
        <w:rPr>
          <w:rFonts w:ascii="Times New Roman" w:cs="Times New Roman" w:eastAsia="Times New Roman" w:hAnsi="Times New Roman"/>
          <w:sz w:val="20"/>
          <w:szCs w:val="20"/>
          <w:b w:val="1"/>
          <w:bCs w:val="1"/>
          <w:i w:val="1"/>
          <w:iCs w:val="1"/>
          <w:color w:val="auto"/>
        </w:rPr>
        <w:t>Revenue Recognition</w:t>
      </w:r>
      <w:r>
        <w:rPr>
          <w:rFonts w:ascii="Times New Roman" w:cs="Times New Roman" w:eastAsia="Times New Roman" w:hAnsi="Times New Roman"/>
          <w:sz w:val="20"/>
          <w:szCs w:val="20"/>
          <w:color w:val="auto"/>
        </w:rPr>
        <w:t>” included within this Annual Report.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future contractual purchase commitments were $3.8 million as of December 31, 2023. The timing of these future payments, by year, can be found in our consolidated financial statements in Note 11, “</w:t>
      </w:r>
      <w:r>
        <w:rPr>
          <w:rFonts w:ascii="Times New Roman" w:cs="Times New Roman" w:eastAsia="Times New Roman" w:hAnsi="Times New Roman"/>
          <w:sz w:val="20"/>
          <w:szCs w:val="20"/>
          <w:b w:val="1"/>
          <w:bCs w:val="1"/>
          <w:i w:val="1"/>
          <w:iCs w:val="1"/>
          <w:color w:val="auto"/>
        </w:rPr>
        <w:t>Purchase Commitments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Contingencies</w:t>
      </w:r>
      <w:r>
        <w:rPr>
          <w:rFonts w:ascii="Times New Roman" w:cs="Times New Roman" w:eastAsia="Times New Roman" w:hAnsi="Times New Roman"/>
          <w:sz w:val="20"/>
          <w:szCs w:val="20"/>
          <w:color w:val="auto"/>
        </w:rPr>
        <w:t>”, included within this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(180,147)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(319,155)</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(141,326)</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186,238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-546735</wp:posOffset>
            </wp:positionV>
            <wp:extent cx="6416675" cy="568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extLst>
                    </a:blip>
                    <a:srcRect/>
                    <a:stretch>
                      <a:fillRect/>
                    </a:stretch>
                  </pic:blipFill>
                  <pic:spPr bwMode="auto">
                    <a:xfrm>
                      <a:off x="0" y="0"/>
                      <a:ext cx="6416675" cy="56832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2023 was $180.1 million which was primarily attributable to a net loss of $175.8 million and unfavorable working capital associated with the wind down of the Legacy Sema4 accounts payable, primarily during the second half of 2023, which was partially offset by the release of a third party payor reserve.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2022 was $319.2 million, which was primarily attributable to a net loss of $549.0 million, a change in fair value of the warrant and earn-out liabilities of $70.2 million and a deferred income tax benefit of $49.1 million. This was partially offset by non-cash depreciation and amortization of $59.3 million, non-cash stock-based compensation expense of $42.0 million, impairment loss of $210.1 million, a provision for excess and obsolete inventory of $1.1 million and non-cash lease expense of $2.2 million. The net change in our operating assets and liabilities primarily reflected a $2.4 million decrease in inventories, a $34.5 million increase in accounts payable and accrued expenses driven by the payor settlement accrual which was partially offset by timing of vendor payments, a $19.5 million decrease in other current liabilities mainly driven by the payment of 2021 bonuses, offset by the accrual of the 2022 expected payment, a $5.5 million decrease in accounts receivable primarily from self-pay payors and a $11.1 million increase in prepaid expenses and other current assets mainly driven by the amortization of insurance policy premiums.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2023 was $43.7 million which primarily included net purchases of marketable securities of $47.7 million, $12.1 million in consideration held in escrow paid for the Legacy GeneDx Acquisition and $5.3 million in purchases of property and equipment, which was offset partially by $17.8 million in proceeds from maturities of marketable securities and $4.0 million in proceeds from the sale of assets.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080" w:top="208" w:right="10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2022 was $141.3 million, which was primarily attributable to the $127 million net of cash spent for the Acquisition of Legacy GeneDx, $7.2 million in purchases of property and equipment and $7.2 million related to spend on development of internal-use software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2023 was $186.2 million which was primarily driven by the $143.0 million net proceeds from the underwritten public offering and concurrent registered direct offering, net of issuance costs, and $48.5 million from the Perceptive Term Loan Facility, which was offset partially by the DECD loan payment of $2.0 million and $3.6 million of finance lease payments.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2022 was $197.3 million, which was primarily driven by the $197.7 million net proceeds from the Acquisition PIPE Investment. Additionally, $2.9 million relates to cash received from exercise of employee stock options, which was offset by $3.3 million of finance lease principal payments.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judgments,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See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to our consolidated financial statements for a complete description of each of these critical accounting policies and estimates. Each of these critical accounting policies could potentially generate materially different results if we were to change underlying assumptions, estimates and/or judgments. Although actual results may differ from those estimates, we believe the estimates are reasonable and appropriate.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 revenue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80"/>
          </w:cols>
          <w:pgMar w:left="1080" w:top="208" w:right="10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also recognize revenue from collaboration service agreements with biopharma companies and other third parties pursuant to which we health information and patient identification support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Amortizable intangible assets include trade names and trademarks, developed technology and customer relationships acquired as part of business combinations. All intangible assets subject to amortization are reviewed for impairment in accordance with ASC 360, Property, Plant and Equipment. The recoverability test is performed on a company-wide single asset group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Liabilities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warrant liabilities are recorded on the consolidated balance sheets at fair value on their respective issuance dates, with subsequent changes in respective fair values recognized on the consolidated statements of operations and comprehensive loss at each reporting date.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outstanding warrants include publicly-traded warrants (the “Public Warrants”) which were originally issued in the IPO, warrants sold in a private placement to CMLS Holdings LLC (the “Private Warrants”) and warrants issued to Perceptive Credit Holdings IV, LP in connection with the entry into the Perceptive Term Loan Facility (the “Perceptive Warrants”). The Public Warrants are traded in active markets and the fair value is determined on the basis of quoted market prices. Management has determined the fair value of each Private Warrant is the same as that of a Public Warrant because the terms are substantially the same.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estimated fair value of the Perceptive Warrants is determined based on a Modified Black-Scholes valuation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income or expense is recognized. Key assumptions include expected volatility, expected term, and risk-free interest rate. The expected volatility for us is based on the historical volatility of historical share prices of a peer group of public companies, our historical share prices, and the implied volatility of the call options. When selecting these comparable companies, we considered the enterprise value, risk profiles, position within the industry, and whether there was sufficient historical share price information to meet the expected exercise period of the Perceptive Warrants. The risk-free interest rate is based on the U.S. Treasury yield curve in effect at the time of re-measurement.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analysis of historical share prices of a peer group of public companies, the historical share prices of the Company, and the implied volatility of the Company’s call options.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80"/>
          </w:cols>
          <w:pgMar w:left="1080" w:top="208" w:right="10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zero dividend yield as we have not historically paid dividends on common stock and do not anticipate paying dividends in the foreseeable future.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on recent accounting pronouncements can be found in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JOBS Act Accounting Election</w:t>
      </w:r>
    </w:p>
    <w:p>
      <w:pPr>
        <w:spacing w:after="0" w:line="1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These risks primarily relate to interest rates. Our cash, cash equivalents, available-for-sale marketable securities and restricted cash consists of bank deposits and money market funds, which totaled $131.1 million and $138.3 million at December 31, 2023 and 2022,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Perceptive Term Loan Facility includes variable interest rate terms for the outstanding principal amount of $50 million at October 27, 2023. Therefore, changes in interest rates can impact future interest payments we are obligated to pay.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6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See Note 9, “Long-Term Debt” to our consolidated financial statements for further information.</w:t>
            </w:r>
          </w:p>
        </w:tc>
        <w:tc>
          <w:tcPr>
            <w:tcW w:w="1240" w:type="dxa"/>
            <w:vAlign w:val="bottom"/>
          </w:tcPr>
          <w:p>
            <w:pPr>
              <w:spacing w:after="0"/>
              <w:rPr>
                <w:sz w:val="22"/>
                <w:szCs w:val="22"/>
                <w:color w:val="auto"/>
              </w:rPr>
            </w:pPr>
          </w:p>
        </w:tc>
      </w:tr>
      <w:tr>
        <w:trPr>
          <w:trHeight w:val="417"/>
        </w:trPr>
        <w:tc>
          <w:tcPr>
            <w:tcW w:w="86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124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Report of Independent Registered Public Accounting Firm</w:t>
            </w:r>
          </w:p>
        </w:tc>
        <w:tc>
          <w:tcPr>
            <w:tcW w:w="3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(PCAOB ID 42)</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08"/>
        </w:trPr>
        <w:tc>
          <w:tcPr>
            <w:tcW w:w="60" w:type="dxa"/>
            <w:vAlign w:val="bottom"/>
          </w:tcPr>
          <w:p>
            <w:pPr>
              <w:spacing w:after="0"/>
              <w:rPr>
                <w:sz w:val="24"/>
                <w:szCs w:val="24"/>
                <w:color w:val="auto"/>
              </w:rPr>
            </w:pPr>
          </w:p>
        </w:tc>
        <w:tc>
          <w:tcPr>
            <w:tcW w:w="86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Consolidated Financial Statements:</w:t>
            </w:r>
          </w:p>
        </w:tc>
        <w:tc>
          <w:tcPr>
            <w:tcW w:w="1240" w:type="dxa"/>
            <w:vAlign w:val="bottom"/>
          </w:tcPr>
          <w:p>
            <w:pPr>
              <w:spacing w:after="0"/>
              <w:rPr>
                <w:sz w:val="24"/>
                <w:szCs w:val="24"/>
                <w:color w:val="auto"/>
              </w:rPr>
            </w:pPr>
          </w:p>
        </w:tc>
      </w:tr>
      <w:tr>
        <w:trPr>
          <w:trHeight w:val="242"/>
        </w:trPr>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tcBorders>
              <w:bottom w:val="single" w:sz="8" w:color="0000FF"/>
            </w:tcBorders>
          </w:tcPr>
          <w:p>
            <w:pPr>
              <w:spacing w:after="0" w:line="222" w:lineRule="exact"/>
              <w:rPr>
                <w:sz w:val="20"/>
                <w:szCs w:val="20"/>
                <w:color w:val="auto"/>
              </w:rPr>
            </w:pPr>
            <w:r>
              <w:rPr>
                <w:rFonts w:ascii="Times New Roman" w:cs="Times New Roman" w:eastAsia="Times New Roman" w:hAnsi="Times New Roman"/>
                <w:sz w:val="20"/>
                <w:szCs w:val="20"/>
                <w:color w:val="0000FF"/>
                <w:w w:val="99"/>
              </w:rPr>
              <w:t>Consolidated Balance Sheets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3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Loss</w:t>
            </w:r>
          </w:p>
        </w:tc>
        <w:tc>
          <w:tcPr>
            <w:tcW w:w="30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Consolidated Statements of Stockholders' Equity</w:t>
            </w:r>
          </w:p>
        </w:tc>
        <w:tc>
          <w:tcPr>
            <w:tcW w:w="4360" w:type="dxa"/>
            <w:vAlign w:val="bottom"/>
            <w:gridSpan w:val="3"/>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Flows</w:t>
            </w:r>
          </w:p>
        </w:tc>
        <w:tc>
          <w:tcPr>
            <w:tcW w:w="300" w:type="dxa"/>
            <w:vAlign w:val="bottom"/>
          </w:tcPr>
          <w:p>
            <w:pPr>
              <w:spacing w:after="0"/>
              <w:rPr>
                <w:sz w:val="23"/>
                <w:szCs w:val="23"/>
                <w:color w:val="auto"/>
              </w:rPr>
            </w:pPr>
          </w:p>
        </w:tc>
        <w:tc>
          <w:tcPr>
            <w:tcW w:w="4780" w:type="dxa"/>
            <w:vAlign w:val="bottom"/>
            <w:gridSpan w:val="4"/>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Notes to Consolidated Financial Statements</w:t>
            </w:r>
          </w:p>
        </w:tc>
        <w:tc>
          <w:tcPr>
            <w:tcW w:w="4780" w:type="dxa"/>
            <w:vAlign w:val="bottom"/>
            <w:gridSpan w:val="4"/>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-1236345</wp:posOffset>
            </wp:positionV>
            <wp:extent cx="6426200" cy="129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extLst>
                    </a:blip>
                    <a:srcRect/>
                    <a:stretch>
                      <a:fillRect/>
                    </a:stretch>
                  </pic:blipFill>
                  <pic:spPr bwMode="auto">
                    <a:xfrm>
                      <a:off x="0" y="0"/>
                      <a:ext cx="6426200" cy="1292225"/>
                    </a:xfrm>
                    <a:prstGeom prst="rect">
                      <a:avLst/>
                    </a:prstGeom>
                    <a:noFill/>
                  </pic:spPr>
                </pic:pic>
              </a:graphicData>
            </a:graphic>
          </wp:anchor>
        </w:drawing>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080"/>
          </w:cols>
          <w:pgMar w:left="1080" w:top="208" w:right="108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ind w:right="2540" w:firstLine="2537"/>
        <w:spacing w:after="0" w:line="440"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GeneDx Holdings Corp.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GeneDx Holdings Corp.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23, 2024</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080"/>
          </w:cols>
          <w:pgMar w:left="1080" w:top="208" w:right="1080"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6"/>
        </w:trPr>
        <w:tc>
          <w:tcPr>
            <w:tcW w:w="1440" w:type="dxa"/>
            <w:vAlign w:val="bottom"/>
            <w:tcBorders>
              <w:top w:val="single" w:sz="8" w:color="0000FF"/>
            </w:tcBorders>
          </w:tcPr>
          <w:p>
            <w:pPr>
              <w:spacing w:after="0"/>
              <w:rPr>
                <w:sz w:val="24"/>
                <w:szCs w:val="24"/>
                <w:color w:val="auto"/>
              </w:rPr>
            </w:pPr>
          </w:p>
        </w:tc>
        <w:tc>
          <w:tcPr>
            <w:tcW w:w="598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w w:val="99"/>
              </w:rPr>
              <w:t>GeneDx Holdings Corp.</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598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w w:val="99"/>
              </w:rPr>
              <w:t>Consolidated Balance Sheets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2"/>
                <w:szCs w:val="22"/>
                <w:color w:val="auto"/>
              </w:rPr>
            </w:pPr>
          </w:p>
        </w:tc>
        <w:tc>
          <w:tcPr>
            <w:tcW w:w="598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14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144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2"/>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Current assets: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99,681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123,933</w:t>
            </w:r>
          </w:p>
        </w:tc>
        <w:tc>
          <w:tcPr>
            <w:tcW w:w="0" w:type="dxa"/>
            <w:vAlign w:val="bottom"/>
          </w:tcPr>
          <w:p>
            <w:pPr>
              <w:spacing w:after="0"/>
              <w:rPr>
                <w:sz w:val="1"/>
                <w:szCs w:val="1"/>
                <w:color w:val="auto"/>
              </w:rPr>
            </w:pPr>
          </w:p>
        </w:tc>
      </w:tr>
      <w:tr>
        <w:trPr>
          <w:trHeight w:val="285"/>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Marketable securities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30,467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Accounts receivable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42,634</w:t>
            </w:r>
          </w:p>
        </w:tc>
        <w:tc>
          <w:tcPr>
            <w:tcW w:w="0" w:type="dxa"/>
            <w:vAlign w:val="bottom"/>
          </w:tcPr>
          <w:p>
            <w:pPr>
              <w:spacing w:after="0"/>
              <w:rPr>
                <w:sz w:val="1"/>
                <w:szCs w:val="1"/>
                <w:color w:val="auto"/>
              </w:rPr>
            </w:pPr>
          </w:p>
        </w:tc>
      </w:tr>
      <w:tr>
        <w:trPr>
          <w:trHeight w:val="285"/>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Due from related parties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w:t>
            </w:r>
          </w:p>
        </w:tc>
        <w:tc>
          <w:tcPr>
            <w:tcW w:w="0" w:type="dxa"/>
            <w:vAlign w:val="bottom"/>
          </w:tcPr>
          <w:p>
            <w:pPr>
              <w:spacing w:after="0"/>
              <w:rPr>
                <w:sz w:val="1"/>
                <w:szCs w:val="1"/>
                <w:color w:val="auto"/>
              </w:rPr>
            </w:pPr>
          </w:p>
        </w:tc>
      </w:tr>
      <w:tr>
        <w:trPr>
          <w:trHeight w:val="285"/>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Inventory,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13,665</w:t>
            </w:r>
          </w:p>
        </w:tc>
        <w:tc>
          <w:tcPr>
            <w:tcW w:w="0" w:type="dxa"/>
            <w:vAlign w:val="bottom"/>
          </w:tcPr>
          <w:p>
            <w:pPr>
              <w:spacing w:after="0"/>
              <w:rPr>
                <w:sz w:val="1"/>
                <w:szCs w:val="1"/>
                <w:color w:val="auto"/>
              </w:rPr>
            </w:pPr>
          </w:p>
        </w:tc>
      </w:tr>
      <w:tr>
        <w:trPr>
          <w:trHeight w:val="288"/>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31,682</w:t>
            </w:r>
          </w:p>
        </w:tc>
        <w:tc>
          <w:tcPr>
            <w:tcW w:w="0" w:type="dxa"/>
            <w:vAlign w:val="bottom"/>
          </w:tcPr>
          <w:p>
            <w:pPr>
              <w:spacing w:after="0"/>
              <w:rPr>
                <w:sz w:val="1"/>
                <w:szCs w:val="1"/>
                <w:color w:val="auto"/>
              </w:rPr>
            </w:pPr>
          </w:p>
        </w:tc>
      </w:tr>
      <w:tr>
        <w:trPr>
          <w:trHeight w:val="262"/>
        </w:trPr>
        <w:tc>
          <w:tcPr>
            <w:tcW w:w="7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Total current assets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182,339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212,622</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32,758</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51,527</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Intangible assets,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186,650</w:t>
            </w:r>
          </w:p>
        </w:tc>
        <w:tc>
          <w:tcPr>
            <w:tcW w:w="0" w:type="dxa"/>
            <w:vAlign w:val="bottom"/>
          </w:tcPr>
          <w:p>
            <w:pPr>
              <w:spacing w:after="0"/>
              <w:rPr>
                <w:sz w:val="1"/>
                <w:szCs w:val="1"/>
                <w:color w:val="auto"/>
              </w:rPr>
            </w:pPr>
          </w:p>
        </w:tc>
      </w:tr>
      <w:tr>
        <w:trPr>
          <w:trHeight w:val="288"/>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 assets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7,385</w:t>
            </w:r>
          </w:p>
        </w:tc>
        <w:tc>
          <w:tcPr>
            <w:tcW w:w="0" w:type="dxa"/>
            <w:vAlign w:val="bottom"/>
          </w:tcPr>
          <w:p>
            <w:pPr>
              <w:spacing w:after="0"/>
              <w:rPr>
                <w:sz w:val="1"/>
                <w:szCs w:val="1"/>
                <w:color w:val="auto"/>
              </w:rPr>
            </w:pPr>
          </w:p>
        </w:tc>
      </w:tr>
      <w:tr>
        <w:trPr>
          <w:trHeight w:val="245"/>
        </w:trPr>
        <w:tc>
          <w:tcPr>
            <w:tcW w:w="7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418,756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490,942</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4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Current liabilities: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37,456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84,878</w:t>
            </w:r>
          </w:p>
        </w:tc>
        <w:tc>
          <w:tcPr>
            <w:tcW w:w="0" w:type="dxa"/>
            <w:vAlign w:val="bottom"/>
          </w:tcPr>
          <w:p>
            <w:pPr>
              <w:spacing w:after="0"/>
              <w:rPr>
                <w:sz w:val="1"/>
                <w:szCs w:val="1"/>
                <w:color w:val="auto"/>
              </w:rPr>
            </w:pPr>
          </w:p>
        </w:tc>
      </w:tr>
      <w:tr>
        <w:trPr>
          <w:trHeight w:val="285"/>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Due to related parties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3,593</w:t>
            </w:r>
          </w:p>
        </w:tc>
        <w:tc>
          <w:tcPr>
            <w:tcW w:w="0" w:type="dxa"/>
            <w:vAlign w:val="bottom"/>
          </w:tcPr>
          <w:p>
            <w:pPr>
              <w:spacing w:after="0"/>
              <w:rPr>
                <w:sz w:val="1"/>
                <w:szCs w:val="1"/>
                <w:color w:val="auto"/>
              </w:rPr>
            </w:pPr>
          </w:p>
        </w:tc>
      </w:tr>
      <w:tr>
        <w:trPr>
          <w:trHeight w:val="285"/>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6,121</w:t>
            </w:r>
          </w:p>
        </w:tc>
        <w:tc>
          <w:tcPr>
            <w:tcW w:w="0" w:type="dxa"/>
            <w:vAlign w:val="bottom"/>
          </w:tcPr>
          <w:p>
            <w:pPr>
              <w:spacing w:after="0"/>
              <w:rPr>
                <w:sz w:val="1"/>
                <w:szCs w:val="1"/>
                <w:color w:val="auto"/>
              </w:rPr>
            </w:pPr>
          </w:p>
        </w:tc>
      </w:tr>
      <w:tr>
        <w:trPr>
          <w:trHeight w:val="288"/>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16,336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49,705</w:t>
            </w:r>
          </w:p>
        </w:tc>
        <w:tc>
          <w:tcPr>
            <w:tcW w:w="0" w:type="dxa"/>
            <w:vAlign w:val="bottom"/>
          </w:tcPr>
          <w:p>
            <w:pPr>
              <w:spacing w:after="0"/>
              <w:rPr>
                <w:sz w:val="1"/>
                <w:szCs w:val="1"/>
                <w:color w:val="auto"/>
              </w:rPr>
            </w:pPr>
          </w:p>
        </w:tc>
      </w:tr>
      <w:tr>
        <w:trPr>
          <w:trHeight w:val="262"/>
        </w:trPr>
        <w:tc>
          <w:tcPr>
            <w:tcW w:w="74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58,818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144,297</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Long-term debt, net of current portion</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52,688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6,250</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62,938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60,013</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 liabilities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24,018</w:t>
            </w:r>
          </w:p>
        </w:tc>
        <w:tc>
          <w:tcPr>
            <w:tcW w:w="0" w:type="dxa"/>
            <w:vAlign w:val="bottom"/>
          </w:tcPr>
          <w:p>
            <w:pPr>
              <w:spacing w:after="0"/>
              <w:rPr>
                <w:sz w:val="1"/>
                <w:szCs w:val="1"/>
                <w:color w:val="auto"/>
              </w:rPr>
            </w:pPr>
          </w:p>
        </w:tc>
      </w:tr>
      <w:tr>
        <w:trPr>
          <w:trHeight w:val="288"/>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Deferred taxes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2,659</w:t>
            </w:r>
          </w:p>
        </w:tc>
        <w:tc>
          <w:tcPr>
            <w:tcW w:w="0" w:type="dxa"/>
            <w:vAlign w:val="bottom"/>
          </w:tcPr>
          <w:p>
            <w:pPr>
              <w:spacing w:after="0"/>
              <w:rPr>
                <w:sz w:val="1"/>
                <w:szCs w:val="1"/>
                <w:color w:val="auto"/>
              </w:rPr>
            </w:pPr>
          </w:p>
        </w:tc>
      </w:tr>
      <w:tr>
        <w:trPr>
          <w:trHeight w:val="265"/>
        </w:trPr>
        <w:tc>
          <w:tcPr>
            <w:tcW w:w="7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Total liabilities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190,739</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237,237</w:t>
            </w:r>
          </w:p>
        </w:tc>
        <w:tc>
          <w:tcPr>
            <w:tcW w:w="0" w:type="dxa"/>
            <w:vAlign w:val="bottom"/>
          </w:tcPr>
          <w:p>
            <w:pPr>
              <w:spacing w:after="0"/>
              <w:rPr>
                <w:sz w:val="1"/>
                <w:szCs w:val="1"/>
                <w:color w:val="auto"/>
              </w:rPr>
            </w:pPr>
          </w:p>
        </w:tc>
      </w:tr>
      <w:tr>
        <w:trPr>
          <w:trHeight w:val="262"/>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Commitments and contingencies (Note 11)</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20" w:type="dxa"/>
            <w:vAlign w:val="bottom"/>
            <w:gridSpan w:val="2"/>
          </w:tcPr>
          <w:p>
            <w:pPr>
              <w:ind w:left="240"/>
              <w:spacing w:after="0" w:line="215" w:lineRule="exact"/>
              <w:rPr>
                <w:sz w:val="20"/>
                <w:szCs w:val="20"/>
                <w:color w:val="auto"/>
              </w:rPr>
            </w:pPr>
            <w:r>
              <w:rPr>
                <w:rFonts w:ascii="Times New Roman" w:cs="Times New Roman" w:eastAsia="Times New Roman" w:hAnsi="Times New Roman"/>
                <w:sz w:val="20"/>
                <w:szCs w:val="20"/>
                <w:color w:val="auto"/>
              </w:rPr>
              <w:t>Preferred Stock, $0.0001 par value: 1,000,000 shares authorized at December 31, 2023</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420" w:type="dxa"/>
            <w:vAlign w:val="bottom"/>
            <w:gridSpan w:val="2"/>
          </w:tcPr>
          <w:p>
            <w:pPr>
              <w:ind w:left="420"/>
              <w:spacing w:after="0" w:line="200" w:lineRule="exact"/>
              <w:rPr>
                <w:sz w:val="20"/>
                <w:szCs w:val="20"/>
                <w:color w:val="auto"/>
              </w:rPr>
            </w:pPr>
            <w:r>
              <w:rPr>
                <w:rFonts w:ascii="Times New Roman" w:cs="Times New Roman" w:eastAsia="Times New Roman" w:hAnsi="Times New Roman"/>
                <w:sz w:val="20"/>
                <w:szCs w:val="20"/>
                <w:color w:val="auto"/>
              </w:rPr>
              <w:t>and December 31, 2022; 0 shares issued and outstanding at December 31, 2023 and</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4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December 31, 2022, respectively</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42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20"/>
                <w:szCs w:val="20"/>
                <w:color w:val="auto"/>
              </w:rPr>
              <w:t>Class A common stock, $0.0001 par value: 1,000,000,000 shares authorized, 25,978,863</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420" w:type="dxa"/>
            <w:vAlign w:val="bottom"/>
            <w:gridSpan w:val="2"/>
          </w:tcPr>
          <w:p>
            <w:pPr>
              <w:ind w:left="420"/>
              <w:spacing w:after="0" w:line="200" w:lineRule="exact"/>
              <w:rPr>
                <w:sz w:val="20"/>
                <w:szCs w:val="20"/>
                <w:color w:val="auto"/>
              </w:rPr>
            </w:pPr>
            <w:r>
              <w:rPr>
                <w:rFonts w:ascii="Times New Roman" w:cs="Times New Roman" w:eastAsia="Times New Roman" w:hAnsi="Times New Roman"/>
                <w:sz w:val="20"/>
                <w:szCs w:val="20"/>
                <w:color w:val="auto"/>
              </w:rPr>
              <w:t>shares issued and outstanding at December 31, 2023 and $0.0001 par value: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20" w:type="dxa"/>
            <w:vAlign w:val="bottom"/>
            <w:gridSpan w:val="2"/>
          </w:tcPr>
          <w:p>
            <w:pPr>
              <w:ind w:left="420"/>
              <w:spacing w:after="0" w:line="200" w:lineRule="exact"/>
              <w:rPr>
                <w:sz w:val="20"/>
                <w:szCs w:val="20"/>
                <w:color w:val="auto"/>
              </w:rPr>
            </w:pPr>
            <w:r>
              <w:rPr>
                <w:rFonts w:ascii="Times New Roman" w:cs="Times New Roman" w:eastAsia="Times New Roman" w:hAnsi="Times New Roman"/>
                <w:sz w:val="20"/>
                <w:szCs w:val="20"/>
                <w:color w:val="auto"/>
              </w:rPr>
              <w:t>1,000,000,000 shares authorized, 11,773,065 shares issued and outstanding at</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74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December 31, 2022</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1,527,778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1,378,125</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Accumulated deficit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(1,300,188)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(1,124,421)</w:t>
            </w:r>
          </w:p>
        </w:tc>
        <w:tc>
          <w:tcPr>
            <w:tcW w:w="0" w:type="dxa"/>
            <w:vAlign w:val="bottom"/>
          </w:tcPr>
          <w:p>
            <w:pPr>
              <w:spacing w:after="0"/>
              <w:rPr>
                <w:sz w:val="1"/>
                <w:szCs w:val="1"/>
                <w:color w:val="auto"/>
              </w:rPr>
            </w:pPr>
          </w:p>
        </w:tc>
      </w:tr>
      <w:tr>
        <w:trPr>
          <w:trHeight w:val="288"/>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74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228,017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253,705</w:t>
            </w:r>
          </w:p>
        </w:tc>
        <w:tc>
          <w:tcPr>
            <w:tcW w:w="0" w:type="dxa"/>
            <w:vAlign w:val="bottom"/>
          </w:tcPr>
          <w:p>
            <w:pPr>
              <w:spacing w:after="0"/>
              <w:rPr>
                <w:sz w:val="1"/>
                <w:szCs w:val="1"/>
                <w:color w:val="auto"/>
              </w:rPr>
            </w:pPr>
          </w:p>
        </w:tc>
      </w:tr>
      <w:tr>
        <w:trPr>
          <w:trHeight w:val="245"/>
        </w:trPr>
        <w:tc>
          <w:tcPr>
            <w:tcW w:w="7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418,756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490,942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-6993890</wp:posOffset>
            </wp:positionV>
            <wp:extent cx="6438900" cy="7013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extLst>
                    </a:blip>
                    <a:srcRect/>
                    <a:stretch>
                      <a:fillRect/>
                    </a:stretch>
                  </pic:blipFill>
                  <pic:spPr bwMode="auto">
                    <a:xfrm>
                      <a:off x="0" y="0"/>
                      <a:ext cx="6438900" cy="701357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080" w:top="19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080"/>
          </w:cols>
          <w:pgMar w:left="1080" w:top="195" w:right="1080"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6"/>
        </w:trPr>
        <w:tc>
          <w:tcPr>
            <w:tcW w:w="1440" w:type="dxa"/>
            <w:vAlign w:val="bottom"/>
            <w:tcBorders>
              <w:top w:val="single" w:sz="8" w:color="0000FF"/>
            </w:tcBorders>
          </w:tcPr>
          <w:p>
            <w:pPr>
              <w:spacing w:after="0"/>
              <w:rPr>
                <w:sz w:val="24"/>
                <w:szCs w:val="24"/>
                <w:color w:val="auto"/>
              </w:rPr>
            </w:pPr>
          </w:p>
        </w:tc>
        <w:tc>
          <w:tcPr>
            <w:tcW w:w="598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w w:val="99"/>
              </w:rPr>
              <w:t>GeneDx Holdings Corp.</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728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Consolidated Statements of Operations and Comprehensive Loss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2"/>
                <w:szCs w:val="22"/>
                <w:color w:val="auto"/>
              </w:rPr>
            </w:pPr>
          </w:p>
        </w:tc>
        <w:tc>
          <w:tcPr>
            <w:tcW w:w="598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14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0" w:type="dxa"/>
            <w:vAlign w:val="bottom"/>
          </w:tcPr>
          <w:p>
            <w:pPr>
              <w:spacing w:after="0"/>
              <w:rPr>
                <w:sz w:val="1"/>
                <w:szCs w:val="1"/>
                <w:color w:val="auto"/>
              </w:rPr>
            </w:pPr>
          </w:p>
        </w:tc>
      </w:tr>
      <w:tr>
        <w:trPr>
          <w:trHeight w:val="265"/>
        </w:trPr>
        <w:tc>
          <w:tcPr>
            <w:tcW w:w="144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2"/>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Revenue</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Diagnostic test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195,654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227,334</w:t>
            </w:r>
          </w:p>
        </w:tc>
        <w:tc>
          <w:tcPr>
            <w:tcW w:w="0" w:type="dxa"/>
            <w:vAlign w:val="bottom"/>
          </w:tcPr>
          <w:p>
            <w:pPr>
              <w:spacing w:after="0"/>
              <w:rPr>
                <w:sz w:val="1"/>
                <w:szCs w:val="1"/>
                <w:color w:val="auto"/>
              </w:rPr>
            </w:pPr>
          </w:p>
        </w:tc>
      </w:tr>
      <w:tr>
        <w:trPr>
          <w:trHeight w:val="288"/>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Other revenue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7,360</w:t>
            </w:r>
          </w:p>
        </w:tc>
        <w:tc>
          <w:tcPr>
            <w:tcW w:w="0" w:type="dxa"/>
            <w:vAlign w:val="bottom"/>
          </w:tcPr>
          <w:p>
            <w:pPr>
              <w:spacing w:after="0"/>
              <w:rPr>
                <w:sz w:val="1"/>
                <w:szCs w:val="1"/>
                <w:color w:val="auto"/>
              </w:rPr>
            </w:pPr>
          </w:p>
        </w:tc>
      </w:tr>
      <w:tr>
        <w:trPr>
          <w:trHeight w:val="265"/>
        </w:trPr>
        <w:tc>
          <w:tcPr>
            <w:tcW w:w="742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Total revenue</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202,566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234,694</w:t>
            </w:r>
          </w:p>
        </w:tc>
        <w:tc>
          <w:tcPr>
            <w:tcW w:w="0" w:type="dxa"/>
            <w:vAlign w:val="bottom"/>
          </w:tcPr>
          <w:p>
            <w:pPr>
              <w:spacing w:after="0"/>
              <w:rPr>
                <w:sz w:val="1"/>
                <w:szCs w:val="1"/>
                <w:color w:val="auto"/>
              </w:rPr>
            </w:pPr>
          </w:p>
        </w:tc>
      </w:tr>
      <w:tr>
        <w:trPr>
          <w:trHeight w:val="26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112,560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261,444</w:t>
            </w:r>
          </w:p>
        </w:tc>
        <w:tc>
          <w:tcPr>
            <w:tcW w:w="0" w:type="dxa"/>
            <w:vAlign w:val="bottom"/>
          </w:tcPr>
          <w:p>
            <w:pPr>
              <w:spacing w:after="0"/>
              <w:rPr>
                <w:sz w:val="1"/>
                <w:szCs w:val="1"/>
                <w:color w:val="auto"/>
              </w:rPr>
            </w:pPr>
          </w:p>
        </w:tc>
      </w:tr>
      <w:tr>
        <w:trPr>
          <w:trHeight w:val="265"/>
        </w:trPr>
        <w:tc>
          <w:tcPr>
            <w:tcW w:w="742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Gross profit (loss)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90,006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(26,750)</w:t>
            </w:r>
          </w:p>
        </w:tc>
        <w:tc>
          <w:tcPr>
            <w:tcW w:w="0" w:type="dxa"/>
            <w:vAlign w:val="bottom"/>
          </w:tcPr>
          <w:p>
            <w:pPr>
              <w:spacing w:after="0"/>
              <w:rPr>
                <w:sz w:val="1"/>
                <w:szCs w:val="1"/>
                <w:color w:val="auto"/>
              </w:rPr>
            </w:pPr>
          </w:p>
        </w:tc>
      </w:tr>
      <w:tr>
        <w:trPr>
          <w:trHeight w:val="262"/>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58,266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86,203</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Selling and marketing</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122,075</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216,167</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Impairment loss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210,145</w:t>
            </w:r>
          </w:p>
        </w:tc>
        <w:tc>
          <w:tcPr>
            <w:tcW w:w="0" w:type="dxa"/>
            <w:vAlign w:val="bottom"/>
          </w:tcPr>
          <w:p>
            <w:pPr>
              <w:spacing w:after="0"/>
              <w:rPr>
                <w:sz w:val="1"/>
                <w:szCs w:val="1"/>
                <w:color w:val="auto"/>
              </w:rPr>
            </w:pPr>
          </w:p>
        </w:tc>
      </w:tr>
      <w:tr>
        <w:trPr>
          <w:trHeight w:val="288"/>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 operating expenses,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7,223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6,312</w:t>
            </w:r>
          </w:p>
        </w:tc>
        <w:tc>
          <w:tcPr>
            <w:tcW w:w="0" w:type="dxa"/>
            <w:vAlign w:val="bottom"/>
          </w:tcPr>
          <w:p>
            <w:pPr>
              <w:spacing w:after="0"/>
              <w:rPr>
                <w:sz w:val="1"/>
                <w:szCs w:val="1"/>
                <w:color w:val="auto"/>
              </w:rPr>
            </w:pPr>
          </w:p>
        </w:tc>
      </w:tr>
      <w:tr>
        <w:trPr>
          <w:trHeight w:val="265"/>
        </w:trPr>
        <w:tc>
          <w:tcPr>
            <w:tcW w:w="742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Loss from operations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(180,596)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(667,652)</w:t>
            </w:r>
          </w:p>
        </w:tc>
        <w:tc>
          <w:tcPr>
            <w:tcW w:w="0" w:type="dxa"/>
            <w:vAlign w:val="bottom"/>
          </w:tcPr>
          <w:p>
            <w:pPr>
              <w:spacing w:after="0"/>
              <w:rPr>
                <w:sz w:val="1"/>
                <w:szCs w:val="1"/>
                <w:color w:val="auto"/>
              </w:rPr>
            </w:pPr>
          </w:p>
        </w:tc>
      </w:tr>
      <w:tr>
        <w:trPr>
          <w:trHeight w:val="547"/>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Non-operating income (expenses), net</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Change in fair market value of warrant and earn-out contingent liabilities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70,229</w:t>
            </w:r>
          </w:p>
        </w:tc>
        <w:tc>
          <w:tcPr>
            <w:tcW w:w="0" w:type="dxa"/>
            <w:vAlign w:val="bottom"/>
          </w:tcPr>
          <w:p>
            <w:pPr>
              <w:spacing w:after="0"/>
              <w:rPr>
                <w:sz w:val="1"/>
                <w:szCs w:val="1"/>
                <w:color w:val="auto"/>
              </w:rPr>
            </w:pPr>
          </w:p>
        </w:tc>
      </w:tr>
      <w:tr>
        <w:trPr>
          <w:trHeight w:val="285"/>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0" w:type="dxa"/>
            <w:vAlign w:val="bottom"/>
          </w:tcPr>
          <w:p>
            <w:pPr>
              <w:spacing w:after="0"/>
              <w:rPr>
                <w:sz w:val="1"/>
                <w:szCs w:val="1"/>
                <w:color w:val="auto"/>
              </w:rPr>
            </w:pPr>
          </w:p>
        </w:tc>
      </w:tr>
      <w:tr>
        <w:trPr>
          <w:trHeight w:val="288"/>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Other income,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65"/>
        </w:trPr>
        <w:tc>
          <w:tcPr>
            <w:tcW w:w="74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Total non-operating income, net</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69,620</w:t>
            </w:r>
          </w:p>
        </w:tc>
        <w:tc>
          <w:tcPr>
            <w:tcW w:w="0" w:type="dxa"/>
            <w:vAlign w:val="bottom"/>
          </w:tcPr>
          <w:p>
            <w:pPr>
              <w:spacing w:after="0"/>
              <w:rPr>
                <w:sz w:val="1"/>
                <w:szCs w:val="1"/>
                <w:color w:val="auto"/>
              </w:rPr>
            </w:pPr>
          </w:p>
        </w:tc>
      </w:tr>
      <w:tr>
        <w:trPr>
          <w:trHeight w:val="262"/>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Loss before income taxes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(176,693)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(598,032)</w:t>
            </w:r>
          </w:p>
        </w:tc>
        <w:tc>
          <w:tcPr>
            <w:tcW w:w="0" w:type="dxa"/>
            <w:vAlign w:val="bottom"/>
          </w:tcPr>
          <w:p>
            <w:pPr>
              <w:spacing w:after="0"/>
              <w:rPr>
                <w:sz w:val="1"/>
                <w:szCs w:val="1"/>
                <w:color w:val="auto"/>
              </w:rPr>
            </w:pPr>
          </w:p>
        </w:tc>
      </w:tr>
      <w:tr>
        <w:trPr>
          <w:trHeight w:val="288"/>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Income tax benefit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49,052</w:t>
            </w:r>
          </w:p>
        </w:tc>
        <w:tc>
          <w:tcPr>
            <w:tcW w:w="0" w:type="dxa"/>
            <w:vAlign w:val="bottom"/>
          </w:tcPr>
          <w:p>
            <w:pPr>
              <w:spacing w:after="0"/>
              <w:rPr>
                <w:sz w:val="1"/>
                <w:szCs w:val="1"/>
                <w:color w:val="auto"/>
              </w:rPr>
            </w:pPr>
          </w:p>
        </w:tc>
      </w:tr>
      <w:tr>
        <w:trPr>
          <w:trHeight w:val="24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Other comprehensive income, net of tax</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Unrealized gain related to available for sale 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(175,342)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Weighted average shares outstanding of Class A common stock</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24,311,989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10,236,960</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Basic and diluted net loss per share, Class A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-5071110</wp:posOffset>
            </wp:positionV>
            <wp:extent cx="6438900" cy="509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extLst>
                    </a:blip>
                    <a:srcRect/>
                    <a:stretch>
                      <a:fillRect/>
                    </a:stretch>
                  </pic:blipFill>
                  <pic:spPr bwMode="auto">
                    <a:xfrm>
                      <a:off x="0" y="0"/>
                      <a:ext cx="6438900" cy="509270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080" w:top="19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080"/>
          </w:cols>
          <w:pgMar w:left="1080" w:top="195" w:right="108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383"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42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60" w:type="dxa"/>
            <w:vAlign w:val="bottom"/>
          </w:tcPr>
          <w:p>
            <w:pPr>
              <w:spacing w:after="0"/>
              <w:rPr>
                <w:sz w:val="13"/>
                <w:szCs w:val="1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160"/>
        </w:trPr>
        <w:tc>
          <w:tcPr>
            <w:tcW w:w="5860" w:type="dxa"/>
            <w:vAlign w:val="bottom"/>
          </w:tcPr>
          <w:p>
            <w:pPr>
              <w:spacing w:after="0"/>
              <w:rPr>
                <w:sz w:val="13"/>
                <w:szCs w:val="13"/>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6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7,352,958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963,543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388,103</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(548,980)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(548,980)</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issued pursuant to stock option exercises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333,988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41,975</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Shares issued for PIPE, net of issuance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1,515,152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197,659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197,659</w:t>
            </w:r>
          </w:p>
        </w:tc>
        <w:tc>
          <w:tcPr>
            <w:tcW w:w="0" w:type="dxa"/>
            <w:vAlign w:val="bottom"/>
          </w:tcPr>
          <w:p>
            <w:pPr>
              <w:spacing w:after="0"/>
              <w:rPr>
                <w:sz w:val="1"/>
                <w:szCs w:val="1"/>
                <w:color w:val="auto"/>
              </w:rPr>
            </w:pPr>
          </w:p>
        </w:tc>
      </w:tr>
      <w:tr>
        <w:trPr>
          <w:trHeight w:val="271"/>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Shares issued for acquisition </w:t>
            </w:r>
            <w:r>
              <w:rPr>
                <w:rFonts w:ascii="Times New Roman" w:cs="Times New Roman" w:eastAsia="Times New Roman" w:hAnsi="Times New Roman"/>
                <w:sz w:val="20"/>
                <w:szCs w:val="20"/>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2,424,243</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172,000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172,000</w:t>
            </w:r>
          </w:p>
        </w:tc>
        <w:tc>
          <w:tcPr>
            <w:tcW w:w="0" w:type="dxa"/>
            <w:vAlign w:val="bottom"/>
          </w:tcPr>
          <w:p>
            <w:pPr>
              <w:spacing w:after="0"/>
              <w:rPr>
                <w:sz w:val="1"/>
                <w:szCs w:val="1"/>
                <w:color w:val="auto"/>
              </w:rPr>
            </w:pPr>
          </w:p>
        </w:tc>
      </w:tr>
      <w:tr>
        <w:trPr>
          <w:trHeight w:val="215"/>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Vested restricted stock units converted to common stock</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146,724</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11,773,065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1,378,125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(1,124,421)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253,705</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(175,767)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(175,767)</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issued pursuant to stock option exercises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Vested restricted stock units converted to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431,671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Class A common shares in registered direct offering, net of issuance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676,868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Class A common shares for the first Milestone Payment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701,460</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0" w:type="dxa"/>
            <w:vAlign w:val="bottom"/>
          </w:tcPr>
          <w:p>
            <w:pPr>
              <w:spacing w:after="0"/>
              <w:rPr>
                <w:sz w:val="1"/>
                <w:szCs w:val="1"/>
                <w:color w:val="auto"/>
              </w:rPr>
            </w:pPr>
          </w:p>
        </w:tc>
      </w:tr>
      <w:tr>
        <w:trPr>
          <w:trHeight w:val="240"/>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Fractional shares adjustment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Class A common shares in underwritten public offering, net of issuance costs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12,315,752</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135,438</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135,439</w:t>
            </w:r>
          </w:p>
        </w:tc>
        <w:tc>
          <w:tcPr>
            <w:tcW w:w="0" w:type="dxa"/>
            <w:vAlign w:val="bottom"/>
          </w:tcPr>
          <w:p>
            <w:pPr>
              <w:spacing w:after="0"/>
              <w:rPr>
                <w:sz w:val="1"/>
                <w:szCs w:val="1"/>
                <w:color w:val="auto"/>
              </w:rPr>
            </w:pPr>
          </w:p>
        </w:tc>
      </w:tr>
      <w:tr>
        <w:trPr>
          <w:trHeight w:val="200"/>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25,978,863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1,527,778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(1,300,188)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228,017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-2774315</wp:posOffset>
            </wp:positionV>
            <wp:extent cx="8677275" cy="2794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extLst>
                    </a:blip>
                    <a:srcRect/>
                    <a:stretch>
                      <a:fillRect/>
                    </a:stretch>
                  </pic:blipFill>
                  <pic:spPr bwMode="auto">
                    <a:xfrm>
                      <a:off x="0" y="0"/>
                      <a:ext cx="8677275" cy="2794000"/>
                    </a:xfrm>
                    <a:prstGeom prst="rect">
                      <a:avLst/>
                    </a:prstGeom>
                    <a:noFill/>
                  </pic:spPr>
                </pic:pic>
              </a:graphicData>
            </a:graphic>
          </wp:anchor>
        </w:drawing>
      </w:r>
    </w:p>
    <w:p>
      <w:pPr>
        <w:spacing w:after="0" w:line="178" w:lineRule="exact"/>
        <w:rPr>
          <w:sz w:val="20"/>
          <w:szCs w:val="20"/>
          <w:color w:val="auto"/>
        </w:rPr>
      </w:pPr>
    </w:p>
    <w:p>
      <w:pPr>
        <w:ind w:right="160"/>
        <w:spacing w:after="0" w:line="268" w:lineRule="auto"/>
        <w:tabs>
          <w:tab w:leader="none" w:pos="226" w:val="left"/>
        </w:tabs>
        <w:numPr>
          <w:ilvl w:val="0"/>
          <w:numId w:val="3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Of the 2.4 million shares issued for acquisition, 251,965 shares were held by an escrow agent for a one year escrow period. During this period, the seller retained all rights with respect to the escrow shares, including voting rights and rights to receive dividends and other distributions on such escrow shares</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1">
            <w:col w:w="13640"/>
          </w:cols>
          <w:pgMar w:left="1080" w:top="20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75</w:t>
      </w:r>
    </w:p>
    <w:p>
      <w:pPr>
        <w:sectPr>
          <w:pgSz w:w="15840" w:h="12240" w:orient="landscape"/>
          <w:cols w:equalWidth="0" w:num="1">
            <w:col w:w="13640"/>
          </w:cols>
          <w:pgMar w:left="1080" w:top="208" w:right="112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6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0"/>
        </w:trPr>
        <w:tc>
          <w:tcPr>
            <w:tcW w:w="7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4"/>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(175,767)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(548,980)</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59,309</w:t>
            </w:r>
          </w:p>
        </w:tc>
        <w:tc>
          <w:tcPr>
            <w:tcW w:w="0" w:type="dxa"/>
            <w:vAlign w:val="bottom"/>
          </w:tcPr>
          <w:p>
            <w:pPr>
              <w:spacing w:after="0"/>
              <w:rPr>
                <w:sz w:val="1"/>
                <w:szCs w:val="1"/>
                <w:color w:val="auto"/>
              </w:rPr>
            </w:pPr>
          </w:p>
        </w:tc>
      </w:tr>
      <w:tr>
        <w:trPr>
          <w:trHeight w:val="24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41,975</w:t>
            </w:r>
          </w:p>
        </w:tc>
        <w:tc>
          <w:tcPr>
            <w:tcW w:w="0" w:type="dxa"/>
            <w:vAlign w:val="bottom"/>
          </w:tcPr>
          <w:p>
            <w:pPr>
              <w:spacing w:after="0"/>
              <w:rPr>
                <w:sz w:val="1"/>
                <w:szCs w:val="1"/>
                <w:color w:val="auto"/>
              </w:rPr>
            </w:pPr>
          </w:p>
        </w:tc>
      </w:tr>
      <w:tr>
        <w:trPr>
          <w:trHeight w:val="24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warrants and contingent liabilities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(70,229)</w:t>
            </w:r>
          </w:p>
        </w:tc>
        <w:tc>
          <w:tcPr>
            <w:tcW w:w="0" w:type="dxa"/>
            <w:vAlign w:val="bottom"/>
          </w:tcPr>
          <w:p>
            <w:pPr>
              <w:spacing w:after="0"/>
              <w:rPr>
                <w:sz w:val="1"/>
                <w:szCs w:val="1"/>
                <w:color w:val="auto"/>
              </w:rPr>
            </w:pPr>
          </w:p>
        </w:tc>
      </w:tr>
      <w:tr>
        <w:trPr>
          <w:trHeight w:val="24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benefit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(49,124)</w:t>
            </w:r>
          </w:p>
        </w:tc>
        <w:tc>
          <w:tcPr>
            <w:tcW w:w="0" w:type="dxa"/>
            <w:vAlign w:val="bottom"/>
          </w:tcPr>
          <w:p>
            <w:pPr>
              <w:spacing w:after="0"/>
              <w:rPr>
                <w:sz w:val="1"/>
                <w:szCs w:val="1"/>
                <w:color w:val="auto"/>
              </w:rPr>
            </w:pPr>
          </w:p>
        </w:tc>
      </w:tr>
      <w:tr>
        <w:trPr>
          <w:trHeight w:val="24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242"/>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Third-party payor reserve release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sale of assets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debt forgiveness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loss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210,145</w:t>
            </w:r>
          </w:p>
        </w:tc>
        <w:tc>
          <w:tcPr>
            <w:tcW w:w="0" w:type="dxa"/>
            <w:vAlign w:val="bottom"/>
          </w:tcPr>
          <w:p>
            <w:pPr>
              <w:spacing w:after="0"/>
              <w:rPr>
                <w:sz w:val="1"/>
                <w:szCs w:val="1"/>
                <w:color w:val="auto"/>
              </w:rPr>
            </w:pPr>
          </w:p>
        </w:tc>
      </w:tr>
      <w:tr>
        <w:trPr>
          <w:trHeight w:val="24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0" w:type="dxa"/>
            <w:vAlign w:val="bottom"/>
          </w:tcPr>
          <w:p>
            <w:pPr>
              <w:spacing w:after="0"/>
              <w:rPr>
                <w:sz w:val="1"/>
                <w:szCs w:val="1"/>
                <w:color w:val="auto"/>
              </w:rPr>
            </w:pPr>
          </w:p>
        </w:tc>
      </w:tr>
      <w:tr>
        <w:trPr>
          <w:trHeight w:val="24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from purchase of business: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0" w:type="dxa"/>
            <w:vAlign w:val="bottom"/>
          </w:tcPr>
          <w:p>
            <w:pPr>
              <w:spacing w:after="0"/>
              <w:rPr>
                <w:sz w:val="1"/>
                <w:szCs w:val="1"/>
                <w:color w:val="auto"/>
              </w:rPr>
            </w:pPr>
          </w:p>
        </w:tc>
      </w:tr>
      <w:tr>
        <w:trPr>
          <w:trHeight w:val="240"/>
        </w:trPr>
        <w:tc>
          <w:tcPr>
            <w:tcW w:w="7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40"/>
        </w:trPr>
        <w:tc>
          <w:tcPr>
            <w:tcW w:w="7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(46,953)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34,459</w:t>
            </w:r>
          </w:p>
        </w:tc>
        <w:tc>
          <w:tcPr>
            <w:tcW w:w="0" w:type="dxa"/>
            <w:vAlign w:val="bottom"/>
          </w:tcPr>
          <w:p>
            <w:pPr>
              <w:spacing w:after="0"/>
              <w:rPr>
                <w:sz w:val="1"/>
                <w:szCs w:val="1"/>
                <w:color w:val="auto"/>
              </w:rPr>
            </w:pPr>
          </w:p>
        </w:tc>
      </w:tr>
      <w:tr>
        <w:trPr>
          <w:trHeight w:val="246"/>
        </w:trPr>
        <w:tc>
          <w:tcPr>
            <w:tcW w:w="7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0" w:type="dxa"/>
            <w:vAlign w:val="bottom"/>
          </w:tcPr>
          <w:p>
            <w:pPr>
              <w:spacing w:after="0"/>
              <w:rPr>
                <w:sz w:val="1"/>
                <w:szCs w:val="1"/>
                <w:color w:val="auto"/>
              </w:rPr>
            </w:pPr>
          </w:p>
        </w:tc>
      </w:tr>
      <w:tr>
        <w:trPr>
          <w:trHeight w:val="214"/>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(180,147)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(319,155)</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Consideration on escrow paid for GeneDx acquisition</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(127,004)</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0" w:type="dxa"/>
            <w:vAlign w:val="bottom"/>
          </w:tcPr>
          <w:p>
            <w:pPr>
              <w:spacing w:after="0"/>
              <w:rPr>
                <w:sz w:val="1"/>
                <w:szCs w:val="1"/>
                <w:color w:val="auto"/>
              </w:rPr>
            </w:pPr>
          </w:p>
        </w:tc>
      </w:tr>
      <w:tr>
        <w:trPr>
          <w:trHeight w:val="24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Development of internal-use software assets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(7,166)</w:t>
            </w:r>
          </w:p>
        </w:tc>
        <w:tc>
          <w:tcPr>
            <w:tcW w:w="0" w:type="dxa"/>
            <w:vAlign w:val="bottom"/>
          </w:tcPr>
          <w:p>
            <w:pPr>
              <w:spacing w:after="0"/>
              <w:rPr>
                <w:sz w:val="1"/>
                <w:szCs w:val="1"/>
                <w:color w:val="auto"/>
              </w:rPr>
            </w:pPr>
          </w:p>
        </w:tc>
      </w:tr>
      <w:tr>
        <w:trPr>
          <w:trHeight w:val="214"/>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(43,726)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(141,326)</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PIPE issuance, net of issuance costs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197,659</w:t>
            </w:r>
          </w:p>
        </w:tc>
        <w:tc>
          <w:tcPr>
            <w:tcW w:w="0" w:type="dxa"/>
            <w:vAlign w:val="bottom"/>
          </w:tcPr>
          <w:p>
            <w:pPr>
              <w:spacing w:after="0"/>
              <w:rPr>
                <w:sz w:val="1"/>
                <w:szCs w:val="1"/>
                <w:color w:val="auto"/>
              </w:rPr>
            </w:pPr>
          </w:p>
        </w:tc>
      </w:tr>
      <w:tr>
        <w:trPr>
          <w:trHeight w:val="24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offerings, net of issuance costs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143,002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long-term debt, net of issuance costs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0" w:type="dxa"/>
            <w:vAlign w:val="bottom"/>
          </w:tcPr>
          <w:p>
            <w:pPr>
              <w:spacing w:after="0"/>
              <w:rPr>
                <w:sz w:val="1"/>
                <w:szCs w:val="1"/>
                <w:color w:val="auto"/>
              </w:rPr>
            </w:pPr>
          </w:p>
        </w:tc>
      </w:tr>
      <w:tr>
        <w:trPr>
          <w:trHeight w:val="24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principal payments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payoff and principal payments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0" w:type="dxa"/>
            <w:vAlign w:val="bottom"/>
          </w:tcPr>
          <w:p>
            <w:pPr>
              <w:spacing w:after="0"/>
              <w:rPr>
                <w:sz w:val="1"/>
                <w:szCs w:val="1"/>
                <w:color w:val="auto"/>
              </w:rPr>
            </w:pPr>
          </w:p>
        </w:tc>
      </w:tr>
      <w:tr>
        <w:trPr>
          <w:trHeight w:val="214"/>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197,315</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(263,166)</w:t>
            </w:r>
          </w:p>
        </w:tc>
        <w:tc>
          <w:tcPr>
            <w:tcW w:w="0" w:type="dxa"/>
            <w:vAlign w:val="bottom"/>
          </w:tcPr>
          <w:p>
            <w:pPr>
              <w:spacing w:after="0"/>
              <w:rPr>
                <w:sz w:val="1"/>
                <w:szCs w:val="1"/>
                <w:color w:val="auto"/>
              </w:rPr>
            </w:pPr>
          </w:p>
        </w:tc>
      </w:tr>
      <w:tr>
        <w:trPr>
          <w:trHeight w:val="24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138,303</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401,469</w:t>
            </w:r>
          </w:p>
        </w:tc>
        <w:tc>
          <w:tcPr>
            <w:tcW w:w="0" w:type="dxa"/>
            <w:vAlign w:val="bottom"/>
          </w:tcPr>
          <w:p>
            <w:pPr>
              <w:spacing w:after="0"/>
              <w:rPr>
                <w:sz w:val="1"/>
                <w:szCs w:val="1"/>
                <w:color w:val="auto"/>
              </w:rPr>
            </w:pPr>
          </w:p>
        </w:tc>
      </w:tr>
      <w:tr>
        <w:trPr>
          <w:trHeight w:val="20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100,668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138,303</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taxes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from obtaining right-of-use asset</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Stock consideration paid for first Milestone Payment</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Stock consideration paid for purchase of business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172,000</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expenses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Software development costs in accounts payable and accrued expenses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-7164705</wp:posOffset>
            </wp:positionV>
            <wp:extent cx="6429375" cy="7188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extLst>
                    </a:blip>
                    <a:srcRect/>
                    <a:stretch>
                      <a:fillRect/>
                    </a:stretch>
                  </pic:blipFill>
                  <pic:spPr bwMode="auto">
                    <a:xfrm>
                      <a:off x="0" y="0"/>
                      <a:ext cx="6429375" cy="718820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080"/>
          </w:cols>
          <w:pgMar w:left="1080" w:top="208" w:right="10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19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GeneDx Holdings Corp., through its subsidiaries GeneDx, LLC and Sema4 OpCo, Inc., provides genomics-related diagnostic and information services and pursues genomics medical research. GeneDx utilizes an integrated portfolio of laboratory processes, software tools and informatics capabilities to process DNA-containing samples, analyzes information about patient-specific genetic variation and generates test reports for clinicians and their patients. GeneDx provides a variety of genetic diagnostic tests, screening solutions, and information with a focus on pediatrics, rare diseases for children and adults, and hereditary cancer screening. GeneDx Holdings’ operating subsidiaries primarily serve healthcare professionals who work with their patients and bills third-party payors across the United States.</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On January 9, 2023, Sema4 Holdings Corp. changed its name to GeneDx Holdings Corp. The Company’s Class A common stock and public warrants are listed on the Nasdaq under the symbols “WGS” and “WGSWW,” respectively.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January 31, 2023, the Company raised approximately $150.0 million in gross proceeds and announced the closing of an underwritten public offering of 9,962,316 shares of our Class A common stock and a concurrent registered direct offering of 2,353,436 shares of our Class A common stock. The net offering proceeds received after deducting underwriters' discounts and commissions payable by the Company were approximately $135.4 million. On April 17, 2023, following the Company’s receipt of stockholder approval for the issuance, the Company issued the remaining 676,868 shares of the Company’s Class A common stock to Corvex Select Equity Master Fund LP, Corvex Master Fund LP and Corvex Dynamic Equity Select Master Fund LP in its previously announced registered direct offering for gross proceeds of approximately $7.6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stated herein or unless the context otherwise requires, references in these notes to:</w:t>
      </w:r>
    </w:p>
    <w:p>
      <w:pPr>
        <w:spacing w:after="0" w:line="6" w:lineRule="exact"/>
        <w:rPr>
          <w:sz w:val="20"/>
          <w:szCs w:val="20"/>
          <w:color w:val="auto"/>
        </w:rPr>
      </w:pPr>
    </w:p>
    <w:p>
      <w:pPr>
        <w:ind w:left="720" w:hanging="360"/>
        <w:spacing w:after="0" w:line="259" w:lineRule="auto"/>
        <w:tabs>
          <w:tab w:leader="none" w:pos="7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“GeneDx Holdings” refer to GeneDx Holdings Corp., a Delaware corporation (f/k/a Sema4 Holdings Corp. (“Sema4 Holdings”));</w:t>
      </w:r>
    </w:p>
    <w:p>
      <w:pPr>
        <w:spacing w:after="0" w:line="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GeneDx” refer to GeneDx, LLC, a Delaware limited liability company (formerly, GeneDx, Inc., a New Jersey corporation), which we acquired on April 29, 2022 (the “Acquisition”);</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Sema4” refer to Mount Sinai Genomics, Inc. d/b/a as Sema4, a Delaware corporation, which consummated the business combination with CM Life Sciences, Inc. (“CMLS”) on July 22, 2021 (the “Business Combination”); and</w:t>
      </w:r>
    </w:p>
    <w:p>
      <w:pPr>
        <w:spacing w:after="0" w:line="1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“us” and “our,” the “Company” and “GeneDx” refer, as the context requires, to:</w:t>
      </w:r>
    </w:p>
    <w:p>
      <w:pPr>
        <w:spacing w:after="0" w:line="70" w:lineRule="exact"/>
        <w:rPr>
          <w:rFonts w:ascii="Times New Roman" w:cs="Times New Roman" w:eastAsia="Times New Roman" w:hAnsi="Times New Roman"/>
          <w:sz w:val="20"/>
          <w:szCs w:val="20"/>
          <w:color w:val="auto"/>
        </w:rPr>
      </w:pPr>
    </w:p>
    <w:p>
      <w:pPr>
        <w:ind w:left="1440" w:hanging="360"/>
        <w:spacing w:after="0" w:line="281" w:lineRule="auto"/>
        <w:tabs>
          <w:tab w:leader="none" w:pos="1440" w:val="left"/>
        </w:tabs>
        <w:numPr>
          <w:ilvl w:val="3"/>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Sema4 prior to the Business Combination, and GeneDx Holdings and its consolidated subsidiaries following the consummation of the Business Combination; and</w:t>
      </w:r>
    </w:p>
    <w:p>
      <w:pPr>
        <w:spacing w:after="0" w:line="1" w:lineRule="exact"/>
        <w:rPr>
          <w:rFonts w:ascii="Times New Roman" w:cs="Times New Roman" w:eastAsia="Times New Roman" w:hAnsi="Times New Roman"/>
          <w:sz w:val="20"/>
          <w:szCs w:val="20"/>
          <w:color w:val="auto"/>
        </w:rPr>
      </w:pPr>
    </w:p>
    <w:p>
      <w:pPr>
        <w:ind w:left="1440" w:hanging="360"/>
        <w:spacing w:after="0" w:line="281" w:lineRule="auto"/>
        <w:tabs>
          <w:tab w:leader="none" w:pos="1440" w:val="left"/>
        </w:tabs>
        <w:numPr>
          <w:ilvl w:val="3"/>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GeneDx prior to the Acquisition, and GeneDx Holdings and its consolidated subsidiaries following the consummation of the Acquisition.</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or “GeneDx” refer to (i) Legacy Sema4 prior to the consummation of the Business Combination; and</w:t>
      </w:r>
    </w:p>
    <w:p>
      <w:pPr>
        <w:spacing w:after="0" w:line="30" w:lineRule="exact"/>
        <w:rPr>
          <w:rFonts w:ascii="Times New Roman" w:cs="Times New Roman" w:eastAsia="Times New Roman" w:hAnsi="Times New Roman"/>
          <w:sz w:val="20"/>
          <w:szCs w:val="20"/>
          <w:color w:val="auto"/>
        </w:rPr>
      </w:pPr>
    </w:p>
    <w:p>
      <w:pPr>
        <w:ind w:left="720"/>
        <w:spacing w:after="0" w:line="260" w:lineRule="auto"/>
        <w:tabs>
          <w:tab w:leader="none" w:pos="1046"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GeneDx Holdings and its subsidiaries following the consummation of the Business Combination (including, following the consummation of the Acquisition, Legacy GeneDx).</w:t>
      </w:r>
    </w:p>
    <w:p>
      <w:pPr>
        <w:spacing w:after="0" w:line="194"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of America (“U.S. GAAP”). These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consolidated financial statements in order to conform to the current year’s presentation.</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May 4, 2023, at the commencement of trading, the Company effected a 1-for-33 reverse stock split (the “Reverse Stock Split”). Accordingly, all share and per share amounts for the periods presented in the accompanying consolidated financial statements and notes thereto have been adjusted retroactively, where applicable, to reflect the reverse stock split. No fractional shares were issued in connection with the reverse stock split.</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080"/>
          </w:cols>
          <w:pgMar w:left="1080" w:top="208" w:right="10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an “emerging growth company” as defined in the Jumpstart Our Business Startups Act of 2012. In addition, the Company is a “smaller reporting company”, as defined in Item 10(f)(1) of the U.S. Securities and Exchange Commission’s Regulation S-K. As such, the Company is eligible for exemptions from various reporting requirements applicable to other public companies that are not emerging growth companies, including reduced reporting, including the reporting of two fiscal years of audited financial statements,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income taxes and intangible assets. Actual results could differ materially from those estimates, judgments and assumptions.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Other Risks and Uncertainties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marketable securities and accounts receivable. The majority of the Company’s cash, cash equivalents and restricted cash are uninsured with account balances in excess of the Federal Deposit Insurance Company limits.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Company’s cash and cash equivalents are deposited with high-quality financial institutions. Management believes these financial institutions are financially sound and, accordingly, that minimal credit risk exists. The Company is exposed to credit risk in the event of a default by the financial institutions holding its cash in excess of government insured limits and in the event of default by corporations and governments in which it holds investments in cash equivalents and short-term debt securities, to the extent recorded on the consolidated balance sheet. The Company has not experienced any losses on its deposits of cash and cash equivalents.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assesses both the self-pay patient and, if applicable, the third party payor that reimburses the Company on the patient’s behalf when evaluating concentration of credit risk. Significant patients and payors are those that represent more than 10% of the Company’s total annual revenues or accounts receivable balance at each respective balance sheet date. The significant concentrations of accounts receivable as of December 31, 2023 and 2022 were primarily from large managed care insurance companies, institutional billed accounts, and data arrangements. There was no individual patient or client that accounted for 10% or more of revenue or accounts receivable for any of the years presented. The Company does not require collateral as a means to mitigate customer credit risk.</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For each significant payor, revenue as a percentage of total revenues and accounts receivable as a percentage of total accounts receivable are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460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00" w:type="dxa"/>
            <w:vAlign w:val="bottom"/>
          </w:tcPr>
          <w:p>
            <w:pPr>
              <w:spacing w:after="0"/>
              <w:rPr>
                <w:sz w:val="23"/>
                <w:szCs w:val="23"/>
                <w:color w:val="auto"/>
              </w:rPr>
            </w:pPr>
          </w:p>
        </w:tc>
        <w:tc>
          <w:tcPr>
            <w:tcW w:w="26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Accounts Receivable</w:t>
            </w:r>
          </w:p>
        </w:tc>
      </w:tr>
      <w:tr>
        <w:trPr>
          <w:trHeight w:val="265"/>
        </w:trPr>
        <w:tc>
          <w:tcPr>
            <w:tcW w:w="4600" w:type="dxa"/>
            <w:vAlign w:val="bottom"/>
          </w:tcPr>
          <w:p>
            <w:pPr>
              <w:spacing w:after="0"/>
              <w:rPr>
                <w:sz w:val="23"/>
                <w:szCs w:val="23"/>
                <w:color w:val="auto"/>
              </w:rPr>
            </w:pPr>
          </w:p>
        </w:tc>
        <w:tc>
          <w:tcPr>
            <w:tcW w:w="26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0" w:type="dxa"/>
            <w:vAlign w:val="bottom"/>
          </w:tcPr>
          <w:p>
            <w:pPr>
              <w:spacing w:after="0"/>
              <w:rPr>
                <w:sz w:val="23"/>
                <w:szCs w:val="23"/>
                <w:color w:val="auto"/>
              </w:rPr>
            </w:pPr>
          </w:p>
        </w:tc>
        <w:tc>
          <w:tcPr>
            <w:tcW w:w="26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460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87"/>
        </w:trPr>
        <w:tc>
          <w:tcPr>
            <w:tcW w:w="4600" w:type="dxa"/>
            <w:vAlign w:val="bottom"/>
          </w:tcPr>
          <w:p>
            <w:pPr>
              <w:spacing w:after="0" w:line="287" w:lineRule="exact"/>
              <w:rPr>
                <w:sz w:val="20"/>
                <w:szCs w:val="20"/>
                <w:color w:val="auto"/>
              </w:rPr>
            </w:pPr>
            <w:r>
              <w:rPr>
                <w:rFonts w:ascii="Times New Roman" w:cs="Times New Roman" w:eastAsia="Times New Roman" w:hAnsi="Times New Roman"/>
                <w:sz w:val="20"/>
                <w:szCs w:val="20"/>
                <w:color w:val="auto"/>
              </w:rPr>
              <w:t xml:space="preserve">Payor A </w:t>
            </w:r>
            <w:r>
              <w:rPr>
                <w:rFonts w:ascii="Times New Roman" w:cs="Times New Roman" w:eastAsia="Times New Roman" w:hAnsi="Times New Roman"/>
                <w:sz w:val="26"/>
                <w:szCs w:val="26"/>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7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30%</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14%</w:t>
            </w:r>
          </w:p>
        </w:tc>
      </w:tr>
      <w:tr>
        <w:trPr>
          <w:trHeight w:val="260"/>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Payor B</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7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15%</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10%</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426200" cy="387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extLst>
                    </a:blip>
                    <a:srcRect/>
                    <a:stretch>
                      <a:fillRect/>
                    </a:stretch>
                  </pic:blipFill>
                  <pic:spPr bwMode="auto">
                    <a:xfrm>
                      <a:off x="0" y="0"/>
                      <a:ext cx="6426200" cy="3873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68" w:lineRule="exact"/>
        <w:rPr>
          <w:sz w:val="20"/>
          <w:szCs w:val="20"/>
          <w:color w:val="auto"/>
        </w:rPr>
      </w:pPr>
    </w:p>
    <w:p>
      <w:pPr>
        <w:ind w:left="360" w:hanging="320"/>
        <w:spacing w:after="0"/>
        <w:tabs>
          <w:tab w:leader="none" w:pos="3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10%</w:t>
      </w:r>
    </w:p>
    <w:p>
      <w:pPr>
        <w:spacing w:after="0" w:line="25" w:lineRule="exact"/>
        <w:rPr>
          <w:sz w:val="20"/>
          <w:szCs w:val="20"/>
          <w:color w:val="auto"/>
        </w:rPr>
      </w:pPr>
    </w:p>
    <w:p>
      <w:pPr>
        <w:ind w:left="360" w:hanging="360"/>
        <w:spacing w:after="0" w:line="260" w:lineRule="auto"/>
        <w:tabs>
          <w:tab w:leader="none" w:pos="3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payor group includes multiple individual plans and the Company calculates and presents the aggregated value from all plans, which is consistent with the Company’s portfolio approach used in accounting for diagnostic test revenue.</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is subject to a concentration of risk from a limited number of suppliers for certain reagents and laboratory supplies. One supplier accounted for approximately 11% and 4% of purchases for the years ended December 31, 2023 and 2022, respectively. Another supplier accounted for approximately 11% and 12% of purchases for the years ended</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080"/>
          </w:cols>
          <w:pgMar w:left="1080" w:top="208" w:right="108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and 2022, respectively. This risk is managed by maintaining a target quantity of surplus stock.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Alternative suppliers are available for some or all of these reagents and supplies.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credit losses are recognized and recorded.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 revenue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For institutional clients, the customer is the institution. The Company determines the transaction price associated with services rendered in accordance with the contractual rates established with each customer.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enters into both short-term and long-term project-based collaboration and service agreements with customers. Certain of these contracts include a license to directly access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Certain of these contracts include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080"/>
          </w:cols>
          <w:pgMar w:left="1080" w:top="208" w:right="108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w:t>
      </w:r>
      <w:r>
        <w:rPr>
          <w:rFonts w:ascii="Times New Roman" w:cs="Times New Roman" w:eastAsia="Times New Roman" w:hAnsi="Times New Roman"/>
          <w:sz w:val="20"/>
          <w:szCs w:val="20"/>
          <w:b w:val="1"/>
          <w:bCs w:val="1"/>
          <w:i w:val="1"/>
          <w:iCs w:val="1"/>
          <w:color w:val="auto"/>
        </w:rPr>
        <w:t>Revenue Recognition</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of three months or less from the date of purchase to be cash equivalents. Cash equivalents consist of amounts invested in money market funds and debt securities. Carrying values of cash equivalents approximate fair value due to the short-term nature of these instruments. The current and long-term portions of restricted cash are included within prepaid expenses and other current assets and other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Marketable securities are classified as current assets as these investments are intended to be available to the Company for use in funding current operations. Unrealized gains and losses on available for sale securities are deemed temporary and are classified in accumulated other comprehensive income (loss) within stockholders’ equity. Changes in the fair value of available for sale securities impact earnings only when such securities are sold, or an allowance for expected credit losses or impairment is recognized. We regularly evaluate our portfolio of marketable securities for expected credit losses and impairment for any decline in fair value determined to be other-than-temporary. In making this judgement, we evaluate, among other things, the extent to which the fair value of a security is less than its amortized cost; the financial condition of the issuer, including the credit quality, and any changes thereto; and our intent to sell, or whether we will more likely than not be required to sell, the security before recovery of its amortized cost basis. Our assessment of whether a marketable security has a credit loss or is impaired could change in the future due to new developments or changes in assumptions related to any particular security.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w:t>
      </w: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Accounts receivable consists of amounts due from customers and third-party payors for services performed and reflect the consideration to which the Company expects to be entitled in exchange for providing those services. Accounts receivable is estimated and recorded in the period the related revenue is recorded. During the years ended December 31, 2023 and 2022, the Company did not record provisions for credit losses. The Company did not write off any accounts receivable balances for the years ended December 31, 2023 and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net</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Inventory, net, which primarily consists of finished goods such as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During the fourth quarter of 2022, the Company identified indicators of impairment for certain inventory testing supplies and reagents in connection with the planned exit of the Legacy Sema4 business and recorded a $22.5 million impairment charge in the Company’s consolidated statements of operations and comprehensive loss for the year ended December 31, 2022.</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080"/>
          </w:cols>
          <w:pgMar w:left="1080" w:top="208" w:right="108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Property and equipment, net are stated at cost less accumulated depreciation and amortization. Equipment includes assets under finance lease. Improvements are capitalized, while maintenance and repairs are expensed as incurred. When assets are retired or otherwise disposed of, the cost and accumulated depreciation and amortization are removed from the consolidated balance sheets and any resulting gain or loss is reflected in the consolidated statements of operations and comprehensive loss in the period realized.</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Finance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6, “</w:t>
      </w:r>
      <w:r>
        <w:rPr>
          <w:rFonts w:ascii="Times New Roman" w:cs="Times New Roman" w:eastAsia="Times New Roman" w:hAnsi="Times New Roman"/>
          <w:sz w:val="20"/>
          <w:szCs w:val="20"/>
          <w:b w:val="1"/>
          <w:bCs w:val="1"/>
          <w:i w:val="1"/>
          <w:iCs w:val="1"/>
          <w:color w:val="auto"/>
        </w:rPr>
        <w:t>Property and Equipment, net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Software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capitalizes certain costs incurred related to the development of our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6, “</w:t>
      </w:r>
      <w:r>
        <w:rPr>
          <w:rFonts w:ascii="Times New Roman" w:cs="Times New Roman" w:eastAsia="Times New Roman" w:hAnsi="Times New Roman"/>
          <w:sz w:val="20"/>
          <w:szCs w:val="20"/>
          <w:b w:val="1"/>
          <w:bCs w:val="1"/>
          <w:i w:val="1"/>
          <w:iCs w:val="1"/>
          <w:color w:val="auto"/>
        </w:rPr>
        <w:t>Property and Equipment, net</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as goodwill. The use of alternative valuation assumptions, including estimated revenue projections, growth rates,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3,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Net</w:t>
      </w:r>
    </w:p>
    <w:p>
      <w:pPr>
        <w:spacing w:after="0" w:line="1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Amortizable intangible assets include trade names and trademarks, developed technology and customer relationships acquired as part of business combinations. Intangible assets acquired through our business combinations in 2022 are amortized on a straight-line basis. All intangible assets subject to amortization are reviewed for impairment in accordance with ASC 360, Property, Plant and Equipment. There were no impairment losses recorded on intangible assets for any periods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7, “</w:t>
      </w:r>
      <w:r>
        <w:rPr>
          <w:rFonts w:ascii="Times New Roman" w:cs="Times New Roman" w:eastAsia="Times New Roman" w:hAnsi="Times New Roman"/>
          <w:sz w:val="20"/>
          <w:szCs w:val="20"/>
          <w:b w:val="1"/>
          <w:bCs w:val="1"/>
          <w:i w:val="1"/>
          <w:iCs w:val="1"/>
          <w:color w:val="auto"/>
        </w:rPr>
        <w:t>Goodwill and Intangible Assets</w:t>
      </w:r>
      <w:r>
        <w:rPr>
          <w:rFonts w:ascii="Times New Roman" w:cs="Times New Roman" w:eastAsia="Times New Roman" w:hAnsi="Times New Roman"/>
          <w:sz w:val="20"/>
          <w:szCs w:val="20"/>
          <w:color w:val="auto"/>
        </w:rPr>
        <w:t>” for more information.</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80"/>
          </w:cols>
          <w:pgMar w:left="1080" w:top="208" w:right="10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Cloud Computing</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 During the year ended December 31, 2022, $0.3 million of implementation costs were capitalized and recorded in prepaid expenses and other current assets. There were no capitalized amounts for the year ended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40" w:lineRule="exact"/>
        <w:rPr>
          <w:sz w:val="20"/>
          <w:szCs w:val="20"/>
          <w:color w:val="auto"/>
        </w:rPr>
      </w:pPr>
    </w:p>
    <w:p>
      <w:pPr>
        <w:ind w:left="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1</w:t>
      </w:r>
      <w:r>
        <w:rPr>
          <w:rFonts w:ascii="Times New Roman" w:cs="Times New Roman" w:eastAsia="Times New Roman" w:hAnsi="Times New Roman"/>
          <w:sz w:val="20"/>
          <w:szCs w:val="20"/>
          <w:color w:val="auto"/>
        </w:rPr>
        <w:t>: Observable inputs such as quoted prices (unadjusted) in active markets that are accessible at the measurement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date for identical assets or liabilities.</w:t>
      </w:r>
    </w:p>
    <w:p>
      <w:pPr>
        <w:spacing w:after="0" w:line="114" w:lineRule="exact"/>
        <w:rPr>
          <w:sz w:val="20"/>
          <w:szCs w:val="20"/>
          <w:color w:val="auto"/>
        </w:rPr>
      </w:pPr>
    </w:p>
    <w:p>
      <w:pPr>
        <w:ind w:left="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2</w:t>
      </w:r>
      <w:r>
        <w:rPr>
          <w:rFonts w:ascii="Times New Roman" w:cs="Times New Roman" w:eastAsia="Times New Roman" w:hAnsi="Times New Roman"/>
          <w:sz w:val="20"/>
          <w:szCs w:val="20"/>
          <w:color w:val="auto"/>
        </w:rPr>
        <w:t>: Observable inputs such as quoted prices for similar instruments in active markets, quoted prices for identical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similar instruments in markets that are not active or model-derived valuations whose significant inputs are observable.</w:t>
      </w:r>
    </w:p>
    <w:p>
      <w:pPr>
        <w:spacing w:after="0" w:line="114" w:lineRule="exact"/>
        <w:rPr>
          <w:sz w:val="20"/>
          <w:szCs w:val="20"/>
          <w:color w:val="auto"/>
        </w:rPr>
      </w:pPr>
    </w:p>
    <w:p>
      <w:pPr>
        <w:ind w:left="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3</w:t>
      </w:r>
      <w:r>
        <w:rPr>
          <w:rFonts w:ascii="Times New Roman" w:cs="Times New Roman" w:eastAsia="Times New Roman" w:hAnsi="Times New Roman"/>
          <w:sz w:val="20"/>
          <w:szCs w:val="20"/>
          <w:color w:val="auto"/>
        </w:rPr>
        <w:t>: Unobservable inputs that are significant to the measurement of fair value but are supported by little to no 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data.</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financial assets and liabilities consist of cash and cash equivalents, marketable securities, accounts receivable, other current assets, accounts payable, and accrued expenses, other current liabilities, and long-term debt. The Company’s carry value of cash and cash equivalents, accounts receivable, other current assets, accounts payable, accrued expenses and other current liabilities approximate their fair value due to the relatively short-term nature of these accounts.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w:t>
      </w: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outstanding warrants include the Public Warrants, the Private Warrants and the Perceptive Warrants.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accounts for warrants as liability-classified instruments based on an assessment of the warrant terms and applicable authoritative guidance in accordance with ASC 480, 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The warrant liabilities are recorded on the consolidated balance sheets at fair value on their respective issuance dates, with subsequent changes in respective fair values recognized on the consolidated statements of operations and comprehensive loss at each reporting date.</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Public Warrants are classified within Level 1 of the fair value hierarchy as they are traded in active markets and the fair value is determined on the basis of quoted market prices. Management has determined the fair value of each Private Warrant is the same as that of a Public Warrant because the terms are substantially the same. The Private Warrants are classified within Level 2 of the fair value hierarchy as management determined the fair value of each Private Warrant is the same as that of a Public Warrant because the terms are substantially the same. The Perceptive Warrants are classified within Level 3 of the fair value hierarchy. The estimated fair value of the Perceptive Warrants is determined based on a Modified Black-Scholes valuation model. Key assumptions include expected volatility, expected term, and risk-free interest rate.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w:t>
      </w: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 (Legacy GeneDx)</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Acquisition involved potential payment of future consideration payable to OPKO Health, Inc. (“OPKO”) in cash and/or shares of Company’s Class A common stock with such mix to be determined in the Company’s sole discretion, based upon achievement of 2022 and 2023 revenue milestones, pursuant to the Acquisition Merger Agreement (the “Milestone Payments”). The Company records contingent consideration at fair value at the date of acquisition based on the consideration</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080"/>
          </w:cols>
          <w:pgMar w:left="1080" w:top="208" w:right="10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expected to be transferred, estimated using a Monte Carlo simulation valuation model. Changes in assumptions may result in adjustments to the fair value measurements.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Contingent consideration is remeasured each reporting period using Level 3 inputs, and the change in fair value, including accretion for the passage of time, is recognized as income or expense on the Company’s consolidated statements of operations. Cash contingent consideration payments up to the acquisition date fair value of the contingent consideration liability are classified as financing activities in the consolidated statements of cash flows, and amounts paid in excess of the original acquisition date fair value are classified as operating activities in the consolidated statements of cash flows.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w:t>
      </w: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Earn-out Contingent Liability</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connection with the Business Combination, all Legacy Sema4 stockholders and option holders at that time became entitled to a pro rata share of earn-out shares and earn-out RSUs.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accounted for the earn-out shares as a liability in accordance with ASC 480. The Company subsequently measured the fair value of the liability at each reporting period and changes in fair value were recorded as a component of non-operating income (expenses), net, on the consolidated statements of operations and comprehensive loss. In July 2023, the Company’s obligations to issue earn-out shares pursuant to that certain Agreement and Plan of Merger, dated February 9, 2021, and shares pursuant to the earn-out RSUs expired as a result of the vesting conditions not being achieved.</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accounted for the earn-out RSUs in accordance with ASC 718- Compensation — Stock Compensation (“ASC 718”) and stock-based compensation expense was recognized over the longer of the expected achievement period for the market-based requirement or the service requirement. In the event that any earn-out RSUs were forfeited as a result of a failure to achieve the service requirement, the underlying shares were reallocated on an annual basis to the Legacy Sema4 stockholders and to the Legacy Sema4 option holders who remained employed as of the date of such reallocation. Any re-allocations to Legacy Sema4 option holders were accounted for as new grants.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w:t>
      </w: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measures stock-based compensation at the grant date based on the fair value of the award and recognizes stock-based compensation expense over the requisite service period for each separate vesting portion of the award on a straight-line basis.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uses the Black-Scholes option-pricing model to estimate the fair value of its stock option awards. Determining the fair value of stock option awards requires judgment, including estimating expected stock price volatility and expected option term. The Company estimates a volatility factor for the Company’s options based on analysis of historical share prices of a peer group of public companies, the historical share prices of the Company, and the implied volatility of the Company’s call options. The Company estimates the expected term of options granted using the “simplified method,” which is the mid-point between the vesting date and the ending date of the contractual term. The Company does not rely on the historical holding periods of the Company’s options due to the limited availability of exercise data. The Company uses a risk-free interest rate based on the U.S. Treasury yield curve in effect for bonds with maturities consistent with the expected term of the option. Expected dividend yield is based on the fact that the Company has never paid dividends.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Restricted stock awards are valued based on the fair value of the stock on the grant date. The Company issues new shares upon share option exercise and vesting of a restricted share unit. Forfeitures of stock-based compensation are recognized as they occur.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w:t>
      </w:r>
      <w:r>
        <w:rPr>
          <w:rFonts w:ascii="Times New Roman" w:cs="Times New Roman" w:eastAsia="Times New Roman" w:hAnsi="Times New Roman"/>
          <w:sz w:val="20"/>
          <w:szCs w:val="20"/>
          <w:b w:val="1"/>
          <w:bCs w:val="1"/>
          <w:i w:val="1"/>
          <w:iCs w:val="1"/>
          <w:color w:val="auto"/>
        </w:rPr>
        <w:t>Stock-Based Compensation</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080"/>
          </w:cols>
          <w:pgMar w:left="1080" w:top="208" w:right="10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recognizes tax benefits from uncertain tax positions only if it is more likely than not, based on technical merits, that the position will be sustained upon examination by the appropriate taxing authorities. The amount of tax benefit recognized for an uncertain tax position is the largest that is more than 50 percent likelihood to be realized upon ultimate settlement. The Company records interest and penalties related to tax uncertainties, where appropriate, in income tax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13,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The Company’s leases primarily consisted of office and lab space, and equipment for use in its operations. Its leases generally have lease terms of 2024 to 2036 years, some with the option to extend. The Company includes extension options that are reasonably certain to be exercised as part of the lease terms. As of December 31, 2023, none of the Company’s lease terms included the extension option as the Company has determined that it is unlikely to exercise to extension option.</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Under ASU 2016-02, Leases (ASC 842), the Company determines if an arrangement is or contains a lease at inception. A lease qualifies as a finance lease if any of the following criteria are met at the inception of the lease: (i) there is a transfer of ownership of the leased asset to the Company by the end of the lease term, (ii) the Company holds an option to purchase the leased asset that the Company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classified as operating leases.</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Right-of-use assets (ROU assets) represent the Company’s right to use an underlying asset for the lease term and lease liabilities represent the Company’s obligation to make lease payments arising from the lease. Operating and finance lease ROU assets and liabilities are recognized at the lease commencement date based on the present value of remaining future minimum lease payments over the lease term. The Company does not recognize a ROU asset or lease liability for leases with a term of 12 months or less and does not include variable costs, which are based on actual usage, in the measurement of ROU assets and lease liabilities. The ROU assets include any lease payments made prior to the commencement date and initial direct costs incurred and excludes lease incentives received. ROU assets are subsequently assessed for impairment in accordance with the Company’s accounting policy for long-lived assets.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 The lease liabilities are classified as current or non-current based on the expected timing of payments.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recognizes lease expense for operating leases on a straight-line basis over the lease term, which may include options to extend or terminate the lease when it is reasonably certain that the Company will exercise such options. Variable costs are expensed when the event determining the amount of variable consideration to be paid occurs. Interest expense for finance leases is recognized based on the accretion of the lease liability. The Company has operating and finance lease arrangements with lease and non-lease components. The Company accounts for lease and non-lease components as a single lease component for all leases.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10,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Changes to U.S. GAAP are established by the Financial Accounting Standards Board (the “FASB”) in the form of accounting standards updates (“ASUs”) to the FASB’s Accounting Standards Codification. The Company considers the applicability and impact of all ASUs. ASUs not included in the disclosures in this report were assessed and determined to be either not applicable or are not expected to have a material impact on the consolidated financial statements.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b w:val="1"/>
          <w:bCs w:val="1"/>
          <w:i w:val="1"/>
          <w:iCs w:val="1"/>
          <w:color w:val="auto"/>
        </w:rPr>
        <w:t>Improvements to Reportable Segment Disclosures</w:t>
      </w:r>
      <w:r>
        <w:rPr>
          <w:rFonts w:ascii="Times New Roman" w:cs="Times New Roman" w:eastAsia="Times New Roman" w:hAnsi="Times New Roman"/>
          <w:sz w:val="20"/>
          <w:szCs w:val="20"/>
          <w:color w:val="auto"/>
        </w:rPr>
        <w:t xml:space="preserve"> (“ASU 2023-07”). The standard requires enhanced segment reporting disclosures, including significant segment expenses and other segment items. Additionally, the standard requires public entities to provide in interim periods all disclosures about a reportable segment’s profit or loss and assets that are currently required annually. ASU 2023-07 will be effective for annual periods beginning after December 15, 2023, and for interim periods beginning after December 15, 2024, with early adoption permitted. The guidance will be applied retrospectively to all periods presented in financial statements unless it is impractical</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080"/>
          </w:cols>
          <w:pgMar w:left="1080" w:top="208" w:right="10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to do so. The Company is currently evaluating the impact of the new guidance on its consolidated financial statements and related disclosures.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Income Taxes – Improvements to Income Tax Disclosures</w:t>
      </w:r>
      <w:r>
        <w:rPr>
          <w:rFonts w:ascii="Times New Roman" w:cs="Times New Roman" w:eastAsia="Times New Roman" w:hAnsi="Times New Roman"/>
          <w:sz w:val="20"/>
          <w:szCs w:val="20"/>
          <w:color w:val="auto"/>
        </w:rPr>
        <w:t xml:space="preserve"> (“ASU 2023-09”). The standard requires additional disclosures around disaggregated information about a reporting entity’s effective tax rate reconciliation as well as information on income taxes paid. ASU 2023-09 will be effective for annual periods beginning after December 15, 2024, with early adoption permitted. The guidance will be applied on a prospective basis with the option to apply the standard retrospectively. The Company is currently evaluating the impact of the new guidance on its consolidated financial statements and related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In June 2016, the FASB issued ASU 2016-13, </w:t>
      </w:r>
      <w:r>
        <w:rPr>
          <w:rFonts w:ascii="Times New Roman" w:cs="Times New Roman" w:eastAsia="Times New Roman" w:hAnsi="Times New Roman"/>
          <w:sz w:val="20"/>
          <w:szCs w:val="20"/>
          <w:b w:val="1"/>
          <w:bCs w:val="1"/>
          <w:i w:val="1"/>
          <w:iCs w:val="1"/>
          <w:color w:val="auto"/>
        </w:rPr>
        <w:t>Financial Instruments – Credit Losses (Topic 326): Measurement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Losses on Financial Instruments </w:t>
      </w:r>
      <w:r>
        <w:rPr>
          <w:rFonts w:ascii="Times New Roman" w:cs="Times New Roman" w:eastAsia="Times New Roman" w:hAnsi="Times New Roman"/>
          <w:sz w:val="20"/>
          <w:szCs w:val="20"/>
          <w:color w:val="auto"/>
        </w:rPr>
        <w:t>(“ASU 2016-13”). The new credit losses standard changes the impairment model for most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The Company adopted ASU 2016-13 effective January 1, 2023 and the adoption did not have material impact in the consolidated statements of operations and comprehensive loss.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Legacy GeneDx Acquisition</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April 29, 2022, the Company completed the Acquisition. At the closing of the Acquisition, the Company paid OPKO gross cash consideration of $150 million (before deduction of transaction expenses and other customary purchase price adjustments) and issued to OPKO 2.4 million shares of the Company’s Class A common stock ($172 million based on the closing date share price of $70.95 per share). A portion of this cash and stock consideration was held in escrow for a one year escrow period ending in May 2023. On May 15, 2023, the Company completed the net working capital settlement with OPKO and released the remaining escrowed amount recorded in restricted cash. In addition, a portion of the $150 million was payable following the closing of the Acquisition due to the achievement of the first revenue-based milestone for the fiscal year ended December 31, 2022 and the remaining Milestone Payment of up to $37.5 million would be payable if certain revenue-based milestones are achieved for the fiscal year ending December 31, 2023. During the year ended December 31, 2023, the first Milestone Payment became due and payable in full and resulted in the issuance of 701,460 shares of the Company’s Class A common stock on April 14, 2023. The remaining Milestone Payment, if and to the extent earned under the terms of the Acquisition Merger Agreement, will be satisfied through the payment and/or issuance of a combination of cash and shares of the Company’s Class A common stock (valued at $160.38 per share, subject to adjustment for stock splits and similar changes), with such mix to be determined in the Company’s sole discretion. The second milestone payment was determined to be zero. Concurrently with the closing of the Acquisition, the Company also issued and sold in a private placement 1,515,152 shares of the Company’s Class A common stock to certain institutional investors for aggregate gross proceeds of $200 million (the “Acquisition PIPE Investment”).</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080"/>
          </w:cols>
          <w:pgMar w:left="1080" w:top="208" w:right="108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net purchase price and the fair values of the assets and liabilities of Legacy GeneDx on a preliminary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6438900" cy="3127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extLst>
                    </a:blip>
                    <a:srcRect/>
                    <a:stretch>
                      <a:fillRect/>
                    </a:stretch>
                  </pic:blipFill>
                  <pic:spPr bwMode="auto">
                    <a:xfrm>
                      <a:off x="0" y="0"/>
                      <a:ext cx="6438900" cy="3127375"/>
                    </a:xfrm>
                    <a:prstGeom prst="rect">
                      <a:avLst/>
                    </a:prstGeom>
                    <a:noFill/>
                  </pic:spPr>
                </pic:pic>
              </a:graphicData>
            </a:graphic>
          </wp:anchor>
        </w:drawing>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21,651</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Inventory</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6,210</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4,671</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29,509</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6,464</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Trade names and trademarks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48,000</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98,000</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(12,862)</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(15,781)</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(51,779)</w:t>
            </w:r>
          </w:p>
        </w:tc>
      </w:tr>
      <w:tr>
        <w:trPr>
          <w:trHeight w:val="288"/>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(5,798)</w:t>
            </w:r>
          </w:p>
        </w:tc>
      </w:tr>
      <w:tr>
        <w:trPr>
          <w:trHeight w:val="262"/>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net assets acquired</w:t>
            </w: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178,605</w:t>
            </w:r>
          </w:p>
        </w:tc>
      </w:tr>
      <w:tr>
        <w:trPr>
          <w:trHeight w:val="288"/>
        </w:trPr>
        <w:tc>
          <w:tcPr>
            <w:tcW w:w="872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Goodwill </w:t>
            </w:r>
            <w:r>
              <w:rPr>
                <w:rFonts w:ascii="Times New Roman" w:cs="Times New Roman" w:eastAsia="Times New Roman" w:hAnsi="Times New Roman"/>
                <w:sz w:val="26"/>
                <w:szCs w:val="26"/>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185,871</w:t>
            </w:r>
          </w:p>
        </w:tc>
      </w:tr>
      <w:tr>
        <w:trPr>
          <w:trHeight w:val="24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Aggregate purchase price</w:t>
            </w: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364,476</w:t>
            </w:r>
          </w:p>
        </w:tc>
      </w:tr>
      <w:tr>
        <w:trPr>
          <w:trHeight w:val="20"/>
        </w:trPr>
        <w:tc>
          <w:tcPr>
            <w:tcW w:w="8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Goodwill represents the excess of the purchase price over the fair value of the net tangible and intangible assets acquired.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amounts above represent the fair value estimates at the time of the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Revenue Recognition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Disaggregated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disaggregated revenue by payor category:</w:t>
      </w: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65"/>
        </w:trPr>
        <w:tc>
          <w:tcPr>
            <w:tcW w:w="3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r>
      <w:tr>
        <w:trPr>
          <w:trHeight w:val="265"/>
        </w:trPr>
        <w:tc>
          <w:tcPr>
            <w:tcW w:w="3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GeneDx</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Legacy Sema4</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GeneDx</w:t>
            </w:r>
          </w:p>
        </w:tc>
        <w:tc>
          <w:tcPr>
            <w:tcW w:w="60" w:type="dxa"/>
            <w:vAlign w:val="bottom"/>
          </w:tcPr>
          <w:p>
            <w:pPr>
              <w:spacing w:after="0"/>
              <w:rPr>
                <w:sz w:val="23"/>
                <w:szCs w:val="23"/>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Legacy Sema4</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62"/>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Diagnostic test revenue:</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3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Patients with third-party insurance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126,265</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72,890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100,734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173,624</w:t>
            </w:r>
          </w:p>
        </w:tc>
      </w:tr>
      <w:tr>
        <w:trPr>
          <w:trHeight w:val="285"/>
        </w:trPr>
        <w:tc>
          <w:tcPr>
            <w:tcW w:w="3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Institutional customers</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40,754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46,124</w:t>
            </w:r>
          </w:p>
        </w:tc>
      </w:tr>
      <w:tr>
        <w:trPr>
          <w:trHeight w:val="288"/>
        </w:trPr>
        <w:tc>
          <w:tcPr>
            <w:tcW w:w="3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Self-pay patients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1,230</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6,356</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7,586</w:t>
            </w:r>
          </w:p>
        </w:tc>
      </w:tr>
      <w:tr>
        <w:trPr>
          <w:trHeight w:val="262"/>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Total diagnostic test revenue</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187,464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195,654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114,874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112,460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227,334</w:t>
            </w:r>
          </w:p>
        </w:tc>
      </w:tr>
      <w:tr>
        <w:trPr>
          <w:trHeight w:val="288"/>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7,360</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7,360</w:t>
            </w: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194,376</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202,566</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122,234</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112,460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234,694</w:t>
            </w:r>
          </w:p>
        </w:tc>
      </w:tr>
      <w:tr>
        <w:trPr>
          <w:trHeight w:val="20"/>
        </w:trPr>
        <w:tc>
          <w:tcPr>
            <w:tcW w:w="3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6438900" cy="1498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extLst>
                    </a:blip>
                    <a:srcRect/>
                    <a:stretch>
                      <a:fillRect/>
                    </a:stretch>
                  </pic:blipFill>
                  <pic:spPr bwMode="auto">
                    <a:xfrm>
                      <a:off x="0" y="0"/>
                      <a:ext cx="6438900" cy="14986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Reassessment of variable consideration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For the year ended December 31, 2023, the total change in estimate resulted in a net $8.8 million which included the partial release of a third party payor reserve established in prior periods for Legacy Sema4.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2022, the Company recorded $54.0 million to decrease revenue resulting from changes in the estimated transaction price due to contractual adjustments, obtaining updated information from payors and patients that was unknown at the time the performance obligation was met and potential and actual settlements with third party payors.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080"/>
          </w:cols>
          <w:pgMar w:left="1080" w:top="208" w:right="10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payor matters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an integral part of the Company’s billing compliance program the Company instituted a third-party review of billing claims and compliance practices, and initiated improvements including implementing a package of new billing compliance policies and procedures and strengthening the Company’s billing compliance team.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Throughout 2022, the Company was engaged in discussions with one of its third-party payors (the “Payor”) regarding certain overpayments to Legacy Sema4. On December 30, 2022, the Company entered into a settlement agreement with the Payor in order to settle the claims related to coverage and billing matters allegedly resulting in the overpayments by the Payor to the Company (the “Disputed Claims”). Under the settlement agreement, $42 million is to be paid by the Company to the Payor in a series of installments over four years with the final installment payment scheduled to be on or before June 30, 2026. The first installment payment of $15 million was made on December 31, 2022 and the second installment of $5 million was made on December 27, 2023. In consideration for these payments, the Payor agreed to provide releases of the Disputed Claims, which releases became effective on March 31, 2023.</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of this matter, and in connection with a review of certain billing policies and procedures undertaken by management, the Company considered the need to establish reserves for potential recoupments of payments previously made by third-party payors. As of December 31, 2023 and December 31, 2022, $27.0 million and $39.0 million were recorded in accounts payable and accrued expenses and other liabilities, respectively. See Note 16, “</w:t>
      </w:r>
      <w:r>
        <w:rPr>
          <w:rFonts w:ascii="Times New Roman" w:cs="Times New Roman" w:eastAsia="Times New Roman" w:hAnsi="Times New Roman"/>
          <w:sz w:val="20"/>
          <w:szCs w:val="20"/>
          <w:b w:val="1"/>
          <w:bCs w:val="1"/>
          <w:i w:val="1"/>
          <w:iCs w:val="1"/>
          <w:color w:val="auto"/>
        </w:rPr>
        <w:t>Supplemental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 The Company uses estimates, judgments, and assumptions to assess whether it is probable that a significant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Due to the long-term nature of collaboration service agreements, the Company’s obligations pursuant to such agreements represent partially unsatisfied performance obligations as of December 31, 2023. The revenues under existing service agreements with original expected durations of more than one year are estimated to be approximately $3.3 million. The Company expects to recognize the majority of this revenue over the next 2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to fulfill contracts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of December 31, 2023 and December 31, 2022, the Company had outstanding deferred costs to fulfill contracts of zero and $0.3 million, respectively. At each period, all outstanding deferred costs were recorded as other current assets.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080"/>
          </w:cols>
          <w:pgMar w:left="1080" w:top="208" w:right="10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cost recognized was $2.1 million and $1.5 million for the years ended December 31, 2023 and 2022, respectively and are recorded in cost of services on the consolidated statements of operations and comprehensive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Measurements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Financial assets and liabilities are recorded at fair value on the consolidated balance sheets on a recurring basis. Fair value is defined as the price that would be received to sell an asset or paid to transfer a liability in an orderly transaction between market participants at the measurement date. For further information regarding the Company’s fair value measurements, see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included within this Annual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the fair value of financial instruments that were measured at fair value on a recurring basis: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46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62"/>
        </w:trPr>
        <w:tc>
          <w:tcPr>
            <w:tcW w:w="4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92,702</w:t>
            </w:r>
          </w:p>
        </w:tc>
        <w:tc>
          <w:tcPr>
            <w:tcW w:w="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bonds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Corporate and municipal bonds</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24,098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24,098</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assets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92,702</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30,226</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Public warrant liability</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Private warrant liability</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Perceptive warrant liability</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liabilities</w:t>
            </w:r>
          </w:p>
        </w:tc>
        <w:tc>
          <w:tcPr>
            <w:tcW w:w="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2,735</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0" w:type="dxa"/>
            <w:vAlign w:val="bottom"/>
            <w:tcBorders>
              <w:bottom w:val="single" w:sz="8" w:color="auto"/>
            </w:tcBorders>
          </w:tcPr>
          <w:p>
            <w:pPr>
              <w:spacing w:after="0"/>
              <w:rPr>
                <w:sz w:val="21"/>
                <w:szCs w:val="21"/>
                <w:color w:val="auto"/>
              </w:rPr>
            </w:pPr>
          </w:p>
        </w:tc>
        <w:tc>
          <w:tcPr>
            <w:tcW w:w="60" w:type="dxa"/>
            <w:vAlign w:val="bottom"/>
            <w:gridSpan w:val="2"/>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0" w:type="dxa"/>
            <w:vAlign w:val="bottom"/>
            <w:tcBorders>
              <w:bottom w:val="single" w:sz="8" w:color="auto"/>
            </w:tcBorders>
          </w:tcPr>
          <w:p>
            <w:pPr>
              <w:spacing w:after="0"/>
              <w:rPr>
                <w:sz w:val="21"/>
                <w:szCs w:val="21"/>
                <w:color w:val="auto"/>
              </w:rPr>
            </w:pPr>
          </w:p>
        </w:tc>
        <w:tc>
          <w:tcPr>
            <w:tcW w:w="60" w:type="dxa"/>
            <w:vAlign w:val="bottom"/>
            <w:gridSpan w:val="2"/>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20" w:type="dxa"/>
            <w:vAlign w:val="bottom"/>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16,901</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16,901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assets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16,901</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Public warrant liability</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Private warrant liability</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Contingent consideration</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liabilities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-4190365</wp:posOffset>
            </wp:positionV>
            <wp:extent cx="6438900" cy="2041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extLst>
                    </a:blip>
                    <a:srcRect/>
                    <a:stretch>
                      <a:fillRect/>
                    </a:stretch>
                  </pic:blipFill>
                  <pic:spPr bwMode="auto">
                    <a:xfrm>
                      <a:off x="0" y="0"/>
                      <a:ext cx="6438900" cy="204152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-1659890</wp:posOffset>
            </wp:positionV>
            <wp:extent cx="6429375" cy="1679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extLst>
                    </a:blip>
                    <a:srcRect/>
                    <a:stretch>
                      <a:fillRect/>
                    </a:stretch>
                  </pic:blipFill>
                  <pic:spPr bwMode="auto">
                    <a:xfrm>
                      <a:off x="0" y="0"/>
                      <a:ext cx="6429375" cy="1679575"/>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There were no transfers between Level 1, Level 2 and Level 3 during the years ended December 31, 2023 or December 31, 2022.</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marketable securities presented in the consolidated balance sheet at December 31, 2023 have maturity dates ranging from 2024 through 2026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December 31, 2023, the amortized cost for maturities less than one year and greater than one year were $17.2 million and $12.6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Public and Private Warrants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As of the consummation of the Merger in July 2021, there were 666,516 warrants to purchase shares of Class A common stock outstanding, including 447,223 public warrants and 219,293 private placement warrants. As of December 31, 2023, there were 666,515 warrants to purchase shares of Class A common stock outstanding, including 452,272 public warrants and 214,243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080"/>
          </w:cols>
          <w:pgMar w:left="1080" w:top="208" w:right="108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Company may redeem the outstanding public warrants if the price per share of the Class A common stock equals or exceeds $594.00 as described below:</w:t>
      </w:r>
    </w:p>
    <w:p>
      <w:pPr>
        <w:spacing w:after="0" w:line="121" w:lineRule="exact"/>
        <w:rPr>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and not in part;</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 price of $0.33 per public warrant;</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not less than 30 days’ prior written notice of redemption to each warrant holder; and</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5"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only if, the closing price of the Class A common stock equals or exceeds $594.00 per share (as adjusted) for any 20 trading days within a 30-trading day period ending three trading days before sending the notice of redemption to warrant holders.</w:t>
      </w:r>
    </w:p>
    <w:p>
      <w:pPr>
        <w:spacing w:after="0" w:line="14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Company may redeem the outstanding public warrants if the price per share of the common stock equals or exceeds $330.00 as described below:</w:t>
      </w:r>
    </w:p>
    <w:p>
      <w:pPr>
        <w:spacing w:after="0" w:line="121" w:lineRule="exact"/>
        <w:rPr>
          <w:sz w:val="20"/>
          <w:szCs w:val="20"/>
          <w:color w:val="auto"/>
        </w:rPr>
      </w:pPr>
    </w:p>
    <w:p>
      <w:pPr>
        <w:ind w:left="720" w:hanging="36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and not in part;</w:t>
      </w:r>
    </w:p>
    <w:p>
      <w:pPr>
        <w:spacing w:after="0" w:line="30"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3"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closing price of the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2023 and December 31, 2022 , a gain of $0.2 million and $21.1 million was recorded within the change in the change in fair market value of warrant and earn-out contingent liabilities in the consolidated statements of operations and comprehensive loss,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Perceptive Warrant</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October 27, 2023, the Company entered into a Credit Agreement and Guaranty (the “Credit Agreement”) with Perceptive Credit Holdings IV, LP, as lender and administrative agent (“Perceptive”), which provides for a senior secured delayed draw term loan facility in an aggregate principal amount of up to $75 million (the “Perceptive Term Loan Facility”). As consideration for the Credit Agreement, the Company issued to Perceptive a warrant to purchase up to 1,200,000 shares (the “Perceptive Warrants”) of its Class A common stock. For further information regarding the Credit Agreement and Perceptive Warrants, see Note 9, “</w:t>
      </w:r>
      <w:r>
        <w:rPr>
          <w:rFonts w:ascii="Times New Roman" w:cs="Times New Roman" w:eastAsia="Times New Roman" w:hAnsi="Times New Roman"/>
          <w:sz w:val="20"/>
          <w:szCs w:val="20"/>
          <w:b w:val="1"/>
          <w:bCs w:val="1"/>
          <w:i w:val="1"/>
          <w:iCs w:val="1"/>
          <w:color w:val="auto"/>
        </w:rPr>
        <w:t>Long Term Debt</w:t>
      </w:r>
      <w:r>
        <w:rPr>
          <w:rFonts w:ascii="Times New Roman" w:cs="Times New Roman" w:eastAsia="Times New Roman" w:hAnsi="Times New Roman"/>
          <w:sz w:val="20"/>
          <w:szCs w:val="20"/>
          <w:color w:val="auto"/>
        </w:rPr>
        <w:t>” included within this Annual Report.</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080"/>
          </w:cols>
          <w:pgMar w:left="1080" w:top="208" w:right="10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Perceptive Warrants are classified within Level 3 of the fair value hierarchy. The key assumptions utilized in determining the Perceptive Warrants valuation as of December 31, 2023 were as follows:</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8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0" w:type="dxa"/>
            <w:vAlign w:val="bottom"/>
          </w:tcPr>
          <w:p>
            <w:pPr>
              <w:spacing w:after="0"/>
              <w:rPr>
                <w:sz w:val="1"/>
                <w:szCs w:val="1"/>
                <w:color w:val="auto"/>
              </w:rPr>
            </w:pPr>
          </w:p>
        </w:tc>
      </w:tr>
      <w:tr>
        <w:trPr>
          <w:trHeight w:val="36"/>
        </w:trPr>
        <w:tc>
          <w:tcPr>
            <w:tcW w:w="8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Stock price</w:t>
            </w: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8100" w:type="dxa"/>
            <w:vAlign w:val="bottom"/>
            <w:vMerge w:val="continue"/>
          </w:tcPr>
          <w:p>
            <w:pPr>
              <w:spacing w:after="0"/>
              <w:rPr>
                <w:sz w:val="22"/>
                <w:szCs w:val="2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$2.75</w:t>
            </w:r>
          </w:p>
        </w:tc>
        <w:tc>
          <w:tcPr>
            <w:tcW w:w="0" w:type="dxa"/>
            <w:vAlign w:val="bottom"/>
          </w:tcPr>
          <w:p>
            <w:pPr>
              <w:spacing w:after="0"/>
              <w:rPr>
                <w:sz w:val="1"/>
                <w:szCs w:val="1"/>
                <w:color w:val="auto"/>
              </w:rPr>
            </w:pPr>
          </w:p>
        </w:tc>
      </w:tr>
      <w:tr>
        <w:trPr>
          <w:trHeight w:val="285"/>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Exercise price</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$3.18</w:t>
            </w:r>
          </w:p>
        </w:tc>
        <w:tc>
          <w:tcPr>
            <w:tcW w:w="0" w:type="dxa"/>
            <w:vAlign w:val="bottom"/>
          </w:tcPr>
          <w:p>
            <w:pPr>
              <w:spacing w:after="0"/>
              <w:rPr>
                <w:sz w:val="1"/>
                <w:szCs w:val="1"/>
                <w:color w:val="auto"/>
              </w:rPr>
            </w:pPr>
          </w:p>
        </w:tc>
      </w:tr>
      <w:tr>
        <w:trPr>
          <w:trHeight w:val="285"/>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110.0%</w:t>
            </w:r>
          </w:p>
        </w:tc>
        <w:tc>
          <w:tcPr>
            <w:tcW w:w="0" w:type="dxa"/>
            <w:vAlign w:val="bottom"/>
          </w:tcPr>
          <w:p>
            <w:pPr>
              <w:spacing w:after="0"/>
              <w:rPr>
                <w:sz w:val="1"/>
                <w:szCs w:val="1"/>
                <w:color w:val="auto"/>
              </w:rPr>
            </w:pPr>
          </w:p>
        </w:tc>
      </w:tr>
      <w:tr>
        <w:trPr>
          <w:trHeight w:val="285"/>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920" w:type="dxa"/>
            <w:vAlign w:val="bottom"/>
          </w:tcPr>
          <w:p>
            <w:pPr>
              <w:jc w:val="right"/>
              <w:ind w:right="743"/>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85"/>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3.88%</w:t>
            </w:r>
          </w:p>
        </w:tc>
        <w:tc>
          <w:tcPr>
            <w:tcW w:w="0" w:type="dxa"/>
            <w:vAlign w:val="bottom"/>
          </w:tcPr>
          <w:p>
            <w:pPr>
              <w:spacing w:after="0"/>
              <w:rPr>
                <w:sz w:val="1"/>
                <w:szCs w:val="1"/>
                <w:color w:val="auto"/>
              </w:rPr>
            </w:pPr>
          </w:p>
        </w:tc>
      </w:tr>
      <w:tr>
        <w:trPr>
          <w:trHeight w:val="285"/>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6426200" cy="11112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extLst>
                    </a:blip>
                    <a:srcRect/>
                    <a:stretch>
                      <a:fillRect/>
                    </a:stretch>
                  </pic:blipFill>
                  <pic:spPr bwMode="auto">
                    <a:xfrm>
                      <a:off x="0" y="0"/>
                      <a:ext cx="6426200" cy="1111250"/>
                    </a:xfrm>
                    <a:prstGeom prst="rect">
                      <a:avLst/>
                    </a:prstGeom>
                    <a:noFill/>
                  </pic:spPr>
                </pic:pic>
              </a:graphicData>
            </a:graphic>
          </wp:anchor>
        </w:drawing>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fair value determined and recorded as of December 31, 2023 was $2.5 million. For the year ended December 31, 2023, a nominal gain was recorded within the change in fair market value of warrant and earn-out contingent liabilities in the consolidated statements of operations and comprehensive loss based on re-measurement performed as of the period end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Earn-out Contingent Liability</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connection with the Business Combination, all Legacy Sema4 stockholders and option holders at that time became entitled to a pro rata share of 576,412 earn-out shares and earn-out RSUs. As for the earn-out RSUs for the Legacy Sema4 option holders, a total of 81,819 RSUs were granted on December 9, 2021. The vesting of such arrangement was conditioned on the satisfaction of both a service requirement and on the satisfaction of a market-based requirement. The market-based requirement would have been achieved if the Company’s stock price was greater than or equal to $429 (Triggering Event I), $495 (Triggering Event II) and $594 (Triggering Event III) during the applicable performance period, based on the volume-weighted average price for a period of at least 20 days out of 30 consecutive trading days.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July 2023, the Company’s obligations to issue earn-out shares pursuant to that certain Agreement and Plan of Merger (as amended, the “Business Combination Merger Agreement”), dated February 9, 2021, and shares pursuant to the earn-out RSUs expired as a result of the vesting conditions not being achieved. The fair value determined and recorded as of December 31, 2023 and December 31, 2022 was zero. During the year ended December 31, 2022, a gain of $10.2 million was recorded within the change in fair market value of warrant and earn-out contingent liabilities in the consolidated statements of operations and comprehensive loss based on re-measurement performed as of the period end date.</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also recorded $0.8 million reduction in stock-based compensation expense in relation to the forfeiture of the earn-out RSUs by the Legacy Sema4 option holders for the year December 31,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 (Legacy GeneDx)</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connection with the Acquisition, up to $150 million of contingent payments was to be payable to OPKO in cash and/or shares of Company’s Class A common stock with such mix to be determined in the Company’s sole discretion, based upon achievement of 2022 and 2023 revenue milestones, pursuant to the Acquisition Merger Agreement (the “Milestone Payments”).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Subject to the terms and conditions of the Acquisition Merger Agreement, the first Milestone Payment was paid out in full in April 2023 through the issuance of 701,460 shares of the Company’s Class A common stock (valued at $160.38 per share) for $112.5 million as the revenue of the Legacy GeneDx group for the fiscal year 2022 exceeded $163 million. The second Milestone Payment of $37.5 million was valued at zero as the revenue target for the Legacy GeneDx group was not met during fiscal year 2023. The second Milestone Payment would have become due and payable if the revenue of the Legacy GeneDx group for the fiscal year 2023 equaled or exceeded $219 million (each of clauses (a) and (b), a “Milestone Event”); provided that 80% of the second Milestone Payment would have become payable in respect of the second milestone period if the Legacy GeneDx group achieved 90% of the Milestone Event revenue target for such period, which amount would have scaled on a linear basis up to 100% of the second Milestone Payment at 100% of the revenue target.</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2023, a gain of $0.9 million was recorded in the change in fair market value of warrant and earn-out contingent liabilities in the consolidated statements of operations and comprehensive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Connecticut Department of Economic and Community Development Funding Commitment</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Company’s loan from the Connecticut Department of Economic and Community Development (“DECD”) is classified within Level 2 of the fair value hierarchy. The loan was recorded at its carrying value of $6.3 million at December 31, 2022</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080"/>
          </w:cols>
          <w:pgMar w:left="1080" w:top="208" w:right="108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and December 31, 2023, with $0.5 million of recorded in other current liabilities on the consolidated balance sheets at December 31, 2023. The fair value was $5.0 million, which is estimated based on discounted cash flows using the yields of similar debt instruments of other companies with similar credit profiles.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 Property and Equipment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3"/>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6"/>
        </w:trPr>
        <w:tc>
          <w:tcPr>
            <w:tcW w:w="7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74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Laboratory equipment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41,255</w:t>
            </w: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Equipment under finance leases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21,384</w:t>
            </w: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Leasehold improvements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35,561</w:t>
            </w: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Capitalized software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32,171</w:t>
            </w: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Building under finance lease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6,276</w:t>
            </w: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Computer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9,177</w:t>
            </w: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Furniture, fixtures and other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3,777</w:t>
            </w:r>
          </w:p>
        </w:tc>
      </w:tr>
      <w:tr>
        <w:trPr>
          <w:trHeight w:val="28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Construction in-progress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3,386</w:t>
            </w:r>
          </w:p>
        </w:tc>
      </w:tr>
      <w:tr>
        <w:trPr>
          <w:trHeight w:val="262"/>
        </w:trPr>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 property and equipment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78,931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152,987</w:t>
            </w:r>
          </w:p>
        </w:tc>
      </w:tr>
      <w:tr>
        <w:trPr>
          <w:trHeight w:val="28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(46,452)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(101,460)</w:t>
            </w:r>
          </w:p>
        </w:tc>
      </w:tr>
      <w:tr>
        <w:trPr>
          <w:trHeight w:val="245"/>
        </w:trPr>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32,479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51,527</w:t>
            </w:r>
          </w:p>
        </w:tc>
      </w:tr>
      <w:tr>
        <w:trPr>
          <w:trHeight w:val="20"/>
        </w:trPr>
        <w:tc>
          <w:tcPr>
            <w:tcW w:w="7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-2021840</wp:posOffset>
            </wp:positionV>
            <wp:extent cx="6438900" cy="2041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ext uri="{28A0092B-C50C-407E-A947-70E740481C1C}"/>
                      </a:extLst>
                    </a:blip>
                    <a:srcRect/>
                    <a:stretch>
                      <a:fillRect/>
                    </a:stretch>
                  </pic:blipFill>
                  <pic:spPr bwMode="auto">
                    <a:xfrm>
                      <a:off x="0" y="0"/>
                      <a:ext cx="6438900" cy="2041525"/>
                    </a:xfrm>
                    <a:prstGeom prst="rect">
                      <a:avLst/>
                    </a:prstGeom>
                    <a:noFill/>
                  </pic:spPr>
                </pic:pic>
              </a:graphicData>
            </a:graphic>
          </wp:anchor>
        </w:drawing>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2023 and 2022, depreciation and amortization expense was $19.7 million and $50.0 million, respectively, which included software amortization expense of $6.6 million and $15.4 million for the years ended December 31, 2023 and 2022, respectively. For intangible amortization, see Note 7, “</w:t>
      </w:r>
      <w:r>
        <w:rPr>
          <w:rFonts w:ascii="Times New Roman" w:cs="Times New Roman" w:eastAsia="Times New Roman" w:hAnsi="Times New Roman"/>
          <w:sz w:val="20"/>
          <w:szCs w:val="20"/>
          <w:b w:val="1"/>
          <w:bCs w:val="1"/>
          <w:i w:val="1"/>
          <w:iCs w:val="1"/>
          <w:color w:val="auto"/>
        </w:rPr>
        <w:t>Goodwill and Intangible Assets</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 ended December 31, 2023, the Company recorded the following:</w:t>
      </w:r>
    </w:p>
    <w:p>
      <w:pPr>
        <w:spacing w:after="0" w:line="190" w:lineRule="exact"/>
        <w:rPr>
          <w:sz w:val="20"/>
          <w:szCs w:val="20"/>
          <w:color w:val="auto"/>
        </w:rPr>
      </w:pPr>
    </w:p>
    <w:p>
      <w:pPr>
        <w:ind w:left="720" w:hanging="360"/>
        <w:spacing w:after="0" w:line="260"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 million charge to accelerate the amortization for certain capitalized software projects associated with Legacy Sema4 that were not expected to be utilized;</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$9.9 million non-cash impairment charges (of which $5.6 million was allocated to the right-of-use asset associated with the sublease), driven by indicators of impairment related to the ISMMS sublease agreements during the first and third quarters of 2023; and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 million net gain on sale of assets primarily associated with the closure of Legacy Sema4 facilities.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 ended December 31, 2022, the Company recorded the following:</w:t>
      </w:r>
    </w:p>
    <w:p>
      <w:pPr>
        <w:spacing w:after="0" w:line="190" w:lineRule="exact"/>
        <w:rPr>
          <w:sz w:val="20"/>
          <w:szCs w:val="20"/>
          <w:color w:val="auto"/>
        </w:rPr>
      </w:pPr>
    </w:p>
    <w:p>
      <w:pPr>
        <w:ind w:left="720" w:hanging="360"/>
        <w:spacing w:after="0" w:line="26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 million charge to accelerate depreciation and amortization due to the change in the Company’s useful lives on certain fixed assets that are related to the business exit activity; and</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5"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$8.7 million charge associated with the identification of indicators of impairment that the carrying value of the certain capitalized software may not be recoverable. As a result, certain costs previously capitalized were written down within cost of services, research and development and general and administrative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and amortization expense is included within the statements of operations and comprehensive loss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31,328</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14,960</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8,647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3,667</w:t>
            </w:r>
          </w:p>
        </w:tc>
      </w:tr>
      <w:tr>
        <w:trPr>
          <w:trHeight w:val="245"/>
        </w:trPr>
        <w:tc>
          <w:tcPr>
            <w:tcW w:w="73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depreciation and amortization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49,959</w:t>
            </w:r>
          </w:p>
        </w:tc>
      </w:tr>
      <w:tr>
        <w:trPr>
          <w:trHeight w:val="20"/>
        </w:trPr>
        <w:tc>
          <w:tcPr>
            <w:tcW w:w="7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438900" cy="955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ext uri="{28A0092B-C50C-407E-A947-70E740481C1C}"/>
                      </a:extLst>
                    </a:blip>
                    <a:srcRect/>
                    <a:stretch>
                      <a:fillRect/>
                    </a:stretch>
                  </pic:blipFill>
                  <pic:spPr bwMode="auto">
                    <a:xfrm>
                      <a:off x="0" y="0"/>
                      <a:ext cx="6438900" cy="955675"/>
                    </a:xfrm>
                    <a:prstGeom prst="rect">
                      <a:avLst/>
                    </a:prstGeom>
                    <a:noFill/>
                  </pic:spPr>
                </pic:pic>
              </a:graphicData>
            </a:graphic>
          </wp:anchor>
        </w:drawing>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080"/>
          </w:cols>
          <w:pgMar w:left="1080" w:top="208" w:right="10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Goodwill and Intangible Assets</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discussed in Note 3,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upon the acquisition of GeneDx in April 2022, the Company recorded initial goodwill of $185.9 million through its preliminary purchase allocation. The purchase price allocation for acquired businesses may be modified for up to one year from the date of acquisition if additional facts or circumstances lead to changes in our preliminary purchase accounting estimates. During 2022, the Company recorded measurement period adjustments to reduce goodwill by $11.4 million. The measurement period closed on April 29, 2023.</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During the fourth quarter of 2022, the Company identified indicators that it was more likely than not that the fair value of the GeneDx reporting unit was less than its carrying value. The factors contributing to the indicators included, but were not limited to, significant decline in the Company’s stock price coupled with lower than anticipated business financial performance of the Legacy Sema4 business. Based on the quantitative analysis performed as of December 31, 2022, the Company concluded that the reporting unit’s carrying value was greater than the fair value. Accordingly, an impairment charge totaling $174.5 million was recognized.</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reflects the carrying values and remaining useful lives of the acquired intangible assets identified based on the Company’s preliminary purchase accounting assessments for the GeneDx acquisition:</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50"/>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62"/>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Tradenames and trademarks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50,000</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44,792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50,000</w:t>
            </w:r>
          </w:p>
        </w:tc>
        <w:tc>
          <w:tcPr>
            <w:tcW w:w="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47,917</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8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1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48,000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48,000</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44,000</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6.3</w:t>
            </w:r>
          </w:p>
        </w:tc>
        <w:tc>
          <w:tcPr>
            <w:tcW w:w="0" w:type="dxa"/>
            <w:vAlign w:val="bottom"/>
          </w:tcPr>
          <w:p>
            <w:pPr>
              <w:spacing w:after="0"/>
              <w:rPr>
                <w:sz w:val="1"/>
                <w:szCs w:val="1"/>
                <w:color w:val="auto"/>
              </w:rPr>
            </w:pPr>
          </w:p>
        </w:tc>
      </w:tr>
      <w:tr>
        <w:trPr>
          <w:trHeight w:val="288"/>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98,000</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(8,167)</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89,833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98,000</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(3,267)</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94,733</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18.3</w:t>
            </w:r>
          </w:p>
        </w:tc>
        <w:tc>
          <w:tcPr>
            <w:tcW w:w="0" w:type="dxa"/>
            <w:vAlign w:val="bottom"/>
          </w:tcPr>
          <w:p>
            <w:pPr>
              <w:spacing w:after="0"/>
              <w:rPr>
                <w:sz w:val="1"/>
                <w:szCs w:val="1"/>
                <w:color w:val="auto"/>
              </w:rPr>
            </w:pPr>
          </w:p>
        </w:tc>
      </w:tr>
      <w:tr>
        <w:trPr>
          <w:trHeight w:val="245"/>
        </w:trPr>
        <w:tc>
          <w:tcPr>
            <w:tcW w:w="26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196,000</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(23,375)</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196,000</w:t>
            </w:r>
          </w:p>
        </w:tc>
        <w:tc>
          <w:tcPr>
            <w:tcW w:w="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186,650</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426200" cy="774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extLst>
                        <a:ext uri="{28A0092B-C50C-407E-A947-70E740481C1C}"/>
                      </a:extLst>
                    </a:blip>
                    <a:srcRect/>
                    <a:stretch>
                      <a:fillRect/>
                    </a:stretch>
                  </pic:blipFill>
                  <pic:spPr bwMode="auto">
                    <a:xfrm>
                      <a:off x="0" y="0"/>
                      <a:ext cx="6426200" cy="774700"/>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Company’s estimated future amortization expense of intangible assets with finite lives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303530</wp:posOffset>
            </wp:positionV>
            <wp:extent cx="6426200" cy="1425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a:extLst>
                        <a:ext uri="{28A0092B-C50C-407E-A947-70E740481C1C}"/>
                      </a:extLst>
                    </a:blip>
                    <a:srcRect/>
                    <a:stretch>
                      <a:fillRect/>
                    </a:stretch>
                  </pic:blipFill>
                  <pic:spPr bwMode="auto">
                    <a:xfrm>
                      <a:off x="0" y="0"/>
                      <a:ext cx="6426200" cy="142557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8"/>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102,500</w:t>
            </w:r>
          </w:p>
        </w:tc>
      </w:tr>
      <w:tr>
        <w:trPr>
          <w:trHeight w:val="292"/>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Total estimated future amortization expense</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172,625</w:t>
            </w:r>
          </w:p>
        </w:tc>
      </w:tr>
    </w:tbl>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Amortization expense for tradenames and trademarks and developed technology of $9.1 million was recorded in general and administrative expenses for the year ended December 31, 2023 within the consolidated statements of operations and comprehensive loss. Amortization expense for customer relationships of $4.9 million was recorded in selling and marketing expenses for the year ended December 31, 2023 within the consolidated statements of operations and comprehensive loss.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080"/>
          </w:cols>
          <w:pgMar w:left="1080" w:top="208" w:right="10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Related Party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revenues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Total related party revenues are included within diagnostic test revenue and other revenue in the consolidated statements of operations and comprehensive loss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Diagnostic test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2,209</w:t>
            </w:r>
          </w:p>
        </w:tc>
      </w:tr>
      <w:tr>
        <w:trPr>
          <w:trHeight w:val="28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w:t>
            </w:r>
          </w:p>
        </w:tc>
      </w:tr>
      <w:tr>
        <w:trPr>
          <w:trHeight w:val="245"/>
        </w:trPr>
        <w:tc>
          <w:tcPr>
            <w:tcW w:w="73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related party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2,562</w:t>
            </w:r>
          </w:p>
        </w:tc>
      </w:tr>
      <w:tr>
        <w:trPr>
          <w:trHeight w:val="20"/>
        </w:trPr>
        <w:tc>
          <w:tcPr>
            <w:tcW w:w="7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438900" cy="593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extLst>
                    </a:blip>
                    <a:srcRect/>
                    <a:stretch>
                      <a:fillRect/>
                    </a:stretch>
                  </pic:blipFill>
                  <pic:spPr bwMode="auto">
                    <a:xfrm>
                      <a:off x="0" y="0"/>
                      <a:ext cx="6438900" cy="593725"/>
                    </a:xfrm>
                    <a:prstGeom prst="rect">
                      <a:avLst/>
                    </a:prstGeom>
                    <a:noFill/>
                  </pic:spPr>
                </pic:pic>
              </a:graphicData>
            </a:graphic>
          </wp:anchor>
        </w:drawing>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Related party revenues primarily include diagnostic testing revenues generated by GeneDx from BioReference Laboratories, Inc. (“BRLI”), which is a subsidiary of OPKO. The prices charged represent market rates. Revenue recorded from this contract was $2.7 million and $1.7 million for the years ended December 31, 2023 and December 31, 2022,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expenses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Total related party costs are included within cost of services and related party expenses in the consolidated statements of operations and comprehensive loss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Costs of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4,169</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expenses,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6,312</w:t>
            </w:r>
          </w:p>
        </w:tc>
      </w:tr>
      <w:tr>
        <w:trPr>
          <w:trHeight w:val="245"/>
        </w:trPr>
        <w:tc>
          <w:tcPr>
            <w:tcW w:w="73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related party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10,481</w:t>
            </w:r>
          </w:p>
        </w:tc>
      </w:tr>
      <w:tr>
        <w:trPr>
          <w:trHeight w:val="20"/>
        </w:trPr>
        <w:tc>
          <w:tcPr>
            <w:tcW w:w="7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438900" cy="774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extLst>
                        <a:ext uri="{28A0092B-C50C-407E-A947-70E740481C1C}"/>
                      </a:extLst>
                    </a:blip>
                    <a:srcRect/>
                    <a:stretch>
                      <a:fillRect/>
                    </a:stretch>
                  </pic:blipFill>
                  <pic:spPr bwMode="auto">
                    <a:xfrm>
                      <a:off x="0" y="0"/>
                      <a:ext cx="6438900" cy="774700"/>
                    </a:xfrm>
                    <a:prstGeom prst="rect">
                      <a:avLst/>
                    </a:prstGeom>
                    <a:noFill/>
                  </pic:spPr>
                </pic:pic>
              </a:graphicData>
            </a:graphic>
          </wp:anchor>
        </w:drawing>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Expenses recognized pursuant to other service arrangements with ISMMS totaled $6.8 million and $7.4 million for the years ended December 31, 2023 and 2022,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$1.0 million and $2.4 million as of December 31, 2023 and December 31, 2022, respectively. These amounts are included within due to related parties on the Company’s consolidated balance sheets.</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Additionally, the Company incurred $3.4 million and $1.7 million in purchases of diagnostic testing kits and materials and $1.8 million and $1.4 million was recorded in cost of services for the year ended December 31, 2023 and 2022, respectively, from an affiliate of a member of the Board of Directors who has served in the role since July 2021. The prices paid represent market rates. Payables due were $0.4 million as of December 31, 2023 and 2022.</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Legacy GeneDx and OPKO entered into a Transition Services Agreement dated as of April 29, 2022 (the “OPKO TSA”) pursuant to which OPKO has agreed to provide, at cost, subject to certain limited exceptions, in order to facilitate the transactions contemplated by the Acquisition Merger Agreement, including human resources, information technology support, and finance and accounting. Services in connection with the OPKO TSA were fully completed in October 2023. The Company recognized $1.6 million and $1.3 million in costs for the year ended December 31, 2023 and 2022, respectively. As of December 31, 2023 and 2022, a nominal amount and $0.4 million was unpaid and included in due to related parties in consolidated balance sheets, respectively.</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2023, the Company recorded a reduction of $1.3 million of receivables from OPKO related to the Acquisition closing working capital adjustment that was previously recorded as prepaid expenses and other current assets in consolidated balance sheets at December 31, 2022.</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080"/>
          </w:cols>
          <w:pgMar w:left="1080" w:top="208" w:right="108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1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9"/>
              </w:rPr>
              <w:t>Table of Contents</w:t>
            </w:r>
          </w:p>
        </w:tc>
        <w:tc>
          <w:tcPr>
            <w:tcW w:w="7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650"/>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9. Long-Term Debt</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3"/>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2023, long-term debt matures as follows: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93"/>
        </w:trPr>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7340" w:type="dxa"/>
            <w:vAlign w:val="bottom"/>
          </w:tcPr>
          <w:p>
            <w:pPr>
              <w:spacing w:after="0"/>
              <w:rPr>
                <w:sz w:val="24"/>
                <w:szCs w:val="24"/>
                <w:color w:val="auto"/>
              </w:rPr>
            </w:pP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r>
      <w:tr>
        <w:trPr>
          <w:trHeight w:val="285"/>
        </w:trPr>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7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w:t>
            </w:r>
          </w:p>
        </w:tc>
      </w:tr>
      <w:tr>
        <w:trPr>
          <w:trHeight w:val="285"/>
        </w:trPr>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7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r>
      <w:tr>
        <w:trPr>
          <w:trHeight w:val="285"/>
        </w:trPr>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7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w:t>
            </w:r>
          </w:p>
        </w:tc>
      </w:tr>
      <w:tr>
        <w:trPr>
          <w:trHeight w:val="285"/>
        </w:trPr>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7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51,285</w:t>
            </w:r>
          </w:p>
        </w:tc>
      </w:tr>
      <w:tr>
        <w:trPr>
          <w:trHeight w:val="288"/>
        </w:trPr>
        <w:tc>
          <w:tcPr>
            <w:tcW w:w="8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w:t>
            </w:r>
          </w:p>
        </w:tc>
      </w:tr>
      <w:tr>
        <w:trPr>
          <w:trHeight w:val="262"/>
        </w:trPr>
        <w:tc>
          <w:tcPr>
            <w:tcW w:w="8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debt</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56,250</w:t>
            </w:r>
          </w:p>
        </w:tc>
      </w:tr>
      <w:tr>
        <w:trPr>
          <w:trHeight w:val="285"/>
        </w:trPr>
        <w:tc>
          <w:tcPr>
            <w:tcW w:w="8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r>
      <w:tr>
        <w:trPr>
          <w:trHeight w:val="288"/>
        </w:trPr>
        <w:tc>
          <w:tcPr>
            <w:tcW w:w="8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Less: long-term debt issuance costs</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(3,065)</w:t>
            </w:r>
          </w:p>
        </w:tc>
      </w:tr>
      <w:tr>
        <w:trPr>
          <w:trHeight w:val="245"/>
        </w:trPr>
        <w:tc>
          <w:tcPr>
            <w:tcW w:w="8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long-term debt, net of current portion and debt issuance costs</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52,688</w:t>
            </w:r>
          </w:p>
        </w:tc>
      </w:tr>
      <w:tr>
        <w:trPr>
          <w:trHeight w:val="20"/>
        </w:trPr>
        <w:tc>
          <w:tcPr>
            <w:tcW w:w="14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-1840865</wp:posOffset>
            </wp:positionV>
            <wp:extent cx="6438900" cy="1860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a:extLst>
                        <a:ext uri="{28A0092B-C50C-407E-A947-70E740481C1C}"/>
                      </a:extLst>
                    </a:blip>
                    <a:srcRect/>
                    <a:stretch>
                      <a:fillRect/>
                    </a:stretch>
                  </pic:blipFill>
                  <pic:spPr bwMode="auto">
                    <a:xfrm>
                      <a:off x="0" y="0"/>
                      <a:ext cx="6438900" cy="186055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Entry into Perceptive Term Loan Facility</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October 27, 2023 (the “Closing Date”), the Company entered into a Credit Agreement and Guaranty (the “Credit Agreement”) with Perceptive Credit Holdings IV, LP, as lender and administrative agent (“Perceptive”), which provides for a senior secured delayed draw term loan facility in an aggregate principal amount of up to $75 million (the “Perceptive Term Loan Facility”). An initial tranche of $50 million (the “Tranche A Loan”) was funded under the Perceptive Term Loan Facility on the Closing Date. In addition to the Tranche A Loan, the Perceptive Term Loan Facility includes an additional tranche of $25 million (the “Tranche B Loan,” and together with the Tranche A Loan, the “Term Loans”), which will be accessible by the Company so long as the Company satisfies certain customary conditions precedent, including a specified revenue milestone (the funding date of the Tranche B Loan, the “Tranche B Borrowing Date”). The Perceptive Term Loan Facility has a maturity date of October 27, 2028 (the “Maturity Date”) and provides for an interest-only period during the term of the loan with principal due at the maturity date. Our net proceeds from the Tranche A Loan were approximately $49 million, after deducting estimated debt issuance costs and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Amortization and Prepayment</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Security Instruments and Warrant</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connection with the Credit Agreement, the Company also entered into a Security Agreement (the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on the Closing Date, as consideration for the Credit Agreement, the Company issued to Perceptive a warrant to purchase up to 1,200,000 shares of its Class A common stock. 800,000 Warrant Shares (the “Initial Warrant Shares”) vested and became exercisable on the Closing Date and 400,000 Warrant Shares (the “Additional Warrant Shares”) will vest and become exercisable on the Tranche B Borrowing Date. The per share exercise price for the Initial Warrant Shares is $3.1752 (the “Initial Warrant Exercise Price”), which is equal to the10-day volume weighted average price (the “10-day VWAP”) of the Company’s Class A common stock at the end of the business day immediately prior to the Closing Date, and the per share exercise price for the Additional Warrant Shares will be equal to the lower of (a) the Initial Warrant Exercise Price or (b) the 10-day VWAP ending on the end of the business day immediately preceding the Tranche B Borrowing Date. The Perceptive Warrant will be exercisable, in whole or in part, until the 10th anniversary of the applicable vesting date. For further</w:t>
      </w:r>
    </w:p>
    <w:p>
      <w:pPr>
        <w:sectPr>
          <w:pgSz w:w="12240" w:h="15840" w:orient="portrait"/>
          <w:cols w:equalWidth="0" w:num="1">
            <w:col w:w="10080"/>
          </w:cols>
          <w:pgMar w:left="1080" w:top="195" w:right="108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80"/>
          </w:cols>
          <w:pgMar w:left="1080" w:top="195" w:right="108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information regarding the accounting treatment and subsequent fair value re-measurement of the Perceptive Warrant, see Note 5, “</w:t>
      </w:r>
      <w:r>
        <w:rPr>
          <w:rFonts w:ascii="Times New Roman" w:cs="Times New Roman" w:eastAsia="Times New Roman" w:hAnsi="Times New Roman"/>
          <w:sz w:val="20"/>
          <w:szCs w:val="20"/>
          <w:b w:val="1"/>
          <w:bCs w:val="1"/>
          <w:i w:val="1"/>
          <w:iCs w:val="1"/>
          <w:color w:val="auto"/>
        </w:rPr>
        <w:t>Fair Value Measurement</w:t>
      </w:r>
      <w:r>
        <w:rPr>
          <w:rFonts w:ascii="Times New Roman" w:cs="Times New Roman" w:eastAsia="Times New Roman" w:hAnsi="Times New Roman"/>
          <w:sz w:val="20"/>
          <w:szCs w:val="20"/>
          <w:color w:val="auto"/>
        </w:rPr>
        <w:t>” included within this Annual Report.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Termination of Loan and Security Agreement (the “SVB Agreement”)</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November 15, 2021, the Company and Sema4 OpCo, Inc. (together, the “Borrower”) entered into a Loan and Security Agreement (the “SVB Agreement”) with Silicon Valley Bank (“SVB”) which provided for a revolving credit facility (the “Revolver”) up to an aggregate principal amount of $125 million, including a sublimit of $20 million for Letters of Credit (as such terms are defined in the SVB Agreement).</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connection with the entry into the Credit Agreement, the SVB Agreement was terminated, effective as of the Closing Date, and SVB’s security interest in the Company’s assets and property was released. No amounts had been drawn under the SVB Agreement at the Closing Date. The Company recorded $0.6 million of expenses related to the termination of the SVB Agreement during the fourth quarter of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Connecticut Department of Economic and Community Development Funding Commitment</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June 2017, ISMMS assigned a loan funding commitment from the DECD to the Company (the “DECD Loan Agreement”) to support the Genetic Sequencing Laboratory Project in Branford, Connecticut, with funding based on the achievement of certain project development phases. The DECD Loan Agreement provided for a total loan commitment of $15.5 million at a fixed annual interest rate of 2.0% for a term of 10 years. The Company was required to make interest-only payments through July 2023 and principal and interest payments commencing in August 2023. The final payment of principal and interest was due in July 2028. However, under the terms of the DECD Loan Agreement, the DECD granted a partial principal loan forgiveness of up to $12.3 million in the aggregate. Such forgiveness was contingent upon the Company achieving certain job creation and retention milestones and $4.5 million had been forgiven at December 31, 2022. This commitment was collateralized by a security interest in certain machinery and equipment the Company acquired from ISMMS, as defined in a separate security agreement.</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$2.0 million in forgiveness) and a final phase job milestone (eligible for $1.0 million in forgiveness) (the “2022 Amended DECD Loan Agreement”). Upon execution of this amendment, the Company paid the $2.0 million in principal and received $2.8 million in debt forgiveness, both of which were classified as current liabilities at December 31, 2022 and the Company recognized the debt forgiveness as other (expense) income, net in the consolidated statements of operations and comprehensive loss for the year ended December 31, 2023. The terms of the 2022 Amended DECD Loan Agreement require the Company to make interest-only payments through July 2024 and principal and interest payments commencing in August 2024 through July 2029 at the same fixed annual interest rate of 2.0%. The other terms of the 2022 Amended DECD Loan Agreement remained the same.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outstanding loan balance from the 2022 Amended DECD Loan Agreement was $6.3 million at December 31, 2023.</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080"/>
          </w:cols>
          <w:pgMar w:left="1080" w:top="208" w:right="108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Leases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tables below present financial information associated with the Company’s leases as of, and for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and 2022:</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5"/>
        </w:trPr>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19"/>
        </w:trPr>
        <w:tc>
          <w:tcPr>
            <w:tcW w:w="540" w:type="dxa"/>
            <w:vAlign w:val="bottom"/>
            <w:tcBorders>
              <w:bottom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w w:val="97"/>
              </w:rPr>
              <w:t>Assets</w:t>
            </w:r>
          </w:p>
        </w:tc>
        <w:tc>
          <w:tcPr>
            <w:tcW w:w="1840" w:type="dxa"/>
            <w:vAlign w:val="bottom"/>
            <w:gridSpan w:val="2"/>
          </w:tcPr>
          <w:p>
            <w:pPr>
              <w:spacing w:after="0"/>
              <w:rPr>
                <w:sz w:val="19"/>
                <w:szCs w:val="19"/>
                <w:color w:val="auto"/>
              </w:rPr>
            </w:pPr>
          </w:p>
        </w:tc>
        <w:tc>
          <w:tcPr>
            <w:tcW w:w="4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08"/>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 lease assets</w:t>
            </w:r>
          </w:p>
        </w:tc>
        <w:tc>
          <w:tcPr>
            <w:tcW w:w="4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32,758</w:t>
            </w:r>
          </w:p>
        </w:tc>
      </w:tr>
      <w:tr>
        <w:trPr>
          <w:trHeight w:val="288"/>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Finance lease assets</w:t>
            </w:r>
          </w:p>
        </w:tc>
        <w:tc>
          <w:tcPr>
            <w:tcW w:w="4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8,604</w:t>
            </w:r>
          </w:p>
        </w:tc>
      </w:tr>
      <w:tr>
        <w:trPr>
          <w:trHeight w:val="265"/>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lease assets</w:t>
            </w:r>
          </w:p>
        </w:tc>
        <w:tc>
          <w:tcPr>
            <w:tcW w:w="4580" w:type="dxa"/>
            <w:vAlign w:val="bottom"/>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30,340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41,362</w:t>
            </w:r>
          </w:p>
        </w:tc>
      </w:tr>
      <w:tr>
        <w:trPr>
          <w:trHeight w:val="504"/>
        </w:trPr>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Liabilities</w:t>
            </w:r>
          </w:p>
        </w:tc>
        <w:tc>
          <w:tcPr>
            <w:tcW w:w="15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308"/>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5"/>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w:t>
            </w:r>
          </w:p>
        </w:tc>
        <w:tc>
          <w:tcPr>
            <w:tcW w:w="4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2,409</w:t>
            </w:r>
          </w:p>
        </w:tc>
      </w:tr>
      <w:tr>
        <w:trPr>
          <w:trHeight w:val="285"/>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Finance</w:t>
            </w:r>
          </w:p>
        </w:tc>
        <w:tc>
          <w:tcPr>
            <w:tcW w:w="4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3,712</w:t>
            </w:r>
          </w:p>
        </w:tc>
      </w:tr>
      <w:tr>
        <w:trPr>
          <w:trHeight w:val="570"/>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Non-current</w:t>
            </w: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5"/>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w:t>
            </w:r>
          </w:p>
        </w:tc>
        <w:tc>
          <w:tcPr>
            <w:tcW w:w="4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44,428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44,468</w:t>
            </w:r>
          </w:p>
        </w:tc>
      </w:tr>
      <w:tr>
        <w:trPr>
          <w:trHeight w:val="288"/>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Finance</w:t>
            </w:r>
          </w:p>
        </w:tc>
        <w:tc>
          <w:tcPr>
            <w:tcW w:w="4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18,510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15,545</w:t>
            </w:r>
          </w:p>
        </w:tc>
      </w:tr>
      <w:tr>
        <w:trPr>
          <w:trHeight w:val="245"/>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lease liabilities</w:t>
            </w:r>
          </w:p>
        </w:tc>
        <w:tc>
          <w:tcPr>
            <w:tcW w:w="4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66,585</w:t>
            </w:r>
          </w:p>
        </w:tc>
        <w:tc>
          <w:tcPr>
            <w:tcW w:w="60" w:type="dxa"/>
            <w:vAlign w:val="bottom"/>
          </w:tcPr>
          <w:p>
            <w:pPr>
              <w:spacing w:after="0"/>
              <w:rPr>
                <w:sz w:val="21"/>
                <w:szCs w:val="21"/>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66,134</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525"/>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Lease cost</w:t>
            </w:r>
          </w:p>
        </w:tc>
        <w:tc>
          <w:tcPr>
            <w:tcW w:w="458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Operating lease cost</w:t>
            </w:r>
          </w:p>
        </w:tc>
        <w:tc>
          <w:tcPr>
            <w:tcW w:w="4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5"/>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 lease cost</w:t>
            </w:r>
          </w:p>
        </w:tc>
        <w:tc>
          <w:tcPr>
            <w:tcW w:w="458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6,044</w:t>
            </w:r>
          </w:p>
        </w:tc>
      </w:tr>
      <w:tr>
        <w:trPr>
          <w:trHeight w:val="285"/>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Short-term lease cost</w:t>
            </w: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w:t>
            </w:r>
          </w:p>
        </w:tc>
      </w:tr>
      <w:tr>
        <w:trPr>
          <w:trHeight w:val="288"/>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Variable lease cost</w:t>
            </w:r>
          </w:p>
        </w:tc>
        <w:tc>
          <w:tcPr>
            <w:tcW w:w="4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1,111</w:t>
            </w:r>
          </w:p>
        </w:tc>
      </w:tr>
      <w:tr>
        <w:trPr>
          <w:trHeight w:val="262"/>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operating lease cost</w:t>
            </w:r>
          </w:p>
        </w:tc>
        <w:tc>
          <w:tcPr>
            <w:tcW w:w="4580" w:type="dxa"/>
            <w:vAlign w:val="bottom"/>
          </w:tcPr>
          <w:p>
            <w:pPr>
              <w:spacing w:after="0"/>
              <w:rPr>
                <w:sz w:val="22"/>
                <w:szCs w:val="2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8,286</w:t>
            </w:r>
          </w:p>
        </w:tc>
      </w:tr>
      <w:tr>
        <w:trPr>
          <w:trHeight w:val="570"/>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Finance lease cost</w:t>
            </w: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5"/>
        </w:trPr>
        <w:tc>
          <w:tcPr>
            <w:tcW w:w="69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Depreciation and amortization of leased assets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5,518</w:t>
            </w:r>
          </w:p>
        </w:tc>
      </w:tr>
      <w:tr>
        <w:trPr>
          <w:trHeight w:val="288"/>
        </w:trPr>
        <w:tc>
          <w:tcPr>
            <w:tcW w:w="23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4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2,152</w:t>
            </w:r>
          </w:p>
        </w:tc>
      </w:tr>
      <w:tr>
        <w:trPr>
          <w:trHeight w:val="265"/>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finance lease cost</w:t>
            </w:r>
          </w:p>
        </w:tc>
        <w:tc>
          <w:tcPr>
            <w:tcW w:w="4580" w:type="dxa"/>
            <w:vAlign w:val="bottom"/>
          </w:tcPr>
          <w:p>
            <w:pPr>
              <w:spacing w:after="0"/>
              <w:rPr>
                <w:sz w:val="23"/>
                <w:szCs w:val="23"/>
                <w:color w:val="auto"/>
              </w:rPr>
            </w:pPr>
          </w:p>
        </w:tc>
        <w:tc>
          <w:tcPr>
            <w:tcW w:w="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3,011</w:t>
            </w:r>
          </w:p>
        </w:tc>
        <w:tc>
          <w:tcPr>
            <w:tcW w:w="60" w:type="dxa"/>
            <w:vAlign w:val="bottom"/>
          </w:tcPr>
          <w:p>
            <w:pPr>
              <w:spacing w:after="0"/>
              <w:rPr>
                <w:sz w:val="23"/>
                <w:szCs w:val="23"/>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7,670</w:t>
            </w:r>
          </w:p>
        </w:tc>
      </w:tr>
      <w:tr>
        <w:trPr>
          <w:trHeight w:val="245"/>
        </w:trPr>
        <w:tc>
          <w:tcPr>
            <w:tcW w:w="2380" w:type="dxa"/>
            <w:vAlign w:val="bottom"/>
            <w:gridSpan w:val="3"/>
          </w:tcPr>
          <w:p>
            <w:pPr>
              <w:ind w:left="360"/>
              <w:spacing w:after="0"/>
              <w:rPr>
                <w:sz w:val="20"/>
                <w:szCs w:val="20"/>
                <w:color w:val="auto"/>
              </w:rPr>
            </w:pPr>
            <w:r>
              <w:rPr>
                <w:rFonts w:ascii="Times New Roman" w:cs="Times New Roman" w:eastAsia="Times New Roman" w:hAnsi="Times New Roman"/>
                <w:sz w:val="20"/>
                <w:szCs w:val="20"/>
                <w:b w:val="1"/>
                <w:bCs w:val="1"/>
                <w:color w:val="auto"/>
              </w:rPr>
              <w:t>Total lease cost</w:t>
            </w:r>
          </w:p>
        </w:tc>
        <w:tc>
          <w:tcPr>
            <w:tcW w:w="458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15,956</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-5095240</wp:posOffset>
            </wp:positionV>
            <wp:extent cx="6429375" cy="2584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extLst>
                    </a:blip>
                    <a:srcRect/>
                    <a:stretch>
                      <a:fillRect/>
                    </a:stretch>
                  </pic:blipFill>
                  <pic:spPr bwMode="auto">
                    <a:xfrm>
                      <a:off x="0" y="0"/>
                      <a:ext cx="6429375" cy="2584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-2021840</wp:posOffset>
            </wp:positionV>
            <wp:extent cx="6429375" cy="2041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extLst>
                        <a:ext uri="{28A0092B-C50C-407E-A947-70E740481C1C}"/>
                      </a:extLst>
                    </a:blip>
                    <a:srcRect/>
                    <a:stretch>
                      <a:fillRect/>
                    </a:stretch>
                  </pic:blipFill>
                  <pic:spPr bwMode="auto">
                    <a:xfrm>
                      <a:off x="0" y="0"/>
                      <a:ext cx="6429375" cy="204152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2023 are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Maturity of lease liabilities</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Operating lease</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Finance lease</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2"/>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6,993</w:t>
            </w: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8,696</w:t>
            </w: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8,299</w:t>
            </w: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8,311</w:t>
            </w: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8,557</w:t>
            </w:r>
          </w:p>
        </w:tc>
      </w:tr>
      <w:tr>
        <w:trPr>
          <w:trHeight w:val="288"/>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37,157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23,048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60,205</w:t>
            </w:r>
          </w:p>
        </w:tc>
      </w:tr>
      <w:tr>
        <w:trPr>
          <w:trHeight w:val="262"/>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66,762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34,299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101,061</w:t>
            </w:r>
          </w:p>
        </w:tc>
      </w:tr>
      <w:tr>
        <w:trPr>
          <w:trHeight w:val="288"/>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(14,473)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(34,476)</w:t>
            </w:r>
          </w:p>
        </w:tc>
      </w:tr>
      <w:tr>
        <w:trPr>
          <w:trHeight w:val="24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66,585</w:t>
            </w:r>
          </w:p>
        </w:tc>
      </w:tr>
      <w:tr>
        <w:trPr>
          <w:trHeight w:val="20"/>
        </w:trPr>
        <w:tc>
          <w:tcPr>
            <w:tcW w:w="5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-1659890</wp:posOffset>
            </wp:positionV>
            <wp:extent cx="6429375" cy="1679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a:extLst>
                        <a:ext uri="{28A0092B-C50C-407E-A947-70E740481C1C}"/>
                      </a:extLst>
                    </a:blip>
                    <a:srcRect/>
                    <a:stretch>
                      <a:fillRect/>
                    </a:stretch>
                  </pic:blipFill>
                  <pic:spPr bwMode="auto">
                    <a:xfrm>
                      <a:off x="0" y="0"/>
                      <a:ext cx="6429375" cy="1679575"/>
                    </a:xfrm>
                    <a:prstGeom prst="rect">
                      <a:avLst/>
                    </a:prstGeom>
                    <a:noFill/>
                  </pic:spPr>
                </pic:pic>
              </a:graphicData>
            </a:graphic>
          </wp:anchor>
        </w:drawing>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080"/>
          </w:cols>
          <w:pgMar w:left="1080" w:top="208" w:right="108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information related to leases as of and for the year ended December 31, 2023 and 2022 and are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40" w:type="dxa"/>
            <w:vAlign w:val="bottom"/>
            <w:tcBorders>
              <w:bottom w:val="single" w:sz="8" w:color="auto"/>
            </w:tcBorders>
          </w:tcPr>
          <w:p>
            <w:pPr>
              <w:spacing w:after="0"/>
              <w:rPr>
                <w:sz w:val="23"/>
                <w:szCs w:val="23"/>
                <w:color w:val="auto"/>
              </w:rPr>
            </w:pPr>
          </w:p>
        </w:tc>
      </w:tr>
      <w:tr>
        <w:trPr>
          <w:trHeight w:val="265"/>
        </w:trPr>
        <w:tc>
          <w:tcPr>
            <w:tcW w:w="6500" w:type="dxa"/>
            <w:vAlign w:val="bottom"/>
          </w:tcPr>
          <w:p>
            <w:pPr>
              <w:spacing w:after="0"/>
              <w:rPr>
                <w:sz w:val="23"/>
                <w:szCs w:val="23"/>
                <w:color w:val="auto"/>
              </w:rPr>
            </w:pPr>
          </w:p>
        </w:tc>
        <w:tc>
          <w:tcPr>
            <w:tcW w:w="114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5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Weighted-average remaining lease term (years)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leases</w:t>
            </w:r>
          </w:p>
        </w:tc>
        <w:tc>
          <w:tcPr>
            <w:tcW w:w="1140" w:type="dxa"/>
            <w:vAlign w:val="bottom"/>
          </w:tcPr>
          <w:p>
            <w:pPr>
              <w:jc w:val="center"/>
              <w:ind w:left="480"/>
              <w:spacing w:after="0"/>
              <w:rPr>
                <w:sz w:val="20"/>
                <w:szCs w:val="20"/>
                <w:color w:val="auto"/>
              </w:rPr>
            </w:pPr>
            <w:r>
              <w:rPr>
                <w:rFonts w:ascii="Times New Roman" w:cs="Times New Roman" w:eastAsia="Times New Roman" w:hAnsi="Times New Roman"/>
                <w:sz w:val="20"/>
                <w:szCs w:val="20"/>
                <w:color w:val="auto"/>
              </w:rPr>
              <w:t>10.0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auto"/>
                <w:w w:val="97"/>
              </w:rPr>
              <w:t>12.2</w:t>
            </w:r>
          </w:p>
        </w:tc>
      </w:tr>
      <w:tr>
        <w:trPr>
          <w:trHeight w:val="28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Finance leases</w:t>
            </w:r>
          </w:p>
        </w:tc>
        <w:tc>
          <w:tcPr>
            <w:tcW w:w="1140" w:type="dxa"/>
            <w:vAlign w:val="bottom"/>
          </w:tcPr>
          <w:p>
            <w:pPr>
              <w:jc w:val="center"/>
              <w:ind w:left="480"/>
              <w:spacing w:after="0"/>
              <w:rPr>
                <w:sz w:val="20"/>
                <w:szCs w:val="20"/>
                <w:color w:val="auto"/>
              </w:rPr>
            </w:pPr>
            <w:r>
              <w:rPr>
                <w:rFonts w:ascii="Times New Roman" w:cs="Times New Roman" w:eastAsia="Times New Roman" w:hAnsi="Times New Roman"/>
                <w:sz w:val="20"/>
                <w:szCs w:val="20"/>
                <w:color w:val="auto"/>
              </w:rPr>
              <w:t>11.8</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auto"/>
                <w:w w:val="97"/>
              </w:rPr>
              <w:t>19.0</w:t>
            </w:r>
          </w:p>
        </w:tc>
      </w:tr>
      <w:tr>
        <w:trPr>
          <w:trHeight w:val="570"/>
        </w:trPr>
        <w:tc>
          <w:tcPr>
            <w:tcW w:w="6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Weighted-average discount rate</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rPr>
              <w:t>6.9%</w:t>
            </w:r>
          </w:p>
        </w:tc>
      </w:tr>
      <w:tr>
        <w:trPr>
          <w:trHeight w:val="28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Finance leases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11.2%</w:t>
            </w:r>
          </w:p>
        </w:tc>
      </w:tr>
      <w:tr>
        <w:trPr>
          <w:trHeight w:val="570"/>
        </w:trPr>
        <w:tc>
          <w:tcPr>
            <w:tcW w:w="6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paid for amounts included in the measurement of lease liabilities</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14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5,482</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4,183</w:t>
            </w:r>
          </w:p>
        </w:tc>
      </w:tr>
      <w:tr>
        <w:trPr>
          <w:trHeight w:val="28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114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1,874</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2,225</w:t>
            </w:r>
          </w:p>
        </w:tc>
      </w:tr>
      <w:tr>
        <w:trPr>
          <w:trHeight w:val="28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Financing cash flows from finance lease</w:t>
            </w:r>
          </w:p>
        </w:tc>
        <w:tc>
          <w:tcPr>
            <w:tcW w:w="114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3,598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-2175510</wp:posOffset>
            </wp:positionV>
            <wp:extent cx="6416675" cy="2197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6">
                      <a:extLst>
                        <a:ext uri="{28A0092B-C50C-407E-A947-70E740481C1C}"/>
                      </a:extLst>
                    </a:blip>
                    <a:srcRect/>
                    <a:stretch>
                      <a:fillRect/>
                    </a:stretch>
                  </pic:blipFill>
                  <pic:spPr bwMode="auto">
                    <a:xfrm>
                      <a:off x="0" y="0"/>
                      <a:ext cx="6416675" cy="219710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Purchase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sets forth purchase commitments as of December 31, 2023 with a remaining term of at least one year:</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60"/>
              <w:spacing w:after="0" w:line="178"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Commitments</w:t>
            </w:r>
          </w:p>
        </w:tc>
        <w:tc>
          <w:tcPr>
            <w:tcW w:w="0" w:type="dxa"/>
            <w:vAlign w:val="bottom"/>
          </w:tcPr>
          <w:p>
            <w:pPr>
              <w:spacing w:after="0"/>
              <w:rPr>
                <w:sz w:val="1"/>
                <w:szCs w:val="1"/>
                <w:color w:val="auto"/>
              </w:rPr>
            </w:pPr>
          </w:p>
        </w:tc>
      </w:tr>
      <w:tr>
        <w:trPr>
          <w:trHeight w:val="75"/>
        </w:trPr>
        <w:tc>
          <w:tcPr>
            <w:tcW w:w="5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Software provider</w:t>
            </w:r>
          </w:p>
        </w:tc>
        <w:tc>
          <w:tcPr>
            <w:tcW w:w="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57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w:t>
            </w:r>
          </w:p>
        </w:tc>
        <w:tc>
          <w:tcPr>
            <w:tcW w:w="60" w:type="dxa"/>
            <w:vAlign w:val="bottom"/>
          </w:tcPr>
          <w:p>
            <w:pPr>
              <w:spacing w:after="0"/>
              <w:rPr>
                <w:sz w:val="22"/>
                <w:szCs w:val="22"/>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w:t>
            </w:r>
          </w:p>
        </w:tc>
        <w:tc>
          <w:tcPr>
            <w:tcW w:w="6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3,644</w:t>
            </w:r>
          </w:p>
        </w:tc>
        <w:tc>
          <w:tcPr>
            <w:tcW w:w="0" w:type="dxa"/>
            <w:vAlign w:val="bottom"/>
          </w:tcPr>
          <w:p>
            <w:pPr>
              <w:spacing w:after="0"/>
              <w:rPr>
                <w:sz w:val="1"/>
                <w:szCs w:val="1"/>
                <w:color w:val="auto"/>
              </w:rPr>
            </w:pPr>
          </w:p>
        </w:tc>
      </w:tr>
      <w:tr>
        <w:trPr>
          <w:trHeight w:val="266"/>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Equipment provider</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0" w:type="dxa"/>
            <w:vAlign w:val="bottom"/>
          </w:tcPr>
          <w:p>
            <w:pPr>
              <w:spacing w:after="0"/>
              <w:rPr>
                <w:sz w:val="1"/>
                <w:szCs w:val="1"/>
                <w:color w:val="auto"/>
              </w:rPr>
            </w:pPr>
          </w:p>
        </w:tc>
      </w:tr>
      <w:tr>
        <w:trPr>
          <w:trHeight w:val="24"/>
        </w:trPr>
        <w:tc>
          <w:tcPr>
            <w:tcW w:w="57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2,638</w:t>
            </w:r>
          </w:p>
        </w:tc>
        <w:tc>
          <w:tcPr>
            <w:tcW w:w="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1,199</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-574040</wp:posOffset>
            </wp:positionV>
            <wp:extent cx="6429375" cy="593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a:extLst>
                        <a:ext uri="{28A0092B-C50C-407E-A947-70E740481C1C}"/>
                      </a:extLst>
                    </a:blip>
                    <a:srcRect/>
                    <a:stretch>
                      <a:fillRect/>
                    </a:stretch>
                  </pic:blipFill>
                  <pic:spPr bwMode="auto">
                    <a:xfrm>
                      <a:off x="0" y="0"/>
                      <a:ext cx="6429375" cy="593725"/>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enters into contracts with suppliers to purchase materials needed for diagnostic testing. These contracts generally do not require multi-year purchase commitments.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consolidated financial condition or results of operations.</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Except as described below, the Company was not a party to any material legal proceedings as of December 31, 2023, nor is it a party to any material legal proceedings as of the date of issuance of these consolidated financial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September 7, 2022, a shareholder class action lawsuit was filed in the United States District Court for the District of Connecticut against the Company and certain of the Company’s current and former officers. The complaint purports to bring suit on behalf of stockholders who purchased the Company’s publicly traded securities between March 14, 2022 and August 15, 2022. Following the appointment of a lead plaintiff, an amended complaint was filed on January 30, 2023. As amended, the complaint purports to allege that defendants made false and misleading statements about the Company’s business, operations and prospects in violation of Sections 10(b) and 20(a) of the Securities Exchange Act of 1934, as amended (“Exchange Act”), and seeks unspecified compensatory damages, fees and costs. The Company believes the allegations and claims made in the complaint are without merit.</w:t>
      </w:r>
    </w:p>
    <w:p>
      <w:pPr>
        <w:spacing w:after="0" w:line="1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080"/>
          </w:cols>
          <w:pgMar w:left="1080" w:top="208" w:right="108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similar claim against CMLS Holdings LLC and certain individuals for breach of fiduciary duty as control persons. The suit seeks to recover unspecified damages on behalf of the alleged class, among other relief. The Company believes the allegations and claims made in the complaint are without merit. The Company is subject to certain claims for advancement and indemnification by the individual defendants in this proceeding.</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November 28, 2023, a stockholder filed a derivative suit, allegedly on behalf of the Company, based largely on the same allegations in the securities class action referenced above. The suit was filed in federal court in the District of Delaware, styled Ghazaleh v. Schadt,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The response to the complaint is not yet due.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Defined Contribution Plan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$6.5 million and $9.8 million for the years ended December 31, 2023 and 2022,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Stock-Based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Incentive Plans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July 22, 2021, in connection with the Business Combination, the Company’s 2021 Equity Incentive Plan (the “2021 Plan”) became effective and 991,970 authorized shares of Class A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April 13, 2023, the stockholders of the Company approved an amendment and restatement to the 2021 Plan to increase the aggregate number of shares of the Company’s Class A common stock authorized for issuance under the 2021 Plan by 787,879 shares and implement certain other clarifying changes. On each January 1 of each of 2022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July 21, 2023, the Company adopted the 2023 Equity Inducement Plan (the “Equity Inducement Plan”) and, subject to the adjustment provisions of the Equity Inducement Plan, reserved 500,000 shares of the Company’s Class A common stock for issuance pursuant to equity awards to be granted under the Equity Inducement Plan. In accordance with Rule 5635(c)(4) of the Nasdaq Listing Rules, the only persons eligible to receive grants of equity awards under the Equity Inducement Plan are individuals who were not previously an employee or director of the Company, or following a bona fide period of non-employment, as an inducement material to such persons entering into employment with the Company.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December 31, 2023, there was an aggregate of 1,310,423 shares available for grants of stock options or other awards under the 2021 Plan and Equity Inducement Plan. In January 2024, the number of Class A common stock reserved for future issuance under the 2021 Plan automatically increased by 1,298,943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ESPP 2021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years ended December 31, 2023 and December 31, 2022. A total of 336,816 shares of Class A common stock have been reserved for future issuance under the 2021 ESPP. In January 2024, the number of Class A common stock reserved for future issuance under the 2021 ESPP automatically increased by 259,788 shares.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080"/>
          </w:cols>
          <w:pgMar w:left="1080" w:top="208" w:right="108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 Activity</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All stock options granted under the 2021 Plan are accounted for as time-based equity awards. The following summarizes the stock option activity:</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380" w:type="dxa"/>
            <w:vAlign w:val="bottom"/>
            <w:vMerge w:val="restart"/>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6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6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13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6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62"/>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798,873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775,842</w:t>
            </w:r>
          </w:p>
        </w:tc>
        <w:tc>
          <w:tcPr>
            <w:tcW w:w="0" w:type="dxa"/>
            <w:vAlign w:val="bottom"/>
          </w:tcPr>
          <w:p>
            <w:pPr>
              <w:spacing w:after="0"/>
              <w:rPr>
                <w:sz w:val="1"/>
                <w:szCs w:val="1"/>
                <w:color w:val="auto"/>
              </w:rPr>
            </w:pPr>
          </w:p>
        </w:tc>
      </w:tr>
      <w:tr>
        <w:trPr>
          <w:trHeight w:val="285"/>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Options 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44,080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Options 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(50,444)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Options forfeited and canceled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(294,533)</w:t>
            </w:r>
          </w:p>
        </w:tc>
        <w:tc>
          <w:tcPr>
            <w:tcW w:w="60" w:type="dxa"/>
            <w:vAlign w:val="bottom"/>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48.62</w:t>
            </w:r>
          </w:p>
        </w:tc>
        <w:tc>
          <w:tcPr>
            <w:tcW w:w="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497,976</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Options exercisable at December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303,433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-1089660</wp:posOffset>
            </wp:positionV>
            <wp:extent cx="6416675" cy="11112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extLst>
                        <a:ext uri="{28A0092B-C50C-407E-A947-70E740481C1C}"/>
                      </a:extLst>
                    </a:blip>
                    <a:srcRect/>
                    <a:stretch>
                      <a:fillRect/>
                    </a:stretch>
                  </pic:blipFill>
                  <pic:spPr bwMode="auto">
                    <a:xfrm>
                      <a:off x="0" y="0"/>
                      <a:ext cx="6416675" cy="11112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Non-vested options outstanding at the end of the year were 194,543 with weighted average grant-date fair value of $28.24.</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and total fair value of the options with tranches vested was $25.07 and $1.5 million for the year ended December 31, 2023, respectively. The weighted-average grant-date fair value of options forfeited and canceled was $22.71 for the year ended December 31, 2023. The aggregate intrinsic value of exercised options was $0.3 million and $18.1 million in the years ended December 31, 2023 and 2022, respectively, and is calculated based on the difference between the exercise price and the fair value of the Company’s common stock as of the exercise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stock option awards for the periods ended December 31, 2023 and 2022 were estimated using the Black-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Scholes option pricing model with the following assumptions: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980" w:type="dxa"/>
            <w:vAlign w:val="bottom"/>
          </w:tcPr>
          <w:p>
            <w:pPr>
              <w:spacing w:after="0"/>
              <w:rPr>
                <w:sz w:val="23"/>
                <w:szCs w:val="23"/>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3"/>
                <w:szCs w:val="23"/>
                <w:color w:val="auto"/>
              </w:rPr>
            </w:pPr>
          </w:p>
        </w:tc>
        <w:tc>
          <w:tcPr>
            <w:tcW w:w="200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65.20%</w:t>
            </w:r>
          </w:p>
        </w:tc>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- 90.00%</w:t>
            </w:r>
          </w:p>
        </w:tc>
      </w:tr>
      <w:tr>
        <w:trPr>
          <w:trHeight w:val="285"/>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expected volatility</w:t>
            </w:r>
          </w:p>
        </w:tc>
        <w:tc>
          <w:tcPr>
            <w:tcW w:w="198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rPr>
              <w:t>105.0%</w:t>
            </w:r>
          </w:p>
        </w:tc>
        <w:tc>
          <w:tcPr>
            <w:tcW w:w="2060" w:type="dxa"/>
            <w:vAlign w:val="bottom"/>
            <w:gridSpan w:val="3"/>
          </w:tcPr>
          <w:p>
            <w:pPr>
              <w:jc w:val="right"/>
              <w:ind w:right="620"/>
              <w:spacing w:after="0"/>
              <w:rPr>
                <w:sz w:val="20"/>
                <w:szCs w:val="20"/>
                <w:color w:val="auto"/>
              </w:rPr>
            </w:pPr>
            <w:r>
              <w:rPr>
                <w:rFonts w:ascii="Times New Roman" w:cs="Times New Roman" w:eastAsia="Times New Roman" w:hAnsi="Times New Roman"/>
                <w:sz w:val="20"/>
                <w:szCs w:val="20"/>
                <w:color w:val="auto"/>
              </w:rPr>
              <w:t>75.0%</w:t>
            </w:r>
          </w:p>
        </w:tc>
      </w:tr>
      <w:tr>
        <w:trPr>
          <w:trHeight w:val="285"/>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- 6.18</w:t>
            </w:r>
          </w:p>
        </w:tc>
      </w:tr>
      <w:tr>
        <w:trPr>
          <w:trHeight w:val="285"/>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- 3.38%</w:t>
            </w:r>
          </w:p>
        </w:tc>
      </w:tr>
      <w:tr>
        <w:trPr>
          <w:trHeight w:val="285"/>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center"/>
              <w:ind w:right="780"/>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Class A common stock</w:t>
            </w: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$6.35</w:t>
            </w:r>
          </w:p>
        </w:tc>
        <w:tc>
          <w:tcPr>
            <w:tcW w:w="20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$32.67 - $113.85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6426200" cy="1111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9">
                      <a:extLst>
                        <a:ext uri="{28A0092B-C50C-407E-A947-70E740481C1C}"/>
                      </a:extLst>
                    </a:blip>
                    <a:srcRect/>
                    <a:stretch>
                      <a:fillRect/>
                    </a:stretch>
                  </pic:blipFill>
                  <pic:spPr bwMode="auto">
                    <a:xfrm>
                      <a:off x="0" y="0"/>
                      <a:ext cx="6426200" cy="111125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(RSU)</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with vesting term beginning 12 months from the grant date and vesting immediately on the grant date. The following table summarizes the activity related to the Company’s time-based RSUs: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88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6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14"/>
        </w:trPr>
        <w:tc>
          <w:tcPr>
            <w:tcW w:w="6180" w:type="dxa"/>
            <w:vAlign w:val="bottom"/>
          </w:tcPr>
          <w:p>
            <w:pPr>
              <w:spacing w:after="0"/>
              <w:rPr>
                <w:sz w:val="18"/>
                <w:szCs w:val="18"/>
                <w:color w:val="auto"/>
              </w:rPr>
            </w:pPr>
          </w:p>
        </w:tc>
        <w:tc>
          <w:tcPr>
            <w:tcW w:w="1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Date Fair Value Per Unit</w:t>
            </w:r>
          </w:p>
        </w:tc>
      </w:tr>
      <w:tr>
        <w:trPr>
          <w:trHeight w:val="262"/>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855,061</w:t>
            </w:r>
          </w:p>
        </w:tc>
        <w:tc>
          <w:tcPr>
            <w:tcW w:w="820" w:type="dxa"/>
            <w:vAlign w:val="bottom"/>
            <w:gridSpan w:val="2"/>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77.88</w:t>
            </w:r>
          </w:p>
        </w:tc>
      </w:tr>
      <w:tr>
        <w:trPr>
          <w:trHeight w:val="285"/>
        </w:trPr>
        <w:tc>
          <w:tcPr>
            <w:tcW w:w="6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Stock Units 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1,836,177</w:t>
            </w:r>
          </w:p>
        </w:tc>
        <w:tc>
          <w:tcPr>
            <w:tcW w:w="820" w:type="dxa"/>
            <w:vAlign w:val="bottom"/>
            <w:gridSpan w:val="2"/>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w:t>
            </w:r>
          </w:p>
        </w:tc>
      </w:tr>
      <w:tr>
        <w:trPr>
          <w:trHeight w:val="285"/>
        </w:trPr>
        <w:tc>
          <w:tcPr>
            <w:tcW w:w="6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Stock Units vested</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(431,671)</w:t>
            </w:r>
          </w:p>
        </w:tc>
        <w:tc>
          <w:tcPr>
            <w:tcW w:w="820" w:type="dxa"/>
            <w:vAlign w:val="bottom"/>
            <w:gridSpan w:val="2"/>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42.38</w:t>
            </w:r>
          </w:p>
        </w:tc>
      </w:tr>
      <w:tr>
        <w:trPr>
          <w:trHeight w:val="288"/>
        </w:trPr>
        <w:tc>
          <w:tcPr>
            <w:tcW w:w="6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Stock Units forfeited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(751,690)</w:t>
            </w:r>
          </w:p>
        </w:tc>
        <w:tc>
          <w:tcPr>
            <w:tcW w:w="60" w:type="dxa"/>
            <w:vAlign w:val="bottom"/>
          </w:tcPr>
          <w:p>
            <w:pPr>
              <w:spacing w:after="0"/>
              <w:rPr>
                <w:sz w:val="24"/>
                <w:szCs w:val="24"/>
                <w:color w:val="auto"/>
              </w:rPr>
            </w:pPr>
          </w:p>
        </w:tc>
        <w:tc>
          <w:tcPr>
            <w:tcW w:w="7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49.61</w:t>
            </w:r>
          </w:p>
        </w:tc>
      </w:tr>
      <w:tr>
        <w:trPr>
          <w:trHeight w:val="262"/>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1,507,877</w:t>
            </w:r>
          </w:p>
        </w:tc>
        <w:tc>
          <w:tcPr>
            <w:tcW w:w="820" w:type="dxa"/>
            <w:vAlign w:val="bottom"/>
            <w:gridSpan w:val="2"/>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-908685</wp:posOffset>
            </wp:positionV>
            <wp:extent cx="6416675" cy="930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extLst>
                    </a:blip>
                    <a:srcRect/>
                    <a:stretch>
                      <a:fillRect/>
                    </a:stretch>
                  </pic:blipFill>
                  <pic:spPr bwMode="auto">
                    <a:xfrm>
                      <a:off x="0" y="0"/>
                      <a:ext cx="6416675" cy="93027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total fair value of RSUs vested for the year ended December 31, 2023 was $6.6 million.</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2022 the Company issued 18,794 RSUs subject to both service and performance based vesting conditions to the Executive Chairman of the Company, and in 2023 the Company issued an additional 20,666 RSUs. Vesting of the RSUs was based on the achievement of performance goals established for calendar year 2023. As of December 31, 2023, the established performance measures were not achieved for these RSUs and no expense was recorded for the year.</w:t>
      </w:r>
    </w:p>
    <w:p>
      <w:pPr>
        <w:sectPr>
          <w:pgSz w:w="12240" w:h="15840" w:orient="portrait"/>
          <w:cols w:equalWidth="0" w:num="1">
            <w:col w:w="10080"/>
          </w:cols>
          <w:pgMar w:left="1080" w:top="208" w:right="1080" w:bottom="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080"/>
          </w:cols>
          <w:pgMar w:left="1080" w:top="208" w:right="10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Stock-based compensation expense is included within the consolidated statements of operations and comprehensive loss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5,080</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5,390</w:t>
            </w:r>
          </w:p>
        </w:tc>
      </w:tr>
      <w:tr>
        <w:trPr>
          <w:trHeight w:val="28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29,750</w:t>
            </w:r>
          </w:p>
        </w:tc>
      </w:tr>
      <w:tr>
        <w:trPr>
          <w:trHeight w:val="24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41,975</w:t>
            </w:r>
          </w:p>
        </w:tc>
      </w:tr>
      <w:tr>
        <w:trPr>
          <w:trHeight w:val="20"/>
        </w:trPr>
        <w:tc>
          <w:tcPr>
            <w:tcW w:w="7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438900" cy="955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1">
                      <a:extLst>
                        <a:ext uri="{28A0092B-C50C-407E-A947-70E740481C1C}"/>
                      </a:extLst>
                    </a:blip>
                    <a:srcRect/>
                    <a:stretch>
                      <a:fillRect/>
                    </a:stretch>
                  </pic:blipFill>
                  <pic:spPr bwMode="auto">
                    <a:xfrm>
                      <a:off x="0" y="0"/>
                      <a:ext cx="6438900" cy="955675"/>
                    </a:xfrm>
                    <a:prstGeom prst="rect">
                      <a:avLst/>
                    </a:prstGeom>
                    <a:noFill/>
                  </pic:spPr>
                </pic:pic>
              </a:graphicData>
            </a:graphic>
          </wp:anchor>
        </w:drawing>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recorded a reversal of stock-based compensation of $24.7 million and $38.2 million during the years ended December 31, 2023 and 2022, respectively, due to forfeiture activities upon employee terminations. As of December 31, 2023, unrecognized stock-based compensation cost related to the unvested portion of the Company’s stock options was $2.7 million, which is expected to be recognized on a graded-vesting basis over a weighted-average period of 1.4 years. As of December 31, 2023, unrecognized stock-based compensation cost related to the Company’s RSUs was $10.6 million, which is expected to be recognized on a graded-vesting basis over a weighted-average period of 1.7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13. Income Taxes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3"/>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The components of income before incomes taxes consisted of the following:</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6"/>
        </w:trPr>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4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8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Domestic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(177,316)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(598,136)</w:t>
            </w:r>
          </w:p>
        </w:tc>
      </w:tr>
      <w:tr>
        <w:trPr>
          <w:trHeight w:val="262"/>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Loss before income tax provision (benefit)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(176,693)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(598,032)</w:t>
            </w:r>
          </w:p>
        </w:tc>
      </w:tr>
      <w:tr>
        <w:trPr>
          <w:trHeight w:val="568"/>
        </w:trPr>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4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 and Local</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6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547"/>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(40,828)</w:t>
            </w: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 and Local</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(8,296)</w:t>
            </w:r>
          </w:p>
        </w:tc>
      </w:tr>
      <w:tr>
        <w:trPr>
          <w:trHeight w:val="288"/>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Deferred</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(49,124)</w:t>
            </w:r>
          </w:p>
        </w:tc>
      </w:tr>
      <w:tr>
        <w:trPr>
          <w:trHeight w:val="24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income tax provision (benefit)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(49,052)</w:t>
            </w:r>
          </w:p>
        </w:tc>
      </w:tr>
      <w:tr>
        <w:trPr>
          <w:trHeight w:val="20"/>
        </w:trPr>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-3285490</wp:posOffset>
            </wp:positionV>
            <wp:extent cx="6426200" cy="5683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2">
                      <a:extLst>
                        <a:ext uri="{28A0092B-C50C-407E-A947-70E740481C1C}"/>
                      </a:extLst>
                    </a:blip>
                    <a:srcRect/>
                    <a:stretch>
                      <a:fillRect/>
                    </a:stretch>
                  </pic:blipFill>
                  <pic:spPr bwMode="auto">
                    <a:xfrm>
                      <a:off x="0" y="0"/>
                      <a:ext cx="6426200" cy="5683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-2202815</wp:posOffset>
            </wp:positionV>
            <wp:extent cx="6438900" cy="2222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a:extLst>
                        <a:ext uri="{28A0092B-C50C-407E-A947-70E740481C1C}"/>
                      </a:extLst>
                    </a:blip>
                    <a:srcRect/>
                    <a:stretch>
                      <a:fillRect/>
                    </a:stretch>
                  </pic:blipFill>
                  <pic:spPr bwMode="auto">
                    <a:xfrm>
                      <a:off x="0" y="0"/>
                      <a:ext cx="6438900" cy="2222500"/>
                    </a:xfrm>
                    <a:prstGeom prst="rect">
                      <a:avLst/>
                    </a:prstGeom>
                    <a:noFill/>
                  </pic:spPr>
                </pic:pic>
              </a:graphicData>
            </a:graphic>
          </wp:anchor>
        </w:drawing>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2023 and 2022, the Company recorded a total income tax benefit of $0.9 million and $49.1 million, respectively. Accordingly, the effective tax rate for the Company for the years ended December 31, 2023 and 2022 was 0.5% and 8.2%, respectively. A reconciliation of the anticipated income tax expense/(benefit) computed by applying the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080"/>
          </w:cols>
          <w:pgMar w:left="1080" w:top="208" w:right="108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statutory federal income tax rate of 21% to loss before income taxes to the amount reported in the statement of operations and comprehensive loss is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40" w:type="dxa"/>
            <w:vAlign w:val="bottom"/>
          </w:tcPr>
          <w:p>
            <w:pPr>
              <w:spacing w:after="0"/>
              <w:rPr>
                <w:sz w:val="23"/>
                <w:szCs w:val="23"/>
                <w:color w:val="auto"/>
              </w:rPr>
            </w:pPr>
          </w:p>
        </w:tc>
        <w:tc>
          <w:tcPr>
            <w:tcW w:w="2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34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U.S. federal taxes at statutory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21.0%</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21.0%</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1.4</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(0.8)</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0.3</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stock-based compensation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162(m) Limitation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(0.1)</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Permanent Items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(0.1)</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0.5</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Unrealized fair market value gain on warrants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0.1</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1.7</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(0.1)</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(6.1)</w:t>
            </w: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(18.4)</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(9.6)</w:t>
            </w:r>
          </w:p>
        </w:tc>
      </w:tr>
      <w:tr>
        <w:trPr>
          <w:trHeight w:val="288"/>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4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0.5%</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8.2%</w:t>
            </w:r>
          </w:p>
        </w:tc>
      </w:tr>
      <w:tr>
        <w:trPr>
          <w:trHeight w:val="20"/>
        </w:trPr>
        <w:tc>
          <w:tcPr>
            <w:tcW w:w="73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-2021840</wp:posOffset>
            </wp:positionV>
            <wp:extent cx="6429375" cy="2041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4">
                      <a:extLst>
                        <a:ext uri="{28A0092B-C50C-407E-A947-70E740481C1C}"/>
                      </a:extLst>
                    </a:blip>
                    <a:srcRect/>
                    <a:stretch>
                      <a:fillRect/>
                    </a:stretch>
                  </pic:blipFill>
                  <pic:spPr bwMode="auto">
                    <a:xfrm>
                      <a:off x="0" y="0"/>
                      <a:ext cx="6429375" cy="2041525"/>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tax effects of temporary differences and carryforwards that give rise to significant portions of the net deferred tax assets and liabilities were as follows: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74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74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257,960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199,426</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Stock-based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13,379</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Accrued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2,233</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Accrued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8,600</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Leases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12,971</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Property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4,039</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Obsolete inventory reserve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5,889</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Third party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10,142</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Section 174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23,193</w:t>
            </w:r>
          </w:p>
        </w:tc>
      </w:tr>
      <w:tr>
        <w:trPr>
          <w:trHeight w:val="285"/>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Capitalized software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1,091</w:t>
            </w:r>
          </w:p>
        </w:tc>
      </w:tr>
      <w:tr>
        <w:trPr>
          <w:trHeight w:val="262"/>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326,485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280,963</w:t>
            </w:r>
          </w:p>
        </w:tc>
      </w:tr>
      <w:tr>
        <w:trPr>
          <w:trHeight w:val="288"/>
        </w:trPr>
        <w:tc>
          <w:tcPr>
            <w:tcW w:w="7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Valuation allowance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(271,567)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(226,644)</w:t>
            </w:r>
          </w:p>
        </w:tc>
      </w:tr>
      <w:tr>
        <w:trPr>
          <w:trHeight w:val="265"/>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54,918</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54,319</w:t>
            </w:r>
          </w:p>
        </w:tc>
      </w:tr>
      <w:tr>
        <w:trPr>
          <w:trHeight w:val="547"/>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5"/>
        </w:trPr>
        <w:tc>
          <w:tcPr>
            <w:tcW w:w="74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Property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4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ROU asset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(8,589)</w:t>
            </w:r>
          </w:p>
        </w:tc>
      </w:tr>
      <w:tr>
        <w:trPr>
          <w:trHeight w:val="285"/>
        </w:trPr>
        <w:tc>
          <w:tcPr>
            <w:tcW w:w="74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Capitalized software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88"/>
        </w:trPr>
        <w:tc>
          <w:tcPr>
            <w:tcW w:w="74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Intangible amortization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(47,846)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(48,248)</w:t>
            </w:r>
          </w:p>
        </w:tc>
      </w:tr>
      <w:tr>
        <w:trPr>
          <w:trHeight w:val="265"/>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(56,478)</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(56,978)</w:t>
            </w:r>
          </w:p>
        </w:tc>
      </w:tr>
      <w:tr>
        <w:trPr>
          <w:trHeight w:val="245"/>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liability after valuation allowance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w:t>
            </w:r>
          </w:p>
        </w:tc>
      </w:tr>
      <w:tr>
        <w:trPr>
          <w:trHeight w:val="20"/>
        </w:trPr>
        <w:tc>
          <w:tcPr>
            <w:tcW w:w="7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-4374515</wp:posOffset>
            </wp:positionV>
            <wp:extent cx="6438900" cy="4394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5">
                      <a:extLst>
                        <a:ext uri="{28A0092B-C50C-407E-A947-70E740481C1C}"/>
                      </a:extLst>
                    </a:blip>
                    <a:srcRect/>
                    <a:stretch>
                      <a:fillRect/>
                    </a:stretch>
                  </pic:blipFill>
                  <pic:spPr bwMode="auto">
                    <a:xfrm>
                      <a:off x="0" y="0"/>
                      <a:ext cx="6438900" cy="4394200"/>
                    </a:xfrm>
                    <a:prstGeom prst="rect">
                      <a:avLst/>
                    </a:prstGeom>
                    <a:noFill/>
                  </pic:spPr>
                </pic:pic>
              </a:graphicData>
            </a:graphic>
          </wp:anchor>
        </w:drawing>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080"/>
          </w:cols>
          <w:pgMar w:left="1080" w:top="208" w:right="108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of December 31, 2023, the Company had the following tax net operating loss carryforwards available to reduce future federal and state taxable income, and tax credit carryforwards available to offset future federal and Connecticut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Expiration</w:t>
            </w:r>
          </w:p>
        </w:tc>
        <w:tc>
          <w:tcPr>
            <w:tcW w:w="0" w:type="dxa"/>
            <w:vAlign w:val="bottom"/>
          </w:tcPr>
          <w:p>
            <w:pPr>
              <w:spacing w:after="0"/>
              <w:rPr>
                <w:sz w:val="1"/>
                <w:szCs w:val="1"/>
                <w:color w:val="auto"/>
              </w:rPr>
            </w:pPr>
          </w:p>
        </w:tc>
      </w:tr>
      <w:tr>
        <w:trPr>
          <w:trHeight w:val="263"/>
        </w:trPr>
        <w:tc>
          <w:tcPr>
            <w:tcW w:w="7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period</w:t>
            </w:r>
          </w:p>
        </w:tc>
        <w:tc>
          <w:tcPr>
            <w:tcW w:w="0" w:type="dxa"/>
            <w:vAlign w:val="bottom"/>
          </w:tcPr>
          <w:p>
            <w:pPr>
              <w:spacing w:after="0"/>
              <w:rPr>
                <w:sz w:val="1"/>
                <w:szCs w:val="1"/>
                <w:color w:val="auto"/>
              </w:rPr>
            </w:pPr>
          </w:p>
        </w:tc>
      </w:tr>
      <w:tr>
        <w:trPr>
          <w:trHeight w:val="262"/>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net operating loss carryforwards:</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Federal (pre-2018 net operating losses)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2036-2037</w:t>
            </w:r>
          </w:p>
        </w:tc>
        <w:tc>
          <w:tcPr>
            <w:tcW w:w="0" w:type="dxa"/>
            <w:vAlign w:val="bottom"/>
          </w:tcPr>
          <w:p>
            <w:pPr>
              <w:spacing w:after="0"/>
              <w:rPr>
                <w:sz w:val="1"/>
                <w:szCs w:val="1"/>
                <w:color w:val="auto"/>
              </w:rPr>
            </w:pPr>
          </w:p>
        </w:tc>
      </w:tr>
      <w:tr>
        <w:trPr>
          <w:trHeight w:val="285"/>
        </w:trPr>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Federal (post-2017 net operating losses)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853,531</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 expiration</w:t>
            </w:r>
          </w:p>
        </w:tc>
        <w:tc>
          <w:tcPr>
            <w:tcW w:w="0" w:type="dxa"/>
            <w:vAlign w:val="bottom"/>
          </w:tcPr>
          <w:p>
            <w:pPr>
              <w:spacing w:after="0"/>
              <w:rPr>
                <w:sz w:val="1"/>
                <w:szCs w:val="1"/>
                <w:color w:val="auto"/>
              </w:rPr>
            </w:pPr>
          </w:p>
        </w:tc>
      </w:tr>
      <w:tr>
        <w:trPr>
          <w:trHeight w:val="285"/>
        </w:trPr>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State and Local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1,278,549</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2028-2042</w:t>
            </w:r>
          </w:p>
        </w:tc>
        <w:tc>
          <w:tcPr>
            <w:tcW w:w="0" w:type="dxa"/>
            <w:vAlign w:val="bottom"/>
          </w:tcPr>
          <w:p>
            <w:pPr>
              <w:spacing w:after="0"/>
              <w:rPr>
                <w:sz w:val="1"/>
                <w:szCs w:val="1"/>
                <w:color w:val="auto"/>
              </w:rPr>
            </w:pPr>
          </w:p>
        </w:tc>
      </w:tr>
      <w:tr>
        <w:trPr>
          <w:trHeight w:val="285"/>
        </w:trPr>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State and Local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97,727</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 expiration</w:t>
            </w:r>
          </w:p>
        </w:tc>
        <w:tc>
          <w:tcPr>
            <w:tcW w:w="0" w:type="dxa"/>
            <w:vAlign w:val="bottom"/>
          </w:tcPr>
          <w:p>
            <w:pPr>
              <w:spacing w:after="0"/>
              <w:rPr>
                <w:sz w:val="1"/>
                <w:szCs w:val="1"/>
                <w:color w:val="auto"/>
              </w:rPr>
            </w:pPr>
          </w:p>
        </w:tc>
      </w:tr>
      <w:tr>
        <w:trPr>
          <w:trHeight w:val="285"/>
        </w:trPr>
        <w:tc>
          <w:tcPr>
            <w:tcW w:w="7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credit carryforwards: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Federal research and development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2038-2040</w:t>
            </w:r>
          </w:p>
        </w:tc>
        <w:tc>
          <w:tcPr>
            <w:tcW w:w="0" w:type="dxa"/>
            <w:vAlign w:val="bottom"/>
          </w:tcPr>
          <w:p>
            <w:pPr>
              <w:spacing w:after="0"/>
              <w:rPr>
                <w:sz w:val="1"/>
                <w:szCs w:val="1"/>
                <w:color w:val="auto"/>
              </w:rPr>
            </w:pPr>
          </w:p>
        </w:tc>
      </w:tr>
      <w:tr>
        <w:trPr>
          <w:trHeight w:val="285"/>
        </w:trPr>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Connecticut research and experimental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2035-2036</w:t>
            </w:r>
          </w:p>
        </w:tc>
        <w:tc>
          <w:tcPr>
            <w:tcW w:w="0" w:type="dxa"/>
            <w:vAlign w:val="bottom"/>
          </w:tcPr>
          <w:p>
            <w:pPr>
              <w:spacing w:after="0"/>
              <w:rPr>
                <w:sz w:val="1"/>
                <w:szCs w:val="1"/>
                <w:color w:val="auto"/>
              </w:rPr>
            </w:pPr>
          </w:p>
        </w:tc>
      </w:tr>
      <w:tr>
        <w:trPr>
          <w:trHeight w:val="285"/>
        </w:trPr>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Connecticut research and development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 expiration</w:t>
            </w:r>
          </w:p>
        </w:tc>
        <w:tc>
          <w:tcPr>
            <w:tcW w:w="0" w:type="dxa"/>
            <w:vAlign w:val="bottom"/>
          </w:tcPr>
          <w:p>
            <w:pPr>
              <w:spacing w:after="0"/>
              <w:rPr>
                <w:sz w:val="1"/>
                <w:szCs w:val="1"/>
                <w:color w:val="auto"/>
              </w:rPr>
            </w:pPr>
          </w:p>
        </w:tc>
      </w:tr>
      <w:tr>
        <w:trPr>
          <w:trHeight w:val="492"/>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The Company had the following deferred tax valuation allowance balances: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-1945005</wp:posOffset>
            </wp:positionV>
            <wp:extent cx="6426200" cy="1654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6">
                      <a:extLst>
                        <a:ext uri="{28A0092B-C50C-407E-A947-70E740481C1C}"/>
                      </a:extLst>
                    </a:blip>
                    <a:srcRect/>
                    <a:stretch>
                      <a:fillRect/>
                    </a:stretch>
                  </pic:blipFill>
                  <pic:spPr bwMode="auto">
                    <a:xfrm>
                      <a:off x="0" y="0"/>
                      <a:ext cx="6426200" cy="165417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Year</w:t>
            </w:r>
          </w:p>
        </w:tc>
        <w:tc>
          <w:tcPr>
            <w:tcW w:w="2120" w:type="dxa"/>
            <w:vAlign w:val="bottom"/>
          </w:tcPr>
          <w:p>
            <w:pPr>
              <w:spacing w:after="0"/>
              <w:rPr>
                <w:sz w:val="19"/>
                <w:szCs w:val="19"/>
                <w:color w:val="auto"/>
              </w:rPr>
            </w:pPr>
          </w:p>
        </w:tc>
        <w:tc>
          <w:tcPr>
            <w:tcW w:w="1900" w:type="dxa"/>
            <w:vAlign w:val="bottom"/>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Balance at the</w:t>
            </w:r>
          </w:p>
        </w:tc>
        <w:tc>
          <w:tcPr>
            <w:tcW w:w="1740" w:type="dxa"/>
            <w:vAlign w:val="bottom"/>
            <w:vMerge w:val="restart"/>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Balance at the End</w:t>
            </w:r>
          </w:p>
        </w:tc>
        <w:tc>
          <w:tcPr>
            <w:tcW w:w="0" w:type="dxa"/>
            <w:vAlign w:val="bottom"/>
          </w:tcPr>
          <w:p>
            <w:pPr>
              <w:spacing w:after="0"/>
              <w:rPr>
                <w:sz w:val="1"/>
                <w:szCs w:val="1"/>
                <w:color w:val="auto"/>
              </w:rPr>
            </w:pPr>
          </w:p>
        </w:tc>
      </w:tr>
      <w:tr>
        <w:trPr>
          <w:trHeight w:val="263"/>
        </w:trPr>
        <w:tc>
          <w:tcPr>
            <w:tcW w:w="2380" w:type="dxa"/>
            <w:vAlign w:val="bottom"/>
            <w:tcBorders>
              <w:bottom w:val="single" w:sz="8" w:color="auto"/>
            </w:tcBorders>
            <w:vMerge w:val="continue"/>
          </w:tcPr>
          <w:p>
            <w:pPr>
              <w:spacing w:after="0"/>
              <w:rPr>
                <w:sz w:val="22"/>
                <w:szCs w:val="22"/>
                <w:color w:val="auto"/>
              </w:rPr>
            </w:pPr>
          </w:p>
        </w:tc>
        <w:tc>
          <w:tcPr>
            <w:tcW w:w="40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Beginning of Period</w:t>
            </w:r>
          </w:p>
        </w:tc>
        <w:tc>
          <w:tcPr>
            <w:tcW w:w="174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of Period</w:t>
            </w:r>
          </w:p>
        </w:tc>
        <w:tc>
          <w:tcPr>
            <w:tcW w:w="0" w:type="dxa"/>
            <w:vAlign w:val="bottom"/>
          </w:tcPr>
          <w:p>
            <w:pPr>
              <w:spacing w:after="0"/>
              <w:rPr>
                <w:sz w:val="1"/>
                <w:szCs w:val="1"/>
                <w:color w:val="auto"/>
              </w:rPr>
            </w:pPr>
          </w:p>
        </w:tc>
      </w:tr>
      <w:tr>
        <w:trPr>
          <w:trHeight w:val="262"/>
        </w:trPr>
        <w:tc>
          <w:tcPr>
            <w:tcW w:w="2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226,644</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44,923</w:t>
            </w:r>
          </w:p>
        </w:tc>
        <w:tc>
          <w:tcPr>
            <w:tcW w:w="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271,567</w:t>
            </w:r>
          </w:p>
        </w:tc>
        <w:tc>
          <w:tcPr>
            <w:tcW w:w="0" w:type="dxa"/>
            <w:vAlign w:val="bottom"/>
          </w:tcPr>
          <w:p>
            <w:pPr>
              <w:spacing w:after="0"/>
              <w:rPr>
                <w:sz w:val="1"/>
                <w:szCs w:val="1"/>
                <w:color w:val="auto"/>
              </w:rPr>
            </w:pPr>
          </w:p>
        </w:tc>
      </w:tr>
      <w:tr>
        <w:trPr>
          <w:trHeight w:val="285"/>
        </w:trPr>
        <w:tc>
          <w:tcPr>
            <w:tcW w:w="2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2022</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155,668</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70,976</w:t>
            </w:r>
          </w:p>
        </w:tc>
        <w:tc>
          <w:tcPr>
            <w:tcW w:w="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426200" cy="387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7">
                      <a:extLst>
                        <a:ext uri="{28A0092B-C50C-407E-A947-70E740481C1C}"/>
                      </a:extLst>
                    </a:blip>
                    <a:srcRect/>
                    <a:stretch>
                      <a:fillRect/>
                    </a:stretch>
                  </pic:blipFill>
                  <pic:spPr bwMode="auto">
                    <a:xfrm>
                      <a:off x="0" y="0"/>
                      <a:ext cx="6426200" cy="387350"/>
                    </a:xfrm>
                    <a:prstGeom prst="rect">
                      <a:avLst/>
                    </a:prstGeom>
                    <a:noFill/>
                  </pic:spPr>
                </pic:pic>
              </a:graphicData>
            </a:graphic>
          </wp:anchor>
        </w:drawing>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Future realization of the tax benefits of existing temporary differences and carryforwards ultimately depends on the existence of sufficient taxable income within the carryforward period. As of December 31, 2023 and 2022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full valuation allowance as of December 31, 2023 and 2022. The valuation allowance increased by $44.9 million in 2023 and $71.0 million in 2022, primarily due to the increase in net operating loss carryforwards.</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 reconciliation of the beginning and ending amounts of unrecognized tax benefits for the years ended December 31, 2023 and 2022 is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60" w:type="dxa"/>
            <w:vAlign w:val="bottom"/>
          </w:tcPr>
          <w:p>
            <w:pPr>
              <w:spacing w:after="0"/>
              <w:rPr>
                <w:sz w:val="23"/>
                <w:szCs w:val="23"/>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420" w:type="dxa"/>
            <w:vAlign w:val="bottom"/>
            <w:tcBorders>
              <w:bottom w:val="single" w:sz="8" w:color="auto"/>
            </w:tcBorders>
          </w:tcPr>
          <w:p>
            <w:pPr>
              <w:spacing w:after="0"/>
              <w:rPr>
                <w:sz w:val="23"/>
                <w:szCs w:val="23"/>
                <w:color w:val="auto"/>
              </w:rPr>
            </w:pPr>
          </w:p>
        </w:tc>
      </w:tr>
      <w:tr>
        <w:trPr>
          <w:trHeight w:val="265"/>
        </w:trPr>
        <w:tc>
          <w:tcPr>
            <w:tcW w:w="736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420" w:type="dxa"/>
            <w:vAlign w:val="bottom"/>
            <w:tcBorders>
              <w:bottom w:val="single" w:sz="8" w:color="auto"/>
            </w:tcBorders>
          </w:tcPr>
          <w:p>
            <w:pPr>
              <w:spacing w:after="0"/>
              <w:rPr>
                <w:sz w:val="23"/>
                <w:szCs w:val="23"/>
                <w:color w:val="auto"/>
              </w:rPr>
            </w:pP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 January 1</w:t>
            </w:r>
          </w:p>
        </w:tc>
        <w:tc>
          <w:tcPr>
            <w:tcW w:w="88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r>
      <w:tr>
        <w:trPr>
          <w:trHeight w:val="28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 tax positions in current period</w:t>
            </w: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 December 31</w:t>
            </w:r>
          </w:p>
        </w:tc>
        <w:tc>
          <w:tcPr>
            <w:tcW w:w="88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426200" cy="568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8">
                      <a:extLst>
                        <a:ext uri="{28A0092B-C50C-407E-A947-70E740481C1C}"/>
                      </a:extLst>
                    </a:blip>
                    <a:srcRect/>
                    <a:stretch>
                      <a:fillRect/>
                    </a:stretch>
                  </pic:blipFill>
                  <pic:spPr bwMode="auto">
                    <a:xfrm>
                      <a:off x="0" y="0"/>
                      <a:ext cx="6426200" cy="568325"/>
                    </a:xfrm>
                    <a:prstGeom prst="rect">
                      <a:avLst/>
                    </a:prstGeom>
                    <a:noFill/>
                  </pic:spPr>
                </pic:pic>
              </a:graphicData>
            </a:graphic>
          </wp:anchor>
        </w:drawing>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To the extent penalties and interest would be assessed on any underpayment of income tax, the Company’s policy is that such amounts would be accrued and classified as a component of income tax expense in the financial statements. The Company had a nominal amount of accrued interest or penalties related to uncertain tax positions as of December 31, 2023 and 2022.</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files income tax returns for U.S federal jurisdiction, various state jurisdictions, and various foreign countries. In the normal course of business, the Company is subject to examination by federal, state and foreign jurisdictions, where applicable. There are currently no pending federal, state or foreign income tax examinations. As a result of the Company’s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080"/>
          </w:cols>
          <w:pgMar w:left="1080" w:top="208" w:right="10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net operating loss carryforwards, the Company’s federal and state statutes of limitations remain open from 2016 and forward until the net operating loss carryforwards are utilized or expire prior to utilization.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Net Loss per Share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(548,980)</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weighted-average common shares outstanding</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24,311,989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10,236,960</w:t>
            </w:r>
          </w:p>
        </w:tc>
      </w:tr>
      <w:tr>
        <w:trPr>
          <w:trHeight w:val="26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loss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-923290</wp:posOffset>
            </wp:positionV>
            <wp:extent cx="6426200" cy="930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9">
                      <a:extLst>
                        <a:ext uri="{28A0092B-C50C-407E-A947-70E740481C1C}"/>
                      </a:extLst>
                    </a:blip>
                    <a:srcRect/>
                    <a:stretch>
                      <a:fillRect/>
                    </a:stretch>
                  </pic:blipFill>
                  <pic:spPr bwMode="auto">
                    <a:xfrm>
                      <a:off x="0" y="0"/>
                      <a:ext cx="6426200" cy="930275"/>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May 4, 2023, the Company effected a reverse stock split of its Class A common stock at a ratio of 1-for-33. As a result of the Reverse Stock Split, the Company has retroactively adjusted the weighted-average number of shares of common stock outstanding prior to the Reverse Stock Split by a ratio of 1-for-33 to determine the number of shares of common stock into which they converted.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60" w:type="dxa"/>
            <w:vAlign w:val="bottom"/>
          </w:tcPr>
          <w:p>
            <w:pPr>
              <w:spacing w:after="0"/>
              <w:rPr>
                <w:sz w:val="23"/>
                <w:szCs w:val="23"/>
                <w:color w:val="auto"/>
              </w:rPr>
            </w:pPr>
          </w:p>
        </w:tc>
        <w:tc>
          <w:tcPr>
            <w:tcW w:w="2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36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options and RSUs to purchase Class A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2,005,853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1,653,934</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1,466,515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666,515</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earn-out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552,392</w:t>
            </w:r>
          </w:p>
        </w:tc>
      </w:tr>
      <w:tr>
        <w:trPr>
          <w:trHeight w:val="28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earn-out RSUs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24,019</w:t>
            </w:r>
          </w:p>
        </w:tc>
      </w:tr>
      <w:tr>
        <w:trPr>
          <w:trHeight w:val="24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3,472,368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2,896,860</w:t>
            </w:r>
          </w:p>
        </w:tc>
      </w:tr>
      <w:tr>
        <w:trPr>
          <w:trHeight w:val="20"/>
        </w:trPr>
        <w:tc>
          <w:tcPr>
            <w:tcW w:w="7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438900" cy="955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0">
                      <a:extLst>
                        <a:ext uri="{28A0092B-C50C-407E-A947-70E740481C1C}"/>
                      </a:extLst>
                    </a:blip>
                    <a:srcRect/>
                    <a:stretch>
                      <a:fillRect/>
                    </a:stretch>
                  </pic:blipFill>
                  <pic:spPr bwMode="auto">
                    <a:xfrm>
                      <a:off x="0" y="0"/>
                      <a:ext cx="6438900" cy="95567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Restructuring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provides certain information concerning restructuring activity during the year ended December 31, 2023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48"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1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Charged to Costs and</w:t>
            </w:r>
          </w:p>
        </w:tc>
        <w:tc>
          <w:tcPr>
            <w:tcW w:w="20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Payments and Other</w:t>
            </w:r>
          </w:p>
        </w:tc>
        <w:tc>
          <w:tcPr>
            <w:tcW w:w="16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w w:val="98"/>
              </w:rPr>
              <w:t>Reserve Balance at</w:t>
            </w:r>
          </w:p>
        </w:tc>
        <w:tc>
          <w:tcPr>
            <w:tcW w:w="0" w:type="dxa"/>
            <w:vAlign w:val="bottom"/>
          </w:tcPr>
          <w:p>
            <w:pPr>
              <w:spacing w:after="0"/>
              <w:rPr>
                <w:sz w:val="1"/>
                <w:szCs w:val="1"/>
                <w:color w:val="auto"/>
              </w:rPr>
            </w:pPr>
          </w:p>
        </w:tc>
      </w:tr>
      <w:tr>
        <w:trPr>
          <w:trHeight w:val="128"/>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Expenses</w:t>
            </w:r>
          </w:p>
        </w:tc>
        <w:tc>
          <w:tcPr>
            <w:tcW w:w="2060" w:type="dxa"/>
            <w:vAlign w:val="bottom"/>
            <w:vMerge w:val="continue"/>
          </w:tcPr>
          <w:p>
            <w:pPr>
              <w:spacing w:after="0"/>
              <w:rPr>
                <w:sz w:val="11"/>
                <w:szCs w:val="11"/>
                <w:color w:val="auto"/>
              </w:rPr>
            </w:pPr>
          </w:p>
        </w:tc>
        <w:tc>
          <w:tcPr>
            <w:tcW w:w="16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0" w:type="dxa"/>
            <w:vAlign w:val="bottom"/>
          </w:tcPr>
          <w:p>
            <w:pPr>
              <w:spacing w:after="0"/>
              <w:rPr>
                <w:sz w:val="1"/>
                <w:szCs w:val="1"/>
                <w:color w:val="auto"/>
              </w:rPr>
            </w:pPr>
          </w:p>
        </w:tc>
      </w:tr>
      <w:tr>
        <w:trPr>
          <w:trHeight w:val="83"/>
        </w:trPr>
        <w:tc>
          <w:tcPr>
            <w:tcW w:w="1620" w:type="dxa"/>
            <w:vAlign w:val="bottom"/>
            <w:vMerge w:val="continue"/>
          </w:tcPr>
          <w:p>
            <w:pPr>
              <w:spacing w:after="0"/>
              <w:rPr>
                <w:sz w:val="7"/>
                <w:szCs w:val="7"/>
                <w:color w:val="auto"/>
              </w:rPr>
            </w:pPr>
          </w:p>
        </w:tc>
        <w:tc>
          <w:tcPr>
            <w:tcW w:w="210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6438900" cy="650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1">
                      <a:extLst>
                        <a:ext uri="{28A0092B-C50C-407E-A947-70E740481C1C}"/>
                      </a:extLst>
                    </a:blip>
                    <a:srcRect/>
                    <a:stretch>
                      <a:fillRect/>
                    </a:stretch>
                  </pic:blipFill>
                  <pic:spPr bwMode="auto">
                    <a:xfrm>
                      <a:off x="0" y="0"/>
                      <a:ext cx="6438900" cy="650875"/>
                    </a:xfrm>
                    <a:prstGeom prst="rect">
                      <a:avLst/>
                    </a:prstGeom>
                    <a:noFill/>
                  </pic:spPr>
                </pic:pic>
              </a:graphicData>
            </a:graphic>
          </wp:anchor>
        </w:drawing>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Severance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0" w:type="dxa"/>
            <w:vAlign w:val="bottom"/>
          </w:tcPr>
          <w:p>
            <w:pPr>
              <w:spacing w:after="0"/>
              <w:rPr>
                <w:sz w:val="1"/>
                <w:szCs w:val="1"/>
                <w:color w:val="auto"/>
              </w:rPr>
            </w:pPr>
          </w:p>
        </w:tc>
      </w:tr>
      <w:tr>
        <w:trPr>
          <w:trHeight w:val="318"/>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Others</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Charged to Costs and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vMerge w:val="restart"/>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Payments and Other</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0" w:type="dxa"/>
            <w:vAlign w:val="bottom"/>
          </w:tcPr>
          <w:p>
            <w:pPr>
              <w:spacing w:after="0"/>
              <w:rPr>
                <w:sz w:val="1"/>
                <w:szCs w:val="1"/>
                <w:color w:val="auto"/>
              </w:rPr>
            </w:pPr>
          </w:p>
        </w:tc>
      </w:tr>
      <w:tr>
        <w:trPr>
          <w:trHeight w:val="128"/>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vMerge w:val="restart"/>
          </w:tcPr>
          <w:p>
            <w:pPr>
              <w:jc w:val="right"/>
              <w:ind w:right="585"/>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83"/>
        </w:trPr>
        <w:tc>
          <w:tcPr>
            <w:tcW w:w="1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9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Severance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w:t>
            </w:r>
          </w:p>
        </w:tc>
        <w:tc>
          <w:tcPr>
            <w:tcW w:w="0" w:type="dxa"/>
            <w:vAlign w:val="bottom"/>
          </w:tcPr>
          <w:p>
            <w:pPr>
              <w:spacing w:after="0"/>
              <w:rPr>
                <w:sz w:val="1"/>
                <w:szCs w:val="1"/>
                <w:color w:val="auto"/>
              </w:rPr>
            </w:pPr>
          </w:p>
        </w:tc>
      </w:tr>
      <w:tr>
        <w:trPr>
          <w:trHeight w:val="318"/>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Others</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0" w:type="dxa"/>
            <w:vAlign w:val="bottom"/>
          </w:tcPr>
          <w:p>
            <w:pPr>
              <w:spacing w:after="0"/>
              <w:rPr>
                <w:sz w:val="1"/>
                <w:szCs w:val="1"/>
                <w:color w:val="auto"/>
              </w:rPr>
            </w:pPr>
          </w:p>
        </w:tc>
      </w:tr>
      <w:tr>
        <w:trPr>
          <w:trHeight w:val="275"/>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-631190</wp:posOffset>
            </wp:positionV>
            <wp:extent cx="6438900" cy="650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2">
                      <a:extLst>
                        <a:ext uri="{28A0092B-C50C-407E-A947-70E740481C1C}"/>
                      </a:extLst>
                    </a:blip>
                    <a:srcRect/>
                    <a:stretch>
                      <a:fillRect/>
                    </a:stretch>
                  </pic:blipFill>
                  <pic:spPr bwMode="auto">
                    <a:xfrm>
                      <a:off x="0" y="0"/>
                      <a:ext cx="6438900" cy="650875"/>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October 30, 2023, the Company announced a continued strategic realignment of its organization to key priorities which includes the elimination of approximately 50 positions impacted on August 23, 2023, and approximately 35 positions impacted on October 30, 2023. Together these actions reduced the size of the Company’s workforce by 10% from the total number that existed at the time of the August reduction in force. In total, the Company announced cost saving initiatives,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080"/>
          </w:cols>
          <w:pgMar w:left="1080" w:top="208" w:right="108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including but not limited to these reductions in force, that are expected to result in an excess of $40 million in annual cost reduction. The Company expects that all remaining cash severance payments will be complete in less than one year.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2022, the Company’s Compensation Committee of the Board of Directors approved by written consents, dated February 17, 2022, May 2, 2022 and August 11, 2022, a restructuring plan which was fully executed by management and restructuring charges were incurred and recorded in connection therewith, including an exit of the Company’s somatic tumor testing business. These costs include severance packages offered to the employees impacted by the plan, third party consulting costs, and costs related to closing the Company’s laboratory in Branford, CT. The plan resulted in the Company eliminating approximately 250 positions.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During the fourth quarter of 2022, the Company announced its strategic realignment resulting in the exit of its reproductive and women’s health testing business, which included carrier screening, noninvasive prenatal, and other ancillary reproductive testing offerings. The Company ceased accepting samples for these tests on December 14, 2022 and notified its customers impacted by the decision immediately. As a result, the Company eliminated approximately 500 positions, and ceased operations at its Stamford, CT laboratory. When combined with the Company’s prior reductions in workforce during 2022, the exit resulted in the elimination of approximately 32.5% of the Company’s workforce which existed at the time of the announcement.</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may incur additional expenses not currently contemplated due to events associated with the reduction in force. The charges that the Company expects to incur in connection with the reduction in force are estimates and subject to a number of assumptions, and actual results may differ materially.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Supplemental Financial Information</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on the consolidated balance sheets to the total of the same amounts shown on the consolidated statements of cash flows: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7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99,681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123,933</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(included in prepaid expenses and other current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13,470</w:t>
            </w:r>
          </w:p>
        </w:tc>
      </w:tr>
      <w:tr>
        <w:trPr>
          <w:trHeight w:val="28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(included in other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w:t>
            </w:r>
          </w:p>
        </w:tc>
      </w:tr>
      <w:tr>
        <w:trPr>
          <w:trHeight w:val="245"/>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100,668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138,303</w:t>
            </w:r>
          </w:p>
        </w:tc>
      </w:tr>
      <w:tr>
        <w:trPr>
          <w:trHeight w:val="20"/>
        </w:trPr>
        <w:tc>
          <w:tcPr>
            <w:tcW w:w="7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438900" cy="774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3">
                      <a:extLst>
                        <a:ext uri="{28A0092B-C50C-407E-A947-70E740481C1C}"/>
                      </a:extLst>
                    </a:blip>
                    <a:srcRect/>
                    <a:stretch>
                      <a:fillRect/>
                    </a:stretch>
                  </pic:blipFill>
                  <pic:spPr bwMode="auto">
                    <a:xfrm>
                      <a:off x="0" y="0"/>
                      <a:ext cx="6438900" cy="774700"/>
                    </a:xfrm>
                    <a:prstGeom prst="rect">
                      <a:avLst/>
                    </a:prstGeom>
                    <a:noFill/>
                  </pic:spPr>
                </pic:pic>
              </a:graphicData>
            </a:graphic>
          </wp:anchor>
        </w:drawing>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Restricted cash included within prepaid expenses and other current assets as of December 31, 2022 includes $12.1 million held in escrow as restricted cash related to the closing of the Acquisition which was released upon expiration of the one year escrow period in May 2023. Restricted cash included in other assets as of December 31, 2023 and 2022 primarily consists of money market deposit accounts that secure an irrevocable standby letter of credit that serves as collateral for security deposit operating leases.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See Note 10,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for further information.</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2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96"/>
        </w:trPr>
        <w:tc>
          <w:tcPr>
            <w:tcW w:w="7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74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Accounts payable</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46,017</w:t>
            </w:r>
          </w:p>
        </w:tc>
      </w:tr>
      <w:tr>
        <w:trPr>
          <w:trHeight w:val="285"/>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Accrued purchases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20,314</w:t>
            </w:r>
          </w:p>
        </w:tc>
      </w:tr>
      <w:tr>
        <w:trPr>
          <w:trHeight w:val="285"/>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Reserves for refunds to insurance carriers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17,001</w:t>
            </w:r>
          </w:p>
        </w:tc>
      </w:tr>
      <w:tr>
        <w:trPr>
          <w:trHeight w:val="288"/>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w:t>
            </w:r>
          </w:p>
        </w:tc>
      </w:tr>
      <w:tr>
        <w:trPr>
          <w:trHeight w:val="245"/>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37,456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84,878</w:t>
            </w:r>
          </w:p>
        </w:tc>
      </w:tr>
      <w:tr>
        <w:trPr>
          <w:trHeight w:val="20"/>
        </w:trPr>
        <w:tc>
          <w:tcPr>
            <w:tcW w:w="7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-935990</wp:posOffset>
            </wp:positionV>
            <wp:extent cx="6429375" cy="955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4">
                      <a:extLst>
                        <a:ext uri="{28A0092B-C50C-407E-A947-70E740481C1C}"/>
                      </a:extLst>
                    </a:blip>
                    <a:srcRect/>
                    <a:stretch>
                      <a:fillRect/>
                    </a:stretch>
                  </pic:blipFill>
                  <pic:spPr bwMode="auto">
                    <a:xfrm>
                      <a:off x="0" y="0"/>
                      <a:ext cx="6429375" cy="955675"/>
                    </a:xfrm>
                    <a:prstGeom prst="rect">
                      <a:avLst/>
                    </a:prstGeom>
                    <a:noFill/>
                  </pic:spPr>
                </pic:pic>
              </a:graphicData>
            </a:graphic>
          </wp:anchor>
        </w:drawing>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080"/>
          </w:cols>
          <w:pgMar w:left="1080" w:top="208" w:right="108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1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9"/>
              </w:rPr>
              <w:t>Table of Contents</w:t>
            </w:r>
          </w:p>
        </w:tc>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3"/>
        </w:trPr>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current liabilities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4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144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2"/>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Accrued bonus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8,429</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Accrued payroll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3,905</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Accrued benefits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Accrued commissions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1,656</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Accrued severance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4,750</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Indemnification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13,470</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Current portion of the contingent consideration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6,019</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Current portion of debt issuance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5,177</w:t>
            </w:r>
          </w:p>
        </w:tc>
        <w:tc>
          <w:tcPr>
            <w:tcW w:w="0" w:type="dxa"/>
            <w:vAlign w:val="bottom"/>
          </w:tcPr>
          <w:p>
            <w:pPr>
              <w:spacing w:after="0"/>
              <w:rPr>
                <w:sz w:val="1"/>
                <w:szCs w:val="1"/>
                <w:color w:val="auto"/>
              </w:rPr>
            </w:pPr>
          </w:p>
        </w:tc>
      </w:tr>
      <w:tr>
        <w:trPr>
          <w:trHeight w:val="24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49,705</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Other liabilities consisted of the following: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74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4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144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2"/>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Warrant liability</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w:t>
            </w:r>
          </w:p>
        </w:tc>
        <w:tc>
          <w:tcPr>
            <w:tcW w:w="0" w:type="dxa"/>
            <w:vAlign w:val="bottom"/>
          </w:tcPr>
          <w:p>
            <w:pPr>
              <w:spacing w:after="0"/>
              <w:rPr>
                <w:sz w:val="1"/>
                <w:szCs w:val="1"/>
                <w:color w:val="auto"/>
              </w:rPr>
            </w:pPr>
          </w:p>
        </w:tc>
      </w:tr>
      <w:tr>
        <w:trPr>
          <w:trHeight w:val="28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Earn-out contingent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0" w:type="dxa"/>
            <w:vAlign w:val="bottom"/>
          </w:tcPr>
          <w:p>
            <w:pPr>
              <w:spacing w:after="0"/>
              <w:rPr>
                <w:sz w:val="1"/>
                <w:szCs w:val="1"/>
                <w:color w:val="auto"/>
              </w:rPr>
            </w:pPr>
          </w:p>
        </w:tc>
      </w:tr>
      <w:tr>
        <w:trPr>
          <w:trHeight w:val="288"/>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Third party payor reserve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22,000</w:t>
            </w:r>
          </w:p>
        </w:tc>
        <w:tc>
          <w:tcPr>
            <w:tcW w:w="0" w:type="dxa"/>
            <w:vAlign w:val="bottom"/>
          </w:tcPr>
          <w:p>
            <w:pPr>
              <w:spacing w:after="0"/>
              <w:rPr>
                <w:sz w:val="1"/>
                <w:szCs w:val="1"/>
                <w:color w:val="auto"/>
              </w:rPr>
            </w:pPr>
          </w:p>
        </w:tc>
      </w:tr>
      <w:tr>
        <w:trPr>
          <w:trHeight w:val="245"/>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24,018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-3552190</wp:posOffset>
            </wp:positionV>
            <wp:extent cx="6438900" cy="2041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5">
                      <a:extLst>
                        <a:ext uri="{28A0092B-C50C-407E-A947-70E740481C1C}"/>
                      </a:extLst>
                    </a:blip>
                    <a:srcRect/>
                    <a:stretch>
                      <a:fillRect/>
                    </a:stretch>
                  </pic:blipFill>
                  <pic:spPr bwMode="auto">
                    <a:xfrm>
                      <a:off x="0" y="0"/>
                      <a:ext cx="6438900" cy="2041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-755015</wp:posOffset>
            </wp:positionV>
            <wp:extent cx="6438900" cy="774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6">
                      <a:extLst>
                        <a:ext uri="{28A0092B-C50C-407E-A947-70E740481C1C}"/>
                      </a:extLst>
                    </a:blip>
                    <a:srcRect/>
                    <a:stretch>
                      <a:fillRect/>
                    </a:stretch>
                  </pic:blipFill>
                  <pic:spPr bwMode="auto">
                    <a:xfrm>
                      <a:off x="0" y="0"/>
                      <a:ext cx="6438900" cy="7747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Segment Reporting</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business is aligned with how the chief operating decision maker (“CODM”) reviews performance and makes decisions in managing the Company. At December 31, 2023, the Company has identified two reportable segments: (i) 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and has been completely shut down. Segment information is consistent with how management reviews the business, makes investing and resource allocation decisions and assesses operating performance. The CODM evaluates segment performance based on revenue and adjusted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121285</wp:posOffset>
            </wp:positionV>
            <wp:extent cx="6438900" cy="2222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7">
                      <a:extLst>
                        <a:ext uri="{28A0092B-C50C-407E-A947-70E740481C1C}"/>
                      </a:extLst>
                    </a:blip>
                    <a:srcRect/>
                    <a:stretch>
                      <a:fillRect/>
                    </a:stretch>
                  </pic:blipFill>
                  <pic:spPr bwMode="auto">
                    <a:xfrm>
                      <a:off x="0" y="0"/>
                      <a:ext cx="6438900" cy="2222500"/>
                    </a:xfrm>
                    <a:prstGeom prst="rect">
                      <a:avLst/>
                    </a:prstGeom>
                    <a:noFill/>
                  </pic:spPr>
                </pic:pic>
              </a:graphicData>
            </a:graphic>
          </wp:anchor>
        </w:drawing>
      </w: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65"/>
        </w:trPr>
        <w:tc>
          <w:tcPr>
            <w:tcW w:w="27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65"/>
        </w:trPr>
        <w:tc>
          <w:tcPr>
            <w:tcW w:w="27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GeneDx</w:t>
            </w:r>
          </w:p>
        </w:tc>
        <w:tc>
          <w:tcPr>
            <w:tcW w:w="60" w:type="dxa"/>
            <w:vAlign w:val="bottom"/>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Legacy Sema4</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GeneDx</w:t>
            </w:r>
          </w:p>
        </w:tc>
        <w:tc>
          <w:tcPr>
            <w:tcW w:w="60" w:type="dxa"/>
            <w:vAlign w:val="bottom"/>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Legacy Sema4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2"/>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194,376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202,566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122,234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112,460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234,694</w:t>
            </w:r>
          </w:p>
        </w:tc>
      </w:tr>
      <w:tr>
        <w:trPr>
          <w:trHeight w:val="288"/>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Adjusted cost of services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106,983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109,288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74,213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148,897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223,110</w:t>
            </w:r>
          </w:p>
        </w:tc>
      </w:tr>
      <w:tr>
        <w:trPr>
          <w:trHeight w:val="325"/>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Adjusted gross profit (loss) </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87,393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11,584</w:t>
            </w:r>
          </w:p>
        </w:tc>
      </w:tr>
      <w:tr>
        <w:trPr>
          <w:trHeight w:val="507"/>
        </w:trPr>
        <w:tc>
          <w:tcPr>
            <w:tcW w:w="27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5"/>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28,888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31,328</w:t>
            </w:r>
          </w:p>
        </w:tc>
      </w:tr>
      <w:tr>
        <w:trPr>
          <w:trHeight w:val="285"/>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5,080</w:t>
            </w:r>
          </w:p>
        </w:tc>
      </w:tr>
      <w:tr>
        <w:trPr>
          <w:trHeight w:val="288"/>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charges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1,926</w:t>
            </w:r>
          </w:p>
        </w:tc>
      </w:tr>
      <w:tr>
        <w:trPr>
          <w:trHeight w:val="245"/>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82,293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90,006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44,772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(71,522)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(26,750)</w:t>
            </w:r>
          </w:p>
        </w:tc>
      </w:tr>
      <w:tr>
        <w:trPr>
          <w:trHeight w:val="20"/>
        </w:trPr>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60" w:hanging="360"/>
        <w:spacing w:after="0" w:line="282" w:lineRule="auto"/>
        <w:tabs>
          <w:tab w:leader="none" w:pos="3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Cost of Services and Adjusted Gross Profit exclude depreciation and amortization expense, stock-based compensation expense and restructuring costs.</w:t>
      </w:r>
    </w:p>
    <w:p>
      <w:pPr>
        <w:sectPr>
          <w:pgSz w:w="12240" w:h="15840" w:orient="portrait"/>
          <w:cols w:equalWidth="0" w:num="1">
            <w:col w:w="10080"/>
          </w:cols>
          <w:pgMar w:left="1080" w:top="19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080"/>
          </w:cols>
          <w:pgMar w:left="1080" w:top="195" w:right="108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Management manages assets on a total company basis, not by reporting segment. The CODM does not regularly review any asset information by reporting segment and, accordingly, the Company does not report asset information by reporting segment.</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080"/>
          </w:cols>
          <w:pgMar w:left="1080" w:top="208" w:right="10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Disclosure controls and procedures that are designed to ensure that information required to be disclosed in our reports filed or submitted under the Exchange Act is recorded, processed, summarized and reported within the time periods specified in the SEC’s rules and forms.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required by Rules 13a-15 and 15d-15 under the Exchange Act, our Chief Executive Officer and Chief Financial Officer carried out an evaluation of the effectiveness of the design and operation of our disclosure controls and procedures as of December 31, 2023. Based on that evaluation, our Chief Executive Officer and Chief Financial Officer concluded that our disclosure controls and procedures were not effective as of December 31, 2023 because of the material weaknesses in internal control over financial reporting discussed below.</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Notwithstanding the material weaknesses in internal control over financial reporting described below, our management has concluded that our consolidated financial statements included in this Annual Report on Form 10-K are fairly stated in all material respects in accordance with accounting principles generally accepted in the United States of America (“U.S. GAAP”).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2023, based on the criteria set forth in Internal Control-Integrated Framework issued by the Committee of Sponsoring Organizations of the Treadway Commission (2013 COSO framework). Based on this evaluation, due to the material weaknesses described below, management concluded that the Company’s internal control over financial reporting were not effective.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Weaknesses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connection with the preparation of the Annual Report on Form 10-K as of December 31, 2022, we previously reported three material weaknesses in our internal controls over financial reporting, as follows:</w:t>
      </w:r>
    </w:p>
    <w:p>
      <w:pPr>
        <w:spacing w:after="0" w:line="121" w:lineRule="exact"/>
        <w:rPr>
          <w:sz w:val="20"/>
          <w:szCs w:val="20"/>
          <w:color w:val="auto"/>
        </w:rPr>
      </w:pPr>
    </w:p>
    <w:p>
      <w:pPr>
        <w:jc w:val="both"/>
        <w:ind w:left="720" w:hanging="360"/>
        <w:spacing w:after="0" w:line="255"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have sufficient, qualified finance and accounting staff with the appropriate U.S. GAAP technical accounting expertise to effectively maintain processes and controls that allow for the timely production of accurate financial information with internal financial reporting timelines, commensurate with our size and the nature and complexity of our operations.</w:t>
      </w:r>
    </w:p>
    <w:p>
      <w:pPr>
        <w:spacing w:after="0" w:line="2"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maintain formal processes and controls to achieve complete, accurate and timely financial accounting, reporting and disclosures, including controls over the preparation and review of account reconciliations, journal entries, classification of certain costs, non-recurring complex transactions and the accounting in accordance with U.S. GAAP.</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71" w:lineRule="auto"/>
        <w:tabs>
          <w:tab w:leader="none" w:pos="72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accounting and operating systems lacked controls over access, and program change management that are needed to ensure access to financial data is adequately restricted to appropriate personnel, including consideration of the appropriate segregation of duties. As a result, it is possible that the Company’s business process controls that depend on the accuracy and completeness of data or financial reports generated by the Company's information technology</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080"/>
          </w:cols>
          <w:pgMar w:left="1080" w:top="208" w:right="108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spacing w:after="0" w:line="281" w:lineRule="auto"/>
        <w:rPr>
          <w:sz w:val="20"/>
          <w:szCs w:val="20"/>
          <w:color w:val="auto"/>
        </w:rPr>
      </w:pPr>
      <w:r>
        <w:rPr>
          <w:rFonts w:ascii="Times New Roman" w:cs="Times New Roman" w:eastAsia="Times New Roman" w:hAnsi="Times New Roman"/>
          <w:sz w:val="20"/>
          <w:szCs w:val="20"/>
          <w:color w:val="auto"/>
        </w:rPr>
        <w:t>system could be adversely affected due to the lack of operating effectiveness of the information technology general controls (“ITGCs”).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Of the three previously reported material weaknesses noted above, the first two items have been remediated as of December 31, 2023 and due to significant enhancement during 2023, only portions of the third remains unremediated as of December</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31, 2023. Specifically, our accounting and operating systems lacked controls over user access and program change management that are needed to ensure access to financial data is adequately restricted to appropriate personnel, including consideration of the appropriate segregation of duties.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Remediation Plan</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management is actively engaged and committed to taking the steps necessary to remediate the material weakness over user access and program change management in order to establish a strong internal control environment. During 2023, we designed and implemented the following measures as part of the remediation efforts over the lack of operating effectiveness of the information technology general controls (“ITGCs”):</w:t>
      </w:r>
    </w:p>
    <w:p>
      <w:pPr>
        <w:spacing w:after="0" w:line="148" w:lineRule="exact"/>
        <w:rPr>
          <w:sz w:val="20"/>
          <w:szCs w:val="20"/>
          <w:color w:val="auto"/>
        </w:rPr>
      </w:pPr>
    </w:p>
    <w:p>
      <w:pPr>
        <w:ind w:left="720" w:hanging="360"/>
        <w:spacing w:after="0" w:line="26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expanded the available resources with experience designing and implementing ITGCs, through hired information technology (“IT”) employees and use of outside consultants.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implemented role redesign for certain systems, including rationalization user roles and permissions and establishing appropriate segregation of duties, where applicable.</w:t>
      </w:r>
    </w:p>
    <w:p>
      <w:pPr>
        <w:ind w:left="720" w:hanging="360"/>
        <w:spacing w:after="0" w:line="25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implemented process improvements and standardized certain practices across relevant systems, including access provisioning, deprovisioning and user access review (UAR) processes.</w:t>
      </w:r>
    </w:p>
    <w:p>
      <w:pPr>
        <w:ind w:left="720" w:hanging="360"/>
        <w:spacing w:after="0" w:line="25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conducted training for personnel responsible for internal control performers to deepen their comprehension of risk assessment concepts and to refine their execution of controls pertaining to financial reporting.</w:t>
      </w:r>
    </w:p>
    <w:p>
      <w:pPr>
        <w:ind w:left="720" w:hanging="360"/>
        <w:spacing w:after="0" w:line="25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strengthened and documented our accounting policies and procedures around ITGCs and communicated the policies to relevant personnel.</w:t>
      </w:r>
    </w:p>
    <w:p>
      <w:pPr>
        <w:ind w:left="720" w:hanging="360"/>
        <w:spacing w:after="0" w:line="260"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implemented action plans to address remaining issues that still exist within user access and change management, and continue to enforce consistent execution of key internal control procedures.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While significant progress has been made to strengthen the design and operating effectiveness of our ITGCs, management has concluded that as of December 31, 2023, there was not a sufficient period of time available to sufficiently test nor conclude that enhanced internal controls were fully implemented and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will continue to monitor the effectiveness of ITGC remediation actions in connection with future assessments of the effectiveness of internal control over financial reporting and disclosure controls and procedures. Assessment results will be used to validate the efficacy of our ITGC remediation efforts and identify any additional actions necessary to ensure ongoing design and operating effectiveness.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Remediation of Previously-Reported Material Weaknesses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of December 31, 2023, management believes the following two previously reported material weaknesses have been remediated:</w:t>
      </w:r>
    </w:p>
    <w:p>
      <w:pPr>
        <w:spacing w:after="0" w:line="121" w:lineRule="exact"/>
        <w:rPr>
          <w:sz w:val="20"/>
          <w:szCs w:val="20"/>
          <w:color w:val="auto"/>
        </w:rPr>
      </w:pPr>
    </w:p>
    <w:p>
      <w:pPr>
        <w:jc w:val="both"/>
        <w:ind w:left="720" w:hanging="360"/>
        <w:spacing w:after="0" w:line="255"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have sufficient, qualified finance and accounting staff with the appropriate U.S. GAAP technical accounting expertise to effectively maintain processes and controls that allow for the timely production of accurate financial information in accordance with internal financial reporting timelines, commensurate with our size and the nature and complexity of our operations.</w:t>
      </w:r>
    </w:p>
    <w:p>
      <w:pPr>
        <w:spacing w:after="0" w:line="2" w:lineRule="exact"/>
        <w:rPr>
          <w:rFonts w:ascii="Times New Roman" w:cs="Times New Roman" w:eastAsia="Times New Roman" w:hAnsi="Times New Roman"/>
          <w:sz w:val="20"/>
          <w:szCs w:val="20"/>
          <w:color w:val="auto"/>
        </w:rPr>
      </w:pPr>
    </w:p>
    <w:p>
      <w:pPr>
        <w:jc w:val="both"/>
        <w:ind w:left="720" w:hanging="360"/>
        <w:spacing w:after="0" w:line="253"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maintain formal processes and controls to achieve complete, accurate and timely financial accounting, reporting and disclosures, including controls over the preparation and review of account reconciliations, journal entries, classification of certain costs, non-recurring complex transactions and the accounting in accordance with U.S. GAAP.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remediate these material weaknesses, the Company documented and implemented the following actions:</w:t>
      </w:r>
    </w:p>
    <w:p>
      <w:pPr>
        <w:spacing w:after="0" w:line="190" w:lineRule="exact"/>
        <w:rPr>
          <w:sz w:val="20"/>
          <w:szCs w:val="20"/>
          <w:color w:val="auto"/>
        </w:rPr>
      </w:pPr>
    </w:p>
    <w:p>
      <w:pPr>
        <w:jc w:val="both"/>
        <w:ind w:left="720" w:hanging="360"/>
        <w:spacing w:after="0" w:line="260"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hired key personnel, obtained qualified accountants and retained additional resources with the appropriate technical accounting skills to achieve complete, accurate, and timely financial accounting and reporting. In addition, we formalized roles and review responsibilities to align the team’s skills and experience, including consideration related to the segregation of duties, to the risk and complexity of our transactions.</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080"/>
          </w:cols>
          <w:pgMar w:left="1080" w:top="208" w:right="108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720" w:hanging="360"/>
        <w:spacing w:after="0" w:line="257"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completed a gap analysis of the processes supporting our internal control over financial reporting to identify areas where new controls are needed and where existing controls required improvement. Based on that analysis, we formalized detailed remediation plans at the risk and control level to improve our internal control framework.</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strengthened and documented our internal accounting policies and procedures and communicated them to all relevant personnel.</w:t>
      </w:r>
    </w:p>
    <w:p>
      <w:pPr>
        <w:ind w:left="720" w:hanging="360"/>
        <w:spacing w:after="0" w:line="260"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standardized business practices and implemented various improvements within financial functional areas, including account reconciliation reviews and automation of certain close processes.</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Management believes it has effectively designed and tested the operating effectiveness related to the previously-reported material weaknesses noted above. Accordingly, management has concluded that these material weaknesses have been remediated because each component of the material weakness has been operating effectively for a sufficient period of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management has evaluated, with the participation of our Chief Executive Officer and Chief Financial Officer, changes in our internal controls over financial reporting (as defined in Rule 13a-15(f) and 15d-15(f) of the Exchange Act) during the fourth quarter of 2023. Except as described above with respect to the remediation of certain previously-reported material weaknesses, there were no changes in the Company’s internal control over financial reporting that occurred during the quarter ended December 31, 2023 that have materially affected, or are reasonably likely to materially affect, our internal control over financial reporting. We continue to take steps to remediate the material weakness in our information technology general controls over financial reporting, as discussed above.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 on the Effectiveness of Internal Control</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Information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Following the expiration of his employment agreement on December 31, 2023 in accordance with its terms, on February 23, 2024, Jason Ryan resigned from his officer position as the Executive Chairman of the Company, effective February 23, 2024. Mr. Ryan continues to serve as a member of and as the Chairman of the Board of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 10b5-1 Plan Adoptions and Modifications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080"/>
          </w:cols>
          <w:pgMar w:left="1080" w:top="208" w:right="108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Except as set forth below, the information required by this Item is incorporated by reference from our definitive proxy statement for our 2024 Annual Meeting of Stockholders to be filed with the SEC within 120 days after the end of our fiscal year ended December 31, 2023.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2024 Annual Meeting of Stockholders to be filed with the SEC within 120 days after the end of our fiscal year ended December 31, 2023.</w:t>
      </w:r>
    </w:p>
    <w:p>
      <w:pPr>
        <w:spacing w:after="0" w:line="11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2024 Annual Meeting of Stockholders to be filed with the SEC within 120 days after the end of our fiscal year ended December 31,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2024 Annual Meeting of Stockholders to be filed with the SEC within 120 days after the end of our fiscal year ended December 31,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2024 Annual Meeting of Stockholders to be filed with the SEC within 120 days after the end of our fiscal year ended December 31, 2023.</w:t>
      </w: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080"/>
          </w:cols>
          <w:pgMar w:left="1080" w:top="208" w:right="108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97" w:lineRule="exact"/>
        <w:rPr>
          <w:sz w:val="20"/>
          <w:szCs w:val="20"/>
          <w:color w:val="auto"/>
        </w:rPr>
      </w:pPr>
    </w:p>
    <w:p>
      <w:pPr>
        <w:ind w:left="200" w:hanging="200"/>
        <w:spacing w:after="0"/>
        <w:tabs>
          <w:tab w:leader="none" w:pos="2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a part of this Annual Report.</w:t>
      </w:r>
    </w:p>
    <w:p>
      <w:pPr>
        <w:spacing w:after="0" w:line="190" w:lineRule="exact"/>
        <w:rPr>
          <w:rFonts w:ascii="Times New Roman" w:cs="Times New Roman" w:eastAsia="Times New Roman" w:hAnsi="Times New Roman"/>
          <w:sz w:val="20"/>
          <w:szCs w:val="20"/>
          <w:color w:val="auto"/>
        </w:rPr>
      </w:pPr>
    </w:p>
    <w:p>
      <w:pPr>
        <w:ind w:left="720" w:hanging="270"/>
        <w:spacing w:after="0" w:line="281" w:lineRule="auto"/>
        <w:tabs>
          <w:tab w:leader="none" w:pos="69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 The consolidated financial statements are set forth under “Item 8. Financial Statements and Supplementary Data” of this Annual Report on Form 10-K.</w:t>
      </w:r>
    </w:p>
    <w:p>
      <w:pPr>
        <w:spacing w:after="0" w:line="121" w:lineRule="exact"/>
        <w:rPr>
          <w:rFonts w:ascii="Times New Roman" w:cs="Times New Roman" w:eastAsia="Times New Roman" w:hAnsi="Times New Roman"/>
          <w:sz w:val="20"/>
          <w:szCs w:val="20"/>
          <w:color w:val="auto"/>
        </w:rPr>
      </w:pPr>
    </w:p>
    <w:p>
      <w:pPr>
        <w:ind w:left="720" w:hanging="270"/>
        <w:spacing w:after="0" w:line="281" w:lineRule="auto"/>
        <w:tabs>
          <w:tab w:leader="none" w:pos="6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All schedules have been omitted because they are not required, not applicable, or the required information is included in the consolidated financial statements or notes thereto.</w:t>
      </w:r>
    </w:p>
    <w:p>
      <w:pPr>
        <w:spacing w:after="0" w:line="121" w:lineRule="exact"/>
        <w:rPr>
          <w:rFonts w:ascii="Times New Roman" w:cs="Times New Roman" w:eastAsia="Times New Roman" w:hAnsi="Times New Roman"/>
          <w:sz w:val="20"/>
          <w:szCs w:val="20"/>
          <w:color w:val="auto"/>
        </w:rPr>
      </w:pPr>
    </w:p>
    <w:p>
      <w:pPr>
        <w:ind w:left="720" w:hanging="270"/>
        <w:spacing w:after="0" w:line="281" w:lineRule="auto"/>
        <w:tabs>
          <w:tab w:leader="none" w:pos="65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accompanying Exhibit Index are filed or incorporated by reference as part of this Annual Report on Form 10-K.</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6426200" cy="6626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8">
                      <a:extLst>
                        <a:ext uri="{28A0092B-C50C-407E-A947-70E740481C1C}"/>
                      </a:extLst>
                    </a:blip>
                    <a:srcRect/>
                    <a:stretch>
                      <a:fillRect/>
                    </a:stretch>
                  </pic:blipFill>
                  <pic:spPr bwMode="auto">
                    <a:xfrm>
                      <a:off x="0" y="0"/>
                      <a:ext cx="6426200" cy="66262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No.</w:t>
            </w:r>
          </w:p>
        </w:tc>
        <w:tc>
          <w:tcPr>
            <w:tcW w:w="492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21"/>
                <w:szCs w:val="21"/>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   Herewith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920" w:type="dxa"/>
            <w:vAlign w:val="bottom"/>
            <w:tcBorders>
              <w:top w:val="single" w:sz="8" w:color="auto"/>
            </w:tcBorders>
            <w:gridSpan w:val="33"/>
          </w:tcPr>
          <w:p>
            <w:pPr>
              <w:spacing w:after="0" w:line="182" w:lineRule="exact"/>
              <w:rPr>
                <w:sz w:val="20"/>
                <w:szCs w:val="20"/>
                <w:color w:val="auto"/>
              </w:rPr>
            </w:pPr>
            <w:r>
              <w:rPr>
                <w:rFonts w:ascii="Times New Roman" w:cs="Times New Roman" w:eastAsia="Times New Roman" w:hAnsi="Times New Roman"/>
                <w:sz w:val="18"/>
                <w:szCs w:val="18"/>
                <w:color w:val="0000FF"/>
              </w:rPr>
              <w:t>Underwriting Agreement by and between GeneDx Holdings Corp.</w:t>
            </w:r>
          </w:p>
        </w:tc>
        <w:tc>
          <w:tcPr>
            <w:tcW w:w="6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6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5"/>
                <w:szCs w:val="15"/>
                <w:color w:val="auto"/>
              </w:rPr>
            </w:pPr>
          </w:p>
        </w:tc>
        <w:tc>
          <w:tcPr>
            <w:tcW w:w="1000" w:type="dxa"/>
            <w:vAlign w:val="bottom"/>
            <w:tcBorders>
              <w:top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01/30/2023</w:t>
            </w:r>
          </w:p>
        </w:tc>
        <w:tc>
          <w:tcPr>
            <w:tcW w:w="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2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and Jefferies LLC, dated January 26, 2023.</w:t>
            </w:r>
          </w:p>
        </w:tc>
        <w:tc>
          <w:tcPr>
            <w:tcW w:w="1720" w:type="dxa"/>
            <w:vAlign w:val="bottom"/>
            <w:tcBorders>
              <w:top w:val="single" w:sz="8" w:color="0000FF"/>
            </w:tcBorders>
            <w:gridSpan w:val="20"/>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9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FF"/>
              </w:rPr>
              <w:t>Agreement and Plan of Merger, dated February 9, 2021, by and</w:t>
            </w: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DEF14M</w:t>
            </w:r>
          </w:p>
        </w:tc>
        <w:tc>
          <w:tcPr>
            <w:tcW w:w="6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Annex A</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07/02/2021</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gridSpan w:val="3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0" w:type="dxa"/>
            <w:vAlign w:val="bottom"/>
            <w:tcBorders>
              <w:top w:val="single" w:sz="8" w:color="0000FF"/>
              <w:bottom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among CMLS, Merger Sub and Legacy Sema4, as amended by</w:t>
            </w: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tcBorders>
              <w:bottom w:val="single" w:sz="8" w:color="0000FF"/>
            </w:tcBorders>
            <w:gridSpan w:val="28"/>
          </w:tcPr>
          <w:p>
            <w:pPr>
              <w:spacing w:after="0" w:line="182" w:lineRule="exact"/>
              <w:rPr>
                <w:sz w:val="20"/>
                <w:szCs w:val="20"/>
                <w:color w:val="auto"/>
              </w:rPr>
            </w:pPr>
            <w:r>
              <w:rPr>
                <w:rFonts w:ascii="Times New Roman" w:cs="Times New Roman" w:eastAsia="Times New Roman" w:hAnsi="Times New Roman"/>
                <w:sz w:val="18"/>
                <w:szCs w:val="18"/>
                <w:color w:val="0000FF"/>
              </w:rPr>
              <w:t>Amendment to Agreement and Plan of Merger dated May 3, 2021.</w:t>
            </w:r>
          </w:p>
        </w:tc>
        <w:tc>
          <w:tcPr>
            <w:tcW w:w="100" w:type="dxa"/>
            <w:vAlign w:val="bottom"/>
            <w:gridSpan w:val="5"/>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Agreement and Plan of Merger and Reorganization, dated as of</w:t>
            </w:r>
          </w:p>
        </w:tc>
        <w:tc>
          <w:tcPr>
            <w:tcW w:w="320" w:type="dxa"/>
            <w:vAlign w:val="bottom"/>
            <w:gridSpan w:val="11"/>
            <w:vMerge w:val="restart"/>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01/18/2022</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0" w:type="dxa"/>
            <w:vAlign w:val="bottom"/>
            <w:tcBorders>
              <w:bottom w:val="single" w:sz="8" w:color="0000FF"/>
            </w:tcBorders>
            <w:gridSpan w:val="22"/>
            <w:vMerge w:val="continue"/>
          </w:tcPr>
          <w:p>
            <w:pPr>
              <w:spacing w:after="0"/>
              <w:rPr>
                <w:sz w:val="16"/>
                <w:szCs w:val="16"/>
                <w:color w:val="auto"/>
              </w:rPr>
            </w:pPr>
          </w:p>
        </w:tc>
        <w:tc>
          <w:tcPr>
            <w:tcW w:w="320" w:type="dxa"/>
            <w:vAlign w:val="bottom"/>
            <w:gridSpan w:val="11"/>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20" w:type="dxa"/>
            <w:vAlign w:val="bottom"/>
            <w:gridSpan w:val="33"/>
          </w:tcPr>
          <w:p>
            <w:pPr>
              <w:spacing w:after="0" w:line="182" w:lineRule="exact"/>
              <w:rPr>
                <w:sz w:val="20"/>
                <w:szCs w:val="20"/>
                <w:color w:val="auto"/>
              </w:rPr>
            </w:pPr>
            <w:r>
              <w:rPr>
                <w:rFonts w:ascii="Times New Roman" w:cs="Times New Roman" w:eastAsia="Times New Roman" w:hAnsi="Times New Roman"/>
                <w:sz w:val="18"/>
                <w:szCs w:val="18"/>
                <w:color w:val="0000FF"/>
              </w:rPr>
              <w:t>January 14, 2022, by and among, Orion Merger Sub I, Inc., Orion</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80" w:type="dxa"/>
            <w:vAlign w:val="bottom"/>
            <w:tcBorders>
              <w:top w:val="single" w:sz="8" w:color="0000FF"/>
            </w:tcBorders>
            <w:gridSpan w:val="26"/>
          </w:tcPr>
          <w:p>
            <w:pPr>
              <w:spacing w:after="0" w:line="182" w:lineRule="exact"/>
              <w:rPr>
                <w:sz w:val="20"/>
                <w:szCs w:val="20"/>
                <w:color w:val="auto"/>
              </w:rPr>
            </w:pPr>
            <w:r>
              <w:rPr>
                <w:rFonts w:ascii="Times New Roman" w:cs="Times New Roman" w:eastAsia="Times New Roman" w:hAnsi="Times New Roman"/>
                <w:sz w:val="18"/>
                <w:szCs w:val="18"/>
                <w:color w:val="0000FF"/>
              </w:rPr>
              <w:t>Merger Sub II, LLC, GeneDx, Inc., GeneDx Holding 2, Inc.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tcBorders>
              <w:top w:val="single" w:sz="8" w:color="0000FF"/>
            </w:tcBorders>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OPKO Health, Inc.</w:t>
            </w: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gridSpan w:val="3"/>
          </w:tcPr>
          <w:p>
            <w:pPr>
              <w:spacing w:after="0"/>
              <w:rPr>
                <w:sz w:val="3"/>
                <w:szCs w:val="3"/>
                <w:color w:val="auto"/>
              </w:rPr>
            </w:pPr>
          </w:p>
        </w:tc>
        <w:tc>
          <w:tcPr>
            <w:tcW w:w="16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9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FF"/>
              </w:rPr>
              <w:t>Amendment to Agreement and Plan of Merger and Reorganization,</w:t>
            </w: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05/02/2022</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tcBorders>
              <w:bottom w:val="single" w:sz="8" w:color="0000FF"/>
            </w:tcBorders>
            <w:gridSpan w:val="3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20" w:type="dxa"/>
            <w:vAlign w:val="bottom"/>
            <w:gridSpan w:val="33"/>
          </w:tcPr>
          <w:p>
            <w:pPr>
              <w:spacing w:after="0" w:line="182" w:lineRule="exact"/>
              <w:rPr>
                <w:sz w:val="20"/>
                <w:szCs w:val="20"/>
                <w:color w:val="auto"/>
              </w:rPr>
            </w:pPr>
            <w:r>
              <w:rPr>
                <w:rFonts w:ascii="Times New Roman" w:cs="Times New Roman" w:eastAsia="Times New Roman" w:hAnsi="Times New Roman"/>
                <w:sz w:val="18"/>
                <w:szCs w:val="18"/>
                <w:color w:val="0000FF"/>
              </w:rPr>
              <w:t>dated as of April 29, 2022, by and among, Sema4 Holdings Corp.,</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20" w:type="dxa"/>
            <w:vAlign w:val="bottom"/>
            <w:tcBorders>
              <w:top w:val="single" w:sz="8" w:color="0000FF"/>
            </w:tcBorders>
            <w:gridSpan w:val="28"/>
          </w:tcPr>
          <w:p>
            <w:pPr>
              <w:spacing w:after="0" w:line="182" w:lineRule="exact"/>
              <w:rPr>
                <w:sz w:val="20"/>
                <w:szCs w:val="20"/>
                <w:color w:val="auto"/>
              </w:rPr>
            </w:pPr>
            <w:r>
              <w:rPr>
                <w:rFonts w:ascii="Times New Roman" w:cs="Times New Roman" w:eastAsia="Times New Roman" w:hAnsi="Times New Roman"/>
                <w:sz w:val="18"/>
                <w:szCs w:val="18"/>
                <w:color w:val="0000FF"/>
              </w:rPr>
              <w:t>Orion Merger Sub I, Inc., Orion Merger Sub II, LLC, GeneDx,</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4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Inc., GeneDx Holding 2, Inc. and OPKO Health, Inc.</w:t>
            </w:r>
          </w:p>
        </w:tc>
        <w:tc>
          <w:tcPr>
            <w:tcW w:w="740" w:type="dxa"/>
            <w:vAlign w:val="bottom"/>
            <w:tcBorders>
              <w:top w:val="single" w:sz="8" w:color="0000FF"/>
            </w:tcBorders>
            <w:gridSpan w:val="10"/>
          </w:tcPr>
          <w:p>
            <w:pPr>
              <w:spacing w:after="0"/>
              <w:rPr>
                <w:sz w:val="19"/>
                <w:szCs w:val="19"/>
                <w:color w:val="auto"/>
              </w:rPr>
            </w:pPr>
          </w:p>
        </w:tc>
        <w:tc>
          <w:tcPr>
            <w:tcW w:w="60" w:type="dxa"/>
            <w:vAlign w:val="bottom"/>
            <w:gridSpan w:val="3"/>
          </w:tcPr>
          <w:p>
            <w:pPr>
              <w:spacing w:after="0"/>
              <w:rPr>
                <w:sz w:val="19"/>
                <w:szCs w:val="19"/>
                <w:color w:val="auto"/>
              </w:rPr>
            </w:pPr>
          </w:p>
        </w:tc>
        <w:tc>
          <w:tcPr>
            <w:tcW w:w="1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9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FF"/>
              </w:rPr>
              <w:t>Third Amended and Restated Certificate of Incorporation of</w:t>
            </w: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07/28/2021</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gridSpan w:val="3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Sema4 Holdings Corp.</w:t>
            </w:r>
          </w:p>
        </w:tc>
        <w:tc>
          <w:tcPr>
            <w:tcW w:w="2720" w:type="dxa"/>
            <w:vAlign w:val="bottom"/>
            <w:tcBorders>
              <w:top w:val="single" w:sz="8" w:color="0000FF"/>
            </w:tcBorders>
            <w:gridSpan w:val="1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4"/>
          </w:tcPr>
          <w:p>
            <w:pPr>
              <w:spacing w:after="0"/>
              <w:rPr>
                <w:sz w:val="20"/>
                <w:szCs w:val="20"/>
                <w:color w:val="auto"/>
              </w:rPr>
            </w:pPr>
          </w:p>
        </w:tc>
        <w:tc>
          <w:tcPr>
            <w:tcW w:w="160" w:type="dxa"/>
            <w:vAlign w:val="bottom"/>
            <w:gridSpan w:val="3"/>
          </w:tcPr>
          <w:p>
            <w:pPr>
              <w:spacing w:after="0"/>
              <w:rPr>
                <w:sz w:val="20"/>
                <w:szCs w:val="20"/>
                <w:color w:val="auto"/>
              </w:rPr>
            </w:pPr>
          </w:p>
        </w:tc>
        <w:tc>
          <w:tcPr>
            <w:tcW w:w="6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9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FF"/>
              </w:rPr>
              <w:t>First Certificate of Amendment of Restated Certificate of</w:t>
            </w: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01/09/2023</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gridSpan w:val="3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8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Incorporation of Sema4 Holdings Corp.</w:t>
            </w:r>
          </w:p>
        </w:tc>
        <w:tc>
          <w:tcPr>
            <w:tcW w:w="1300" w:type="dxa"/>
            <w:vAlign w:val="bottom"/>
            <w:tcBorders>
              <w:top w:val="single" w:sz="8" w:color="0000FF"/>
            </w:tcBorders>
            <w:gridSpan w:val="5"/>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4"/>
          </w:tcPr>
          <w:p>
            <w:pPr>
              <w:spacing w:after="0"/>
              <w:rPr>
                <w:sz w:val="20"/>
                <w:szCs w:val="20"/>
                <w:color w:val="auto"/>
              </w:rPr>
            </w:pPr>
          </w:p>
        </w:tc>
        <w:tc>
          <w:tcPr>
            <w:tcW w:w="160" w:type="dxa"/>
            <w:vAlign w:val="bottom"/>
            <w:gridSpan w:val="3"/>
          </w:tcPr>
          <w:p>
            <w:pPr>
              <w:spacing w:after="0"/>
              <w:rPr>
                <w:sz w:val="20"/>
                <w:szCs w:val="20"/>
                <w:color w:val="auto"/>
              </w:rPr>
            </w:pPr>
          </w:p>
        </w:tc>
        <w:tc>
          <w:tcPr>
            <w:tcW w:w="6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Second Certificate of Amendment to the Third Amended and</w:t>
            </w:r>
          </w:p>
        </w:tc>
        <w:tc>
          <w:tcPr>
            <w:tcW w:w="460" w:type="dxa"/>
            <w:vAlign w:val="bottom"/>
            <w:gridSpan w:val="13"/>
            <w:vMerge w:val="restart"/>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04/17/2023</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60" w:type="dxa"/>
            <w:vAlign w:val="bottom"/>
            <w:tcBorders>
              <w:bottom w:val="single" w:sz="8" w:color="0000FF"/>
            </w:tcBorders>
            <w:gridSpan w:val="20"/>
            <w:vMerge w:val="continue"/>
          </w:tcPr>
          <w:p>
            <w:pPr>
              <w:spacing w:after="0"/>
              <w:rPr>
                <w:sz w:val="16"/>
                <w:szCs w:val="16"/>
                <w:color w:val="auto"/>
              </w:rPr>
            </w:pPr>
          </w:p>
        </w:tc>
        <w:tc>
          <w:tcPr>
            <w:tcW w:w="460" w:type="dxa"/>
            <w:vAlign w:val="bottom"/>
            <w:gridSpan w:val="1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20" w:type="dxa"/>
            <w:vAlign w:val="bottom"/>
            <w:gridSpan w:val="33"/>
          </w:tcPr>
          <w:p>
            <w:pPr>
              <w:spacing w:after="0" w:line="182" w:lineRule="exact"/>
              <w:rPr>
                <w:sz w:val="20"/>
                <w:szCs w:val="20"/>
                <w:color w:val="auto"/>
              </w:rPr>
            </w:pPr>
            <w:r>
              <w:rPr>
                <w:rFonts w:ascii="Times New Roman" w:cs="Times New Roman" w:eastAsia="Times New Roman" w:hAnsi="Times New Roman"/>
                <w:sz w:val="18"/>
                <w:szCs w:val="18"/>
                <w:color w:val="0000FF"/>
              </w:rPr>
              <w:t>Restated Certificate of Incorporation of GeneDx Holdings Corp.</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40" w:type="dxa"/>
            <w:vAlign w:val="bottom"/>
            <w:tcBorders>
              <w:top w:val="single" w:sz="8" w:color="0000FF"/>
            </w:tcBorders>
            <w:gridSpan w:val="24"/>
            <w:vMerge w:val="restart"/>
          </w:tcPr>
          <w:p>
            <w:pPr>
              <w:spacing w:after="0"/>
              <w:rPr>
                <w:sz w:val="20"/>
                <w:szCs w:val="20"/>
                <w:color w:val="auto"/>
              </w:rPr>
            </w:pPr>
            <w:r>
              <w:rPr>
                <w:rFonts w:ascii="Times New Roman" w:cs="Times New Roman" w:eastAsia="Times New Roman" w:hAnsi="Times New Roman"/>
                <w:sz w:val="18"/>
                <w:szCs w:val="18"/>
                <w:color w:val="0000FF"/>
              </w:rPr>
              <w:t>Third Certificate of Amendment to the Third Amended and</w:t>
            </w:r>
          </w:p>
        </w:tc>
        <w:tc>
          <w:tcPr>
            <w:tcW w:w="280" w:type="dxa"/>
            <w:vAlign w:val="bottom"/>
            <w:gridSpan w:val="9"/>
            <w:vMerge w:val="restart"/>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04/28/2023</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40" w:type="dxa"/>
            <w:vAlign w:val="bottom"/>
            <w:gridSpan w:val="24"/>
            <w:vMerge w:val="continue"/>
          </w:tcPr>
          <w:p>
            <w:pPr>
              <w:spacing w:after="0"/>
              <w:rPr>
                <w:sz w:val="16"/>
                <w:szCs w:val="16"/>
                <w:color w:val="auto"/>
              </w:rPr>
            </w:pPr>
          </w:p>
        </w:tc>
        <w:tc>
          <w:tcPr>
            <w:tcW w:w="280" w:type="dxa"/>
            <w:vAlign w:val="bottom"/>
            <w:gridSpan w:val="9"/>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2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Restated Certificate of Incorporation of GeneDx Holdings</w:t>
            </w:r>
          </w:p>
        </w:tc>
        <w:tc>
          <w:tcPr>
            <w:tcW w:w="60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Corp.</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60" w:type="dxa"/>
            <w:vAlign w:val="bottom"/>
            <w:tcBorders>
              <w:top w:val="single" w:sz="8" w:color="0000FF"/>
            </w:tcBorders>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Amended and Restated Bylaws of GeneDx Holdings Corp.</w:t>
            </w:r>
          </w:p>
        </w:tc>
        <w:tc>
          <w:tcPr>
            <w:tcW w:w="380" w:type="dxa"/>
            <w:vAlign w:val="bottom"/>
            <w:tcBorders>
              <w:top w:val="single" w:sz="8" w:color="0000FF"/>
            </w:tcBorders>
            <w:gridSpan w:val="9"/>
            <w:vMerge w:val="restart"/>
          </w:tcPr>
          <w:p>
            <w:pPr>
              <w:spacing w:after="0"/>
              <w:rPr>
                <w:sz w:val="5"/>
                <w:szCs w:val="5"/>
                <w:color w:val="auto"/>
              </w:rPr>
            </w:pPr>
          </w:p>
        </w:tc>
        <w:tc>
          <w:tcPr>
            <w:tcW w:w="280" w:type="dxa"/>
            <w:vAlign w:val="bottom"/>
            <w:gridSpan w:val="9"/>
            <w:vMerge w:val="restart"/>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01/09/2023</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Borders>
              <w:bottom w:val="single" w:sz="8" w:color="0000FF"/>
            </w:tcBorders>
            <w:gridSpan w:val="15"/>
            <w:vMerge w:val="continue"/>
          </w:tcPr>
          <w:p>
            <w:pPr>
              <w:spacing w:after="0"/>
              <w:rPr>
                <w:sz w:val="20"/>
                <w:szCs w:val="20"/>
                <w:color w:val="auto"/>
              </w:rPr>
            </w:pPr>
          </w:p>
        </w:tc>
        <w:tc>
          <w:tcPr>
            <w:tcW w:w="380" w:type="dxa"/>
            <w:vAlign w:val="bottom"/>
            <w:gridSpan w:val="9"/>
            <w:vMerge w:val="continue"/>
          </w:tcPr>
          <w:p>
            <w:pPr>
              <w:spacing w:after="0"/>
              <w:rPr>
                <w:sz w:val="20"/>
                <w:szCs w:val="20"/>
                <w:color w:val="auto"/>
              </w:rPr>
            </w:pPr>
          </w:p>
        </w:tc>
        <w:tc>
          <w:tcPr>
            <w:tcW w:w="280" w:type="dxa"/>
            <w:vAlign w:val="bottom"/>
            <w:gridSpan w:val="9"/>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9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FF"/>
              </w:rPr>
              <w:t>Specimen Class A Common Stock Certificate.</w:t>
            </w: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08/24/2020</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20" w:type="dxa"/>
            <w:vAlign w:val="bottom"/>
            <w:gridSpan w:val="33"/>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340" w:type="dxa"/>
            <w:vAlign w:val="bottom"/>
            <w:tcBorders>
              <w:top w:val="single" w:sz="8" w:color="0000FF"/>
            </w:tcBorders>
            <w:gridSpan w:val="10"/>
            <w:vMerge w:val="restart"/>
          </w:tcPr>
          <w:p>
            <w:pPr>
              <w:spacing w:after="0"/>
              <w:rPr>
                <w:sz w:val="20"/>
                <w:szCs w:val="20"/>
                <w:color w:val="auto"/>
              </w:rPr>
            </w:pPr>
            <w:r>
              <w:rPr>
                <w:rFonts w:ascii="Times New Roman" w:cs="Times New Roman" w:eastAsia="Times New Roman" w:hAnsi="Times New Roman"/>
                <w:sz w:val="18"/>
                <w:szCs w:val="18"/>
                <w:color w:val="0000FF"/>
              </w:rPr>
              <w:t>Specimen Warrant Certificate.</w:t>
            </w:r>
          </w:p>
        </w:tc>
        <w:tc>
          <w:tcPr>
            <w:tcW w:w="1580" w:type="dxa"/>
            <w:vAlign w:val="bottom"/>
            <w:gridSpan w:val="23"/>
            <w:vMerge w:val="restart"/>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08/24/2020</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40" w:type="dxa"/>
            <w:vAlign w:val="bottom"/>
            <w:gridSpan w:val="10"/>
            <w:vMerge w:val="continue"/>
          </w:tcPr>
          <w:p>
            <w:pPr>
              <w:spacing w:after="0"/>
              <w:rPr>
                <w:sz w:val="16"/>
                <w:szCs w:val="16"/>
                <w:color w:val="auto"/>
              </w:rPr>
            </w:pPr>
          </w:p>
        </w:tc>
        <w:tc>
          <w:tcPr>
            <w:tcW w:w="1580" w:type="dxa"/>
            <w:vAlign w:val="bottom"/>
            <w:gridSpan w:val="2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540" w:type="dxa"/>
            <w:vAlign w:val="bottom"/>
            <w:gridSpan w:val="2"/>
            <w:shd w:val="clear" w:color="auto" w:fill="0000FF"/>
          </w:tcPr>
          <w:p>
            <w:pPr>
              <w:spacing w:after="0"/>
              <w:rPr>
                <w:sz w:val="3"/>
                <w:szCs w:val="3"/>
                <w:color w:val="auto"/>
              </w:rPr>
            </w:pPr>
          </w:p>
        </w:tc>
        <w:tc>
          <w:tcPr>
            <w:tcW w:w="580" w:type="dxa"/>
            <w:vAlign w:val="bottom"/>
            <w:gridSpan w:val="2"/>
            <w:shd w:val="clear" w:color="auto" w:fill="0000FF"/>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gridSpan w:val="5"/>
          </w:tcPr>
          <w:p>
            <w:pPr>
              <w:spacing w:after="0"/>
              <w:rPr>
                <w:sz w:val="3"/>
                <w:szCs w:val="3"/>
                <w:color w:val="auto"/>
              </w:rPr>
            </w:pPr>
          </w:p>
        </w:tc>
        <w:tc>
          <w:tcPr>
            <w:tcW w:w="340" w:type="dxa"/>
            <w:vAlign w:val="bottom"/>
            <w:gridSpan w:val="2"/>
          </w:tcPr>
          <w:p>
            <w:pPr>
              <w:spacing w:after="0"/>
              <w:rPr>
                <w:sz w:val="3"/>
                <w:szCs w:val="3"/>
                <w:color w:val="auto"/>
              </w:rPr>
            </w:pPr>
          </w:p>
        </w:tc>
        <w:tc>
          <w:tcPr>
            <w:tcW w:w="200" w:type="dxa"/>
            <w:vAlign w:val="bottom"/>
            <w:gridSpan w:val="4"/>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gridSpan w:val="8"/>
          </w:tcPr>
          <w:p>
            <w:pPr>
              <w:spacing w:after="0"/>
              <w:rPr>
                <w:sz w:val="3"/>
                <w:szCs w:val="3"/>
                <w:color w:val="auto"/>
              </w:rPr>
            </w:pPr>
          </w:p>
        </w:tc>
        <w:tc>
          <w:tcPr>
            <w:tcW w:w="6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3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Warrant Agreement, dated as of September 1, 2020, by and</w:t>
            </w:r>
          </w:p>
        </w:tc>
        <w:tc>
          <w:tcPr>
            <w:tcW w:w="600" w:type="dxa"/>
            <w:vAlign w:val="bottom"/>
            <w:gridSpan w:val="17"/>
            <w:vMerge w:val="restart"/>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09/04/2020</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20" w:type="dxa"/>
            <w:vAlign w:val="bottom"/>
            <w:tcBorders>
              <w:bottom w:val="single" w:sz="8" w:color="0000FF"/>
            </w:tcBorders>
            <w:gridSpan w:val="16"/>
            <w:vMerge w:val="continue"/>
          </w:tcPr>
          <w:p>
            <w:pPr>
              <w:spacing w:after="0"/>
              <w:rPr>
                <w:sz w:val="16"/>
                <w:szCs w:val="16"/>
                <w:color w:val="auto"/>
              </w:rPr>
            </w:pPr>
          </w:p>
        </w:tc>
        <w:tc>
          <w:tcPr>
            <w:tcW w:w="600" w:type="dxa"/>
            <w:vAlign w:val="bottom"/>
            <w:gridSpan w:val="17"/>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20" w:type="dxa"/>
            <w:vAlign w:val="bottom"/>
            <w:gridSpan w:val="33"/>
          </w:tcPr>
          <w:p>
            <w:pPr>
              <w:spacing w:after="0" w:line="182" w:lineRule="exact"/>
              <w:rPr>
                <w:sz w:val="20"/>
                <w:szCs w:val="20"/>
                <w:color w:val="auto"/>
              </w:rPr>
            </w:pPr>
            <w:r>
              <w:rPr>
                <w:rFonts w:ascii="Times New Roman" w:cs="Times New Roman" w:eastAsia="Times New Roman" w:hAnsi="Times New Roman"/>
                <w:sz w:val="18"/>
                <w:szCs w:val="18"/>
                <w:color w:val="0000FF"/>
              </w:rPr>
              <w:t>between CM Life Sciences, Inc. and Continental Stock Transfer &amp;</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60" w:type="dxa"/>
            <w:vAlign w:val="bottom"/>
            <w:tcBorders>
              <w:top w:val="single" w:sz="8" w:color="0000FF"/>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Trust Company, as warrant agent.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540" w:type="dxa"/>
            <w:vAlign w:val="bottom"/>
            <w:gridSpan w:val="2"/>
            <w:shd w:val="clear" w:color="auto" w:fill="0000FF"/>
          </w:tcPr>
          <w:p>
            <w:pPr>
              <w:spacing w:after="0"/>
              <w:rPr>
                <w:sz w:val="3"/>
                <w:szCs w:val="3"/>
                <w:color w:val="auto"/>
              </w:rPr>
            </w:pPr>
          </w:p>
        </w:tc>
        <w:tc>
          <w:tcPr>
            <w:tcW w:w="820" w:type="dxa"/>
            <w:vAlign w:val="bottom"/>
            <w:gridSpan w:val="3"/>
            <w:shd w:val="clear" w:color="auto" w:fill="0000FF"/>
          </w:tcPr>
          <w:p>
            <w:pPr>
              <w:spacing w:after="0"/>
              <w:rPr>
                <w:sz w:val="3"/>
                <w:szCs w:val="3"/>
                <w:color w:val="auto"/>
              </w:rPr>
            </w:pPr>
          </w:p>
        </w:tc>
        <w:tc>
          <w:tcPr>
            <w:tcW w:w="1420" w:type="dxa"/>
            <w:vAlign w:val="bottom"/>
            <w:gridSpan w:val="5"/>
          </w:tcPr>
          <w:p>
            <w:pPr>
              <w:spacing w:after="0"/>
              <w:rPr>
                <w:sz w:val="3"/>
                <w:szCs w:val="3"/>
                <w:color w:val="auto"/>
              </w:rPr>
            </w:pPr>
          </w:p>
        </w:tc>
        <w:tc>
          <w:tcPr>
            <w:tcW w:w="340" w:type="dxa"/>
            <w:vAlign w:val="bottom"/>
            <w:gridSpan w:val="2"/>
          </w:tcPr>
          <w:p>
            <w:pPr>
              <w:spacing w:after="0"/>
              <w:rPr>
                <w:sz w:val="3"/>
                <w:szCs w:val="3"/>
                <w:color w:val="auto"/>
              </w:rPr>
            </w:pPr>
          </w:p>
        </w:tc>
        <w:tc>
          <w:tcPr>
            <w:tcW w:w="200" w:type="dxa"/>
            <w:vAlign w:val="bottom"/>
            <w:gridSpan w:val="4"/>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gridSpan w:val="8"/>
          </w:tcPr>
          <w:p>
            <w:pPr>
              <w:spacing w:after="0"/>
              <w:rPr>
                <w:sz w:val="3"/>
                <w:szCs w:val="3"/>
                <w:color w:val="auto"/>
              </w:rPr>
            </w:pPr>
          </w:p>
        </w:tc>
        <w:tc>
          <w:tcPr>
            <w:tcW w:w="8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9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FF"/>
              </w:rPr>
              <w:t>Warrant to Purchase Stock, dated October 27, 2023, by and among</w:t>
            </w: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10/30/2023</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gridSpan w:val="3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00" w:type="dxa"/>
            <w:vAlign w:val="bottom"/>
            <w:tcBorders>
              <w:top w:val="single" w:sz="8" w:color="0000FF"/>
            </w:tcBorders>
            <w:gridSpan w:val="32"/>
          </w:tcPr>
          <w:p>
            <w:pPr>
              <w:spacing w:after="0" w:line="182" w:lineRule="exact"/>
              <w:rPr>
                <w:sz w:val="20"/>
                <w:szCs w:val="20"/>
                <w:color w:val="auto"/>
              </w:rPr>
            </w:pPr>
            <w:r>
              <w:rPr>
                <w:rFonts w:ascii="Times New Roman" w:cs="Times New Roman" w:eastAsia="Times New Roman" w:hAnsi="Times New Roman"/>
                <w:sz w:val="18"/>
                <w:szCs w:val="18"/>
                <w:color w:val="0000FF"/>
              </w:rPr>
              <w:t>the Company and Perceptive Credit Holdings IV, LP.</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60" w:type="dxa"/>
            <w:vAlign w:val="bottom"/>
            <w:tcBorders>
              <w:top w:val="single" w:sz="8" w:color="0000FF"/>
            </w:tcBorders>
            <w:gridSpan w:val="12"/>
            <w:vMerge w:val="restart"/>
          </w:tcPr>
          <w:p>
            <w:pPr>
              <w:spacing w:after="0"/>
              <w:rPr>
                <w:sz w:val="20"/>
                <w:szCs w:val="20"/>
                <w:color w:val="auto"/>
              </w:rPr>
            </w:pPr>
            <w:r>
              <w:rPr>
                <w:rFonts w:ascii="Times New Roman" w:cs="Times New Roman" w:eastAsia="Times New Roman" w:hAnsi="Times New Roman"/>
                <w:sz w:val="18"/>
                <w:szCs w:val="18"/>
                <w:color w:val="auto"/>
              </w:rPr>
              <w:t>Description of Securities.</w:t>
            </w:r>
          </w:p>
        </w:tc>
        <w:tc>
          <w:tcPr>
            <w:tcW w:w="1060" w:type="dxa"/>
            <w:vAlign w:val="bottom"/>
            <w:gridSpan w:val="21"/>
            <w:vMerge w:val="restart"/>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60" w:type="dxa"/>
            <w:vAlign w:val="bottom"/>
            <w:gridSpan w:val="12"/>
            <w:vMerge w:val="continue"/>
          </w:tcPr>
          <w:p>
            <w:pPr>
              <w:spacing w:after="0"/>
              <w:rPr>
                <w:sz w:val="20"/>
                <w:szCs w:val="20"/>
                <w:color w:val="auto"/>
              </w:rPr>
            </w:pPr>
          </w:p>
        </w:tc>
        <w:tc>
          <w:tcPr>
            <w:tcW w:w="1060" w:type="dxa"/>
            <w:vAlign w:val="bottom"/>
            <w:gridSpan w:val="21"/>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9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FF"/>
              </w:rPr>
              <w:t>Amended and Restated Registration Rights Agreement, dated as of</w:t>
            </w: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07/28/2021</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tcBorders>
              <w:bottom w:val="single" w:sz="8" w:color="0000FF"/>
            </w:tcBorders>
            <w:gridSpan w:val="3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20" w:type="dxa"/>
            <w:vAlign w:val="bottom"/>
            <w:gridSpan w:val="33"/>
          </w:tcPr>
          <w:p>
            <w:pPr>
              <w:spacing w:after="0" w:line="182" w:lineRule="exact"/>
              <w:rPr>
                <w:sz w:val="20"/>
                <w:szCs w:val="20"/>
                <w:color w:val="auto"/>
              </w:rPr>
            </w:pPr>
            <w:r>
              <w:rPr>
                <w:rFonts w:ascii="Times New Roman" w:cs="Times New Roman" w:eastAsia="Times New Roman" w:hAnsi="Times New Roman"/>
                <w:sz w:val="18"/>
                <w:szCs w:val="18"/>
                <w:color w:val="0000FF"/>
              </w:rPr>
              <w:t>July 22, 2021, by and among the Company, certain equity holders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0" w:type="dxa"/>
            <w:vAlign w:val="bottom"/>
            <w:tcBorders>
              <w:top w:val="single" w:sz="8" w:color="0000FF"/>
            </w:tcBorders>
            <w:gridSpan w:val="27"/>
          </w:tcPr>
          <w:p>
            <w:pPr>
              <w:spacing w:after="0" w:line="182" w:lineRule="exact"/>
              <w:rPr>
                <w:sz w:val="20"/>
                <w:szCs w:val="20"/>
                <w:color w:val="auto"/>
              </w:rPr>
            </w:pPr>
            <w:r>
              <w:rPr>
                <w:rFonts w:ascii="Times New Roman" w:cs="Times New Roman" w:eastAsia="Times New Roman" w:hAnsi="Times New Roman"/>
                <w:sz w:val="18"/>
                <w:szCs w:val="18"/>
                <w:color w:val="0000FF"/>
              </w:rPr>
              <w:t>of the Company named therein and certain equity holders of</w:t>
            </w: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Sema4 named therein.</w:t>
            </w:r>
          </w:p>
        </w:tc>
        <w:tc>
          <w:tcPr>
            <w:tcW w:w="2780" w:type="dxa"/>
            <w:vAlign w:val="bottom"/>
            <w:tcBorders>
              <w:top w:val="single" w:sz="8" w:color="0000FF"/>
            </w:tcBorders>
            <w:gridSpan w:val="14"/>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1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Form Director of and Officer Indemnification Agreement.</w:t>
            </w:r>
          </w:p>
        </w:tc>
        <w:tc>
          <w:tcPr>
            <w:tcW w:w="720" w:type="dxa"/>
            <w:vAlign w:val="bottom"/>
            <w:gridSpan w:val="19"/>
            <w:vMerge w:val="restart"/>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07/28/2021</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0" w:type="dxa"/>
            <w:vAlign w:val="bottom"/>
            <w:tcBorders>
              <w:bottom w:val="single" w:sz="8" w:color="0000FF"/>
            </w:tcBorders>
            <w:gridSpan w:val="14"/>
            <w:vMerge w:val="continue"/>
          </w:tcPr>
          <w:p>
            <w:pPr>
              <w:spacing w:after="0"/>
              <w:rPr>
                <w:sz w:val="20"/>
                <w:szCs w:val="20"/>
                <w:color w:val="auto"/>
              </w:rPr>
            </w:pPr>
          </w:p>
        </w:tc>
        <w:tc>
          <w:tcPr>
            <w:tcW w:w="720" w:type="dxa"/>
            <w:vAlign w:val="bottom"/>
            <w:gridSpan w:val="19"/>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9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FF"/>
              </w:rPr>
              <w:t>GeneDx Holdings Corp. Amended and Restated 2021 Equity</w:t>
            </w: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04/17/2023</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gridSpan w:val="3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4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Incentive Plan.</w:t>
            </w:r>
          </w:p>
        </w:tc>
        <w:tc>
          <w:tcPr>
            <w:tcW w:w="440" w:type="dxa"/>
            <w:vAlign w:val="bottom"/>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shd w:val="clear" w:color="auto" w:fill="0000FF"/>
          </w:tcPr>
          <w:p>
            <w:pPr>
              <w:spacing w:after="0"/>
              <w:rPr>
                <w:sz w:val="4"/>
                <w:szCs w:val="4"/>
                <w:color w:val="auto"/>
              </w:rPr>
            </w:pPr>
          </w:p>
        </w:tc>
        <w:tc>
          <w:tcPr>
            <w:tcW w:w="700" w:type="dxa"/>
            <w:vAlign w:val="bottom"/>
            <w:shd w:val="clear" w:color="auto" w:fill="0000FF"/>
          </w:tcPr>
          <w:p>
            <w:pPr>
              <w:spacing w:after="0"/>
              <w:rPr>
                <w:sz w:val="4"/>
                <w:szCs w:val="4"/>
                <w:color w:val="auto"/>
              </w:rPr>
            </w:pPr>
          </w:p>
        </w:tc>
        <w:tc>
          <w:tcPr>
            <w:tcW w:w="3800" w:type="dxa"/>
            <w:vAlign w:val="bottom"/>
            <w:gridSpan w:val="29"/>
          </w:tcPr>
          <w:p>
            <w:pPr>
              <w:spacing w:after="0"/>
              <w:rPr>
                <w:sz w:val="4"/>
                <w:szCs w:val="4"/>
                <w:color w:val="auto"/>
              </w:rPr>
            </w:pPr>
          </w:p>
        </w:tc>
        <w:tc>
          <w:tcPr>
            <w:tcW w:w="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9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FF"/>
              </w:rPr>
              <w:t>Form of Stock Option Agreement under the 2021 Equity Incentive</w:t>
            </w:r>
          </w:p>
        </w:tc>
        <w:tc>
          <w:tcPr>
            <w:tcW w:w="6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07/28/2021</w:t>
            </w: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gridSpan w:val="3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80" w:type="dxa"/>
            <w:vAlign w:val="bottom"/>
            <w:tcBorders>
              <w:top w:val="single" w:sz="8" w:color="0000FF"/>
            </w:tcBorders>
            <w:gridSpan w:val="31"/>
          </w:tcPr>
          <w:p>
            <w:pPr>
              <w:spacing w:after="0" w:line="182" w:lineRule="exact"/>
              <w:rPr>
                <w:sz w:val="20"/>
                <w:szCs w:val="20"/>
                <w:color w:val="auto"/>
              </w:rPr>
            </w:pPr>
            <w:r>
              <w:rPr>
                <w:rFonts w:ascii="Times New Roman" w:cs="Times New Roman" w:eastAsia="Times New Roman" w:hAnsi="Times New Roman"/>
                <w:sz w:val="18"/>
                <w:szCs w:val="18"/>
                <w:color w:val="0000FF"/>
              </w:rPr>
              <w:t>Plan.</w:t>
            </w: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208" w:right="1080" w:bottom="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080"/>
          </w:cols>
          <w:pgMar w:left="1080" w:top="208" w:right="108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280670</wp:posOffset>
            </wp:positionV>
            <wp:extent cx="6426200" cy="892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9">
                      <a:extLst>
                        <a:ext uri="{28A0092B-C50C-407E-A947-70E740481C1C}"/>
                      </a:extLst>
                    </a:blip>
                    <a:srcRect/>
                    <a:stretch>
                      <a:fillRect/>
                    </a:stretch>
                  </pic:blipFill>
                  <pic:spPr bwMode="auto">
                    <a:xfrm>
                      <a:off x="0" y="0"/>
                      <a:ext cx="6426200" cy="892810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10.5*</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Form of RSU Agreement under the 2021 Equity Incentive Plan.</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295"/>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10.6*</w:t>
            </w:r>
          </w:p>
        </w:tc>
        <w:tc>
          <w:tcPr>
            <w:tcW w:w="26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Form of Earn-Out RSU Agreement.</w:t>
            </w:r>
          </w:p>
        </w:tc>
        <w:tc>
          <w:tcPr>
            <w:tcW w:w="2000" w:type="dxa"/>
            <w:vAlign w:val="bottom"/>
            <w:tcBorders>
              <w:top w:val="single" w:sz="8" w:color="0000FF"/>
            </w:tcBorders>
            <w:gridSpan w:val="18"/>
          </w:tcPr>
          <w:p>
            <w:pPr>
              <w:spacing w:after="0"/>
              <w:rPr>
                <w:sz w:val="24"/>
                <w:szCs w:val="24"/>
                <w:color w:val="auto"/>
              </w:rPr>
            </w:pPr>
          </w:p>
        </w:tc>
        <w:tc>
          <w:tcPr>
            <w:tcW w:w="28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295"/>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10.7*</w:t>
            </w:r>
          </w:p>
        </w:tc>
        <w:tc>
          <w:tcPr>
            <w:tcW w:w="2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2021 Employee Stock Purchase Plan.</w:t>
            </w:r>
          </w:p>
        </w:tc>
        <w:tc>
          <w:tcPr>
            <w:tcW w:w="2160" w:type="dxa"/>
            <w:vAlign w:val="bottom"/>
            <w:gridSpan w:val="29"/>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295"/>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10.8*</w:t>
            </w:r>
          </w:p>
        </w:tc>
        <w:tc>
          <w:tcPr>
            <w:tcW w:w="4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GeneDx Holdings Corp. 2023 Equity Inducement Plan.</w:t>
            </w:r>
          </w:p>
        </w:tc>
        <w:tc>
          <w:tcPr>
            <w:tcW w:w="880" w:type="dxa"/>
            <w:vAlign w:val="bottom"/>
            <w:gridSpan w:val="23"/>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07/24/2023</w:t>
            </w:r>
          </w:p>
        </w:tc>
      </w:tr>
      <w:tr>
        <w:trPr>
          <w:trHeight w:val="295"/>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10.9*</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Form of Option Award Agreement under the 2023 Equity</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07/24/2023</w:t>
            </w:r>
          </w:p>
        </w:tc>
      </w:tr>
      <w:tr>
        <w:trPr>
          <w:trHeight w:val="182"/>
        </w:trPr>
        <w:tc>
          <w:tcPr>
            <w:tcW w:w="740" w:type="dxa"/>
            <w:vAlign w:val="bottom"/>
          </w:tcPr>
          <w:p>
            <w:pPr>
              <w:spacing w:after="0"/>
              <w:rPr>
                <w:sz w:val="15"/>
                <w:szCs w:val="15"/>
                <w:color w:val="auto"/>
              </w:rPr>
            </w:pPr>
          </w:p>
        </w:tc>
        <w:tc>
          <w:tcPr>
            <w:tcW w:w="420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Inducement Plan.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10.10*</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under the 2023</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07/24/2023</w:t>
            </w:r>
          </w:p>
        </w:tc>
      </w:tr>
      <w:tr>
        <w:trPr>
          <w:trHeight w:val="182"/>
        </w:trPr>
        <w:tc>
          <w:tcPr>
            <w:tcW w:w="740" w:type="dxa"/>
            <w:vAlign w:val="bottom"/>
          </w:tcPr>
          <w:p>
            <w:pPr>
              <w:spacing w:after="0"/>
              <w:rPr>
                <w:sz w:val="15"/>
                <w:szCs w:val="15"/>
                <w:color w:val="auto"/>
              </w:rPr>
            </w:pPr>
          </w:p>
        </w:tc>
        <w:tc>
          <w:tcPr>
            <w:tcW w:w="180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Equity Inducement Plan.</w:t>
            </w:r>
          </w:p>
        </w:tc>
        <w:tc>
          <w:tcPr>
            <w:tcW w:w="2960" w:type="dxa"/>
            <w:vAlign w:val="bottom"/>
            <w:tcBorders>
              <w:top w:val="single" w:sz="8" w:color="0000FF"/>
            </w:tcBorders>
            <w:gridSpan w:val="2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10.11</w:t>
            </w:r>
          </w:p>
        </w:tc>
        <w:tc>
          <w:tcPr>
            <w:tcW w:w="4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Sub-Sublease, dated as of June 6, 2017, by and between Icahn</w:t>
            </w:r>
          </w:p>
        </w:tc>
        <w:tc>
          <w:tcPr>
            <w:tcW w:w="360" w:type="dxa"/>
            <w:vAlign w:val="bottom"/>
            <w:gridSpan w:val="17"/>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880" w:type="dxa"/>
            <w:vAlign w:val="bottom"/>
            <w:gridSpan w:val="41"/>
          </w:tcPr>
          <w:p>
            <w:pPr>
              <w:spacing w:after="0" w:line="182" w:lineRule="exact"/>
              <w:rPr>
                <w:sz w:val="20"/>
                <w:szCs w:val="20"/>
                <w:color w:val="auto"/>
              </w:rPr>
            </w:pPr>
            <w:r>
              <w:rPr>
                <w:rFonts w:ascii="Times New Roman" w:cs="Times New Roman" w:eastAsia="Times New Roman" w:hAnsi="Times New Roman"/>
                <w:sz w:val="18"/>
                <w:szCs w:val="18"/>
                <w:color w:val="0000FF"/>
              </w:rPr>
              <w:t>School of Medicine at Mount Sinai and the Company, as amended</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4840" w:type="dxa"/>
            <w:vAlign w:val="bottom"/>
            <w:tcBorders>
              <w:top w:val="single" w:sz="8" w:color="0000FF"/>
            </w:tcBorders>
            <w:gridSpan w:val="38"/>
          </w:tcPr>
          <w:p>
            <w:pPr>
              <w:spacing w:after="0" w:line="182" w:lineRule="exact"/>
              <w:rPr>
                <w:sz w:val="20"/>
                <w:szCs w:val="20"/>
                <w:color w:val="auto"/>
              </w:rPr>
            </w:pPr>
            <w:r>
              <w:rPr>
                <w:rFonts w:ascii="Times New Roman" w:cs="Times New Roman" w:eastAsia="Times New Roman" w:hAnsi="Times New Roman"/>
                <w:sz w:val="18"/>
                <w:szCs w:val="18"/>
                <w:color w:val="0000FF"/>
              </w:rPr>
              <w:t>July 31, 2019.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9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10.12</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Sublease Agreement, dated as of November 8, 2019, by and</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360" w:type="dxa"/>
            <w:vAlign w:val="bottom"/>
            <w:tcBorders>
              <w:top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between Marriott International, Inc. and the Company.</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10.13</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Sublease, dated as of June 1, 2017, by and between Icahn School</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720" w:type="dxa"/>
            <w:vAlign w:val="bottom"/>
            <w:tcBorders>
              <w:top w:val="single" w:sz="8" w:color="0000FF"/>
            </w:tcBorders>
            <w:gridSpan w:val="31"/>
          </w:tcPr>
          <w:p>
            <w:pPr>
              <w:spacing w:after="0" w:line="182" w:lineRule="exact"/>
              <w:rPr>
                <w:sz w:val="20"/>
                <w:szCs w:val="20"/>
                <w:color w:val="auto"/>
              </w:rPr>
            </w:pPr>
            <w:r>
              <w:rPr>
                <w:rFonts w:ascii="Times New Roman" w:cs="Times New Roman" w:eastAsia="Times New Roman" w:hAnsi="Times New Roman"/>
                <w:sz w:val="18"/>
                <w:szCs w:val="18"/>
                <w:color w:val="0000FF"/>
              </w:rPr>
              <w:t>of Medicine at Mount Sinai and the Company, as amended</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430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December 22, 2017.</w:t>
            </w: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9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10.14</w:t>
            </w:r>
          </w:p>
        </w:tc>
        <w:tc>
          <w:tcPr>
            <w:tcW w:w="488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rPr>
              <w:t>Sublease, dated as of April 23, 2019, by and between Icahn School</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3360" w:type="dxa"/>
            <w:vAlign w:val="bottom"/>
            <w:tcBorders>
              <w:bottom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9"/>
              </w:rPr>
              <w:t>of Medicine at Mount Sinai and the Company.</w:t>
            </w:r>
          </w:p>
        </w:tc>
        <w:tc>
          <w:tcPr>
            <w:tcW w:w="1520" w:type="dxa"/>
            <w:vAlign w:val="bottom"/>
            <w:gridSpan w:val="27"/>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10.15</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Lease Agreement, dated as of January 31, 2020, by and between 1</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820" w:type="dxa"/>
            <w:vAlign w:val="bottom"/>
            <w:tcBorders>
              <w:top w:val="single" w:sz="8" w:color="0000FF"/>
            </w:tcBorders>
            <w:gridSpan w:val="37"/>
          </w:tcPr>
          <w:p>
            <w:pPr>
              <w:spacing w:after="0" w:line="182" w:lineRule="exact"/>
              <w:rPr>
                <w:sz w:val="20"/>
                <w:szCs w:val="20"/>
                <w:color w:val="auto"/>
              </w:rPr>
            </w:pPr>
            <w:r>
              <w:rPr>
                <w:rFonts w:ascii="Times New Roman" w:cs="Times New Roman" w:eastAsia="Times New Roman" w:hAnsi="Times New Roman"/>
                <w:sz w:val="18"/>
                <w:szCs w:val="18"/>
                <w:color w:val="0000FF"/>
              </w:rPr>
              <w:t>Commercial Street Associates, LLC and the Company.</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10.16#</w:t>
            </w:r>
          </w:p>
        </w:tc>
        <w:tc>
          <w:tcPr>
            <w:tcW w:w="45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Master Services Agreement, dated as of April 2, 2018, by and</w:t>
            </w:r>
          </w:p>
        </w:tc>
        <w:tc>
          <w:tcPr>
            <w:tcW w:w="380" w:type="dxa"/>
            <w:vAlign w:val="bottom"/>
            <w:gridSpan w:val="18"/>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680" w:type="dxa"/>
            <w:vAlign w:val="bottom"/>
            <w:tcBorders>
              <w:bottom w:val="single" w:sz="8" w:color="0000FF"/>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among the Company, Icahn School of Medicine at Mount Sinai,</w:t>
            </w:r>
          </w:p>
        </w:tc>
        <w:tc>
          <w:tcPr>
            <w:tcW w:w="200" w:type="dxa"/>
            <w:vAlign w:val="bottom"/>
            <w:gridSpan w:val="11"/>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4880" w:type="dxa"/>
            <w:vAlign w:val="bottom"/>
            <w:tcBorders>
              <w:bottom w:val="single" w:sz="8" w:color="0000FF"/>
            </w:tcBorders>
            <w:gridSpan w:val="41"/>
          </w:tcPr>
          <w:p>
            <w:pPr>
              <w:spacing w:after="0" w:line="182" w:lineRule="exact"/>
              <w:rPr>
                <w:sz w:val="20"/>
                <w:szCs w:val="20"/>
                <w:color w:val="auto"/>
              </w:rPr>
            </w:pPr>
            <w:r>
              <w:rPr>
                <w:rFonts w:ascii="Times New Roman" w:cs="Times New Roman" w:eastAsia="Times New Roman" w:hAnsi="Times New Roman"/>
                <w:sz w:val="18"/>
                <w:szCs w:val="18"/>
                <w:color w:val="0000FF"/>
              </w:rPr>
              <w:t>The Mount Sinai Hospital, and the parties thereto, as amended July</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68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7"/>
              </w:rPr>
              <w:t>31, 2019.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0"/>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10.17#</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Master Services Agreement, dated as of May 10, 2018, by and</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25"/>
          </w:tcPr>
          <w:p>
            <w:pPr>
              <w:spacing w:after="0" w:line="182" w:lineRule="exact"/>
              <w:rPr>
                <w:sz w:val="20"/>
                <w:szCs w:val="20"/>
                <w:color w:val="auto"/>
              </w:rPr>
            </w:pPr>
            <w:r>
              <w:rPr>
                <w:rFonts w:ascii="Times New Roman" w:cs="Times New Roman" w:eastAsia="Times New Roman" w:hAnsi="Times New Roman"/>
                <w:sz w:val="18"/>
                <w:szCs w:val="18"/>
                <w:color w:val="0000FF"/>
                <w:w w:val="99"/>
              </w:rPr>
              <w:t>between the Company and Icahn School of Medicine at Mount</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238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Sinai, as amended July 31, 2019.</w:t>
            </w:r>
          </w:p>
        </w:tc>
        <w:tc>
          <w:tcPr>
            <w:tcW w:w="2200" w:type="dxa"/>
            <w:vAlign w:val="bottom"/>
            <w:gridSpan w:val="18"/>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10.18#</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Data Structuring and Curation Agreement, dated as of August 1,</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680" w:type="dxa"/>
            <w:vAlign w:val="bottom"/>
            <w:tcBorders>
              <w:top w:val="single" w:sz="8" w:color="0000FF"/>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2019, by and between Icahn School of Medicine at Mount Sinai</w:t>
            </w: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4660" w:type="dxa"/>
            <w:vAlign w:val="bottom"/>
            <w:tcBorders>
              <w:top w:val="single" w:sz="8" w:color="0000FF"/>
            </w:tcBorders>
            <w:gridSpan w:val="29"/>
          </w:tcPr>
          <w:p>
            <w:pPr>
              <w:spacing w:after="0" w:line="182" w:lineRule="exact"/>
              <w:rPr>
                <w:sz w:val="20"/>
                <w:szCs w:val="20"/>
                <w:color w:val="auto"/>
              </w:rPr>
            </w:pPr>
            <w:r>
              <w:rPr>
                <w:rFonts w:ascii="Times New Roman" w:cs="Times New Roman" w:eastAsia="Times New Roman" w:hAnsi="Times New Roman"/>
                <w:sz w:val="18"/>
                <w:szCs w:val="18"/>
                <w:color w:val="0000FF"/>
              </w:rPr>
              <w:t>and the Company, as amended March 11, 2020.</w:t>
            </w: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9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10.19#</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BioMe Biospecimen and Data Access Agreement, dated as of July</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860" w:type="dxa"/>
            <w:vAlign w:val="bottom"/>
            <w:tcBorders>
              <w:top w:val="single" w:sz="8" w:color="0000FF"/>
            </w:tcBorders>
            <w:gridSpan w:val="39"/>
          </w:tcPr>
          <w:p>
            <w:pPr>
              <w:spacing w:after="0" w:line="182" w:lineRule="exact"/>
              <w:rPr>
                <w:sz w:val="20"/>
                <w:szCs w:val="20"/>
                <w:color w:val="auto"/>
              </w:rPr>
            </w:pPr>
            <w:r>
              <w:rPr>
                <w:rFonts w:ascii="Times New Roman" w:cs="Times New Roman" w:eastAsia="Times New Roman" w:hAnsi="Times New Roman"/>
                <w:sz w:val="18"/>
                <w:szCs w:val="18"/>
                <w:color w:val="0000FF"/>
              </w:rPr>
              <w:t>19, 2019, by and between Icahn School of Medicine at Mount</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Sinai and the Company.</w:t>
            </w:r>
          </w:p>
        </w:tc>
        <w:tc>
          <w:tcPr>
            <w:tcW w:w="276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10.20#</w:t>
            </w:r>
          </w:p>
        </w:tc>
        <w:tc>
          <w:tcPr>
            <w:tcW w:w="45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Non-Exclusive Patent License Agreement, dated as of June 1,</w:t>
            </w:r>
          </w:p>
        </w:tc>
        <w:tc>
          <w:tcPr>
            <w:tcW w:w="380" w:type="dxa"/>
            <w:vAlign w:val="bottom"/>
            <w:gridSpan w:val="18"/>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880" w:type="dxa"/>
            <w:vAlign w:val="bottom"/>
            <w:gridSpan w:val="41"/>
          </w:tcPr>
          <w:p>
            <w:pPr>
              <w:spacing w:after="0" w:line="182" w:lineRule="exact"/>
              <w:rPr>
                <w:sz w:val="20"/>
                <w:szCs w:val="20"/>
                <w:color w:val="auto"/>
              </w:rPr>
            </w:pPr>
            <w:r>
              <w:rPr>
                <w:rFonts w:ascii="Times New Roman" w:cs="Times New Roman" w:eastAsia="Times New Roman" w:hAnsi="Times New Roman"/>
                <w:sz w:val="18"/>
                <w:szCs w:val="18"/>
                <w:color w:val="0000FF"/>
              </w:rPr>
              <w:t>2017, by and between the Company and Icahn School of Medicine</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4880" w:type="dxa"/>
            <w:vAlign w:val="bottom"/>
            <w:tcBorders>
              <w:top w:val="single" w:sz="8" w:color="0000FF"/>
            </w:tcBorders>
            <w:gridSpan w:val="40"/>
          </w:tcPr>
          <w:p>
            <w:pPr>
              <w:spacing w:after="0" w:line="182" w:lineRule="exact"/>
              <w:rPr>
                <w:sz w:val="20"/>
                <w:szCs w:val="20"/>
                <w:color w:val="auto"/>
              </w:rPr>
            </w:pPr>
            <w:r>
              <w:rPr>
                <w:rFonts w:ascii="Times New Roman" w:cs="Times New Roman" w:eastAsia="Times New Roman" w:hAnsi="Times New Roman"/>
                <w:sz w:val="18"/>
                <w:szCs w:val="18"/>
                <w:color w:val="0000FF"/>
              </w:rPr>
              <w:t>at Mount Sinai.</w:t>
            </w: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9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10.21#</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Supply Agreement, dated as of June 20, 2014, by and between the</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40" w:type="dxa"/>
            <w:vAlign w:val="bottom"/>
          </w:tcPr>
          <w:p>
            <w:pPr>
              <w:spacing w:after="0"/>
              <w:rPr>
                <w:sz w:val="15"/>
                <w:szCs w:val="15"/>
                <w:color w:val="auto"/>
              </w:rPr>
            </w:pPr>
          </w:p>
        </w:tc>
        <w:tc>
          <w:tcPr>
            <w:tcW w:w="4820" w:type="dxa"/>
            <w:vAlign w:val="bottom"/>
            <w:tcBorders>
              <w:top w:val="single" w:sz="8" w:color="0000FF"/>
            </w:tcBorders>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Company and Illumina, Inc., and amendments thereto.</w:t>
            </w:r>
          </w:p>
        </w:tc>
        <w:tc>
          <w:tcPr>
            <w:tcW w:w="0" w:type="dxa"/>
            <w:vAlign w:val="bottom"/>
          </w:tcPr>
          <w:p>
            <w:pPr>
              <w:spacing w:after="0"/>
              <w:rPr>
                <w:sz w:val="15"/>
                <w:szCs w:val="15"/>
                <w:color w:val="auto"/>
              </w:rPr>
            </w:pPr>
          </w:p>
        </w:tc>
        <w:tc>
          <w:tcPr>
            <w:tcW w:w="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10.22*</w:t>
            </w:r>
          </w:p>
        </w:tc>
        <w:tc>
          <w:tcPr>
            <w:tcW w:w="488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rPr>
              <w:t>Mount  Sinai  Genomics,  Inc.  2017  Equity  Incentive  Plan,  as</w:t>
            </w:r>
          </w:p>
        </w:tc>
        <w:tc>
          <w:tcPr>
            <w:tcW w:w="40" w:type="dxa"/>
            <w:vAlign w:val="bottom"/>
            <w:tcBorders>
              <w:bottom w:val="single" w:sz="8" w:color="0000FF"/>
            </w:tcBorders>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99.6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09/27/2021</w:t>
            </w:r>
          </w:p>
        </w:tc>
      </w:tr>
      <w:tr>
        <w:trPr>
          <w:trHeight w:val="182"/>
        </w:trPr>
        <w:tc>
          <w:tcPr>
            <w:tcW w:w="740" w:type="dxa"/>
            <w:vAlign w:val="bottom"/>
          </w:tcPr>
          <w:p>
            <w:pPr>
              <w:spacing w:after="0"/>
              <w:rPr>
                <w:sz w:val="15"/>
                <w:szCs w:val="15"/>
                <w:color w:val="auto"/>
              </w:rPr>
            </w:pPr>
          </w:p>
        </w:tc>
        <w:tc>
          <w:tcPr>
            <w:tcW w:w="3920" w:type="dxa"/>
            <w:vAlign w:val="bottom"/>
            <w:tcBorders>
              <w:bottom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amended, and forms of equity agreements thereunder.</w:t>
            </w:r>
          </w:p>
        </w:tc>
        <w:tc>
          <w:tcPr>
            <w:tcW w:w="960" w:type="dxa"/>
            <w:vAlign w:val="bottom"/>
            <w:gridSpan w:val="25"/>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10.23</w:t>
            </w:r>
          </w:p>
        </w:tc>
        <w:tc>
          <w:tcPr>
            <w:tcW w:w="488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rPr>
              <w:t>Loan and Security Agreement, dated as of November 15, 2021,</w:t>
            </w:r>
          </w:p>
        </w:tc>
        <w:tc>
          <w:tcPr>
            <w:tcW w:w="40" w:type="dxa"/>
            <w:vAlign w:val="bottom"/>
            <w:tcBorders>
              <w:bottom w:val="single" w:sz="8" w:color="0000FF"/>
            </w:tcBorders>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11/15/2021</w:t>
            </w:r>
          </w:p>
        </w:tc>
      </w:tr>
      <w:tr>
        <w:trPr>
          <w:trHeight w:val="182"/>
        </w:trPr>
        <w:tc>
          <w:tcPr>
            <w:tcW w:w="740" w:type="dxa"/>
            <w:vAlign w:val="bottom"/>
          </w:tcPr>
          <w:p>
            <w:pPr>
              <w:spacing w:after="0"/>
              <w:rPr>
                <w:sz w:val="15"/>
                <w:szCs w:val="15"/>
                <w:color w:val="auto"/>
              </w:rPr>
            </w:pPr>
          </w:p>
        </w:tc>
        <w:tc>
          <w:tcPr>
            <w:tcW w:w="4880" w:type="dxa"/>
            <w:vAlign w:val="bottom"/>
            <w:tcBorders>
              <w:bottom w:val="single" w:sz="8" w:color="0000FF"/>
            </w:tcBorders>
            <w:gridSpan w:val="41"/>
          </w:tcPr>
          <w:p>
            <w:pPr>
              <w:spacing w:after="0" w:line="182" w:lineRule="exact"/>
              <w:rPr>
                <w:sz w:val="20"/>
                <w:szCs w:val="20"/>
                <w:color w:val="auto"/>
              </w:rPr>
            </w:pPr>
            <w:r>
              <w:rPr>
                <w:rFonts w:ascii="Times New Roman" w:cs="Times New Roman" w:eastAsia="Times New Roman" w:hAnsi="Times New Roman"/>
                <w:sz w:val="18"/>
                <w:szCs w:val="18"/>
                <w:color w:val="0000FF"/>
              </w:rPr>
              <w:t>between Silicon Valley Bank, the Company and Sema4 OpCo, Inc.</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10.24</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Subscription Agreement, dated as of February 9, 2021, by and</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02/11/2021</w:t>
            </w:r>
          </w:p>
        </w:tc>
      </w:tr>
      <w:tr>
        <w:trPr>
          <w:trHeight w:val="182"/>
        </w:trPr>
        <w:tc>
          <w:tcPr>
            <w:tcW w:w="74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9"/>
              </w:rPr>
              <w:t>among the Company and the subscriber parties thereto.</w:t>
            </w:r>
          </w:p>
        </w:tc>
        <w:tc>
          <w:tcPr>
            <w:tcW w:w="540" w:type="dxa"/>
            <w:vAlign w:val="bottom"/>
            <w:tcBorders>
              <w:top w:val="single" w:sz="8" w:color="0000FF"/>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10.25</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Form of Subscription Agreement, dated as of January 14, 2022 by</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01/18/2022</w:t>
            </w:r>
          </w:p>
        </w:tc>
      </w:tr>
      <w:tr>
        <w:trPr>
          <w:trHeight w:val="182"/>
        </w:trPr>
        <w:tc>
          <w:tcPr>
            <w:tcW w:w="740" w:type="dxa"/>
            <w:vAlign w:val="bottom"/>
          </w:tcPr>
          <w:p>
            <w:pPr>
              <w:spacing w:after="0"/>
              <w:rPr>
                <w:sz w:val="15"/>
                <w:szCs w:val="15"/>
                <w:color w:val="auto"/>
              </w:rPr>
            </w:pPr>
          </w:p>
        </w:tc>
        <w:tc>
          <w:tcPr>
            <w:tcW w:w="4820" w:type="dxa"/>
            <w:vAlign w:val="bottom"/>
            <w:tcBorders>
              <w:top w:val="single" w:sz="8" w:color="0000FF"/>
            </w:tcBorders>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and among the Company and the subscriber parties thereto.</w:t>
            </w:r>
          </w:p>
        </w:tc>
        <w:tc>
          <w:tcPr>
            <w:tcW w:w="0" w:type="dxa"/>
            <w:vAlign w:val="bottom"/>
          </w:tcPr>
          <w:p>
            <w:pPr>
              <w:spacing w:after="0"/>
              <w:rPr>
                <w:sz w:val="15"/>
                <w:szCs w:val="15"/>
                <w:color w:val="auto"/>
              </w:rPr>
            </w:pPr>
          </w:p>
        </w:tc>
        <w:tc>
          <w:tcPr>
            <w:tcW w:w="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7"/>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10.26</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Form of Shareholder Agreement, dated as of January 14, 2022 by</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01/18/2022</w:t>
            </w:r>
          </w:p>
        </w:tc>
      </w:tr>
      <w:tr>
        <w:trPr>
          <w:trHeight w:val="182"/>
        </w:trPr>
        <w:tc>
          <w:tcPr>
            <w:tcW w:w="740" w:type="dxa"/>
            <w:vAlign w:val="bottom"/>
          </w:tcPr>
          <w:p>
            <w:pPr>
              <w:spacing w:after="0"/>
              <w:rPr>
                <w:sz w:val="15"/>
                <w:szCs w:val="15"/>
                <w:color w:val="auto"/>
              </w:rPr>
            </w:pPr>
          </w:p>
        </w:tc>
        <w:tc>
          <w:tcPr>
            <w:tcW w:w="4780" w:type="dxa"/>
            <w:vAlign w:val="bottom"/>
            <w:tcBorders>
              <w:top w:val="single" w:sz="8" w:color="0000FF"/>
            </w:tcBorders>
            <w:gridSpan w:val="34"/>
          </w:tcPr>
          <w:p>
            <w:pPr>
              <w:spacing w:after="0" w:line="182" w:lineRule="exact"/>
              <w:rPr>
                <w:sz w:val="20"/>
                <w:szCs w:val="20"/>
                <w:color w:val="auto"/>
              </w:rPr>
            </w:pPr>
            <w:r>
              <w:rPr>
                <w:rFonts w:ascii="Times New Roman" w:cs="Times New Roman" w:eastAsia="Times New Roman" w:hAnsi="Times New Roman"/>
                <w:sz w:val="18"/>
                <w:szCs w:val="18"/>
                <w:color w:val="0000FF"/>
              </w:rPr>
              <w:t>and among the Company and the stockholder parties identified</w:t>
            </w: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therein.</w:t>
            </w:r>
          </w:p>
        </w:tc>
        <w:tc>
          <w:tcPr>
            <w:tcW w:w="4000" w:type="dxa"/>
            <w:vAlign w:val="bottom"/>
            <w:tcBorders>
              <w:top w:val="single" w:sz="8" w:color="0000FF"/>
            </w:tcBorders>
            <w:gridSpan w:val="25"/>
          </w:tcPr>
          <w:p>
            <w:pPr>
              <w:spacing w:after="0"/>
              <w:rPr>
                <w:sz w:val="15"/>
                <w:szCs w:val="15"/>
                <w:color w:val="auto"/>
              </w:rPr>
            </w:pPr>
          </w:p>
        </w:tc>
        <w:tc>
          <w:tcPr>
            <w:tcW w:w="18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gridSpan w:val="2"/>
          </w:tcPr>
          <w:p>
            <w:pPr>
              <w:spacing w:after="0"/>
              <w:rPr>
                <w:sz w:val="15"/>
                <w:szCs w:val="15"/>
                <w:color w:val="auto"/>
              </w:rPr>
            </w:pPr>
          </w:p>
        </w:tc>
        <w:tc>
          <w:tcPr>
            <w:tcW w:w="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10.27</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Form of Support Agreement dated as of January 14, 2022 by and</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01/18/2022</w:t>
            </w:r>
          </w:p>
        </w:tc>
      </w:tr>
      <w:tr>
        <w:trPr>
          <w:trHeight w:val="182"/>
        </w:trPr>
        <w:tc>
          <w:tcPr>
            <w:tcW w:w="740" w:type="dxa"/>
            <w:vAlign w:val="bottom"/>
          </w:tcPr>
          <w:p>
            <w:pPr>
              <w:spacing w:after="0"/>
              <w:rPr>
                <w:sz w:val="15"/>
                <w:szCs w:val="15"/>
                <w:color w:val="auto"/>
              </w:rPr>
            </w:pPr>
          </w:p>
        </w:tc>
        <w:tc>
          <w:tcPr>
            <w:tcW w:w="4740" w:type="dxa"/>
            <w:vAlign w:val="bottom"/>
            <w:tcBorders>
              <w:top w:val="single" w:sz="8" w:color="0000FF"/>
              <w:bottom w:val="single" w:sz="8" w:color="0000FF"/>
            </w:tcBorders>
            <w:gridSpan w:val="32"/>
          </w:tcPr>
          <w:p>
            <w:pPr>
              <w:spacing w:after="0" w:line="182" w:lineRule="exact"/>
              <w:rPr>
                <w:sz w:val="20"/>
                <w:szCs w:val="20"/>
                <w:color w:val="auto"/>
              </w:rPr>
            </w:pPr>
            <w:r>
              <w:rPr>
                <w:rFonts w:ascii="Times New Roman" w:cs="Times New Roman" w:eastAsia="Times New Roman" w:hAnsi="Times New Roman"/>
                <w:sz w:val="18"/>
                <w:szCs w:val="18"/>
                <w:color w:val="0000FF"/>
                <w:w w:val="98"/>
              </w:rPr>
              <w:t>among the Company and the stockholder parties identified therein.</w:t>
            </w: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gridSpan w:val="2"/>
          </w:tcPr>
          <w:p>
            <w:pPr>
              <w:spacing w:after="0"/>
              <w:rPr>
                <w:sz w:val="15"/>
                <w:szCs w:val="15"/>
                <w:color w:val="auto"/>
              </w:rPr>
            </w:pPr>
          </w:p>
        </w:tc>
        <w:tc>
          <w:tcPr>
            <w:tcW w:w="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10.28</w:t>
            </w:r>
          </w:p>
        </w:tc>
        <w:tc>
          <w:tcPr>
            <w:tcW w:w="488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rPr>
              <w:t>Form of Lock-Up Agreement, by and among the Company and the</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01/18/2022</w:t>
            </w:r>
          </w:p>
        </w:tc>
      </w:tr>
      <w:tr>
        <w:trPr>
          <w:trHeight w:val="182"/>
        </w:trPr>
        <w:tc>
          <w:tcPr>
            <w:tcW w:w="740" w:type="dxa"/>
            <w:vAlign w:val="bottom"/>
          </w:tcPr>
          <w:p>
            <w:pPr>
              <w:spacing w:after="0"/>
              <w:rPr>
                <w:sz w:val="15"/>
                <w:szCs w:val="15"/>
                <w:color w:val="auto"/>
              </w:rPr>
            </w:pPr>
          </w:p>
        </w:tc>
        <w:tc>
          <w:tcPr>
            <w:tcW w:w="2700" w:type="dxa"/>
            <w:vAlign w:val="bottom"/>
            <w:tcBorders>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stockholder parties identified therein.</w:t>
            </w:r>
          </w:p>
        </w:tc>
        <w:tc>
          <w:tcPr>
            <w:tcW w:w="2180" w:type="dxa"/>
            <w:vAlign w:val="bottom"/>
            <w:gridSpan w:val="30"/>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3"/>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10.29*</w:t>
            </w:r>
          </w:p>
        </w:tc>
        <w:tc>
          <w:tcPr>
            <w:tcW w:w="48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Executive Chairman Agreement, dated as of January 17, 2022, by</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03/14/2022</w:t>
            </w:r>
          </w:p>
        </w:tc>
      </w:tr>
      <w:tr>
        <w:trPr>
          <w:trHeight w:val="182"/>
        </w:trPr>
        <w:tc>
          <w:tcPr>
            <w:tcW w:w="740" w:type="dxa"/>
            <w:vAlign w:val="bottom"/>
          </w:tcPr>
          <w:p>
            <w:pPr>
              <w:spacing w:after="0"/>
              <w:rPr>
                <w:sz w:val="15"/>
                <w:szCs w:val="15"/>
                <w:color w:val="auto"/>
              </w:rPr>
            </w:pPr>
          </w:p>
        </w:tc>
        <w:tc>
          <w:tcPr>
            <w:tcW w:w="4800" w:type="dxa"/>
            <w:vAlign w:val="bottom"/>
            <w:tcBorders>
              <w:top w:val="single" w:sz="8" w:color="0000FF"/>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FF"/>
              </w:rPr>
              <w:t>and between the Company and Jason Ryan.</w:t>
            </w:r>
          </w:p>
        </w:tc>
        <w:tc>
          <w:tcPr>
            <w:tcW w:w="8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080" w:top="208" w:right="1440" w:bottom="0" w:gutter="0" w:footer="0" w:header="0"/>
        </w:sectPr>
      </w:pP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720"/>
          </w:cols>
          <w:pgMar w:left="1080" w:top="208" w:right="144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280670</wp:posOffset>
            </wp:positionV>
            <wp:extent cx="6426200" cy="8470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0">
                      <a:extLst>
                        <a:ext uri="{28A0092B-C50C-407E-A947-70E740481C1C}"/>
                      </a:extLst>
                    </a:blip>
                    <a:srcRect/>
                    <a:stretch>
                      <a:fillRect/>
                    </a:stretch>
                  </pic:blipFill>
                  <pic:spPr bwMode="auto">
                    <a:xfrm>
                      <a:off x="0" y="0"/>
                      <a:ext cx="6426200" cy="847090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10.30*</w:t>
            </w:r>
          </w:p>
        </w:tc>
        <w:tc>
          <w:tcPr>
            <w:tcW w:w="3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Amendment No. 1 to Executive Chairman Agreement.</w:t>
            </w:r>
          </w:p>
        </w:tc>
        <w:tc>
          <w:tcPr>
            <w:tcW w:w="960" w:type="dxa"/>
            <w:vAlign w:val="bottom"/>
            <w:gridSpan w:val="13"/>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04/14/2023</w:t>
            </w:r>
          </w:p>
        </w:tc>
      </w:tr>
      <w:tr>
        <w:trPr>
          <w:trHeight w:val="29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10.31+</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Transition Services Agreement, dated as of April 29, 2022, by and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05/02/2022</w:t>
            </w:r>
          </w:p>
        </w:tc>
      </w:tr>
      <w:tr>
        <w:trPr>
          <w:trHeight w:val="182"/>
        </w:trPr>
        <w:tc>
          <w:tcPr>
            <w:tcW w:w="840" w:type="dxa"/>
            <w:vAlign w:val="bottom"/>
          </w:tcPr>
          <w:p>
            <w:pPr>
              <w:spacing w:after="0"/>
              <w:rPr>
                <w:sz w:val="15"/>
                <w:szCs w:val="15"/>
                <w:color w:val="auto"/>
              </w:rPr>
            </w:pPr>
          </w:p>
        </w:tc>
        <w:tc>
          <w:tcPr>
            <w:tcW w:w="484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between GeneDx, Inc. and OPKO Health, Inc.</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10.32*</w:t>
            </w:r>
          </w:p>
        </w:tc>
        <w:tc>
          <w:tcPr>
            <w:tcW w:w="4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Employment Agreement, dated as of January 14, 2022, as amended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05/02/2022</w:t>
            </w:r>
          </w:p>
        </w:tc>
      </w:tr>
      <w:tr>
        <w:trPr>
          <w:trHeight w:val="182"/>
        </w:trPr>
        <w:tc>
          <w:tcPr>
            <w:tcW w:w="840" w:type="dxa"/>
            <w:vAlign w:val="bottom"/>
          </w:tcPr>
          <w:p>
            <w:pPr>
              <w:spacing w:after="0"/>
              <w:rPr>
                <w:sz w:val="15"/>
                <w:szCs w:val="15"/>
                <w:color w:val="auto"/>
              </w:rPr>
            </w:pPr>
          </w:p>
        </w:tc>
        <w:tc>
          <w:tcPr>
            <w:tcW w:w="49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April 29, 2022, by and between Sema4 Holdings Corp. and</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14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Katherine Stueland.</w:t>
            </w:r>
          </w:p>
        </w:tc>
        <w:tc>
          <w:tcPr>
            <w:tcW w:w="28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9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10.33*</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Employment Agreement of Kevin Feeley, dated January 14,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10.32</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03/16/2023</w:t>
            </w:r>
          </w:p>
        </w:tc>
      </w:tr>
      <w:tr>
        <w:trPr>
          <w:trHeight w:val="29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10.34*</w:t>
            </w:r>
          </w:p>
        </w:tc>
        <w:tc>
          <w:tcPr>
            <w:tcW w:w="47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Amendment No. 1 to the Employment Agreement of Kevin</w:t>
            </w:r>
          </w:p>
        </w:tc>
        <w:tc>
          <w:tcPr>
            <w:tcW w:w="120" w:type="dxa"/>
            <w:vAlign w:val="bottom"/>
            <w:gridSpan w:val="3"/>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08/26/2022</w:t>
            </w:r>
          </w:p>
        </w:tc>
      </w:tr>
      <w:tr>
        <w:trPr>
          <w:trHeight w:val="182"/>
        </w:trPr>
        <w:tc>
          <w:tcPr>
            <w:tcW w:w="84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Feeley, dated August 25, 2022.</w:t>
            </w:r>
          </w:p>
        </w:tc>
        <w:tc>
          <w:tcPr>
            <w:tcW w:w="21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0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10.35#</w:t>
            </w:r>
          </w:p>
        </w:tc>
        <w:tc>
          <w:tcPr>
            <w:tcW w:w="4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Amendment No. 1 to BioMe Biospecimen and Data Access</w:t>
            </w:r>
          </w:p>
        </w:tc>
        <w:tc>
          <w:tcPr>
            <w:tcW w:w="560" w:type="dxa"/>
            <w:vAlign w:val="bottom"/>
            <w:gridSpan w:val="10"/>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10.34</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03/16/2023</w:t>
            </w:r>
          </w:p>
        </w:tc>
      </w:tr>
      <w:tr>
        <w:trPr>
          <w:trHeight w:val="182"/>
        </w:trPr>
        <w:tc>
          <w:tcPr>
            <w:tcW w:w="840" w:type="dxa"/>
            <w:vAlign w:val="bottom"/>
          </w:tcPr>
          <w:p>
            <w:pPr>
              <w:spacing w:after="0"/>
              <w:rPr>
                <w:sz w:val="15"/>
                <w:szCs w:val="15"/>
                <w:color w:val="auto"/>
              </w:rPr>
            </w:pPr>
          </w:p>
        </w:tc>
        <w:tc>
          <w:tcPr>
            <w:tcW w:w="49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Agreement, dated as of January 19, 2023, by and between Icahn</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466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School of Medicine at Mount Sinai and Sema4 OpCo, Inc.</w:t>
            </w: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9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10.36</w:t>
            </w:r>
          </w:p>
        </w:tc>
        <w:tc>
          <w:tcPr>
            <w:tcW w:w="2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2022 Replacement Promissory Note.</w:t>
            </w:r>
          </w:p>
        </w:tc>
        <w:tc>
          <w:tcPr>
            <w:tcW w:w="1560" w:type="dxa"/>
            <w:vAlign w:val="bottom"/>
            <w:tcBorders>
              <w:top w:val="single" w:sz="8" w:color="0000FF"/>
            </w:tcBorders>
            <w:gridSpan w:val="4"/>
          </w:tcPr>
          <w:p>
            <w:pPr>
              <w:spacing w:after="0"/>
              <w:rPr>
                <w:sz w:val="24"/>
                <w:szCs w:val="24"/>
                <w:color w:val="auto"/>
              </w:rPr>
            </w:pPr>
          </w:p>
        </w:tc>
        <w:tc>
          <w:tcPr>
            <w:tcW w:w="680" w:type="dxa"/>
            <w:vAlign w:val="bottom"/>
            <w:gridSpan w:val="12"/>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10.35</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03/16/2023</w:t>
            </w:r>
          </w:p>
        </w:tc>
      </w:tr>
      <w:tr>
        <w:trPr>
          <w:trHeight w:val="29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10.37</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Credit Agreement and Guaranty, dated October 27, 2023, by and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10/30/2023</w:t>
            </w:r>
          </w:p>
        </w:tc>
      </w:tr>
      <w:tr>
        <w:trPr>
          <w:trHeight w:val="182"/>
        </w:trPr>
        <w:tc>
          <w:tcPr>
            <w:tcW w:w="840" w:type="dxa"/>
            <w:vAlign w:val="bottom"/>
          </w:tcPr>
          <w:p>
            <w:pPr>
              <w:spacing w:after="0"/>
              <w:rPr>
                <w:sz w:val="15"/>
                <w:szCs w:val="15"/>
                <w:color w:val="auto"/>
              </w:rPr>
            </w:pPr>
          </w:p>
        </w:tc>
        <w:tc>
          <w:tcPr>
            <w:tcW w:w="4400" w:type="dxa"/>
            <w:vAlign w:val="bottom"/>
            <w:tcBorders>
              <w:top w:val="single" w:sz="8" w:color="0000FF"/>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among the Company and Perceptive Credit Holdings IV, LP.</w:t>
            </w:r>
          </w:p>
        </w:tc>
        <w:tc>
          <w:tcPr>
            <w:tcW w:w="320" w:type="dxa"/>
            <w:vAlign w:val="bottom"/>
            <w:tcBorders>
              <w:top w:val="single" w:sz="8" w:color="0000FF"/>
            </w:tcBorders>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0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10.38</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Agreement, dated October 27, 2023, by and among the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10/30/2023</w:t>
            </w:r>
          </w:p>
        </w:tc>
      </w:tr>
      <w:tr>
        <w:trPr>
          <w:trHeight w:val="182"/>
        </w:trPr>
        <w:tc>
          <w:tcPr>
            <w:tcW w:w="84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Company and Perceptive Credit Holdings IV, LP.</w:t>
            </w:r>
          </w:p>
        </w:tc>
        <w:tc>
          <w:tcPr>
            <w:tcW w:w="1040" w:type="dxa"/>
            <w:vAlign w:val="bottom"/>
            <w:tcBorders>
              <w:top w:val="single" w:sz="8" w:color="0000FF"/>
            </w:tcBorders>
            <w:gridSpan w:val="8"/>
          </w:tcPr>
          <w:p>
            <w:pPr>
              <w:spacing w:after="0"/>
              <w:rPr>
                <w:sz w:val="15"/>
                <w:szCs w:val="15"/>
                <w:color w:val="auto"/>
              </w:rPr>
            </w:pPr>
          </w:p>
        </w:tc>
        <w:tc>
          <w:tcPr>
            <w:tcW w:w="18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0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10.39</w:t>
            </w:r>
          </w:p>
        </w:tc>
        <w:tc>
          <w:tcPr>
            <w:tcW w:w="2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Form of Subscription Agreement.</w:t>
            </w:r>
          </w:p>
        </w:tc>
        <w:tc>
          <w:tcPr>
            <w:tcW w:w="2460" w:type="dxa"/>
            <w:vAlign w:val="bottom"/>
            <w:gridSpan w:val="17"/>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01/30/2023</w:t>
            </w:r>
          </w:p>
        </w:tc>
      </w:tr>
      <w:tr>
        <w:trPr>
          <w:trHeight w:val="29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10.40+</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Letter Agreement, Amendment No. 2 to Sub-Sublease, dated as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1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05/09/2023</w:t>
            </w:r>
          </w:p>
        </w:tc>
      </w:tr>
      <w:tr>
        <w:trPr>
          <w:trHeight w:val="182"/>
        </w:trPr>
        <w:tc>
          <w:tcPr>
            <w:tcW w:w="840" w:type="dxa"/>
            <w:vAlign w:val="bottom"/>
          </w:tcPr>
          <w:p>
            <w:pPr>
              <w:spacing w:after="0"/>
              <w:rPr>
                <w:sz w:val="15"/>
                <w:szCs w:val="15"/>
                <w:color w:val="auto"/>
              </w:rPr>
            </w:pPr>
          </w:p>
        </w:tc>
        <w:tc>
          <w:tcPr>
            <w:tcW w:w="482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March 20, 2023, by and between Icahn School of Medicine at</w:t>
            </w:r>
          </w:p>
        </w:tc>
        <w:tc>
          <w:tcPr>
            <w:tcW w:w="8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450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Mount Sinai and the Company.</w:t>
            </w:r>
          </w:p>
        </w:tc>
        <w:tc>
          <w:tcPr>
            <w:tcW w:w="400" w:type="dxa"/>
            <w:vAlign w:val="bottom"/>
            <w:gridSpan w:val="7"/>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36"/>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21.1</w:t>
            </w:r>
          </w:p>
        </w:tc>
        <w:tc>
          <w:tcPr>
            <w:tcW w:w="2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2640" w:type="dxa"/>
            <w:vAlign w:val="bottom"/>
            <w:gridSpan w:val="18"/>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82"/>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23.1</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Consent of Ernst &amp; Young LLP, independent registered accounting</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firm for GeneDx Holdings Corp.</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91"/>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24.1</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 to this Annual</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Report on Form 10-K).</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91"/>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31.1</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Securities</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2"/>
        </w:trPr>
        <w:tc>
          <w:tcPr>
            <w:tcW w:w="840" w:type="dxa"/>
            <w:vAlign w:val="bottom"/>
          </w:tcPr>
          <w:p>
            <w:pPr>
              <w:spacing w:after="0"/>
              <w:rPr>
                <w:sz w:val="17"/>
                <w:szCs w:val="17"/>
                <w:color w:val="auto"/>
              </w:rPr>
            </w:pPr>
          </w:p>
        </w:tc>
        <w:tc>
          <w:tcPr>
            <w:tcW w:w="4900" w:type="dxa"/>
            <w:vAlign w:val="bottom"/>
            <w:gridSpan w:val="20"/>
          </w:tcPr>
          <w:p>
            <w:pPr>
              <w:spacing w:after="0" w:line="201" w:lineRule="exact"/>
              <w:rPr>
                <w:sz w:val="20"/>
                <w:szCs w:val="20"/>
                <w:color w:val="auto"/>
              </w:rPr>
            </w:pPr>
            <w:r>
              <w:rPr>
                <w:rFonts w:ascii="Times New Roman" w:cs="Times New Roman" w:eastAsia="Times New Roman" w:hAnsi="Times New Roman"/>
                <w:sz w:val="18"/>
                <w:szCs w:val="18"/>
                <w:color w:val="auto"/>
              </w:rPr>
              <w:t>Exchange Act Rules 13a-14(a) and 15(d)-14(a), as adopted</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84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31.2</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Securities</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2"/>
        </w:trPr>
        <w:tc>
          <w:tcPr>
            <w:tcW w:w="840" w:type="dxa"/>
            <w:vAlign w:val="bottom"/>
          </w:tcPr>
          <w:p>
            <w:pPr>
              <w:spacing w:after="0"/>
              <w:rPr>
                <w:sz w:val="17"/>
                <w:szCs w:val="17"/>
                <w:color w:val="auto"/>
              </w:rPr>
            </w:pPr>
          </w:p>
        </w:tc>
        <w:tc>
          <w:tcPr>
            <w:tcW w:w="4900" w:type="dxa"/>
            <w:vAlign w:val="bottom"/>
            <w:gridSpan w:val="20"/>
          </w:tcPr>
          <w:p>
            <w:pPr>
              <w:spacing w:after="0" w:line="201" w:lineRule="exact"/>
              <w:rPr>
                <w:sz w:val="20"/>
                <w:szCs w:val="20"/>
                <w:color w:val="auto"/>
              </w:rPr>
            </w:pPr>
            <w:r>
              <w:rPr>
                <w:rFonts w:ascii="Times New Roman" w:cs="Times New Roman" w:eastAsia="Times New Roman" w:hAnsi="Times New Roman"/>
                <w:sz w:val="18"/>
                <w:szCs w:val="18"/>
                <w:color w:val="auto"/>
              </w:rPr>
              <w:t>Exchange Act Rules 13a-14(a) and 15(d)-14(a), as adopted</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84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32.1**</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2"/>
        </w:trPr>
        <w:tc>
          <w:tcPr>
            <w:tcW w:w="840" w:type="dxa"/>
            <w:vAlign w:val="bottom"/>
          </w:tcPr>
          <w:p>
            <w:pPr>
              <w:spacing w:after="0"/>
              <w:rPr>
                <w:sz w:val="17"/>
                <w:szCs w:val="17"/>
                <w:color w:val="auto"/>
              </w:rPr>
            </w:pPr>
          </w:p>
        </w:tc>
        <w:tc>
          <w:tcPr>
            <w:tcW w:w="4900" w:type="dxa"/>
            <w:vAlign w:val="bottom"/>
            <w:gridSpan w:val="20"/>
          </w:tcPr>
          <w:p>
            <w:pPr>
              <w:spacing w:after="0" w:line="201" w:lineRule="exact"/>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84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32.2**</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2"/>
        </w:trPr>
        <w:tc>
          <w:tcPr>
            <w:tcW w:w="840" w:type="dxa"/>
            <w:vAlign w:val="bottom"/>
          </w:tcPr>
          <w:p>
            <w:pPr>
              <w:spacing w:after="0"/>
              <w:rPr>
                <w:sz w:val="17"/>
                <w:szCs w:val="17"/>
                <w:color w:val="auto"/>
              </w:rPr>
            </w:pPr>
          </w:p>
        </w:tc>
        <w:tc>
          <w:tcPr>
            <w:tcW w:w="4900" w:type="dxa"/>
            <w:vAlign w:val="bottom"/>
            <w:gridSpan w:val="20"/>
          </w:tcPr>
          <w:p>
            <w:pPr>
              <w:spacing w:after="0" w:line="201" w:lineRule="exact"/>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84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97.1</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Policy Relating to Recovery of Erroneously Awarded</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82"/>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31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101.DEF</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31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82"/>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91"/>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104</w:t>
            </w:r>
          </w:p>
        </w:tc>
        <w:tc>
          <w:tcPr>
            <w:tcW w:w="4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2"/>
        </w:trPr>
        <w:tc>
          <w:tcPr>
            <w:tcW w:w="840" w:type="dxa"/>
            <w:vAlign w:val="bottom"/>
          </w:tcPr>
          <w:p>
            <w:pPr>
              <w:spacing w:after="0"/>
              <w:rPr>
                <w:sz w:val="17"/>
                <w:szCs w:val="17"/>
                <w:color w:val="auto"/>
              </w:rPr>
            </w:pPr>
          </w:p>
        </w:tc>
        <w:tc>
          <w:tcPr>
            <w:tcW w:w="4900" w:type="dxa"/>
            <w:vAlign w:val="bottom"/>
            <w:gridSpan w:val="20"/>
          </w:tcPr>
          <w:p>
            <w:pPr>
              <w:spacing w:after="0" w:line="201" w:lineRule="exact"/>
              <w:rPr>
                <w:sz w:val="20"/>
                <w:szCs w:val="20"/>
                <w:color w:val="auto"/>
              </w:rPr>
            </w:pPr>
            <w:r>
              <w:rPr>
                <w:rFonts w:ascii="Times New Roman" w:cs="Times New Roman" w:eastAsia="Times New Roman" w:hAnsi="Times New Roman"/>
                <w:sz w:val="18"/>
                <w:szCs w:val="18"/>
                <w:color w:val="auto"/>
              </w:rPr>
              <w:t>applicable taxonomy extension information contained in Exhibits</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176" w:lineRule="exact"/>
        <w:rPr>
          <w:sz w:val="20"/>
          <w:szCs w:val="20"/>
          <w:color w:val="auto"/>
        </w:rPr>
      </w:pPr>
    </w:p>
    <w:p>
      <w:pPr>
        <w:ind w:left="60" w:right="5680" w:hanging="7"/>
        <w:spacing w:after="0" w:line="344" w:lineRule="auto"/>
        <w:tabs>
          <w:tab w:leader="none" w:pos="4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 Furnished.</w:t>
      </w:r>
    </w:p>
    <w:p>
      <w:pPr>
        <w:sectPr>
          <w:pgSz w:w="12240" w:h="15840" w:orient="portrait"/>
          <w:cols w:equalWidth="0" w:num="1">
            <w:col w:w="9720"/>
          </w:cols>
          <w:pgMar w:left="1080" w:top="208" w:right="1440" w:bottom="0" w:gutter="0" w:footer="0" w:header="0"/>
        </w:sectPr>
      </w:pPr>
    </w:p>
    <w:p>
      <w:pPr>
        <w:spacing w:after="0" w:line="3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720"/>
          </w:cols>
          <w:pgMar w:left="1080" w:top="208" w:right="144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20" w:right="1840" w:hanging="367"/>
        <w:spacing w:after="0" w:line="249" w:lineRule="auto"/>
        <w:tabs>
          <w:tab w:leader="none" w:pos="4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4" w:lineRule="exact"/>
        <w:rPr>
          <w:sz w:val="20"/>
          <w:szCs w:val="20"/>
          <w:color w:val="auto"/>
        </w:rPr>
      </w:pPr>
    </w:p>
    <w:p>
      <w:pPr>
        <w:ind w:left="420" w:hanging="367"/>
        <w:spacing w:after="0"/>
        <w:tabs>
          <w:tab w:leader="none" w:pos="4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omitted portions of the exhibit as permitted under Regulation S-K Item 601(b)(10).</w:t>
      </w:r>
    </w:p>
    <w:p>
      <w:pPr>
        <w:spacing w:after="0" w:line="11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We may voluntarily include a summary of information required by Form 10-K under this Item 16. We have elected not to include such summary information.</w:t>
      </w:r>
    </w:p>
    <w:p>
      <w:pPr>
        <w:sectPr>
          <w:pgSz w:w="12240" w:h="15840" w:orient="portrait"/>
          <w:cols w:equalWidth="0" w:num="1">
            <w:col w:w="9720"/>
          </w:cols>
          <w:pgMar w:left="1080" w:top="2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720"/>
          </w:cols>
          <w:pgMar w:left="1080" w:top="208" w:right="144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3460" w:type="dxa"/>
            <w:vAlign w:val="bottom"/>
          </w:tcPr>
          <w:p>
            <w:pPr>
              <w:spacing w:after="0"/>
              <w:rPr>
                <w:sz w:val="22"/>
                <w:szCs w:val="22"/>
                <w:color w:val="auto"/>
              </w:rPr>
            </w:pPr>
          </w:p>
        </w:tc>
        <w:tc>
          <w:tcPr>
            <w:tcW w:w="6280" w:type="dxa"/>
            <w:vAlign w:val="bottom"/>
            <w:gridSpan w:val="2"/>
          </w:tcPr>
          <w:p>
            <w:pPr>
              <w:ind w:left="1520"/>
              <w:spacing w:after="0"/>
              <w:rPr>
                <w:sz w:val="20"/>
                <w:szCs w:val="20"/>
                <w:color w:val="auto"/>
              </w:rPr>
            </w:pPr>
            <w:r>
              <w:rPr>
                <w:rFonts w:ascii="Times New Roman" w:cs="Times New Roman" w:eastAsia="Times New Roman" w:hAnsi="Times New Roman"/>
                <w:sz w:val="20"/>
                <w:szCs w:val="20"/>
                <w:b w:val="1"/>
                <w:bCs w:val="1"/>
                <w:color w:val="auto"/>
              </w:rPr>
              <w:t>GENEDX HOLDINGS CORP.</w:t>
            </w:r>
          </w:p>
        </w:tc>
        <w:tc>
          <w:tcPr>
            <w:tcW w:w="0" w:type="dxa"/>
            <w:vAlign w:val="bottom"/>
          </w:tcPr>
          <w:p>
            <w:pPr>
              <w:spacing w:after="0"/>
              <w:rPr>
                <w:sz w:val="1"/>
                <w:szCs w:val="1"/>
                <w:color w:val="auto"/>
              </w:rPr>
            </w:pPr>
          </w:p>
        </w:tc>
      </w:tr>
      <w:tr>
        <w:trPr>
          <w:trHeight w:val="57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23, 2024</w:t>
            </w:r>
          </w:p>
        </w:tc>
        <w:tc>
          <w:tcPr>
            <w:tcW w:w="228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Katherine Stueland</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2280" w:type="dxa"/>
            <w:vAlign w:val="bottom"/>
            <w:vMerge w:val="restart"/>
          </w:tcPr>
          <w:p>
            <w:pPr>
              <w:ind w:left="1520"/>
              <w:spacing w:after="0"/>
              <w:rPr>
                <w:sz w:val="20"/>
                <w:szCs w:val="20"/>
                <w:color w:val="auto"/>
              </w:rPr>
            </w:pPr>
            <w:r>
              <w:rPr>
                <w:rFonts w:ascii="Times New Roman" w:cs="Times New Roman" w:eastAsia="Times New Roman" w:hAnsi="Times New Roman"/>
                <w:sz w:val="20"/>
                <w:szCs w:val="20"/>
                <w:color w:val="auto"/>
              </w:rPr>
              <w:t>Name:</w:t>
            </w:r>
          </w:p>
        </w:tc>
        <w:tc>
          <w:tcPr>
            <w:tcW w:w="4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460" w:type="dxa"/>
            <w:vAlign w:val="bottom"/>
          </w:tcPr>
          <w:p>
            <w:pPr>
              <w:spacing w:after="0"/>
              <w:rPr>
                <w:sz w:val="22"/>
                <w:szCs w:val="22"/>
                <w:color w:val="auto"/>
              </w:rPr>
            </w:pPr>
          </w:p>
        </w:tc>
        <w:tc>
          <w:tcPr>
            <w:tcW w:w="2280" w:type="dxa"/>
            <w:vAlign w:val="bottom"/>
            <w:vMerge w:val="continue"/>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Katherine Stueland</w:t>
            </w:r>
          </w:p>
        </w:tc>
        <w:tc>
          <w:tcPr>
            <w:tcW w:w="0" w:type="dxa"/>
            <w:vAlign w:val="bottom"/>
          </w:tcPr>
          <w:p>
            <w:pPr>
              <w:spacing w:after="0"/>
              <w:rPr>
                <w:sz w:val="1"/>
                <w:szCs w:val="1"/>
                <w:color w:val="auto"/>
              </w:rPr>
            </w:pPr>
          </w:p>
        </w:tc>
      </w:tr>
      <w:tr>
        <w:trPr>
          <w:trHeight w:val="204"/>
        </w:trPr>
        <w:tc>
          <w:tcPr>
            <w:tcW w:w="3460" w:type="dxa"/>
            <w:vAlign w:val="bottom"/>
          </w:tcPr>
          <w:p>
            <w:pPr>
              <w:spacing w:after="0"/>
              <w:rPr>
                <w:sz w:val="17"/>
                <w:szCs w:val="17"/>
                <w:color w:val="auto"/>
              </w:rPr>
            </w:pPr>
          </w:p>
        </w:tc>
        <w:tc>
          <w:tcPr>
            <w:tcW w:w="2280" w:type="dxa"/>
            <w:vAlign w:val="bottom"/>
          </w:tcPr>
          <w:p>
            <w:pPr>
              <w:ind w:left="1520"/>
              <w:spacing w:after="0" w:line="205" w:lineRule="exact"/>
              <w:rPr>
                <w:sz w:val="20"/>
                <w:szCs w:val="20"/>
                <w:color w:val="auto"/>
              </w:rPr>
            </w:pPr>
            <w:r>
              <w:rPr>
                <w:rFonts w:ascii="Times New Roman" w:cs="Times New Roman" w:eastAsia="Times New Roman" w:hAnsi="Times New Roman"/>
                <w:sz w:val="20"/>
                <w:szCs w:val="20"/>
                <w:color w:val="auto"/>
              </w:rPr>
              <w:t>Title:</w:t>
            </w:r>
          </w:p>
        </w:tc>
        <w:tc>
          <w:tcPr>
            <w:tcW w:w="40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Chief Executive Officer and Director</w:t>
            </w:r>
          </w:p>
        </w:tc>
        <w:tc>
          <w:tcPr>
            <w:tcW w:w="0" w:type="dxa"/>
            <w:vAlign w:val="bottom"/>
          </w:tcPr>
          <w:p>
            <w:pPr>
              <w:spacing w:after="0"/>
              <w:rPr>
                <w:sz w:val="1"/>
                <w:szCs w:val="1"/>
                <w:color w:val="auto"/>
              </w:rPr>
            </w:pPr>
          </w:p>
        </w:tc>
      </w:tr>
      <w:tr>
        <w:trPr>
          <w:trHeight w:val="260"/>
        </w:trPr>
        <w:tc>
          <w:tcPr>
            <w:tcW w:w="34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Katherine Stueland, Kevin Feeley and Devin Schaffer,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60" w:type="dxa"/>
            <w:vAlign w:val="bottom"/>
          </w:tcPr>
          <w:p>
            <w:pPr>
              <w:spacing w:after="0"/>
              <w:rPr>
                <w:sz w:val="18"/>
                <w:szCs w:val="18"/>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340"/>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Katherine Stueland</w:t>
            </w:r>
          </w:p>
        </w:tc>
        <w:tc>
          <w:tcPr>
            <w:tcW w:w="6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23, 2024</w:t>
            </w:r>
          </w:p>
        </w:tc>
        <w:tc>
          <w:tcPr>
            <w:tcW w:w="0" w:type="dxa"/>
            <w:vAlign w:val="bottom"/>
          </w:tcPr>
          <w:p>
            <w:pPr>
              <w:spacing w:after="0"/>
              <w:rPr>
                <w:sz w:val="1"/>
                <w:szCs w:val="1"/>
                <w:color w:val="auto"/>
              </w:rPr>
            </w:pPr>
          </w:p>
        </w:tc>
      </w:tr>
      <w:tr>
        <w:trPr>
          <w:trHeight w:val="109"/>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Katherine Stueland</w:t>
            </w:r>
          </w:p>
        </w:tc>
        <w:tc>
          <w:tcPr>
            <w:tcW w:w="60" w:type="dxa"/>
            <w:vAlign w:val="bottom"/>
          </w:tcPr>
          <w:p>
            <w:pPr>
              <w:spacing w:after="0"/>
              <w:rPr>
                <w:sz w:val="9"/>
                <w:szCs w:val="9"/>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Kevin Feeley</w:t>
            </w:r>
          </w:p>
        </w:tc>
        <w:tc>
          <w:tcPr>
            <w:tcW w:w="6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23, 2024</w:t>
            </w:r>
          </w:p>
        </w:tc>
        <w:tc>
          <w:tcPr>
            <w:tcW w:w="0" w:type="dxa"/>
            <w:vAlign w:val="bottom"/>
          </w:tcPr>
          <w:p>
            <w:pPr>
              <w:spacing w:after="0"/>
              <w:rPr>
                <w:sz w:val="1"/>
                <w:szCs w:val="1"/>
                <w:color w:val="auto"/>
              </w:rPr>
            </w:pPr>
          </w:p>
        </w:tc>
      </w:tr>
      <w:tr>
        <w:trPr>
          <w:trHeight w:val="109"/>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Kevin Feeley</w:t>
            </w:r>
          </w:p>
        </w:tc>
        <w:tc>
          <w:tcPr>
            <w:tcW w:w="60" w:type="dxa"/>
            <w:vAlign w:val="bottom"/>
          </w:tcPr>
          <w:p>
            <w:pPr>
              <w:spacing w:after="0"/>
              <w:rPr>
                <w:sz w:val="9"/>
                <w:szCs w:val="9"/>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(Principal Financial Officer)</w:t>
            </w: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Jason Ryan</w:t>
            </w:r>
          </w:p>
        </w:tc>
        <w:tc>
          <w:tcPr>
            <w:tcW w:w="60" w:type="dxa"/>
            <w:vAlign w:val="bottom"/>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Chairman of the Board</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23, 2024</w:t>
            </w:r>
          </w:p>
        </w:tc>
        <w:tc>
          <w:tcPr>
            <w:tcW w:w="0" w:type="dxa"/>
            <w:vAlign w:val="bottom"/>
          </w:tcPr>
          <w:p>
            <w:pPr>
              <w:spacing w:after="0"/>
              <w:rPr>
                <w:sz w:val="1"/>
                <w:szCs w:val="1"/>
                <w:color w:val="auto"/>
              </w:rPr>
            </w:pPr>
          </w:p>
        </w:tc>
      </w:tr>
      <w:tr>
        <w:trPr>
          <w:trHeight w:val="109"/>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Jason Ryan</w:t>
            </w:r>
          </w:p>
        </w:tc>
        <w:tc>
          <w:tcPr>
            <w:tcW w:w="6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Eli D. Casdin</w:t>
            </w:r>
          </w:p>
        </w:tc>
        <w:tc>
          <w:tcPr>
            <w:tcW w:w="60" w:type="dxa"/>
            <w:vAlign w:val="bottom"/>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23, 2024</w:t>
            </w:r>
          </w:p>
        </w:tc>
        <w:tc>
          <w:tcPr>
            <w:tcW w:w="0" w:type="dxa"/>
            <w:vAlign w:val="bottom"/>
          </w:tcPr>
          <w:p>
            <w:pPr>
              <w:spacing w:after="0"/>
              <w:rPr>
                <w:sz w:val="1"/>
                <w:szCs w:val="1"/>
                <w:color w:val="auto"/>
              </w:rPr>
            </w:pPr>
          </w:p>
        </w:tc>
      </w:tr>
      <w:tr>
        <w:trPr>
          <w:trHeight w:val="109"/>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Eli D. Casdin</w:t>
            </w:r>
          </w:p>
        </w:tc>
        <w:tc>
          <w:tcPr>
            <w:tcW w:w="6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Emily Leproust</w:t>
            </w:r>
          </w:p>
        </w:tc>
        <w:tc>
          <w:tcPr>
            <w:tcW w:w="60" w:type="dxa"/>
            <w:vAlign w:val="bottom"/>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23, 2024</w:t>
            </w:r>
          </w:p>
        </w:tc>
        <w:tc>
          <w:tcPr>
            <w:tcW w:w="0" w:type="dxa"/>
            <w:vAlign w:val="bottom"/>
          </w:tcPr>
          <w:p>
            <w:pPr>
              <w:spacing w:after="0"/>
              <w:rPr>
                <w:sz w:val="1"/>
                <w:szCs w:val="1"/>
                <w:color w:val="auto"/>
              </w:rPr>
            </w:pPr>
          </w:p>
        </w:tc>
      </w:tr>
      <w:tr>
        <w:trPr>
          <w:trHeight w:val="109"/>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Emily Leproust</w:t>
            </w:r>
          </w:p>
        </w:tc>
        <w:tc>
          <w:tcPr>
            <w:tcW w:w="6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Keith Meister</w:t>
            </w:r>
          </w:p>
        </w:tc>
        <w:tc>
          <w:tcPr>
            <w:tcW w:w="60" w:type="dxa"/>
            <w:vAlign w:val="bottom"/>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23, 2024</w:t>
            </w:r>
          </w:p>
        </w:tc>
        <w:tc>
          <w:tcPr>
            <w:tcW w:w="0" w:type="dxa"/>
            <w:vAlign w:val="bottom"/>
          </w:tcPr>
          <w:p>
            <w:pPr>
              <w:spacing w:after="0"/>
              <w:rPr>
                <w:sz w:val="1"/>
                <w:szCs w:val="1"/>
                <w:color w:val="auto"/>
              </w:rPr>
            </w:pPr>
          </w:p>
        </w:tc>
      </w:tr>
      <w:tr>
        <w:trPr>
          <w:trHeight w:val="109"/>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Keith Meister</w:t>
            </w:r>
          </w:p>
        </w:tc>
        <w:tc>
          <w:tcPr>
            <w:tcW w:w="6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Joshua Ruch</w:t>
            </w:r>
          </w:p>
        </w:tc>
        <w:tc>
          <w:tcPr>
            <w:tcW w:w="60" w:type="dxa"/>
            <w:vAlign w:val="bottom"/>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23, 2024</w:t>
            </w:r>
          </w:p>
        </w:tc>
        <w:tc>
          <w:tcPr>
            <w:tcW w:w="0" w:type="dxa"/>
            <w:vAlign w:val="bottom"/>
          </w:tcPr>
          <w:p>
            <w:pPr>
              <w:spacing w:after="0"/>
              <w:rPr>
                <w:sz w:val="1"/>
                <w:szCs w:val="1"/>
                <w:color w:val="auto"/>
              </w:rPr>
            </w:pPr>
          </w:p>
        </w:tc>
      </w:tr>
      <w:tr>
        <w:trPr>
          <w:trHeight w:val="109"/>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Joshua Ruch</w:t>
            </w:r>
          </w:p>
        </w:tc>
        <w:tc>
          <w:tcPr>
            <w:tcW w:w="6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Richard Pfenninger, Jr.</w:t>
            </w:r>
          </w:p>
        </w:tc>
        <w:tc>
          <w:tcPr>
            <w:tcW w:w="60" w:type="dxa"/>
            <w:vAlign w:val="bottom"/>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23, 2024</w:t>
            </w:r>
          </w:p>
        </w:tc>
        <w:tc>
          <w:tcPr>
            <w:tcW w:w="0" w:type="dxa"/>
            <w:vAlign w:val="bottom"/>
          </w:tcPr>
          <w:p>
            <w:pPr>
              <w:spacing w:after="0"/>
              <w:rPr>
                <w:sz w:val="1"/>
                <w:szCs w:val="1"/>
                <w:color w:val="auto"/>
              </w:rPr>
            </w:pPr>
          </w:p>
        </w:tc>
      </w:tr>
      <w:tr>
        <w:trPr>
          <w:trHeight w:val="109"/>
        </w:trPr>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Richard Pfenninger, Jr.</w:t>
            </w:r>
          </w:p>
        </w:tc>
        <w:tc>
          <w:tcPr>
            <w:tcW w:w="6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20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sectPr>
      <w:pgSz w:w="12240" w:h="15840" w:orient="portrait"/>
      <w:cols w:equalWidth="0" w:num="1">
        <w:col w:w="10080"/>
      </w:cols>
      <w:pgMar w:left="1080" w:top="208" w:right="10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lvl w:ilvl="1">
      <w:lvlJc w:val="left"/>
      <w:lvlText w:val="(%2)"/>
      <w:numFmt w:val="lowerRoman"/>
      <w:start w:val="2"/>
    </w:lvl>
    <w:lvl w:ilvl="2">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lvl w:ilvl="1">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lvl w:ilvl="1">
      <w:lvlJc w:val="left"/>
      <w:lvlText w:val="•"/>
      <w:numFmt w:val="bullet"/>
      <w:start w:val="1"/>
    </w:lvl>
    <w:lvl w:ilvl="2">
      <w:lvlJc w:val="left"/>
      <w:lvlText w:val="(%3)"/>
      <w:numFmt w:val="lowerRoman"/>
      <w:start w:val="2"/>
    </w:lvl>
    <w:lvl w:ilvl="3">
      <w:lvlJc w:val="left"/>
      <w:lvlText w:val="◦"/>
      <w:numFmt w:val="bullet"/>
      <w:start w:val="1"/>
    </w:lvl>
  </w:abstractNum>
  <w:abstractNum w:abstractNumId="38">
    <w:nsid w:val="6DE91B18"/>
    <w:multiLevelType w:val="hybridMultilevel"/>
    <w:lvl w:ilvl="0">
      <w:lvlJc w:val="left"/>
      <w:lvlText w:val="%1."/>
      <w:numFmt w:val="decimal"/>
      <w:start w:val="2"/>
    </w:lvl>
    <w:lvl w:ilvl="1">
      <w:lvlJc w:val="left"/>
      <w:lvlText w:val="•"/>
      <w:numFmt w:val="bullet"/>
      <w:start w:val="1"/>
    </w:lvl>
    <w:lvl w:ilvl="2">
      <w:lvlJc w:val="left"/>
      <w:lvlText w:val="%3"/>
      <w:numFmt w:val="lowerRoman"/>
      <w:start w:val="1"/>
    </w:lvl>
    <w:lvl w:ilvl="3">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lowerLetter"/>
      <w:start w:val="1"/>
    </w:lvl>
    <w:lvl w:ilvl="1">
      <w:lvlJc w:val="left"/>
      <w:lvlText w:val="%2."/>
      <w:numFmt w:val="decimal"/>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2024-04-30T19:17:44Z</dcterms:created>
  <dcterms:modified xsi:type="dcterms:W3CDTF">2024-04-30T19:17:44Z</dcterms:modified>
</cp:coreProperties>
</file>