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30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0" w:lineRule="auto"/>
        <w:rPr>
          <w:sz w:val="20"/>
          <w:szCs w:val="20"/>
          <w:color w:val="auto"/>
        </w:rPr>
      </w:pPr>
      <w:r>
        <w:rPr>
          <w:rFonts w:ascii="Arial" w:cs="Arial" w:eastAsia="Arial" w:hAnsi="Arial"/>
          <w:sz w:val="16"/>
          <w:szCs w:val="16"/>
          <w:color w:val="0000FF"/>
        </w:rPr>
        <w:t>C/O GENEDX HOLDINGS CORP. 333 LUDLOW ST, NORTH TOWER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80" w:type="dxa"/>
            <w:vAlign w:val="bottom"/>
          </w:tcPr>
          <w:p>
            <w:pPr>
              <w:ind w:left="16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80"/>
              <w:spacing w:after="0"/>
              <w:rPr>
                <w:sz w:val="20"/>
                <w:szCs w:val="20"/>
                <w:color w:val="auto"/>
              </w:rPr>
            </w:pPr>
            <w:r>
              <w:rPr>
                <w:rFonts w:ascii="Arial" w:cs="Arial" w:eastAsia="Arial" w:hAnsi="Arial"/>
                <w:sz w:val="17"/>
                <w:szCs w:val="17"/>
                <w:color w:val="0000FF"/>
              </w:rPr>
              <w:t>10/19/2023</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10/19/2023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546</w:t>
            </w:r>
          </w:p>
        </w:tc>
        <w:tc>
          <w:tcPr>
            <w:tcW w:w="660" w:type="dxa"/>
            <w:vAlign w:val="bottom"/>
          </w:tcPr>
          <w:p>
            <w:pPr>
              <w:ind w:left="42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18,705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10/20/2023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164</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3.44</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18,541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546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10/19/2023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546</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2,729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4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23" w:lineRule="exact"/>
        <w:rPr>
          <w:rFonts w:ascii="Arial" w:cs="Arial" w:eastAsia="Arial" w:hAnsi="Arial"/>
          <w:sz w:val="13"/>
          <w:szCs w:val="13"/>
          <w:color w:val="008000"/>
        </w:rPr>
      </w:pPr>
    </w:p>
    <w:p>
      <w:pPr>
        <w:ind w:left="40" w:right="2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3/16th of the total shares vested on October 25, 2021, 1/16th of the total shares vested on January 19, 2022, and thereafter vests as to 1/16th of the total shares underlying the award in quarterly installments until fully vested on January 19, 2025, subject to the Reporting Person's continued service to the Issuer on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Devin Schaffer,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10/23/2023</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2023-10-23T17:04:25Z</dcterms:created>
  <dcterms:modified xsi:type="dcterms:W3CDTF">2023-10-23T17:04:25Z</dcterms:modified>
</cp:coreProperties>
</file>