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08/22/2025</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7"/>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08/22/2025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120.9039</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3,007,164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20,518</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19,247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Capital,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Casdin Partners Master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522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452247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Eli</w:t>
              </w:r>
            </w:hyperlink>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and may be deemed to be indirectly beneficially owned by Eli Casdin, the managing member of the GP.</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2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860"/>
          </w:cols>
          <w:pgMar w:left="480" w:top="125" w:right="55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3" Type="http://schemas.openxmlformats.org/officeDocument/2006/relationships/hyperlink" Target="http://www.sec.gov/cgi-bin/browse-edgar?action=getcompany&amp;CIK=000153426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2025-08-22T18:00:09Z</dcterms:created>
  <dcterms:modified xsi:type="dcterms:W3CDTF">2025-08-22T18:00:09Z</dcterms:modified>
</cp:coreProperties>
</file>