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231F20"/>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231F20"/>
        </w:rPr>
        <w:t>Pursuant to Section 13 OR 15(d) of The Securities Exchange Act of 1934</w:t>
      </w:r>
    </w:p>
    <w:p>
      <w:pPr>
        <w:spacing w:after="0" w:line="17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November 15, 2021</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Sema4 Holdings Corp.</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00"/>
          </w:cols>
          <w:pgMar w:left="300" w:top="922" w:right="299" w:bottom="1440" w:gutter="0" w:footer="0" w:header="0"/>
        </w:sectPr>
      </w:pPr>
    </w:p>
    <w:p>
      <w:pPr>
        <w:spacing w:after="0" w:line="155" w:lineRule="exact"/>
        <w:rPr>
          <w:sz w:val="24"/>
          <w:szCs w:val="24"/>
          <w:color w:val="auto"/>
        </w:rPr>
      </w:pPr>
    </w:p>
    <w:p>
      <w:pPr>
        <w:jc w:val="center"/>
        <w:ind w:left="72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7260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spacing w:after="0" w:line="17" w:lineRule="exact"/>
        <w:rPr>
          <w:sz w:val="24"/>
          <w:szCs w:val="24"/>
          <w:color w:val="auto"/>
        </w:rPr>
      </w:pPr>
    </w:p>
    <w:p>
      <w:pPr>
        <w:jc w:val="center"/>
        <w:ind w:left="7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77" w:lineRule="exact"/>
        <w:rPr>
          <w:sz w:val="24"/>
          <w:szCs w:val="24"/>
          <w:color w:val="auto"/>
        </w:rPr>
      </w:pPr>
    </w:p>
    <w:p>
      <w:pPr>
        <w:ind w:left="1620" w:right="340" w:hanging="566"/>
        <w:spacing w:after="0" w:line="328" w:lineRule="auto"/>
        <w:rPr>
          <w:sz w:val="20"/>
          <w:szCs w:val="20"/>
          <w:color w:val="auto"/>
        </w:rPr>
      </w:pPr>
      <w:r>
        <w:rPr>
          <w:rFonts w:ascii="Arial" w:cs="Arial" w:eastAsia="Arial" w:hAnsi="Arial"/>
          <w:sz w:val="11"/>
          <w:szCs w:val="11"/>
          <w:b w:val="1"/>
          <w:bCs w:val="1"/>
          <w:color w:val="auto"/>
        </w:rPr>
        <w:t>333 Ludlow Street, North Tower, 8th Floor Stamford, Connecticut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7260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380"/>
        <w:spacing w:after="0"/>
        <w:rPr>
          <w:sz w:val="20"/>
          <w:szCs w:val="20"/>
          <w:color w:val="auto"/>
        </w:rPr>
      </w:pPr>
      <w:r>
        <w:rPr>
          <w:rFonts w:ascii="Arial" w:cs="Arial" w:eastAsia="Arial" w:hAnsi="Arial"/>
          <w:sz w:val="12"/>
          <w:szCs w:val="12"/>
          <w:b w:val="1"/>
          <w:bCs w:val="1"/>
          <w:color w:val="auto"/>
        </w:rPr>
        <w:t>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29210</wp:posOffset>
            </wp:positionV>
            <wp:extent cx="16630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5715"/>
                    </a:xfrm>
                    <a:prstGeom prst="rect">
                      <a:avLst/>
                    </a:prstGeom>
                    <a:noFill/>
                  </pic:spPr>
                </pic:pic>
              </a:graphicData>
            </a:graphic>
          </wp:anchor>
        </w:drawing>
      </w:r>
    </w:p>
    <w:p>
      <w:pPr>
        <w:spacing w:after="0" w:line="35" w:lineRule="exact"/>
        <w:rPr>
          <w:sz w:val="24"/>
          <w:szCs w:val="24"/>
          <w:color w:val="auto"/>
        </w:rPr>
      </w:pPr>
    </w:p>
    <w:p>
      <w:pPr>
        <w:jc w:val="center"/>
        <w:ind w:right="380"/>
        <w:spacing w:after="0"/>
        <w:rPr>
          <w:sz w:val="20"/>
          <w:szCs w:val="20"/>
          <w:color w:val="auto"/>
        </w:rPr>
      </w:pPr>
      <w:r>
        <w:rPr>
          <w:rFonts w:ascii="Arial" w:cs="Arial" w:eastAsia="Arial" w:hAnsi="Arial"/>
          <w:sz w:val="12"/>
          <w:szCs w:val="12"/>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(800) 298-6470</w:t>
      </w:r>
    </w:p>
    <w:p>
      <w:pPr>
        <w:spacing w:after="0" w:line="17" w:lineRule="exact"/>
        <w:rPr>
          <w:sz w:val="24"/>
          <w:szCs w:val="24"/>
          <w:color w:val="auto"/>
        </w:rPr>
      </w:pPr>
    </w:p>
    <w:p>
      <w:pPr>
        <w:jc w:val="center"/>
        <w:ind w:right="440"/>
        <w:spacing w:after="0"/>
        <w:rPr>
          <w:sz w:val="20"/>
          <w:szCs w:val="20"/>
          <w:color w:val="auto"/>
        </w:rPr>
      </w:pPr>
      <w:r>
        <w:rPr>
          <w:rFonts w:ascii="Arial" w:cs="Arial" w:eastAsia="Arial" w:hAnsi="Arial"/>
          <w:sz w:val="12"/>
          <w:szCs w:val="12"/>
          <w:color w:val="auto"/>
        </w:rPr>
        <w:t>Registrant's telephone number, including area code</w:t>
      </w:r>
    </w:p>
    <w:p>
      <w:pPr>
        <w:spacing w:after="0"/>
        <w:rPr>
          <w:sz w:val="20"/>
          <w:szCs w:val="20"/>
          <w:color w:val="auto"/>
        </w:rPr>
      </w:pPr>
      <w:r>
        <w:rPr>
          <w:rFonts w:ascii="Arial" w:cs="Arial" w:eastAsia="Arial" w:hAnsi="Arial"/>
          <w:sz w:val="10"/>
          <w:szCs w:val="10"/>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85-1966622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1"/>
          <w:szCs w:val="11"/>
          <w:color w:val="auto"/>
        </w:rPr>
        <w:t>(I.R.S. Employer Identification No.)</w:t>
      </w:r>
    </w:p>
    <w:p>
      <w:pPr>
        <w:spacing w:after="0" w:line="248"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2"/>
          <w:szCs w:val="12"/>
          <w:color w:val="auto"/>
        </w:rPr>
        <w:t>(Zip Code)</w:t>
      </w:r>
    </w:p>
    <w:p>
      <w:pPr>
        <w:spacing w:after="0" w:line="672" w:lineRule="exact"/>
        <w:rPr>
          <w:sz w:val="24"/>
          <w:szCs w:val="24"/>
          <w:color w:val="auto"/>
        </w:rPr>
      </w:pPr>
    </w:p>
    <w:p>
      <w:pPr>
        <w:sectPr>
          <w:pgSz w:w="11900" w:h="16838" w:orient="portrait"/>
          <w:cols w:equalWidth="0" w:num="3">
            <w:col w:w="3580" w:space="580"/>
            <w:col w:w="3420" w:space="720"/>
            <w:col w:w="3000"/>
          </w:cols>
          <w:pgMar w:left="300" w:top="922" w:right="299" w:bottom="1440" w:gutter="0" w:footer="0" w:header="0"/>
          <w:type w:val="continuous"/>
        </w:sect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95"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14d-2(b) under the Exchange Act (17 CFR 240.14d-2(b))</w:t>
      </w:r>
    </w:p>
    <w:p>
      <w:pPr>
        <w:spacing w:after="0" w:line="186"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60" w:type="dxa"/>
            <w:vAlign w:val="bottom"/>
            <w:tcBorders>
              <w:bottom w:val="single" w:sz="8" w:color="CCEEFF"/>
            </w:tcBorders>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42"/>
        </w:trPr>
        <w:tc>
          <w:tcPr>
            <w:tcW w:w="49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Class A common stock, par value $0.0001 per share</w:t>
            </w:r>
          </w:p>
        </w:tc>
        <w:tc>
          <w:tcPr>
            <w:tcW w:w="206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3"/>
              </w:rPr>
              <w:t>SMFR</w:t>
            </w:r>
          </w:p>
        </w:tc>
        <w:tc>
          <w:tcPr>
            <w:tcW w:w="4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117"/>
        </w:trPr>
        <w:tc>
          <w:tcPr>
            <w:tcW w:w="4900" w:type="dxa"/>
            <w:vAlign w:val="bottom"/>
            <w:gridSpan w:val="2"/>
          </w:tcPr>
          <w:p>
            <w:pPr>
              <w:jc w:val="center"/>
              <w:ind w:right="80"/>
              <w:spacing w:after="0" w:line="117" w:lineRule="exact"/>
              <w:rPr>
                <w:sz w:val="20"/>
                <w:szCs w:val="20"/>
                <w:color w:val="auto"/>
              </w:rPr>
            </w:pPr>
            <w:r>
              <w:rPr>
                <w:rFonts w:ascii="Arial" w:cs="Arial" w:eastAsia="Arial" w:hAnsi="Arial"/>
                <w:sz w:val="12"/>
                <w:szCs w:val="12"/>
                <w:color w:val="auto"/>
                <w:w w:val="88"/>
              </w:rPr>
              <w:t>Warrants to purchase one share of Class A common stock, each at an exercise price of $11.50 per</w:t>
            </w:r>
          </w:p>
        </w:tc>
        <w:tc>
          <w:tcPr>
            <w:tcW w:w="2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2"/>
              </w:rPr>
              <w:t>SMFRW</w:t>
            </w:r>
          </w:p>
        </w:tc>
        <w:tc>
          <w:tcPr>
            <w:tcW w:w="4340" w:type="dxa"/>
            <w:vAlign w:val="bottom"/>
            <w:vMerge w:val="restart"/>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90"/>
        </w:trPr>
        <w:tc>
          <w:tcPr>
            <w:tcW w:w="490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86"/>
              </w:rPr>
              <w:t>share</w:t>
            </w:r>
          </w:p>
        </w:tc>
        <w:tc>
          <w:tcPr>
            <w:tcW w:w="2060" w:type="dxa"/>
            <w:vAlign w:val="bottom"/>
            <w:gridSpan w:val="2"/>
            <w:vMerge w:val="continue"/>
          </w:tcPr>
          <w:p>
            <w:pPr>
              <w:spacing w:after="0"/>
              <w:rPr>
                <w:sz w:val="7"/>
                <w:szCs w:val="7"/>
                <w:color w:val="auto"/>
              </w:rPr>
            </w:pPr>
          </w:p>
        </w:tc>
        <w:tc>
          <w:tcPr>
            <w:tcW w:w="4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900" w:type="dxa"/>
            <w:vAlign w:val="bottom"/>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spacing w:after="0" w:line="138" w:lineRule="exact"/>
        <w:rPr>
          <w:sz w:val="20"/>
          <w:szCs w:val="20"/>
          <w:color w:val="auto"/>
        </w:rPr>
      </w:pPr>
      <w:r>
        <w:rPr>
          <w:rFonts w:ascii="Arial" w:cs="Arial" w:eastAsia="Arial" w:hAnsi="Arial"/>
          <w:sz w:val="12"/>
          <w:szCs w:val="12"/>
          <w:color w:val="231F20"/>
        </w:rPr>
        <w:t xml:space="preserve">Emerging growth company </w:t>
      </w:r>
      <w:r>
        <w:rPr>
          <w:rFonts w:ascii="MS PGothic" w:cs="MS PGothic" w:eastAsia="MS PGothic" w:hAnsi="MS PGothic"/>
          <w:sz w:val="12"/>
          <w:szCs w:val="12"/>
          <w:color w:val="000000"/>
        </w:rPr>
        <w:t>☒</w:t>
      </w:r>
    </w:p>
    <w:p>
      <w:pPr>
        <w:spacing w:after="0" w:line="100"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454660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3"/>
          <w:szCs w:val="13"/>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80" w:lineRule="exact"/>
        <w:rPr>
          <w:sz w:val="20"/>
          <w:szCs w:val="20"/>
          <w:color w:val="auto"/>
        </w:rPr>
      </w:pPr>
    </w:p>
    <w:p>
      <w:pPr>
        <w:jc w:val="both"/>
        <w:spacing w:after="0" w:line="314" w:lineRule="auto"/>
        <w:rPr>
          <w:sz w:val="20"/>
          <w:szCs w:val="20"/>
          <w:color w:val="auto"/>
        </w:rPr>
      </w:pPr>
      <w:r>
        <w:rPr>
          <w:rFonts w:ascii="Arial" w:cs="Arial" w:eastAsia="Arial" w:hAnsi="Arial"/>
          <w:sz w:val="12"/>
          <w:szCs w:val="12"/>
          <w:color w:val="auto"/>
        </w:rPr>
        <w:t>On November 15, 2021, Sema4 Holdings Corp. (“Sema4 Holdings” or the “Company”) issued a press release (the “Press Release”) and will hold a conference call announcing the Company's financial results for the three and nine months ended September 30, 2021. Copies of the Press Release and Earnings Presentation are furnished as Exhibits 99.1 and 99.2, respectively, to this Current Report on Form 8-K.</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information furnished with this Item 2.02,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2"/>
          <w:szCs w:val="12"/>
          <w:b w:val="1"/>
          <w:bCs w:val="1"/>
          <w:color w:val="auto"/>
        </w:rPr>
        <w:t>Financial Statement and Exhibits.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6"/>
              </w:rPr>
              <w:t>Exhibit</w:t>
            </w:r>
          </w:p>
        </w:tc>
        <w:tc>
          <w:tcPr>
            <w:tcW w:w="2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0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7"/>
              </w:rPr>
              <w:t>Number</w:t>
            </w:r>
          </w:p>
        </w:tc>
        <w:tc>
          <w:tcPr>
            <w:tcW w:w="2580" w:type="dxa"/>
            <w:vAlign w:val="bottom"/>
          </w:tcPr>
          <w:p>
            <w:pPr>
              <w:spacing w:after="0"/>
              <w:rPr>
                <w:sz w:val="13"/>
                <w:szCs w:val="13"/>
                <w:color w:val="auto"/>
              </w:rPr>
            </w:pPr>
          </w:p>
        </w:tc>
        <w:tc>
          <w:tcPr>
            <w:tcW w:w="1580" w:type="dxa"/>
            <w:vAlign w:val="bottom"/>
            <w:vMerge w:val="restart"/>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w w:val="89"/>
              </w:rPr>
              <w:t>Description</w:t>
            </w:r>
          </w:p>
        </w:tc>
        <w:tc>
          <w:tcPr>
            <w:tcW w:w="51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51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jc w:val="center"/>
              <w:ind w:left="374"/>
              <w:spacing w:after="0"/>
              <w:rPr>
                <w:sz w:val="20"/>
                <w:szCs w:val="20"/>
                <w:color w:val="auto"/>
              </w:rPr>
            </w:pPr>
            <w:r>
              <w:rPr>
                <w:rFonts w:ascii="Arial" w:cs="Arial" w:eastAsia="Arial" w:hAnsi="Arial"/>
                <w:sz w:val="13"/>
                <w:szCs w:val="13"/>
                <w:color w:val="auto"/>
                <w:w w:val="94"/>
              </w:rPr>
              <w:t>99.1</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0" w:type="dxa"/>
            <w:vAlign w:val="bottom"/>
            <w:gridSpan w:val="5"/>
          </w:tcPr>
          <w:p>
            <w:pPr>
              <w:spacing w:after="0"/>
              <w:rPr>
                <w:rFonts w:ascii="Arial" w:cs="Arial" w:eastAsia="Arial" w:hAnsi="Arial"/>
                <w:sz w:val="13"/>
                <w:szCs w:val="13"/>
                <w:color w:val="0000FF"/>
              </w:rPr>
            </w:pPr>
            <w:hyperlink w:anchor="page4">
              <w:r>
                <w:rPr>
                  <w:rFonts w:ascii="Arial" w:cs="Arial" w:eastAsia="Arial" w:hAnsi="Arial"/>
                  <w:sz w:val="13"/>
                  <w:szCs w:val="13"/>
                  <w:color w:val="0000FF"/>
                </w:rPr>
                <w:t>Press Release, dated November 15, 2021, regarding the Registrant’s results for the quarter ended September 30, 2021</w:t>
              </w:r>
            </w:hyperlink>
          </w:p>
        </w:tc>
        <w:tc>
          <w:tcPr>
            <w:tcW w:w="0" w:type="dxa"/>
            <w:vAlign w:val="bottom"/>
          </w:tcPr>
          <w:p>
            <w:pPr>
              <w:spacing w:after="0"/>
              <w:rPr>
                <w:sz w:val="1"/>
                <w:szCs w:val="1"/>
                <w:color w:val="auto"/>
              </w:rPr>
            </w:pPr>
          </w:p>
        </w:tc>
      </w:tr>
      <w:tr>
        <w:trPr>
          <w:trHeight w:val="232"/>
        </w:trPr>
        <w:tc>
          <w:tcPr>
            <w:tcW w:w="840" w:type="dxa"/>
            <w:vAlign w:val="bottom"/>
            <w:gridSpan w:val="3"/>
            <w:vMerge w:val="restart"/>
          </w:tcPr>
          <w:p>
            <w:pPr>
              <w:jc w:val="center"/>
              <w:ind w:left="374"/>
              <w:spacing w:after="0"/>
              <w:rPr>
                <w:sz w:val="20"/>
                <w:szCs w:val="20"/>
                <w:color w:val="auto"/>
              </w:rPr>
            </w:pPr>
            <w:r>
              <w:rPr>
                <w:rFonts w:ascii="Arial" w:cs="Arial" w:eastAsia="Arial" w:hAnsi="Arial"/>
                <w:sz w:val="13"/>
                <w:szCs w:val="13"/>
                <w:color w:val="auto"/>
                <w:w w:val="94"/>
              </w:rPr>
              <w:t>99.2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Borders>
              <w:top w:val="single" w:sz="8" w:color="0000FF"/>
              <w:bottom w:val="single" w:sz="8" w:color="0000FF"/>
            </w:tcBorders>
          </w:tcPr>
          <w:p>
            <w:pPr>
              <w:spacing w:after="0"/>
              <w:rPr>
                <w:rFonts w:ascii="Arial" w:cs="Arial" w:eastAsia="Arial" w:hAnsi="Arial"/>
                <w:sz w:val="13"/>
                <w:szCs w:val="13"/>
                <w:color w:val="0000FF"/>
                <w:w w:val="89"/>
              </w:rPr>
            </w:pPr>
            <w:hyperlink w:anchor="page12">
              <w:r>
                <w:rPr>
                  <w:rFonts w:ascii="Arial" w:cs="Arial" w:eastAsia="Arial" w:hAnsi="Arial"/>
                  <w:sz w:val="13"/>
                  <w:szCs w:val="13"/>
                  <w:color w:val="0000FF"/>
                  <w:w w:val="89"/>
                </w:rPr>
                <w:t>Earnings Presentation, dated November 15, 2021</w:t>
              </w:r>
            </w:hyperlink>
          </w:p>
        </w:tc>
        <w:tc>
          <w:tcPr>
            <w:tcW w:w="3600" w:type="dxa"/>
            <w:vAlign w:val="bottom"/>
            <w:tcBorders>
              <w:top w:val="single" w:sz="8" w:color="0000FF"/>
              <w:bottom w:val="single" w:sz="8" w:color="0000FF"/>
            </w:tcBorders>
            <w:gridSpan w:val="3"/>
            <w:vMerge w:val="restart"/>
          </w:tcPr>
          <w:p>
            <w:pPr>
              <w:spacing w:after="0"/>
              <w:rPr>
                <w:sz w:val="20"/>
                <w:szCs w:val="20"/>
                <w:color w:val="auto"/>
              </w:rPr>
            </w:pPr>
          </w:p>
        </w:tc>
        <w:tc>
          <w:tcPr>
            <w:tcW w:w="38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8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3600" w:type="dxa"/>
            <w:vAlign w:val="bottom"/>
            <w:gridSpan w:val="3"/>
            <w:vMerge w:val="continue"/>
          </w:tcPr>
          <w:p>
            <w:pPr>
              <w:spacing w:after="0"/>
              <w:rPr>
                <w:sz w:val="3"/>
                <w:szCs w:val="3"/>
                <w:color w:val="auto"/>
              </w:rPr>
            </w:pPr>
          </w:p>
        </w:tc>
        <w:tc>
          <w:tcPr>
            <w:tcW w:w="3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18"/>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ind w:left="5020"/>
        <w:spacing w:after="0"/>
        <w:rPr>
          <w:sz w:val="20"/>
          <w:szCs w:val="20"/>
          <w:color w:val="auto"/>
        </w:rPr>
      </w:pPr>
      <w:r>
        <w:rPr>
          <w:rFonts w:ascii="Arial" w:cs="Arial" w:eastAsia="Arial" w:hAnsi="Arial"/>
          <w:sz w:val="13"/>
          <w:szCs w:val="13"/>
          <w:b w:val="1"/>
          <w:bCs w:val="1"/>
          <w:color w:val="auto"/>
        </w:rPr>
        <w:t>SIGNATURES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140" w:type="dxa"/>
            <w:vAlign w:val="bottom"/>
            <w:gridSpan w:val="2"/>
          </w:tcPr>
          <w:p>
            <w:pPr>
              <w:ind w:left="1520"/>
              <w:spacing w:after="0"/>
              <w:rPr>
                <w:sz w:val="20"/>
                <w:szCs w:val="20"/>
                <w:color w:val="auto"/>
              </w:rPr>
            </w:pPr>
            <w:r>
              <w:rPr>
                <w:rFonts w:ascii="Arial" w:cs="Arial" w:eastAsia="Arial" w:hAnsi="Arial"/>
                <w:sz w:val="13"/>
                <w:szCs w:val="13"/>
                <w:b w:val="1"/>
                <w:bCs w:val="1"/>
                <w:color w:val="auto"/>
              </w:rPr>
              <w:t>Sema4 Holdings Corp.</w:t>
            </w:r>
          </w:p>
        </w:tc>
      </w:tr>
      <w:tr>
        <w:trPr>
          <w:trHeight w:val="403"/>
        </w:trPr>
        <w:tc>
          <w:tcPr>
            <w:tcW w:w="600" w:type="dxa"/>
            <w:vAlign w:val="bottom"/>
          </w:tcPr>
          <w:p>
            <w:pPr>
              <w:spacing w:after="0"/>
              <w:rPr>
                <w:sz w:val="20"/>
                <w:szCs w:val="20"/>
                <w:color w:val="auto"/>
              </w:rPr>
            </w:pPr>
            <w:r>
              <w:rPr>
                <w:rFonts w:ascii="Arial" w:cs="Arial" w:eastAsia="Arial" w:hAnsi="Arial"/>
                <w:sz w:val="13"/>
                <w:szCs w:val="13"/>
                <w:color w:val="auto"/>
              </w:rPr>
              <w:t>Date:</w:t>
            </w:r>
          </w:p>
        </w:tc>
        <w:tc>
          <w:tcPr>
            <w:tcW w:w="2900" w:type="dxa"/>
            <w:vAlign w:val="bottom"/>
          </w:tcPr>
          <w:p>
            <w:pPr>
              <w:ind w:left="320"/>
              <w:spacing w:after="0"/>
              <w:rPr>
                <w:sz w:val="20"/>
                <w:szCs w:val="20"/>
                <w:color w:val="auto"/>
              </w:rPr>
            </w:pPr>
            <w:r>
              <w:rPr>
                <w:rFonts w:ascii="Arial" w:cs="Arial" w:eastAsia="Arial" w:hAnsi="Arial"/>
                <w:sz w:val="13"/>
                <w:szCs w:val="13"/>
                <w:color w:val="auto"/>
              </w:rPr>
              <w:t>November 15, 2021</w:t>
            </w:r>
          </w:p>
        </w:tc>
        <w:tc>
          <w:tcPr>
            <w:tcW w:w="2440" w:type="dxa"/>
            <w:vAlign w:val="bottom"/>
          </w:tcPr>
          <w:p>
            <w:pPr>
              <w:ind w:left="1520"/>
              <w:spacing w:after="0"/>
              <w:rPr>
                <w:sz w:val="20"/>
                <w:szCs w:val="20"/>
                <w:color w:val="auto"/>
              </w:rPr>
            </w:pPr>
            <w:r>
              <w:rPr>
                <w:rFonts w:ascii="Arial" w:cs="Arial" w:eastAsia="Arial" w:hAnsi="Arial"/>
                <w:sz w:val="13"/>
                <w:szCs w:val="13"/>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Eric Schadt</w:t>
            </w:r>
          </w:p>
        </w:tc>
      </w:tr>
      <w:tr>
        <w:trPr>
          <w:trHeight w:val="149"/>
        </w:trPr>
        <w:tc>
          <w:tcPr>
            <w:tcW w:w="6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40" w:type="dxa"/>
            <w:vAlign w:val="bottom"/>
          </w:tcPr>
          <w:p>
            <w:pPr>
              <w:ind w:left="1520"/>
              <w:spacing w:after="0"/>
              <w:rPr>
                <w:sz w:val="20"/>
                <w:szCs w:val="20"/>
                <w:color w:val="auto"/>
              </w:rPr>
            </w:pPr>
            <w:r>
              <w:rPr>
                <w:rFonts w:ascii="Arial" w:cs="Arial" w:eastAsia="Arial" w:hAnsi="Arial"/>
                <w:sz w:val="13"/>
                <w:szCs w:val="13"/>
                <w:color w:val="auto"/>
              </w:rPr>
              <w:t>Name:</w:t>
            </w:r>
          </w:p>
        </w:tc>
        <w:tc>
          <w:tcPr>
            <w:tcW w:w="4700" w:type="dxa"/>
            <w:vAlign w:val="bottom"/>
          </w:tcPr>
          <w:p>
            <w:pPr>
              <w:ind w:left="20"/>
              <w:spacing w:after="0"/>
              <w:rPr>
                <w:sz w:val="20"/>
                <w:szCs w:val="20"/>
                <w:color w:val="auto"/>
              </w:rPr>
            </w:pPr>
            <w:r>
              <w:rPr>
                <w:rFonts w:ascii="Arial" w:cs="Arial" w:eastAsia="Arial" w:hAnsi="Arial"/>
                <w:sz w:val="13"/>
                <w:szCs w:val="13"/>
                <w:color w:val="auto"/>
              </w:rPr>
              <w:t>Eric Schadt</w:t>
            </w:r>
          </w:p>
        </w:tc>
      </w:tr>
      <w:tr>
        <w:trPr>
          <w:trHeight w:val="166"/>
        </w:trPr>
        <w:tc>
          <w:tcPr>
            <w:tcW w:w="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40" w:type="dxa"/>
            <w:vAlign w:val="bottom"/>
          </w:tcPr>
          <w:p>
            <w:pPr>
              <w:ind w:left="1520"/>
              <w:spacing w:after="0"/>
              <w:rPr>
                <w:sz w:val="20"/>
                <w:szCs w:val="20"/>
                <w:color w:val="auto"/>
              </w:rPr>
            </w:pPr>
            <w:r>
              <w:rPr>
                <w:rFonts w:ascii="Arial" w:cs="Arial" w:eastAsia="Arial" w:hAnsi="Arial"/>
                <w:sz w:val="13"/>
                <w:szCs w:val="13"/>
                <w:color w:val="auto"/>
              </w:rPr>
              <w:t>Title:</w:t>
            </w:r>
          </w:p>
        </w:tc>
        <w:tc>
          <w:tcPr>
            <w:tcW w:w="470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0640"/>
          </w:cols>
          <w:pgMar w:left="500" w:top="872"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085850" cy="302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585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Reports Third Quarter 2021 Financial Results and Business Highlights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36% increase in test volume (excluding COVID-19 tests) compared to the same period last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17% growth in revenue (excluding COVID-19 tests) compared to the same period last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Full year 2021 total revenue guidance range of $201 million to $204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Sema4 to host conference call today at 4:30 p.m. ET</w:t>
      </w:r>
    </w:p>
    <w:p>
      <w:pPr>
        <w:spacing w:after="0" w:line="155" w:lineRule="exact"/>
        <w:rPr>
          <w:sz w:val="20"/>
          <w:szCs w:val="20"/>
          <w:color w:val="auto"/>
        </w:rPr>
      </w:pPr>
    </w:p>
    <w:p>
      <w:pPr>
        <w:jc w:val="both"/>
        <w:ind w:right="20"/>
        <w:spacing w:after="0" w:line="298" w:lineRule="auto"/>
        <w:rPr>
          <w:sz w:val="20"/>
          <w:szCs w:val="20"/>
          <w:color w:val="auto"/>
        </w:rPr>
      </w:pPr>
      <w:r>
        <w:rPr>
          <w:rFonts w:ascii="Arial" w:cs="Arial" w:eastAsia="Arial" w:hAnsi="Arial"/>
          <w:sz w:val="12"/>
          <w:szCs w:val="12"/>
          <w:b w:val="1"/>
          <w:bCs w:val="1"/>
          <w:color w:val="auto"/>
        </w:rPr>
        <w:t xml:space="preserve">STAMFORD, CT — November 15, 2021 — </w:t>
      </w:r>
      <w:r>
        <w:rPr>
          <w:rFonts w:ascii="Arial" w:cs="Arial" w:eastAsia="Arial" w:hAnsi="Arial"/>
          <w:sz w:val="12"/>
          <w:szCs w:val="12"/>
          <w:color w:val="0563C1"/>
        </w:rPr>
        <w:t>Sema4</w:t>
      </w:r>
      <w:r>
        <w:rPr>
          <w:rFonts w:ascii="Arial" w:cs="Arial" w:eastAsia="Arial" w:hAnsi="Arial"/>
          <w:sz w:val="12"/>
          <w:szCs w:val="12"/>
          <w:b w:val="1"/>
          <w:bCs w:val="1"/>
          <w:color w:val="auto"/>
        </w:rPr>
        <w:t xml:space="preserve"> </w:t>
      </w:r>
      <w:r>
        <w:rPr>
          <w:rFonts w:ascii="Arial" w:cs="Arial" w:eastAsia="Arial" w:hAnsi="Arial"/>
          <w:sz w:val="12"/>
          <w:szCs w:val="12"/>
          <w:color w:val="auto"/>
        </w:rPr>
        <w:t>Holdings Corp. (Nasdaq: SMFR) (“Sema4”), an AI-driven genomic and clinical data intelligence platform company, today reported the financial results for the third quarter ended</w:t>
      </w:r>
      <w:r>
        <w:rPr>
          <w:rFonts w:ascii="Arial" w:cs="Arial" w:eastAsia="Arial" w:hAnsi="Arial"/>
          <w:sz w:val="12"/>
          <w:szCs w:val="12"/>
          <w:b w:val="1"/>
          <w:bCs w:val="1"/>
          <w:color w:val="auto"/>
        </w:rPr>
        <w:t xml:space="preserve"> </w:t>
      </w:r>
      <w:r>
        <w:rPr>
          <w:rFonts w:ascii="Arial" w:cs="Arial" w:eastAsia="Arial" w:hAnsi="Arial"/>
          <w:sz w:val="12"/>
          <w:szCs w:val="12"/>
          <w:color w:val="auto"/>
        </w:rPr>
        <w:t>September 30, 2021 and provided an update on key strategic and operational initiatives.</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 xml:space="preserve">“We continued to make significant progress this quarter expanding our infrastructure while also building our platform of algorithms. These activities will allow us to better accommodate volume growth while increasing the resolution of data that each sample provides,” said </w:t>
      </w:r>
      <w:r>
        <w:rPr>
          <w:rFonts w:ascii="Arial" w:cs="Arial" w:eastAsia="Arial" w:hAnsi="Arial"/>
          <w:sz w:val="12"/>
          <w:szCs w:val="12"/>
          <w:u w:val="single" w:color="auto"/>
          <w:color w:val="0000FF"/>
        </w:rPr>
        <w:t>Eric Schadt</w:t>
      </w:r>
      <w:r>
        <w:rPr>
          <w:rFonts w:ascii="Arial" w:cs="Arial" w:eastAsia="Arial" w:hAnsi="Arial"/>
          <w:sz w:val="12"/>
          <w:szCs w:val="12"/>
          <w:color w:val="auto"/>
        </w:rPr>
        <w:t>, PhD, Founder and Chief Executive Officer of Sema4. “The access to capital from our public markets transition has allowed us to scale investments in technology, infrastructure, and people, all with the aim to better serve our current and future health system partners to enhance patient care. It is early days in the journey and we exited the quarter seeing accelerating growth and a broadening scope of opportunity in front of us.”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Third Quarter &amp; Recent Highlights</w:t>
      </w:r>
    </w:p>
    <w:p>
      <w:pPr>
        <w:spacing w:after="0" w:line="163" w:lineRule="exact"/>
        <w:rPr>
          <w:sz w:val="20"/>
          <w:szCs w:val="20"/>
          <w:color w:val="auto"/>
        </w:rPr>
      </w:pPr>
    </w:p>
    <w:p>
      <w:pPr>
        <w:ind w:left="420" w:right="20" w:hanging="212"/>
        <w:spacing w:after="0" w:line="266"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Diagnostic test volumes were up 36% compared to the same period of 2020, with 69,895 tests resulted during the third quarter of 2021 (excluding COVID-19 tests). This includes 166% growth in Oncology and 33% growth in Women’s Health.</w:t>
      </w: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Revenue in the third quarter increased 17% (excluding COVID-19 tests) compared to the same period of 2020, resulting in total revenue of $43.2 million compared to $38.6 million.</w:t>
      </w:r>
    </w:p>
    <w:p>
      <w:pPr>
        <w:spacing w:after="0" w:line="15" w:lineRule="exact"/>
        <w:rPr>
          <w:rFonts w:ascii="Arial" w:cs="Arial" w:eastAsia="Arial" w:hAnsi="Arial"/>
          <w:sz w:val="12"/>
          <w:szCs w:val="12"/>
          <w:color w:val="auto"/>
        </w:rPr>
      </w:pPr>
    </w:p>
    <w:p>
      <w:pPr>
        <w:ind w:left="400" w:hanging="192"/>
        <w:spacing w:after="0"/>
        <w:tabs>
          <w:tab w:leader="none" w:pos="400" w:val="left"/>
        </w:tabs>
        <w:numPr>
          <w:ilvl w:val="0"/>
          <w:numId w:val="2"/>
        </w:numPr>
        <w:rPr>
          <w:rFonts w:ascii="Arial" w:cs="Arial" w:eastAsia="Arial" w:hAnsi="Arial"/>
          <w:sz w:val="11"/>
          <w:szCs w:val="11"/>
          <w:color w:val="auto"/>
        </w:rPr>
      </w:pPr>
      <w:r>
        <w:rPr>
          <w:rFonts w:ascii="Arial" w:cs="Arial" w:eastAsia="Arial" w:hAnsi="Arial"/>
          <w:sz w:val="11"/>
          <w:szCs w:val="11"/>
          <w:color w:val="auto"/>
        </w:rPr>
        <w:t>Lab capacity and informatics infrastructure continued to be built out, enabling significantly higher volumes in support of deeper penetration of existing health systems and onboarding of additional health systems.</w:t>
      </w:r>
    </w:p>
    <w:p>
      <w:pPr>
        <w:spacing w:after="0" w:line="26" w:lineRule="exact"/>
        <w:rPr>
          <w:rFonts w:ascii="Arial" w:cs="Arial" w:eastAsia="Arial" w:hAnsi="Arial"/>
          <w:sz w:val="11"/>
          <w:szCs w:val="11"/>
          <w:color w:val="auto"/>
        </w:rPr>
      </w:pPr>
    </w:p>
    <w:p>
      <w:pPr>
        <w:ind w:left="400" w:hanging="192"/>
        <w:spacing w:after="0"/>
        <w:tabs>
          <w:tab w:leader="none" w:pos="400" w:val="left"/>
        </w:tabs>
        <w:numPr>
          <w:ilvl w:val="0"/>
          <w:numId w:val="2"/>
        </w:numPr>
        <w:rPr>
          <w:rFonts w:ascii="Arial" w:cs="Arial" w:eastAsia="Arial" w:hAnsi="Arial"/>
          <w:sz w:val="10"/>
          <w:szCs w:val="10"/>
          <w:color w:val="auto"/>
        </w:rPr>
      </w:pPr>
      <w:r>
        <w:rPr>
          <w:rFonts w:ascii="Arial" w:cs="Arial" w:eastAsia="Arial" w:hAnsi="Arial"/>
          <w:sz w:val="10"/>
          <w:szCs w:val="10"/>
          <w:color w:val="auto"/>
        </w:rPr>
        <w:t>Announced a fourth health system partnership, Avera Health, and the launch of a broad precision medicine initiative to leverage Sema4’s health intelligence platform to curate data and create predictive system-wide modeling.</w:t>
      </w:r>
    </w:p>
    <w:p>
      <w:pPr>
        <w:spacing w:after="0" w:line="38" w:lineRule="exact"/>
        <w:rPr>
          <w:rFonts w:ascii="Arial" w:cs="Arial" w:eastAsia="Arial" w:hAnsi="Arial"/>
          <w:sz w:val="10"/>
          <w:szCs w:val="10"/>
          <w:color w:val="auto"/>
        </w:rPr>
      </w:pPr>
    </w:p>
    <w:p>
      <w:pPr>
        <w:ind w:left="400" w:hanging="192"/>
        <w:spacing w:after="0"/>
        <w:tabs>
          <w:tab w:leader="none" w:pos="400" w:val="left"/>
        </w:tabs>
        <w:numPr>
          <w:ilvl w:val="0"/>
          <w:numId w:val="2"/>
        </w:numPr>
        <w:rPr>
          <w:rFonts w:ascii="Arial" w:cs="Arial" w:eastAsia="Arial" w:hAnsi="Arial"/>
          <w:sz w:val="11"/>
          <w:szCs w:val="11"/>
          <w:color w:val="auto"/>
        </w:rPr>
      </w:pPr>
      <w:r>
        <w:rPr>
          <w:rFonts w:ascii="Arial" w:cs="Arial" w:eastAsia="Arial" w:hAnsi="Arial"/>
          <w:sz w:val="11"/>
          <w:szCs w:val="11"/>
          <w:color w:val="auto"/>
        </w:rPr>
        <w:t>Centrellis now contains over 11.9 million de-identified individual clinical records, including over 500,000 with matching clinical genomic profiles, making it one of the largest known data set of this kind in the world.</w:t>
      </w:r>
    </w:p>
    <w:p>
      <w:pPr>
        <w:spacing w:after="0" w:line="35" w:lineRule="exact"/>
        <w:rPr>
          <w:rFonts w:ascii="Arial" w:cs="Arial" w:eastAsia="Arial" w:hAnsi="Arial"/>
          <w:sz w:val="11"/>
          <w:szCs w:val="11"/>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Launched Sema4 Elements</w:t>
      </w:r>
      <w:r>
        <w:rPr>
          <w:rFonts w:ascii="Arial" w:cs="Arial" w:eastAsia="Arial" w:hAnsi="Arial"/>
          <w:sz w:val="12"/>
          <w:szCs w:val="12"/>
          <w:color w:val="4D5156"/>
        </w:rPr>
        <w:t>™,</w:t>
      </w:r>
      <w:r>
        <w:rPr>
          <w:rFonts w:ascii="Arial" w:cs="Arial" w:eastAsia="Arial" w:hAnsi="Arial"/>
          <w:sz w:val="12"/>
          <w:szCs w:val="12"/>
          <w:color w:val="auto"/>
        </w:rPr>
        <w:t xml:space="preserve"> our portfolio of data science-driven products and services to support reproductive and generational health.</w:t>
      </w:r>
    </w:p>
    <w:p>
      <w:pPr>
        <w:spacing w:after="0" w:line="16" w:lineRule="exact"/>
        <w:rPr>
          <w:rFonts w:ascii="Arial" w:cs="Arial" w:eastAsia="Arial" w:hAnsi="Arial"/>
          <w:sz w:val="12"/>
          <w:szCs w:val="12"/>
          <w:color w:val="auto"/>
        </w:rPr>
      </w:pPr>
    </w:p>
    <w:p>
      <w:pPr>
        <w:ind w:left="420" w:right="20" w:hanging="212"/>
        <w:spacing w:after="0" w:line="241"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Published two papers in collaboration with the Icahn School of Medicine at Mount Sinai focused on the prediction of Postpartum Hemorrhage using Sema4 machine learning algorithms, derived from large-scale, comprehensive real-world data, to predict clinical outcomes and drive meaningful changes in the standard of care.</w:t>
      </w: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Strengthened executive team by adding a world-renowned expert in computational biology, Gustavo Stolovitzky, as Chief Science Officer in September.</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Third Quarter Financial Results</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Total revenue for the third quarter of 2021 was $43.2 million, compared to $38.6 million in the third quarter of 2020. Revenue growth was driven primarily by an increase of volume from Women’s Health and Oncology testing.</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Cost of services was $58.8 million in the third quarter of 2021, compared to $36.5 million in the same period of 2020. The increase was a result of expansion at our Stamford clinical laboratory, increased headcount, investments in systems and higher logistical and supply costs due to increased volumes in our non-COVID business. We anticipate these new investments will enable us to support continued volume growth with significantly higher cost efficiencies over time.</w:t>
      </w:r>
    </w:p>
    <w:p>
      <w:pPr>
        <w:sectPr>
          <w:pgSz w:w="11900" w:h="16838" w:orient="portrait"/>
          <w:cols w:equalWidth="0" w:num="1">
            <w:col w:w="11300"/>
          </w:cols>
          <w:pgMar w:left="300" w:top="145"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085850" cy="302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85850" cy="302895"/>
                    </a:xfrm>
                    <a:prstGeom prst="rect">
                      <a:avLst/>
                    </a:prstGeom>
                    <a:noFill/>
                  </pic:spPr>
                </pic:pic>
              </a:graphicData>
            </a:graphic>
          </wp:anchor>
        </w:drawing>
        <w:t>Adjusted cost of service, which excludes stock-based compensation expense was $55.1 million in the third quarter of 2021, compared to $33.0 million in the same period of 2020.</w:t>
      </w:r>
    </w:p>
    <w:p>
      <w:pPr>
        <w:spacing w:after="0" w:line="159"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Operating expenses for the third quarter of 2021 were $74.0 million, compared to operating expenses of $58.1 million in the third quarter of 2020. The increase in operating expenses was due in part to higher personnel-related costs as we build out our laboratory operations and investment in our health intelligence platform, as well as incremental public company expenses.</w:t>
      </w:r>
    </w:p>
    <w:p>
      <w:pPr>
        <w:spacing w:after="0" w:line="114" w:lineRule="exact"/>
        <w:rPr>
          <w:sz w:val="20"/>
          <w:szCs w:val="20"/>
          <w:color w:val="auto"/>
        </w:rPr>
      </w:pPr>
    </w:p>
    <w:p>
      <w:pPr>
        <w:jc w:val="both"/>
        <w:ind w:right="20"/>
        <w:spacing w:after="0" w:line="292" w:lineRule="auto"/>
        <w:rPr>
          <w:sz w:val="20"/>
          <w:szCs w:val="20"/>
          <w:color w:val="auto"/>
        </w:rPr>
      </w:pPr>
      <w:r>
        <w:rPr>
          <w:rFonts w:ascii="Arial" w:cs="Arial" w:eastAsia="Arial" w:hAnsi="Arial"/>
          <w:sz w:val="12"/>
          <w:szCs w:val="12"/>
          <w:color w:val="auto"/>
        </w:rPr>
        <w:t>Adjusted operating expenses, which excludes stock-based compensation and non-recurring transaction costs associated with our go public process, for the third quarter of 2021 were $59.3 million, compared to $32.1 million in the same period of 2020.</w:t>
      </w:r>
    </w:p>
    <w:p>
      <w:pPr>
        <w:spacing w:after="0" w:line="114"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Net income for the third quarter of 2021 was $31.4 million compared to a net loss of ($56.6) million for the same period in 2020. Net income included other income of $122.2 million related to the change in fair market value of warrant and earn-out contingent liabilities recorded in connection with the merger with CM Life Sciences, Inc.</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Total cash, including cash equivalents, was $461.3 million as of September 30, 2021. As of November 8, 2021, Sema4 had 241,261,362 outstanding shares of Class A common stock.</w:t>
      </w:r>
    </w:p>
    <w:p>
      <w:pPr>
        <w:spacing w:after="0" w:line="159" w:lineRule="exact"/>
        <w:rPr>
          <w:sz w:val="20"/>
          <w:szCs w:val="20"/>
          <w:color w:val="auto"/>
        </w:rPr>
      </w:pPr>
    </w:p>
    <w:p>
      <w:pPr>
        <w:jc w:val="both"/>
        <w:spacing w:after="0" w:line="340" w:lineRule="auto"/>
        <w:rPr>
          <w:sz w:val="20"/>
          <w:szCs w:val="20"/>
          <w:color w:val="auto"/>
        </w:rPr>
      </w:pPr>
      <w:r>
        <w:rPr>
          <w:rFonts w:ascii="Arial" w:cs="Arial" w:eastAsia="Arial" w:hAnsi="Arial"/>
          <w:sz w:val="11"/>
          <w:szCs w:val="11"/>
          <w:color w:val="auto"/>
        </w:rPr>
        <w:t xml:space="preserve">“We are in growth mode and made a number of investments in the quarter to capitalize on the current and future opportunities for growth at Sema4,” said </w:t>
      </w:r>
      <w:r>
        <w:rPr>
          <w:rFonts w:ascii="Arial" w:cs="Arial" w:eastAsia="Arial" w:hAnsi="Arial"/>
          <w:sz w:val="11"/>
          <w:szCs w:val="11"/>
          <w:u w:val="single" w:color="auto"/>
          <w:color w:val="0000FF"/>
        </w:rPr>
        <w:t>Isaac Ro</w:t>
      </w:r>
      <w:r>
        <w:rPr>
          <w:rFonts w:ascii="Arial" w:cs="Arial" w:eastAsia="Arial" w:hAnsi="Arial"/>
          <w:sz w:val="11"/>
          <w:szCs w:val="11"/>
          <w:color w:val="auto"/>
        </w:rPr>
        <w:t>, Chief Financial Officer of Sema4. “We expect those investments to drive improved financial performance in subsequent quarters with higher reimbursement in our oncology portfolio, enhanced sales force productivity, and greater efficiency in our lab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Full Year and Fourth Quarter 2021 Guidance</w:t>
      </w:r>
    </w:p>
    <w:p>
      <w:pPr>
        <w:spacing w:after="0" w:line="163" w:lineRule="exact"/>
        <w:rPr>
          <w:sz w:val="20"/>
          <w:szCs w:val="20"/>
          <w:color w:val="auto"/>
        </w:rPr>
      </w:pPr>
    </w:p>
    <w:p>
      <w:pPr>
        <w:jc w:val="both"/>
        <w:spacing w:after="0" w:line="340" w:lineRule="auto"/>
        <w:rPr>
          <w:sz w:val="20"/>
          <w:szCs w:val="20"/>
          <w:color w:val="auto"/>
        </w:rPr>
      </w:pPr>
      <w:r>
        <w:rPr>
          <w:rFonts w:ascii="Arial" w:cs="Arial" w:eastAsia="Arial" w:hAnsi="Arial"/>
          <w:sz w:val="11"/>
          <w:szCs w:val="11"/>
          <w:color w:val="auto"/>
        </w:rPr>
        <w:t>Sema4 expects full year 2021 total revenue to be in the range of $201 million to $204 million. Fourth quarter resulted volume is expected to be in the range of 73,000 to 79,000 tests (excluding COVID-19 tests). This range implies 20% to 30% resulted volume growth (excluding COVID-19 tests) compared to the fourth quarter of 2020 and 9% growth (excluding COVID-19) at the midpoint compared to the third quarter of 2021.</w:t>
      </w:r>
    </w:p>
    <w:p>
      <w:pPr>
        <w:spacing w:after="0" w:line="92"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These statements are forward-looking and actual results may differ materially. Refer to the Forward-Looking Statements safe harbor below for information on the factors that could cause our actual results to differ materially from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Webcast and Conference Call Details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 xml:space="preserve">Sema4 will host a conference call today, November 15, 2021, at 4:30 p.m. Eastern Time. Interested parties may access the live teleconference by dialing (844) 631-4065 for domestic callers or (929) 517-0920 for international callers, followed by conference ID: 4636627. A live and archived webcast of the event will also be available on the “Events” section of the Sema4 investor relations website at </w:t>
      </w:r>
      <w:r>
        <w:rPr>
          <w:rFonts w:ascii="Arial" w:cs="Arial" w:eastAsia="Arial" w:hAnsi="Arial"/>
          <w:sz w:val="12"/>
          <w:szCs w:val="12"/>
          <w:u w:val="single" w:color="auto"/>
          <w:color w:val="0000FF"/>
        </w:rPr>
        <w:t>https://ir.sema4.com/</w:t>
      </w:r>
      <w:r>
        <w:rPr>
          <w:rFonts w:ascii="Arial" w:cs="Arial" w:eastAsia="Arial" w:hAnsi="Arial"/>
          <w:sz w:val="12"/>
          <w:szCs w:val="12"/>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This press release contains certain forward-looking statements within the meaning of the federal securities laws, including statements regarding our future performance and our market opportunity, including our long-term goal for 2023 revenue, and our expectations for our growth and future investment in our business.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ability to implement business plans, goals and forecasts, and identify and realize additional opportunities, (ii) the risk of downturns and a changing regulatory landscape in the highly competitive healthcare industry, and (iii) the</w:t>
      </w:r>
    </w:p>
    <w:p>
      <w:pPr>
        <w:sectPr>
          <w:pgSz w:w="11900" w:h="16838" w:orient="portrait"/>
          <w:cols w:equalWidth="0" w:num="1">
            <w:col w:w="11300"/>
          </w:cols>
          <w:pgMar w:left="300" w:top="1130" w:right="299" w:bottom="1440" w:gutter="0" w:footer="0" w:header="0"/>
        </w:sectPr>
      </w:pPr>
    </w:p>
    <w:bookmarkStart w:id="5" w:name="page6"/>
    <w:bookmarkEnd w:id="5"/>
    <w:p>
      <w:pPr>
        <w:jc w:val="both"/>
        <w:spacing w:after="0" w:line="29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085850" cy="302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85850" cy="302895"/>
                    </a:xfrm>
                    <a:prstGeom prst="rect">
                      <a:avLst/>
                    </a:prstGeom>
                    <a:noFill/>
                  </pic:spPr>
                </pic:pic>
              </a:graphicData>
            </a:graphic>
          </wp:anchor>
        </w:drawing>
        <w:t>size and growth of the market in which we operate. In particular, our ability to achieve our long-term goal for 2023 revenue is highly dependent on a number of variables, including our ability to increase the number of billable tests and achieve reimbursement for our tests from third-party payers, our ability to successfully execute our technology and business development plans and growth strategy, our ability to compete in rapidly developing markets, our ability to demonstrate the clinical utility of and continue to commercialize our platforms including Centrellis and Traversa, and the continuation of favorable regulations affecting the markets in which we operate. The foregoing list of factors is not exhaustive. You should carefully consider the foregoing factors and the other risks and uncertainties described in the “Risk Factors” section of our Registration Statement on Form S-1 filed with the U.S. Securities and Exchange Commission (the “SEC”) on August 4, 2021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 Furthermore, our long-term goal for 2023 revenue should not be looked upon as “guidance” of any sort.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Sema4</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sema4.com and connect with Sema4 on </w:t>
      </w:r>
      <w:r>
        <w:rPr>
          <w:rFonts w:ascii="Arial" w:cs="Arial" w:eastAsia="Arial" w:hAnsi="Arial"/>
          <w:sz w:val="12"/>
          <w:szCs w:val="12"/>
          <w:color w:val="0563C1"/>
        </w:rPr>
        <w:t>Twitter</w:t>
      </w:r>
      <w:r>
        <w:rPr>
          <w:rFonts w:ascii="Arial" w:cs="Arial" w:eastAsia="Arial" w:hAnsi="Arial"/>
          <w:sz w:val="12"/>
          <w:szCs w:val="12"/>
          <w:color w:val="auto"/>
        </w:rPr>
        <w:t xml:space="preserve">, </w:t>
      </w:r>
      <w:r>
        <w:rPr>
          <w:rFonts w:ascii="Arial" w:cs="Arial" w:eastAsia="Arial" w:hAnsi="Arial"/>
          <w:sz w:val="12"/>
          <w:szCs w:val="12"/>
          <w:color w:val="0563C1"/>
        </w:rPr>
        <w:t>LinkedIn</w:t>
      </w:r>
      <w:r>
        <w:rPr>
          <w:rFonts w:ascii="Arial" w:cs="Arial" w:eastAsia="Arial" w:hAnsi="Arial"/>
          <w:sz w:val="12"/>
          <w:szCs w:val="12"/>
          <w:color w:val="auto"/>
        </w:rPr>
        <w:t xml:space="preserve">, </w:t>
      </w:r>
      <w:r>
        <w:rPr>
          <w:rFonts w:ascii="Arial" w:cs="Arial" w:eastAsia="Arial" w:hAnsi="Arial"/>
          <w:sz w:val="12"/>
          <w:szCs w:val="12"/>
          <w:color w:val="0563C1"/>
        </w:rPr>
        <w:t>Facebook</w:t>
      </w:r>
      <w:r>
        <w:rPr>
          <w:rFonts w:ascii="Arial" w:cs="Arial" w:eastAsia="Arial" w:hAnsi="Arial"/>
          <w:sz w:val="12"/>
          <w:szCs w:val="12"/>
          <w:color w:val="auto"/>
        </w:rPr>
        <w:t xml:space="preserve"> and </w:t>
      </w:r>
      <w:r>
        <w:rPr>
          <w:rFonts w:ascii="Arial" w:cs="Arial" w:eastAsia="Arial" w:hAnsi="Arial"/>
          <w:sz w:val="12"/>
          <w:szCs w:val="12"/>
          <w:color w:val="0563C1"/>
        </w:rPr>
        <w:t>YouTube</w:t>
      </w:r>
      <w:r>
        <w:rPr>
          <w:rFonts w:ascii="Arial" w:cs="Arial" w:eastAsia="Arial" w:hAnsi="Arial"/>
          <w:sz w:val="12"/>
          <w:szCs w:val="12"/>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 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Joel Kaufman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0563C1"/>
        </w:rPr>
        <w:t>investors@sema4.com</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Radley Moss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0563C1"/>
        </w:rPr>
        <w:t>radley.moss@sema4.com</w:t>
      </w:r>
    </w:p>
    <w:p>
      <w:pPr>
        <w:sectPr>
          <w:pgSz w:w="11900" w:h="16838" w:orient="portrait"/>
          <w:cols w:equalWidth="0" w:num="1">
            <w:col w:w="11300"/>
          </w:cols>
          <w:pgMar w:left="300" w:top="1130"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Sema4 Holdings Corp.</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Balance Sheets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right"/>
              <w:ind w:right="186"/>
              <w:spacing w:after="0"/>
              <w:rPr>
                <w:sz w:val="20"/>
                <w:szCs w:val="20"/>
                <w:color w:val="auto"/>
              </w:rPr>
            </w:pPr>
            <w:r>
              <w:rPr>
                <w:rFonts w:ascii="Arial" w:cs="Arial" w:eastAsia="Arial" w:hAnsi="Arial"/>
                <w:sz w:val="11"/>
                <w:szCs w:val="11"/>
                <w:b w:val="1"/>
                <w:bCs w:val="1"/>
                <w:color w:val="auto"/>
                <w:w w:val="95"/>
              </w:rPr>
              <w:t>September 30, 2021</w:t>
            </w: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47"/>
        </w:trPr>
        <w:tc>
          <w:tcPr>
            <w:tcW w:w="84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(unaudited)</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w w:val="96"/>
              </w:rPr>
              <w:t>December 31, 2020</w:t>
            </w:r>
          </w:p>
        </w:tc>
      </w:tr>
      <w:tr>
        <w:trPr>
          <w:trHeight w:val="140"/>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Assets</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7"/>
        </w:trPr>
        <w:tc>
          <w:tcPr>
            <w:tcW w:w="8480" w:type="dxa"/>
            <w:vAlign w:val="bottom"/>
          </w:tcPr>
          <w:p>
            <w:pPr>
              <w:ind w:left="40"/>
              <w:spacing w:after="0"/>
              <w:rPr>
                <w:sz w:val="20"/>
                <w:szCs w:val="20"/>
                <w:color w:val="auto"/>
              </w:rPr>
            </w:pPr>
            <w:r>
              <w:rPr>
                <w:rFonts w:ascii="Arial" w:cs="Arial" w:eastAsia="Arial" w:hAnsi="Arial"/>
                <w:sz w:val="11"/>
                <w:szCs w:val="11"/>
                <w:color w:val="auto"/>
              </w:rPr>
              <w:t>Current assets:</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9"/>
        </w:trPr>
        <w:tc>
          <w:tcPr>
            <w:tcW w:w="84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461,276</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108,132</w:t>
            </w:r>
          </w:p>
        </w:tc>
      </w:tr>
      <w:tr>
        <w:trPr>
          <w:trHeight w:val="147"/>
        </w:trPr>
        <w:tc>
          <w:tcPr>
            <w:tcW w:w="8480" w:type="dxa"/>
            <w:vAlign w:val="bottom"/>
          </w:tcPr>
          <w:p>
            <w:pPr>
              <w:ind w:left="120"/>
              <w:spacing w:after="0"/>
              <w:rPr>
                <w:sz w:val="20"/>
                <w:szCs w:val="20"/>
                <w:color w:val="auto"/>
              </w:rPr>
            </w:pPr>
            <w:r>
              <w:rPr>
                <w:rFonts w:ascii="Arial" w:cs="Arial" w:eastAsia="Arial" w:hAnsi="Arial"/>
                <w:sz w:val="11"/>
                <w:szCs w:val="11"/>
                <w:color w:val="auto"/>
              </w:rPr>
              <w:t>Accounts receivable</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21,257</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32,044</w:t>
            </w:r>
          </w:p>
        </w:tc>
      </w:tr>
      <w:tr>
        <w:trPr>
          <w:trHeight w:val="159"/>
        </w:trPr>
        <w:tc>
          <w:tcPr>
            <w:tcW w:w="84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Due from related parties</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w:t>
            </w:r>
          </w:p>
        </w:tc>
      </w:tr>
      <w:tr>
        <w:trPr>
          <w:trHeight w:val="147"/>
        </w:trPr>
        <w:tc>
          <w:tcPr>
            <w:tcW w:w="8480" w:type="dxa"/>
            <w:vAlign w:val="bottom"/>
          </w:tcPr>
          <w:p>
            <w:pPr>
              <w:ind w:left="120"/>
              <w:spacing w:after="0"/>
              <w:rPr>
                <w:sz w:val="20"/>
                <w:szCs w:val="20"/>
                <w:color w:val="auto"/>
              </w:rPr>
            </w:pPr>
            <w:r>
              <w:rPr>
                <w:rFonts w:ascii="Arial" w:cs="Arial" w:eastAsia="Arial" w:hAnsi="Arial"/>
                <w:sz w:val="11"/>
                <w:szCs w:val="11"/>
                <w:color w:val="auto"/>
              </w:rPr>
              <w:t>Inventory</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31,174</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24,962</w:t>
            </w:r>
          </w:p>
        </w:tc>
      </w:tr>
      <w:tr>
        <w:trPr>
          <w:trHeight w:val="160"/>
        </w:trPr>
        <w:tc>
          <w:tcPr>
            <w:tcW w:w="84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Prepaid expenses</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20,205</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4,557</w:t>
            </w:r>
          </w:p>
        </w:tc>
      </w:tr>
      <w:tr>
        <w:trPr>
          <w:trHeight w:val="146"/>
        </w:trPr>
        <w:tc>
          <w:tcPr>
            <w:tcW w:w="84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 current assets</w:t>
            </w: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4,186</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4,124</w:t>
            </w:r>
          </w:p>
        </w:tc>
      </w:tr>
      <w:tr>
        <w:trPr>
          <w:trHeight w:val="149"/>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 current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538,511</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174,108</w:t>
            </w:r>
          </w:p>
        </w:tc>
      </w:tr>
      <w:tr>
        <w:trPr>
          <w:trHeight w:val="146"/>
        </w:trPr>
        <w:tc>
          <w:tcPr>
            <w:tcW w:w="8480" w:type="dxa"/>
            <w:vAlign w:val="bottom"/>
          </w:tcPr>
          <w:p>
            <w:pPr>
              <w:ind w:left="40"/>
              <w:spacing w:after="0"/>
              <w:rPr>
                <w:sz w:val="20"/>
                <w:szCs w:val="20"/>
                <w:color w:val="auto"/>
              </w:rPr>
            </w:pPr>
            <w:r>
              <w:rPr>
                <w:rFonts w:ascii="Arial" w:cs="Arial" w:eastAsia="Arial" w:hAnsi="Arial"/>
                <w:sz w:val="11"/>
                <w:szCs w:val="11"/>
                <w:color w:val="auto"/>
              </w:rPr>
              <w:t>Property and equipment, net</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60,333</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63,110</w:t>
            </w:r>
          </w:p>
        </w:tc>
      </w:tr>
      <w:tr>
        <w:trPr>
          <w:trHeight w:val="160"/>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Restricted cash</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10,828</w:t>
            </w:r>
          </w:p>
        </w:tc>
      </w:tr>
      <w:tr>
        <w:trPr>
          <w:trHeight w:val="146"/>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Other assets</w:t>
            </w: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3,613</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3,596</w:t>
            </w:r>
          </w:p>
        </w:tc>
      </w:tr>
      <w:tr>
        <w:trPr>
          <w:trHeight w:val="156"/>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 assets</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603,357</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251,642</w:t>
            </w:r>
          </w:p>
        </w:tc>
      </w:tr>
      <w:tr>
        <w:trPr>
          <w:trHeight w:val="17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3"/>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Liabilities, Redeemable Convertible Preferred Stock and Stockholders’ Equity (Deficit)</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46"/>
        </w:trPr>
        <w:tc>
          <w:tcPr>
            <w:tcW w:w="8480" w:type="dxa"/>
            <w:vAlign w:val="bottom"/>
          </w:tcPr>
          <w:p>
            <w:pPr>
              <w:ind w:left="40"/>
              <w:spacing w:after="0"/>
              <w:rPr>
                <w:sz w:val="20"/>
                <w:szCs w:val="20"/>
                <w:color w:val="auto"/>
              </w:rPr>
            </w:pPr>
            <w:r>
              <w:rPr>
                <w:rFonts w:ascii="Arial" w:cs="Arial" w:eastAsia="Arial" w:hAnsi="Arial"/>
                <w:sz w:val="11"/>
                <w:szCs w:val="11"/>
                <w:color w:val="auto"/>
              </w:rPr>
              <w:t>Current liabilities:</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60"/>
        </w:trPr>
        <w:tc>
          <w:tcPr>
            <w:tcW w:w="84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Accounts payable and accrued expenses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43,079</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38,591</w:t>
            </w:r>
          </w:p>
        </w:tc>
      </w:tr>
      <w:tr>
        <w:trPr>
          <w:trHeight w:val="147"/>
        </w:trPr>
        <w:tc>
          <w:tcPr>
            <w:tcW w:w="8480" w:type="dxa"/>
            <w:vAlign w:val="bottom"/>
          </w:tcPr>
          <w:p>
            <w:pPr>
              <w:ind w:left="120"/>
              <w:spacing w:after="0"/>
              <w:rPr>
                <w:sz w:val="20"/>
                <w:szCs w:val="20"/>
                <w:color w:val="auto"/>
              </w:rPr>
            </w:pPr>
            <w:r>
              <w:rPr>
                <w:rFonts w:ascii="Arial" w:cs="Arial" w:eastAsia="Arial" w:hAnsi="Arial"/>
                <w:sz w:val="11"/>
                <w:szCs w:val="11"/>
                <w:color w:val="auto"/>
              </w:rPr>
              <w:t>Due to related parties</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1,425</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1,425</w:t>
            </w:r>
          </w:p>
        </w:tc>
      </w:tr>
      <w:tr>
        <w:trPr>
          <w:trHeight w:val="159"/>
        </w:trPr>
        <w:tc>
          <w:tcPr>
            <w:tcW w:w="84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Current contract liabilities</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1,783</w:t>
            </w:r>
          </w:p>
        </w:tc>
      </w:tr>
      <w:tr>
        <w:trPr>
          <w:trHeight w:val="147"/>
        </w:trPr>
        <w:tc>
          <w:tcPr>
            <w:tcW w:w="84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 current liabilities</w:t>
            </w: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26,369</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31,643</w:t>
            </w:r>
          </w:p>
        </w:tc>
      </w:tr>
      <w:tr>
        <w:trPr>
          <w:trHeight w:val="148"/>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 current liabilities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71,366</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73,442</w:t>
            </w:r>
          </w:p>
        </w:tc>
      </w:tr>
      <w:tr>
        <w:trPr>
          <w:trHeight w:val="147"/>
        </w:trPr>
        <w:tc>
          <w:tcPr>
            <w:tcW w:w="8480" w:type="dxa"/>
            <w:vAlign w:val="bottom"/>
          </w:tcPr>
          <w:p>
            <w:pPr>
              <w:ind w:left="40"/>
              <w:spacing w:after="0"/>
              <w:rPr>
                <w:sz w:val="20"/>
                <w:szCs w:val="20"/>
                <w:color w:val="auto"/>
              </w:rPr>
            </w:pPr>
            <w:r>
              <w:rPr>
                <w:rFonts w:ascii="Arial" w:cs="Arial" w:eastAsia="Arial" w:hAnsi="Arial"/>
                <w:sz w:val="11"/>
                <w:szCs w:val="11"/>
                <w:color w:val="auto"/>
              </w:rPr>
              <w:t>Long-term debt, net of current portion</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11,000</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18,971</w:t>
            </w:r>
          </w:p>
        </w:tc>
      </w:tr>
      <w:tr>
        <w:trPr>
          <w:trHeight w:val="159"/>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rPr>
              <w:t>Stock-based compensation liabilities</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131,989</w:t>
            </w:r>
          </w:p>
        </w:tc>
      </w:tr>
      <w:tr>
        <w:trPr>
          <w:trHeight w:val="147"/>
        </w:trPr>
        <w:tc>
          <w:tcPr>
            <w:tcW w:w="8480" w:type="dxa"/>
            <w:vAlign w:val="bottom"/>
          </w:tcPr>
          <w:p>
            <w:pPr>
              <w:ind w:left="40"/>
              <w:spacing w:after="0"/>
              <w:rPr>
                <w:sz w:val="20"/>
                <w:szCs w:val="20"/>
                <w:color w:val="auto"/>
              </w:rPr>
            </w:pPr>
            <w:r>
              <w:rPr>
                <w:rFonts w:ascii="Arial" w:cs="Arial" w:eastAsia="Arial" w:hAnsi="Arial"/>
                <w:sz w:val="11"/>
                <w:szCs w:val="11"/>
                <w:color w:val="auto"/>
              </w:rPr>
              <w:t>Other liabilities</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21,699</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22,852</w:t>
            </w:r>
          </w:p>
        </w:tc>
      </w:tr>
      <w:tr>
        <w:trPr>
          <w:trHeight w:val="160"/>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rPr>
              <w:t>Warrant liability</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46,629</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Earn-out contingent liability</w:t>
            </w: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61,400</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 liabilities</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212,094</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247,254</w:t>
            </w:r>
          </w:p>
        </w:tc>
      </w:tr>
      <w:tr>
        <w:trPr>
          <w:trHeight w:val="17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3"/>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Commitments and contingencies (Note 9)</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3"/>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Redeemable convertible preferred stock:</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21"/>
        </w:trPr>
        <w:tc>
          <w:tcPr>
            <w:tcW w:w="8480" w:type="dxa"/>
            <w:vAlign w:val="bottom"/>
          </w:tcPr>
          <w:p>
            <w:pPr>
              <w:ind w:left="40"/>
              <w:spacing w:after="0" w:line="121" w:lineRule="exact"/>
              <w:rPr>
                <w:sz w:val="20"/>
                <w:szCs w:val="20"/>
                <w:color w:val="auto"/>
              </w:rPr>
            </w:pPr>
            <w:r>
              <w:rPr>
                <w:rFonts w:ascii="Arial" w:cs="Arial" w:eastAsia="Arial" w:hAnsi="Arial"/>
                <w:sz w:val="11"/>
                <w:szCs w:val="11"/>
                <w:color w:val="auto"/>
                <w:w w:val="88"/>
              </w:rPr>
              <w:t>Series A-1 redeemable convertible preferred stock, $0.00001 par value: 0 and 55,399,943 shares authorized, issued and outstanding at September 30, 2021 and December 31, 2020, respectively;</w:t>
            </w: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43"/>
        </w:trPr>
        <w:tc>
          <w:tcPr>
            <w:tcW w:w="8480" w:type="dxa"/>
            <w:vAlign w:val="bottom"/>
          </w:tcPr>
          <w:p>
            <w:pPr>
              <w:ind w:left="140"/>
              <w:spacing w:after="0"/>
              <w:rPr>
                <w:sz w:val="20"/>
                <w:szCs w:val="20"/>
                <w:color w:val="auto"/>
              </w:rPr>
            </w:pPr>
            <w:r>
              <w:rPr>
                <w:rFonts w:ascii="Arial" w:cs="Arial" w:eastAsia="Arial" w:hAnsi="Arial"/>
                <w:sz w:val="11"/>
                <w:szCs w:val="11"/>
                <w:color w:val="auto"/>
              </w:rPr>
              <w:t>aggregate liquidation preference of $0 and $55,000 at September 30, 2021 and December 31, 2020, respectively</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51,811</w:t>
            </w:r>
          </w:p>
        </w:tc>
      </w:tr>
      <w:tr>
        <w:trPr>
          <w:trHeight w:val="127"/>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w w:val="88"/>
              </w:rPr>
              <w:t>Series A-2 redeemable convertible preferred stock, $0.00001 par value: 0 and 64,718,940 shares authorized at September 30, 2021 and December 31, 2020, respectively; 0 and 49,700,364 shares</w:t>
            </w: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17"/>
        </w:trPr>
        <w:tc>
          <w:tcPr>
            <w:tcW w:w="8480" w:type="dxa"/>
            <w:vAlign w:val="bottom"/>
            <w:shd w:val="clear" w:color="auto" w:fill="CCEEFF"/>
          </w:tcPr>
          <w:p>
            <w:pPr>
              <w:ind w:left="140"/>
              <w:spacing w:after="0" w:line="117" w:lineRule="exact"/>
              <w:rPr>
                <w:sz w:val="20"/>
                <w:szCs w:val="20"/>
                <w:color w:val="auto"/>
              </w:rPr>
            </w:pPr>
            <w:r>
              <w:rPr>
                <w:rFonts w:ascii="Arial" w:cs="Arial" w:eastAsia="Arial" w:hAnsi="Arial"/>
                <w:sz w:val="11"/>
                <w:szCs w:val="11"/>
                <w:color w:val="auto"/>
                <w:w w:val="88"/>
              </w:rPr>
              <w:t>authorized, issued and outstanding at September 30, 2021 and December 31, 2020, respectively; aggregate liquidation preference of $0 and $49,342 at September 30, 2021 and December 31,</w:t>
            </w: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49"/>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2020, respectively</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46,480</w:t>
            </w:r>
          </w:p>
        </w:tc>
      </w:tr>
      <w:tr>
        <w:trPr>
          <w:trHeight w:val="121"/>
        </w:trPr>
        <w:tc>
          <w:tcPr>
            <w:tcW w:w="8480" w:type="dxa"/>
            <w:vAlign w:val="bottom"/>
          </w:tcPr>
          <w:p>
            <w:pPr>
              <w:ind w:left="40"/>
              <w:spacing w:after="0" w:line="121" w:lineRule="exact"/>
              <w:rPr>
                <w:sz w:val="20"/>
                <w:szCs w:val="20"/>
                <w:color w:val="auto"/>
              </w:rPr>
            </w:pPr>
            <w:r>
              <w:rPr>
                <w:rFonts w:ascii="Arial" w:cs="Arial" w:eastAsia="Arial" w:hAnsi="Arial"/>
                <w:sz w:val="11"/>
                <w:szCs w:val="11"/>
                <w:color w:val="auto"/>
                <w:w w:val="89"/>
              </w:rPr>
              <w:t>Series B redeemable convertible preferred stock, $0.00001 par value: 0 and 41,937,960 shares authorized, issued and outstanding at September 30, 2021 and December 31, 2020, respectively;</w:t>
            </w: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43"/>
        </w:trPr>
        <w:tc>
          <w:tcPr>
            <w:tcW w:w="8480" w:type="dxa"/>
            <w:vAlign w:val="bottom"/>
          </w:tcPr>
          <w:p>
            <w:pPr>
              <w:ind w:left="140"/>
              <w:spacing w:after="0"/>
              <w:rPr>
                <w:sz w:val="20"/>
                <w:szCs w:val="20"/>
                <w:color w:val="auto"/>
              </w:rPr>
            </w:pPr>
            <w:r>
              <w:rPr>
                <w:rFonts w:ascii="Arial" w:cs="Arial" w:eastAsia="Arial" w:hAnsi="Arial"/>
                <w:sz w:val="11"/>
                <w:szCs w:val="11"/>
                <w:color w:val="auto"/>
              </w:rPr>
              <w:t>aggregate liquidation preference of $0 and $204,302 at September 30, 2021and December 31, 2020, respectively</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118,824</w:t>
            </w:r>
          </w:p>
        </w:tc>
      </w:tr>
      <w:tr>
        <w:trPr>
          <w:trHeight w:val="127"/>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w w:val="88"/>
              </w:rPr>
              <w:t>Series C redeemable convertible preferred stock, $0.00001 par value: 0 and 24,497,317 shares authorized at September 30, 2021 and December 31, 2020, respectively; 0 and 24,496,946 shares</w:t>
            </w: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17"/>
        </w:trPr>
        <w:tc>
          <w:tcPr>
            <w:tcW w:w="8480" w:type="dxa"/>
            <w:vAlign w:val="bottom"/>
            <w:shd w:val="clear" w:color="auto" w:fill="CCEEFF"/>
          </w:tcPr>
          <w:p>
            <w:pPr>
              <w:ind w:left="140"/>
              <w:spacing w:after="0" w:line="117" w:lineRule="exact"/>
              <w:rPr>
                <w:sz w:val="20"/>
                <w:szCs w:val="20"/>
                <w:color w:val="auto"/>
              </w:rPr>
            </w:pPr>
            <w:r>
              <w:rPr>
                <w:rFonts w:ascii="Arial" w:cs="Arial" w:eastAsia="Arial" w:hAnsi="Arial"/>
                <w:sz w:val="11"/>
                <w:szCs w:val="11"/>
                <w:color w:val="auto"/>
                <w:w w:val="91"/>
              </w:rPr>
              <w:t>issued and outstanding at September 30, 2021 and December 31, 2020, respectively; aggregate liquidation preference of $0 and $121,397 at September 30, 2021 and December 31, 2020,</w:t>
            </w: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43"/>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respectively</w:t>
            </w:r>
          </w:p>
        </w:tc>
        <w:tc>
          <w:tcPr>
            <w:tcW w:w="1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117,324</w:t>
            </w:r>
          </w:p>
        </w:tc>
      </w:tr>
    </w:tbl>
    <w:p>
      <w:pPr>
        <w:sectPr>
          <w:pgSz w:w="11900" w:h="16838" w:orient="portrait"/>
          <w:cols w:equalWidth="0" w:num="1">
            <w:col w:w="11300"/>
          </w:cols>
          <w:pgMar w:left="300" w:top="766" w:right="2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Redeemable convertible preferred stock</w:t>
            </w:r>
          </w:p>
        </w:tc>
        <w:tc>
          <w:tcPr>
            <w:tcW w:w="5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334,439</w:t>
            </w:r>
          </w:p>
        </w:tc>
      </w:tr>
      <w:tr>
        <w:trPr>
          <w:trHeight w:val="140"/>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Stockholders’ equity (deficit):</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21"/>
        </w:trPr>
        <w:tc>
          <w:tcPr>
            <w:tcW w:w="8480" w:type="dxa"/>
            <w:vAlign w:val="bottom"/>
          </w:tcPr>
          <w:p>
            <w:pPr>
              <w:ind w:left="40"/>
              <w:spacing w:after="0" w:line="121" w:lineRule="exact"/>
              <w:rPr>
                <w:sz w:val="20"/>
                <w:szCs w:val="20"/>
                <w:color w:val="auto"/>
              </w:rPr>
            </w:pPr>
            <w:r>
              <w:rPr>
                <w:rFonts w:ascii="Arial" w:cs="Arial" w:eastAsia="Arial" w:hAnsi="Arial"/>
                <w:sz w:val="11"/>
                <w:szCs w:val="11"/>
                <w:color w:val="auto"/>
                <w:w w:val="88"/>
              </w:rPr>
              <w:t>Preferred Stock, $0.0001 par value: 1,000,000 and 0 shares authorized at September 30, 2021 and December 31, 2020, respectively; 0 shares issued and outstanding at September 30, 2021 and</w:t>
            </w: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43"/>
        </w:trPr>
        <w:tc>
          <w:tcPr>
            <w:tcW w:w="8480" w:type="dxa"/>
            <w:vAlign w:val="bottom"/>
          </w:tcPr>
          <w:p>
            <w:pPr>
              <w:ind w:left="140"/>
              <w:spacing w:after="0"/>
              <w:rPr>
                <w:sz w:val="20"/>
                <w:szCs w:val="20"/>
                <w:color w:val="auto"/>
              </w:rPr>
            </w:pPr>
            <w:r>
              <w:rPr>
                <w:rFonts w:ascii="Arial" w:cs="Arial" w:eastAsia="Arial" w:hAnsi="Arial"/>
                <w:sz w:val="11"/>
                <w:szCs w:val="11"/>
                <w:color w:val="auto"/>
              </w:rPr>
              <w:t>December 31, 2020, respectively</w:t>
            </w: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7"/>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1"/>
              </w:rPr>
              <w:t>Class A common stock: $0.0001 par value, 380,000,000 shares authorized, 240,190,402 shares issued and outstanding at September 30, 2021 and $0.00001 par value: 309,584,750 shares</w:t>
            </w: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authorized, 124 shares issued and outstanding at December 31, 2020</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21"/>
        </w:trPr>
        <w:tc>
          <w:tcPr>
            <w:tcW w:w="8480" w:type="dxa"/>
            <w:vAlign w:val="bottom"/>
          </w:tcPr>
          <w:p>
            <w:pPr>
              <w:ind w:left="40"/>
              <w:spacing w:after="0" w:line="121" w:lineRule="exact"/>
              <w:rPr>
                <w:sz w:val="20"/>
                <w:szCs w:val="20"/>
                <w:color w:val="auto"/>
              </w:rPr>
            </w:pPr>
            <w:r>
              <w:rPr>
                <w:rFonts w:ascii="Arial" w:cs="Arial" w:eastAsia="Arial" w:hAnsi="Arial"/>
                <w:sz w:val="11"/>
                <w:szCs w:val="11"/>
                <w:color w:val="auto"/>
                <w:w w:val="91"/>
              </w:rPr>
              <w:t>Class B convertible common stock, $0.00001 par value: 0 and 18,575,085 shares authorized at September 30, 2021 and December 31, 2020, respectively; 0 and 130,557 shares issued and</w:t>
            </w: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43"/>
        </w:trPr>
        <w:tc>
          <w:tcPr>
            <w:tcW w:w="8480" w:type="dxa"/>
            <w:vAlign w:val="bottom"/>
          </w:tcPr>
          <w:p>
            <w:pPr>
              <w:ind w:left="140"/>
              <w:spacing w:after="0"/>
              <w:rPr>
                <w:sz w:val="20"/>
                <w:szCs w:val="20"/>
                <w:color w:val="auto"/>
              </w:rPr>
            </w:pPr>
            <w:r>
              <w:rPr>
                <w:rFonts w:ascii="Arial" w:cs="Arial" w:eastAsia="Arial" w:hAnsi="Arial"/>
                <w:sz w:val="11"/>
                <w:szCs w:val="11"/>
                <w:color w:val="auto"/>
              </w:rPr>
              <w:t>outstanding at September 30, 2021 and December 31, 2020, respectively</w:t>
            </w:r>
          </w:p>
        </w:tc>
        <w:tc>
          <w:tcPr>
            <w:tcW w:w="5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rPr>
              <w:t>Additional paid-in capital</w:t>
            </w: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926,253</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7"/>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Accumulated deficit</w:t>
            </w: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(535,014)</w:t>
            </w: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(330,051)</w:t>
            </w:r>
          </w:p>
        </w:tc>
      </w:tr>
      <w:tr>
        <w:trPr>
          <w:trHeight w:val="142"/>
        </w:trPr>
        <w:tc>
          <w:tcPr>
            <w:tcW w:w="8480" w:type="dxa"/>
            <w:vAlign w:val="bottom"/>
            <w:shd w:val="clear" w:color="auto" w:fill="CCEEFF"/>
          </w:tcPr>
          <w:p>
            <w:pPr>
              <w:ind w:left="40"/>
              <w:spacing w:after="0"/>
              <w:rPr>
                <w:sz w:val="20"/>
                <w:szCs w:val="20"/>
                <w:color w:val="auto"/>
              </w:rPr>
            </w:pPr>
            <w:r>
              <w:rPr>
                <w:rFonts w:ascii="Arial" w:cs="Arial" w:eastAsia="Arial" w:hAnsi="Arial"/>
                <w:sz w:val="11"/>
                <w:szCs w:val="11"/>
                <w:color w:val="auto"/>
              </w:rPr>
              <w:t>Total stockholders’ equity (deficit)</w:t>
            </w:r>
          </w:p>
        </w:tc>
        <w:tc>
          <w:tcPr>
            <w:tcW w:w="5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391,263</w:t>
            </w:r>
          </w:p>
        </w:tc>
        <w:tc>
          <w:tcPr>
            <w:tcW w:w="5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(330,051)</w:t>
            </w:r>
          </w:p>
        </w:tc>
      </w:tr>
      <w:tr>
        <w:trPr>
          <w:trHeight w:val="156"/>
        </w:trPr>
        <w:tc>
          <w:tcPr>
            <w:tcW w:w="8480" w:type="dxa"/>
            <w:vAlign w:val="bottom"/>
          </w:tcPr>
          <w:p>
            <w:pPr>
              <w:ind w:left="40"/>
              <w:spacing w:after="0"/>
              <w:rPr>
                <w:sz w:val="20"/>
                <w:szCs w:val="20"/>
                <w:color w:val="auto"/>
              </w:rPr>
            </w:pPr>
            <w:r>
              <w:rPr>
                <w:rFonts w:ascii="Arial" w:cs="Arial" w:eastAsia="Arial" w:hAnsi="Arial"/>
                <w:sz w:val="11"/>
                <w:szCs w:val="11"/>
                <w:color w:val="auto"/>
              </w:rPr>
              <w:t>Total liabilities, redeemable convertible preferred stock and stockholders’ equity (deficit)</w:t>
            </w:r>
          </w:p>
        </w:tc>
        <w:tc>
          <w:tcPr>
            <w:tcW w:w="5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603,357</w:t>
            </w:r>
          </w:p>
        </w:tc>
        <w:tc>
          <w:tcPr>
            <w:tcW w:w="52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251,642</w:t>
            </w:r>
          </w:p>
        </w:tc>
      </w:tr>
    </w:tbl>
    <w:p>
      <w:pPr>
        <w:sectPr>
          <w:pgSz w:w="11900" w:h="16838" w:orient="portrait"/>
          <w:cols w:equalWidth="0" w:num="1">
            <w:col w:w="11300"/>
          </w:cols>
          <w:pgMar w:left="300" w:top="768"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Sema4 Holdings Corp.</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Statements of Operations and Comprehensive Loss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amounts)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180" w:type="dxa"/>
            <w:vAlign w:val="bottom"/>
          </w:tcPr>
          <w:p>
            <w:pPr>
              <w:spacing w:after="0"/>
              <w:rPr>
                <w:sz w:val="12"/>
                <w:szCs w:val="12"/>
                <w:color w:val="auto"/>
              </w:rPr>
            </w:pPr>
          </w:p>
        </w:tc>
        <w:tc>
          <w:tcPr>
            <w:tcW w:w="250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1"/>
                <w:szCs w:val="11"/>
                <w:b w:val="1"/>
                <w:bCs w:val="1"/>
                <w:color w:val="auto"/>
              </w:rPr>
              <w:t>Three months ended September 30,</w:t>
            </w:r>
          </w:p>
        </w:tc>
        <w:tc>
          <w:tcPr>
            <w:tcW w:w="5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w w:val="89"/>
              </w:rPr>
              <w:t>Nine months ended September 30,</w:t>
            </w:r>
          </w:p>
        </w:tc>
        <w:tc>
          <w:tcPr>
            <w:tcW w:w="1160" w:type="dxa"/>
            <w:vAlign w:val="bottom"/>
            <w:tcBorders>
              <w:bottom w:val="single" w:sz="8" w:color="auto"/>
            </w:tcBorders>
          </w:tcPr>
          <w:p>
            <w:pPr>
              <w:spacing w:after="0"/>
              <w:rPr>
                <w:sz w:val="12"/>
                <w:szCs w:val="12"/>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2020</w:t>
            </w:r>
          </w:p>
        </w:tc>
      </w:tr>
      <w:tr>
        <w:trPr>
          <w:trHeight w:val="139"/>
        </w:trPr>
        <w:tc>
          <w:tcPr>
            <w:tcW w:w="5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Revenue</w:t>
            </w: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21"/>
        </w:trPr>
        <w:tc>
          <w:tcPr>
            <w:tcW w:w="5180" w:type="dxa"/>
            <w:vAlign w:val="bottom"/>
          </w:tcPr>
          <w:p>
            <w:pPr>
              <w:ind w:left="40"/>
              <w:spacing w:after="0" w:line="121" w:lineRule="exact"/>
              <w:rPr>
                <w:sz w:val="20"/>
                <w:szCs w:val="20"/>
                <w:color w:val="auto"/>
              </w:rPr>
            </w:pPr>
            <w:r>
              <w:rPr>
                <w:rFonts w:ascii="Arial" w:cs="Arial" w:eastAsia="Arial" w:hAnsi="Arial"/>
                <w:sz w:val="11"/>
                <w:szCs w:val="11"/>
                <w:color w:val="auto"/>
                <w:w w:val="91"/>
              </w:rPr>
              <w:t>Diagnostic test revenue (including related party revenue of $20 and $86 for the three months ended September 30,</w:t>
            </w: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17"/>
        </w:trPr>
        <w:tc>
          <w:tcPr>
            <w:tcW w:w="5180" w:type="dxa"/>
            <w:vAlign w:val="bottom"/>
          </w:tcPr>
          <w:p>
            <w:pPr>
              <w:ind w:left="140"/>
              <w:spacing w:after="0" w:line="117" w:lineRule="exact"/>
              <w:rPr>
                <w:sz w:val="20"/>
                <w:szCs w:val="20"/>
                <w:color w:val="auto"/>
              </w:rPr>
            </w:pPr>
            <w:r>
              <w:rPr>
                <w:rFonts w:ascii="Arial" w:cs="Arial" w:eastAsia="Arial" w:hAnsi="Arial"/>
                <w:sz w:val="11"/>
                <w:szCs w:val="11"/>
                <w:color w:val="auto"/>
                <w:w w:val="97"/>
              </w:rPr>
              <w:t>2021 and 2020, respectively and $90 and $186 for the nine months ended September 30, 2021 and 2020,</w:t>
            </w: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3"/>
        </w:trPr>
        <w:tc>
          <w:tcPr>
            <w:tcW w:w="5180" w:type="dxa"/>
            <w:vAlign w:val="bottom"/>
          </w:tcPr>
          <w:p>
            <w:pPr>
              <w:ind w:left="140"/>
              <w:spacing w:after="0"/>
              <w:rPr>
                <w:sz w:val="20"/>
                <w:szCs w:val="20"/>
                <w:color w:val="auto"/>
              </w:rPr>
            </w:pPr>
            <w:r>
              <w:rPr>
                <w:rFonts w:ascii="Arial" w:cs="Arial" w:eastAsia="Arial" w:hAnsi="Arial"/>
                <w:sz w:val="11"/>
                <w:szCs w:val="11"/>
                <w:color w:val="auto"/>
              </w:rPr>
              <w:t>respectively)</w:t>
            </w: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41,410</w:t>
            </w:r>
          </w:p>
        </w:tc>
        <w:tc>
          <w:tcPr>
            <w:tcW w:w="1000" w:type="dxa"/>
            <w:vAlign w:val="bottom"/>
          </w:tcPr>
          <w:p>
            <w:pPr>
              <w:jc w:val="right"/>
              <w:ind w:right="84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37,893</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148,973</w:t>
            </w:r>
          </w:p>
        </w:tc>
        <w:tc>
          <w:tcPr>
            <w:tcW w:w="40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113,759</w:t>
            </w:r>
          </w:p>
        </w:tc>
      </w:tr>
      <w:tr>
        <w:trPr>
          <w:trHeight w:val="127"/>
        </w:trPr>
        <w:tc>
          <w:tcPr>
            <w:tcW w:w="5180" w:type="dxa"/>
            <w:vAlign w:val="bottom"/>
            <w:shd w:val="clear" w:color="auto" w:fill="CCEEFF"/>
          </w:tcPr>
          <w:p>
            <w:pPr>
              <w:spacing w:after="0"/>
              <w:rPr>
                <w:sz w:val="20"/>
                <w:szCs w:val="20"/>
                <w:color w:val="auto"/>
              </w:rPr>
            </w:pPr>
            <w:r>
              <w:rPr>
                <w:rFonts w:ascii="Arial" w:cs="Arial" w:eastAsia="Arial" w:hAnsi="Arial"/>
                <w:sz w:val="11"/>
                <w:szCs w:val="11"/>
                <w:color w:val="auto"/>
                <w:w w:val="92"/>
              </w:rPr>
              <w:t>Other revenue (including related party revenue of $65 and $0 for the three months ended September 30, 2021 and</w:t>
            </w:r>
          </w:p>
        </w:tc>
        <w:tc>
          <w:tcPr>
            <w:tcW w:w="9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9"/>
        </w:trPr>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w w:val="96"/>
              </w:rPr>
              <w:t>2020, respectively and $153 and $0 for the nine months ended September 30, 2021 and 2020, respectively)</w:t>
            </w:r>
          </w:p>
        </w:tc>
        <w:tc>
          <w:tcPr>
            <w:tcW w:w="9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1,768</w:t>
            </w:r>
          </w:p>
        </w:tc>
        <w:tc>
          <w:tcPr>
            <w:tcW w:w="10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715</w:t>
            </w:r>
          </w:p>
        </w:tc>
        <w:tc>
          <w:tcPr>
            <w:tcW w:w="3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5,421</w:t>
            </w:r>
          </w:p>
        </w:tc>
        <w:tc>
          <w:tcPr>
            <w:tcW w:w="4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1,606</w:t>
            </w:r>
          </w:p>
        </w:tc>
      </w:tr>
      <w:tr>
        <w:trPr>
          <w:trHeight w:val="135"/>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Total revenue</w:t>
            </w: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43,178</w:t>
            </w:r>
          </w:p>
        </w:tc>
        <w:tc>
          <w:tcPr>
            <w:tcW w:w="10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38,608</w:t>
            </w: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154,394</w:t>
            </w:r>
          </w:p>
        </w:tc>
        <w:tc>
          <w:tcPr>
            <w:tcW w:w="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115,365</w:t>
            </w:r>
          </w:p>
        </w:tc>
      </w:tr>
      <w:tr>
        <w:trPr>
          <w:trHeight w:val="107"/>
        </w:trPr>
        <w:tc>
          <w:tcPr>
            <w:tcW w:w="5180" w:type="dxa"/>
            <w:vAlign w:val="bottom"/>
            <w:shd w:val="clear" w:color="auto" w:fill="CCEEFF"/>
          </w:tcPr>
          <w:p>
            <w:pPr>
              <w:ind w:left="40"/>
              <w:spacing w:after="0" w:line="107" w:lineRule="exact"/>
              <w:rPr>
                <w:sz w:val="20"/>
                <w:szCs w:val="20"/>
                <w:color w:val="auto"/>
              </w:rPr>
            </w:pPr>
            <w:r>
              <w:rPr>
                <w:rFonts w:ascii="Arial" w:cs="Arial" w:eastAsia="Arial" w:hAnsi="Arial"/>
                <w:sz w:val="11"/>
                <w:szCs w:val="11"/>
                <w:color w:val="auto"/>
                <w:w w:val="89"/>
              </w:rPr>
              <w:t>Cost of services (including related party expenses of $656 and $452 for the three months ended September 30, 2021</w:t>
            </w:r>
          </w:p>
        </w:tc>
        <w:tc>
          <w:tcPr>
            <w:tcW w:w="9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117"/>
        </w:trPr>
        <w:tc>
          <w:tcPr>
            <w:tcW w:w="5180" w:type="dxa"/>
            <w:vAlign w:val="bottom"/>
            <w:shd w:val="clear" w:color="auto" w:fill="CCEEFF"/>
          </w:tcPr>
          <w:p>
            <w:pPr>
              <w:ind w:left="140"/>
              <w:spacing w:after="0" w:line="117" w:lineRule="exact"/>
              <w:rPr>
                <w:sz w:val="20"/>
                <w:szCs w:val="20"/>
                <w:color w:val="auto"/>
              </w:rPr>
            </w:pPr>
            <w:r>
              <w:rPr>
                <w:rFonts w:ascii="Arial" w:cs="Arial" w:eastAsia="Arial" w:hAnsi="Arial"/>
                <w:sz w:val="11"/>
                <w:szCs w:val="11"/>
                <w:color w:val="auto"/>
                <w:w w:val="98"/>
              </w:rPr>
              <w:t>and 2020, respectively and $1,942 and $1,485 for the nine months ended, September 30, 2021 and 2020</w:t>
            </w:r>
          </w:p>
        </w:tc>
        <w:tc>
          <w:tcPr>
            <w:tcW w:w="9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49"/>
        </w:trPr>
        <w:tc>
          <w:tcPr>
            <w:tcW w:w="51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respectively)</w:t>
            </w:r>
          </w:p>
        </w:tc>
        <w:tc>
          <w:tcPr>
            <w:tcW w:w="9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58,752</w:t>
            </w:r>
          </w:p>
        </w:tc>
        <w:tc>
          <w:tcPr>
            <w:tcW w:w="10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36,530</w:t>
            </w:r>
          </w:p>
        </w:tc>
        <w:tc>
          <w:tcPr>
            <w:tcW w:w="3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180,195</w:t>
            </w:r>
          </w:p>
        </w:tc>
        <w:tc>
          <w:tcPr>
            <w:tcW w:w="4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111,754</w:t>
            </w:r>
          </w:p>
        </w:tc>
      </w:tr>
      <w:tr>
        <w:trPr>
          <w:trHeight w:val="135"/>
        </w:trPr>
        <w:tc>
          <w:tcPr>
            <w:tcW w:w="518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Gross (loss) profit</w:t>
            </w: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(15,574)</w:t>
            </w:r>
          </w:p>
        </w:tc>
        <w:tc>
          <w:tcPr>
            <w:tcW w:w="10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2,078</w:t>
            </w: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(25,801)</w:t>
            </w:r>
          </w:p>
        </w:tc>
        <w:tc>
          <w:tcPr>
            <w:tcW w:w="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3,611</w:t>
            </w:r>
          </w:p>
        </w:tc>
      </w:tr>
      <w:tr>
        <w:trPr>
          <w:trHeight w:val="148"/>
        </w:trPr>
        <w:tc>
          <w:tcPr>
            <w:tcW w:w="5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Research and development</w:t>
            </w: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17,831</w:t>
            </w: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19,083</w:t>
            </w:r>
          </w:p>
        </w:tc>
        <w:tc>
          <w:tcPr>
            <w:tcW w:w="3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82,916</w:t>
            </w: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41,540</w:t>
            </w:r>
          </w:p>
        </w:tc>
      </w:tr>
      <w:tr>
        <w:trPr>
          <w:trHeight w:val="147"/>
        </w:trPr>
        <w:tc>
          <w:tcPr>
            <w:tcW w:w="5180" w:type="dxa"/>
            <w:vAlign w:val="bottom"/>
          </w:tcPr>
          <w:p>
            <w:pPr>
              <w:ind w:left="40"/>
              <w:spacing w:after="0"/>
              <w:rPr>
                <w:sz w:val="20"/>
                <w:szCs w:val="20"/>
                <w:color w:val="auto"/>
              </w:rPr>
            </w:pPr>
            <w:r>
              <w:rPr>
                <w:rFonts w:ascii="Arial" w:cs="Arial" w:eastAsia="Arial" w:hAnsi="Arial"/>
                <w:sz w:val="11"/>
                <w:szCs w:val="11"/>
                <w:color w:val="auto"/>
              </w:rPr>
              <w:t>Selling and marketing</w:t>
            </w: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22,121</w:t>
            </w: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12,735</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69,937</w:t>
            </w:r>
          </w:p>
        </w:tc>
        <w:tc>
          <w:tcPr>
            <w:tcW w:w="4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33,154</w:t>
            </w:r>
          </w:p>
        </w:tc>
      </w:tr>
      <w:tr>
        <w:trPr>
          <w:trHeight w:val="160"/>
        </w:trPr>
        <w:tc>
          <w:tcPr>
            <w:tcW w:w="5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General and administrative</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33,230</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24,342</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147,941</w:t>
            </w: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39,627</w:t>
            </w:r>
          </w:p>
        </w:tc>
      </w:tr>
      <w:tr>
        <w:trPr>
          <w:trHeight w:val="146"/>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Related party expenses</w:t>
            </w: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847</w:t>
            </w: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1,933</w:t>
            </w: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3,532</w:t>
            </w: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6,239</w:t>
            </w:r>
          </w:p>
        </w:tc>
      </w:tr>
      <w:tr>
        <w:trPr>
          <w:trHeight w:val="142"/>
        </w:trPr>
        <w:tc>
          <w:tcPr>
            <w:tcW w:w="51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Loss from operations</w:t>
            </w:r>
          </w:p>
        </w:tc>
        <w:tc>
          <w:tcPr>
            <w:tcW w:w="9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(89,603)</w:t>
            </w:r>
          </w:p>
        </w:tc>
        <w:tc>
          <w:tcPr>
            <w:tcW w:w="10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(56,015)</w:t>
            </w:r>
          </w:p>
        </w:tc>
        <w:tc>
          <w:tcPr>
            <w:tcW w:w="3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(330,127)</w:t>
            </w:r>
          </w:p>
        </w:tc>
        <w:tc>
          <w:tcPr>
            <w:tcW w:w="4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(116,949)</w:t>
            </w:r>
          </w:p>
        </w:tc>
      </w:tr>
      <w:tr>
        <w:trPr>
          <w:trHeight w:val="158"/>
        </w:trPr>
        <w:tc>
          <w:tcPr>
            <w:tcW w:w="5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5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income (expense), net:</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47"/>
        </w:trPr>
        <w:tc>
          <w:tcPr>
            <w:tcW w:w="5180" w:type="dxa"/>
            <w:vAlign w:val="bottom"/>
          </w:tcPr>
          <w:p>
            <w:pPr>
              <w:ind w:left="120"/>
              <w:spacing w:after="0"/>
              <w:rPr>
                <w:sz w:val="20"/>
                <w:szCs w:val="20"/>
                <w:color w:val="auto"/>
              </w:rPr>
            </w:pPr>
            <w:r>
              <w:rPr>
                <w:rFonts w:ascii="Arial" w:cs="Arial" w:eastAsia="Arial" w:hAnsi="Arial"/>
                <w:sz w:val="11"/>
                <w:szCs w:val="11"/>
                <w:color w:val="auto"/>
              </w:rPr>
              <w:t>Change in fair market value of warrant and earn-out contingent liabilities</w:t>
            </w: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122,171</w:t>
            </w: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122,171</w:t>
            </w:r>
          </w:p>
        </w:tc>
        <w:tc>
          <w:tcPr>
            <w:tcW w:w="4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Interest income</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w:t>
            </w:r>
          </w:p>
        </w:tc>
      </w:tr>
      <w:tr>
        <w:trPr>
          <w:trHeight w:val="146"/>
        </w:trPr>
        <w:tc>
          <w:tcPr>
            <w:tcW w:w="5180" w:type="dxa"/>
            <w:vAlign w:val="bottom"/>
          </w:tcPr>
          <w:p>
            <w:pPr>
              <w:ind w:left="120"/>
              <w:spacing w:after="0"/>
              <w:rPr>
                <w:sz w:val="20"/>
                <w:szCs w:val="20"/>
                <w:color w:val="auto"/>
              </w:rPr>
            </w:pPr>
            <w:r>
              <w:rPr>
                <w:rFonts w:ascii="Arial" w:cs="Arial" w:eastAsia="Arial" w:hAnsi="Arial"/>
                <w:sz w:val="11"/>
                <w:szCs w:val="11"/>
                <w:color w:val="auto"/>
              </w:rPr>
              <w:t>Interest expense</w:t>
            </w: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(683)</w:t>
            </w: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(637)</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(2,128)</w:t>
            </w:r>
          </w:p>
        </w:tc>
        <w:tc>
          <w:tcPr>
            <w:tcW w:w="4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(1,826)</w:t>
            </w:r>
          </w:p>
        </w:tc>
      </w:tr>
      <w:tr>
        <w:trPr>
          <w:trHeight w:val="160"/>
        </w:trPr>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income (expense), net</w:t>
            </w:r>
          </w:p>
        </w:tc>
        <w:tc>
          <w:tcPr>
            <w:tcW w:w="9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(520)</w:t>
            </w:r>
          </w:p>
        </w:tc>
        <w:tc>
          <w:tcPr>
            <w:tcW w:w="10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3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5,064</w:t>
            </w:r>
          </w:p>
        </w:tc>
        <w:tc>
          <w:tcPr>
            <w:tcW w:w="4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2,645</w:t>
            </w:r>
          </w:p>
        </w:tc>
      </w:tr>
      <w:tr>
        <w:trPr>
          <w:trHeight w:val="135"/>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 other income (expense), net</w:t>
            </w: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120,995</w:t>
            </w:r>
          </w:p>
        </w:tc>
        <w:tc>
          <w:tcPr>
            <w:tcW w:w="10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(600)</w:t>
            </w: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125,164</w:t>
            </w:r>
          </w:p>
        </w:tc>
        <w:tc>
          <w:tcPr>
            <w:tcW w:w="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1,292</w:t>
            </w:r>
          </w:p>
        </w:tc>
      </w:tr>
      <w:tr>
        <w:trPr>
          <w:trHeight w:val="148"/>
        </w:trPr>
        <w:tc>
          <w:tcPr>
            <w:tcW w:w="5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Income (loss) before income taxes</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31,392</w:t>
            </w: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(56,615)</w:t>
            </w:r>
          </w:p>
        </w:tc>
        <w:tc>
          <w:tcPr>
            <w:tcW w:w="3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(204,963)</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(115,657)</w:t>
            </w:r>
          </w:p>
        </w:tc>
      </w:tr>
      <w:tr>
        <w:trPr>
          <w:trHeight w:val="147"/>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Income tax provision</w:t>
            </w: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8"/>
        </w:trPr>
        <w:tc>
          <w:tcPr>
            <w:tcW w:w="5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income (loss) and comprehensive income (loss)</w:t>
            </w: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31,392</w:t>
            </w:r>
          </w:p>
        </w:tc>
        <w:tc>
          <w:tcPr>
            <w:tcW w:w="100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(56,615)</w:t>
            </w: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(204,963)</w:t>
            </w: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(115,657)</w:t>
            </w:r>
          </w:p>
        </w:tc>
      </w:tr>
      <w:tr>
        <w:trPr>
          <w:trHeight w:val="136"/>
        </w:trPr>
        <w:tc>
          <w:tcPr>
            <w:tcW w:w="5180" w:type="dxa"/>
            <w:vAlign w:val="bottom"/>
          </w:tcPr>
          <w:p>
            <w:pPr>
              <w:ind w:left="40"/>
              <w:spacing w:after="0"/>
              <w:rPr>
                <w:sz w:val="20"/>
                <w:szCs w:val="20"/>
                <w:color w:val="auto"/>
              </w:rPr>
            </w:pPr>
            <w:r>
              <w:rPr>
                <w:rFonts w:ascii="Arial" w:cs="Arial" w:eastAsia="Arial" w:hAnsi="Arial"/>
                <w:sz w:val="11"/>
                <w:szCs w:val="11"/>
                <w:color w:val="auto"/>
              </w:rPr>
              <w:t>Weighted average shares outstanding of Class A common stock for basic earnings</w:t>
            </w:r>
          </w:p>
        </w:tc>
        <w:tc>
          <w:tcPr>
            <w:tcW w:w="9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1"/>
              </w:rPr>
              <w:t>185,680,394</w:t>
            </w:r>
          </w:p>
        </w:tc>
        <w:tc>
          <w:tcPr>
            <w:tcW w:w="10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124</w:t>
            </w:r>
          </w:p>
        </w:tc>
        <w:tc>
          <w:tcPr>
            <w:tcW w:w="3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63,121,738</w:t>
            </w:r>
          </w:p>
        </w:tc>
        <w:tc>
          <w:tcPr>
            <w:tcW w:w="4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124</w:t>
            </w:r>
          </w:p>
        </w:tc>
      </w:tr>
      <w:tr>
        <w:trPr>
          <w:trHeight w:val="159"/>
        </w:trPr>
        <w:tc>
          <w:tcPr>
            <w:tcW w:w="5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Weighted average shares outstanding of Class A common stock for diluted earnings</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210,330,946</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63,121,738</w:t>
            </w: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r>
      <w:tr>
        <w:trPr>
          <w:trHeight w:val="147"/>
        </w:trPr>
        <w:tc>
          <w:tcPr>
            <w:tcW w:w="5180" w:type="dxa"/>
            <w:vAlign w:val="bottom"/>
          </w:tcPr>
          <w:p>
            <w:pPr>
              <w:ind w:left="40"/>
              <w:spacing w:after="0"/>
              <w:rPr>
                <w:sz w:val="20"/>
                <w:szCs w:val="20"/>
                <w:color w:val="auto"/>
              </w:rPr>
            </w:pPr>
            <w:r>
              <w:rPr>
                <w:rFonts w:ascii="Arial" w:cs="Arial" w:eastAsia="Arial" w:hAnsi="Arial"/>
                <w:sz w:val="11"/>
                <w:szCs w:val="11"/>
                <w:color w:val="auto"/>
              </w:rPr>
              <w:t>Basic net income (loss) per share, Class A common stock</w:t>
            </w: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0.17</w:t>
            </w:r>
          </w:p>
        </w:tc>
        <w:tc>
          <w:tcPr>
            <w:tcW w:w="1000" w:type="dxa"/>
            <w:vAlign w:val="bottom"/>
          </w:tcPr>
          <w:p>
            <w:pPr>
              <w:jc w:val="right"/>
              <w:ind w:right="84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(456,573)</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(3.25)</w:t>
            </w:r>
          </w:p>
        </w:tc>
        <w:tc>
          <w:tcPr>
            <w:tcW w:w="40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(932,718)</w:t>
            </w:r>
          </w:p>
        </w:tc>
      </w:tr>
      <w:tr>
        <w:trPr>
          <w:trHeight w:val="160"/>
        </w:trPr>
        <w:tc>
          <w:tcPr>
            <w:tcW w:w="5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Diluted net income (loss) per share, Class A common stock</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0.15</w:t>
            </w: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(456,573)</w:t>
            </w:r>
          </w:p>
        </w:tc>
        <w:tc>
          <w:tcPr>
            <w:tcW w:w="3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(932,718)</w:t>
            </w:r>
          </w:p>
        </w:tc>
      </w:tr>
    </w:tbl>
    <w:p>
      <w:pPr>
        <w:sectPr>
          <w:pgSz w:w="11900" w:h="16838" w:orient="portrait"/>
          <w:cols w:equalWidth="0" w:num="1">
            <w:col w:w="11300"/>
          </w:cols>
          <w:pgMar w:left="300" w:top="766" w:right="299" w:bottom="1440" w:gutter="0" w:footer="0" w:header="0"/>
        </w:sectPr>
      </w:pPr>
    </w:p>
    <w:bookmarkStart w:id="9" w:name="page10"/>
    <w:bookmarkEnd w:id="9"/>
    <w:p>
      <w:pPr>
        <w:jc w:val="center"/>
        <w:ind w:left="3680"/>
        <w:spacing w:after="0"/>
        <w:rPr>
          <w:sz w:val="20"/>
          <w:szCs w:val="20"/>
          <w:color w:val="auto"/>
        </w:rPr>
      </w:pPr>
      <w:r>
        <w:rPr>
          <w:rFonts w:ascii="Arial" w:cs="Arial" w:eastAsia="Arial" w:hAnsi="Arial"/>
          <w:sz w:val="12"/>
          <w:szCs w:val="12"/>
          <w:b w:val="1"/>
          <w:bCs w:val="1"/>
          <w:color w:val="auto"/>
        </w:rPr>
        <w:t>Sema4 Holdings Corp.</w:t>
      </w:r>
    </w:p>
    <w:p>
      <w:pPr>
        <w:spacing w:after="0" w:line="24" w:lineRule="exact"/>
        <w:rPr>
          <w:sz w:val="20"/>
          <w:szCs w:val="20"/>
          <w:color w:val="auto"/>
        </w:rPr>
      </w:pPr>
    </w:p>
    <w:p>
      <w:pPr>
        <w:jc w:val="center"/>
        <w:ind w:left="3680"/>
        <w:spacing w:after="0"/>
        <w:rPr>
          <w:sz w:val="20"/>
          <w:szCs w:val="20"/>
          <w:color w:val="auto"/>
        </w:rPr>
      </w:pPr>
      <w:r>
        <w:rPr>
          <w:rFonts w:ascii="Arial" w:cs="Arial" w:eastAsia="Arial" w:hAnsi="Arial"/>
          <w:sz w:val="10"/>
          <w:szCs w:val="10"/>
          <w:b w:val="1"/>
          <w:bCs w:val="1"/>
          <w:color w:val="auto"/>
        </w:rPr>
        <w:t>Condensed Consolidated Statements of Cash Flows</w:t>
      </w:r>
    </w:p>
    <w:p>
      <w:pPr>
        <w:spacing w:after="0" w:line="47" w:lineRule="exact"/>
        <w:rPr>
          <w:sz w:val="20"/>
          <w:szCs w:val="20"/>
          <w:color w:val="auto"/>
        </w:rPr>
      </w:pPr>
    </w:p>
    <w:p>
      <w:pPr>
        <w:jc w:val="center"/>
        <w:ind w:left="3680"/>
        <w:spacing w:after="0"/>
        <w:rPr>
          <w:sz w:val="20"/>
          <w:szCs w:val="20"/>
          <w:color w:val="auto"/>
        </w:rPr>
      </w:pPr>
      <w:r>
        <w:rPr>
          <w:rFonts w:ascii="Arial" w:cs="Arial" w:eastAsia="Arial" w:hAnsi="Arial"/>
          <w:sz w:val="12"/>
          <w:szCs w:val="12"/>
          <w:b w:val="1"/>
          <w:bCs w:val="1"/>
          <w:color w:val="auto"/>
        </w:rPr>
        <w:t>(In thousands) (Unaudited)</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1"/>
          <w:szCs w:val="11"/>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Depreciation and amortization expense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2B2A29"/>
        </w:rPr>
        <w:t>Change in fair value of warrant and contingent liabilities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2B2A29"/>
        </w:rPr>
        <w:t>Provision for excess and obsolete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Non-cash lease expense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Change in operating assets and liabilities: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Inventory</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Due to/from related parties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Accounts payable and accrued expenses.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current liabilities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1"/>
          <w:szCs w:val="11"/>
          <w:color w:val="auto"/>
        </w:rPr>
        <w:t>Purchases of property and equipment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Development of internal-use software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cash used in investing activities.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7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1"/>
          <w:szCs w:val="11"/>
          <w:color w:val="auto"/>
        </w:rPr>
        <w:t>Proceeds from issuance of Series C redeemable convertible preferred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Proceeds from PIPE issuance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Proceeds from equity infusion from the merger,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Legacy Sema4 Shareholder payout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Payment of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 Appreciation Rights payout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Repayment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Capital lease principal payments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Long-term debt principal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Proceeds from long-term debt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7178040" cy="97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increase in cash, cash equivalents and restricted cash</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Cash, cash equivalents and restricted cash, at end of period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97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Cash paid for taxes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1"/>
          <w:szCs w:val="11"/>
          <w:color w:val="auto"/>
        </w:rPr>
        <w:t>Purchases of property and equipment in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97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1"/>
          <w:szCs w:val="11"/>
          <w:color w:val="auto"/>
        </w:rPr>
        <w:t>Software development costs in accounts payable and accrued expenses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color w:val="auto"/>
        </w:rPr>
        <w:t>Assets acquired under capital leases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Arial" w:cs="Arial" w:eastAsia="Arial" w:hAnsi="Arial"/>
          <w:sz w:val="11"/>
          <w:szCs w:val="11"/>
          <w:b w:val="1"/>
          <w:bCs w:val="1"/>
          <w:color w:val="auto"/>
        </w:rPr>
        <w:t>Nine months ended September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2020</w:t>
            </w:r>
          </w:p>
        </w:tc>
      </w:tr>
      <w:tr>
        <w:trPr>
          <w:trHeight w:val="279"/>
        </w:trPr>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(204,963)</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(115,657)</w:t>
            </w:r>
          </w:p>
        </w:tc>
      </w:tr>
      <w:tr>
        <w:trPr>
          <w:trHeight w:val="450"/>
        </w:trPr>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16,012</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8,147</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182,454</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30,073</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(122,171)</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1,122</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1,174</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2,203</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301</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06"/>
        </w:trPr>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10,787</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(3,159)</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(7,334)</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(8,105)</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(15,710)</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516</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(124)</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617</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(17)</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1,174</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4,685</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(537)</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(1,290)</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(135)</w:t>
            </w:r>
          </w:p>
        </w:tc>
      </w:tr>
      <w:tr>
        <w:trPr>
          <w:trHeight w:val="160"/>
        </w:trPr>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(3,375)</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10,068</w:t>
            </w:r>
          </w:p>
        </w:tc>
      </w:tr>
      <w:tr>
        <w:trPr>
          <w:trHeight w:val="142"/>
        </w:trPr>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(138,449)</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(74,795)</w:t>
            </w:r>
          </w:p>
        </w:tc>
      </w:tr>
      <w:tr>
        <w:trPr>
          <w:trHeight w:val="423"/>
        </w:trPr>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(4,344)</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(17,310)</w:t>
            </w:r>
          </w:p>
        </w:tc>
      </w:tr>
      <w:tr>
        <w:trPr>
          <w:trHeight w:val="160"/>
        </w:trPr>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(8,749)</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(3,165)</w:t>
            </w:r>
          </w:p>
        </w:tc>
      </w:tr>
      <w:tr>
        <w:trPr>
          <w:trHeight w:val="142"/>
        </w:trPr>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(13,093)</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(20,475)</w:t>
            </w:r>
          </w:p>
        </w:tc>
      </w:tr>
      <w:tr>
        <w:trPr>
          <w:trHeight w:val="423"/>
        </w:trPr>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117,326</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350,000</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442,684</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(230,665)</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(51,760)</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(3,795)</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(8,741)</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(2,960)</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(3,384)</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(1,000)</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6,000</w:t>
            </w:r>
          </w:p>
        </w:tc>
      </w:tr>
      <w:tr>
        <w:trPr>
          <w:trHeight w:val="159"/>
        </w:trPr>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995</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494,758</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119,942</w:t>
            </w:r>
          </w:p>
        </w:tc>
      </w:tr>
      <w:tr>
        <w:trPr>
          <w:trHeight w:val="270"/>
        </w:trPr>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343,216</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24,672</w:t>
            </w:r>
          </w:p>
        </w:tc>
      </w:tr>
      <w:tr>
        <w:trPr>
          <w:trHeight w:val="160"/>
        </w:trPr>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118,960</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115,006</w:t>
            </w:r>
          </w:p>
        </w:tc>
      </w:tr>
      <w:tr>
        <w:trPr>
          <w:trHeight w:val="135"/>
        </w:trPr>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462,176</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139,678</w:t>
            </w:r>
          </w:p>
        </w:tc>
      </w:tr>
      <w:tr>
        <w:trPr>
          <w:trHeight w:val="450"/>
        </w:trPr>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2,128</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1,826</w:t>
            </w:r>
          </w:p>
        </w:tc>
      </w:tr>
      <w:tr>
        <w:trPr>
          <w:trHeight w:val="153"/>
        </w:trPr>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50</w:t>
            </w:r>
          </w:p>
        </w:tc>
        <w:tc>
          <w:tcPr>
            <w:tcW w:w="38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193</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268</w:t>
            </w:r>
          </w:p>
        </w:tc>
      </w:tr>
      <w:tr>
        <w:trPr>
          <w:trHeight w:val="153"/>
        </w:trPr>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1,228</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1,629</w:t>
            </w:r>
          </w:p>
        </w:tc>
      </w:tr>
      <w:tr>
        <w:trPr>
          <w:trHeight w:val="153"/>
        </w:trPr>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641</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5,637</w:t>
            </w:r>
          </w:p>
        </w:tc>
      </w:tr>
    </w:tbl>
    <w:p>
      <w:pPr>
        <w:sectPr>
          <w:pgSz w:w="11900" w:h="16838" w:orient="portrait"/>
          <w:cols w:equalWidth="0" w:num="2">
            <w:col w:w="7620" w:space="720"/>
            <w:col w:w="2960"/>
          </w:cols>
          <w:pgMar w:left="300" w:top="766" w:right="299" w:bottom="1440" w:gutter="0" w:footer="0" w:header="0"/>
        </w:sectPr>
      </w:pPr>
    </w:p>
    <w:bookmarkStart w:id="10" w:name="page11"/>
    <w:bookmarkEnd w:id="10"/>
    <w:p>
      <w:pPr>
        <w:jc w:val="center"/>
        <w:ind w:right="-667"/>
        <w:spacing w:after="0"/>
        <w:rPr>
          <w:sz w:val="20"/>
          <w:szCs w:val="20"/>
          <w:color w:val="auto"/>
        </w:rPr>
      </w:pPr>
      <w:r>
        <w:rPr>
          <w:rFonts w:ascii="Arial" w:cs="Arial" w:eastAsia="Arial" w:hAnsi="Arial"/>
          <w:sz w:val="12"/>
          <w:szCs w:val="12"/>
          <w:b w:val="1"/>
          <w:bCs w:val="1"/>
          <w:color w:val="auto"/>
        </w:rPr>
        <w:t>Sema4 Holdings Corp.</w:t>
      </w:r>
    </w:p>
    <w:p>
      <w:pPr>
        <w:spacing w:after="0" w:line="19" w:lineRule="exact"/>
        <w:rPr>
          <w:sz w:val="20"/>
          <w:szCs w:val="20"/>
          <w:color w:val="auto"/>
        </w:rPr>
      </w:pPr>
    </w:p>
    <w:p>
      <w:pPr>
        <w:jc w:val="center"/>
        <w:ind w:right="-667"/>
        <w:spacing w:after="0"/>
        <w:rPr>
          <w:sz w:val="20"/>
          <w:szCs w:val="20"/>
          <w:color w:val="auto"/>
        </w:rPr>
      </w:pPr>
      <w:r>
        <w:rPr>
          <w:rFonts w:ascii="Arial" w:cs="Arial" w:eastAsia="Arial" w:hAnsi="Arial"/>
          <w:sz w:val="12"/>
          <w:szCs w:val="12"/>
          <w:b w:val="1"/>
          <w:bCs w:val="1"/>
          <w:color w:val="auto"/>
        </w:rPr>
        <w:t>Reconciliation of Revenue to our Adjusted Gross Profit &amp; Adjusted EBITDA (In thousands)</w:t>
      </w:r>
    </w:p>
    <w:p>
      <w:pPr>
        <w:spacing w:after="0" w:line="32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is a reconciliation of revenue to our Adjusted Gross Profit and Adjusted Gross Margin for the three months ended September 30, 2021 and 2020:</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74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426"/>
              <w:spacing w:after="0"/>
              <w:rPr>
                <w:sz w:val="20"/>
                <w:szCs w:val="20"/>
                <w:color w:val="auto"/>
              </w:rPr>
            </w:pPr>
            <w:r>
              <w:rPr>
                <w:rFonts w:ascii="Arial" w:cs="Arial" w:eastAsia="Arial" w:hAnsi="Arial"/>
                <w:sz w:val="11"/>
                <w:szCs w:val="11"/>
                <w:b w:val="1"/>
                <w:bCs w:val="1"/>
                <w:color w:val="auto"/>
              </w:rPr>
              <w:t>Three months ended September 30,</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2021</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3"/>
          </w:tcPr>
          <w:p>
            <w:pPr>
              <w:jc w:val="right"/>
              <w:ind w:right="126"/>
              <w:spacing w:after="0"/>
              <w:rPr>
                <w:sz w:val="20"/>
                <w:szCs w:val="20"/>
                <w:color w:val="auto"/>
              </w:rPr>
            </w:pPr>
            <w:r>
              <w:rPr>
                <w:rFonts w:ascii="Arial" w:cs="Arial" w:eastAsia="Arial" w:hAnsi="Arial"/>
                <w:sz w:val="11"/>
                <w:szCs w:val="11"/>
                <w:b w:val="1"/>
                <w:bCs w:val="1"/>
                <w:color w:val="auto"/>
              </w:rPr>
              <w:t>(in thousands)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460" w:type="dxa"/>
            <w:vAlign w:val="bottom"/>
            <w:shd w:val="clear" w:color="auto" w:fill="CCEEFF"/>
          </w:tcPr>
          <w:p>
            <w:pPr>
              <w:spacing w:after="0"/>
              <w:rPr>
                <w:sz w:val="20"/>
                <w:szCs w:val="20"/>
                <w:color w:val="auto"/>
              </w:rPr>
            </w:pPr>
            <w:r>
              <w:rPr>
                <w:rFonts w:ascii="Arial" w:cs="Arial" w:eastAsia="Arial" w:hAnsi="Arial"/>
                <w:sz w:val="11"/>
                <w:szCs w:val="11"/>
                <w:color w:val="auto"/>
              </w:rPr>
              <w:t>Revenue</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43,178</w:t>
            </w:r>
          </w:p>
        </w:tc>
        <w:tc>
          <w:tcPr>
            <w:tcW w:w="4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38,608</w:t>
            </w:r>
          </w:p>
        </w:tc>
        <w:tc>
          <w:tcPr>
            <w:tcW w:w="0" w:type="dxa"/>
            <w:vAlign w:val="bottom"/>
          </w:tcPr>
          <w:p>
            <w:pPr>
              <w:spacing w:after="0"/>
              <w:rPr>
                <w:sz w:val="1"/>
                <w:szCs w:val="1"/>
                <w:color w:val="auto"/>
              </w:rPr>
            </w:pPr>
          </w:p>
        </w:tc>
      </w:tr>
      <w:tr>
        <w:trPr>
          <w:trHeight w:val="146"/>
        </w:trPr>
        <w:tc>
          <w:tcPr>
            <w:tcW w:w="74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services</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58,752</w:t>
            </w: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36,530</w:t>
            </w:r>
          </w:p>
        </w:tc>
        <w:tc>
          <w:tcPr>
            <w:tcW w:w="0" w:type="dxa"/>
            <w:vAlign w:val="bottom"/>
          </w:tcPr>
          <w:p>
            <w:pPr>
              <w:spacing w:after="0"/>
              <w:rPr>
                <w:sz w:val="1"/>
                <w:szCs w:val="1"/>
                <w:color w:val="auto"/>
              </w:rPr>
            </w:pPr>
          </w:p>
        </w:tc>
      </w:tr>
      <w:tr>
        <w:trPr>
          <w:trHeight w:val="221"/>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Gross (Loss) Profit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(15,574)</w:t>
            </w:r>
          </w:p>
        </w:tc>
        <w:tc>
          <w:tcPr>
            <w:tcW w:w="4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79"/>
              </w:rPr>
              <w:t>2,078</w:t>
            </w:r>
          </w:p>
        </w:tc>
        <w:tc>
          <w:tcPr>
            <w:tcW w:w="0" w:type="dxa"/>
            <w:vAlign w:val="bottom"/>
          </w:tcPr>
          <w:p>
            <w:pPr>
              <w:spacing w:after="0"/>
              <w:rPr>
                <w:sz w:val="1"/>
                <w:szCs w:val="1"/>
                <w:color w:val="auto"/>
              </w:rPr>
            </w:pPr>
          </w:p>
        </w:tc>
      </w:tr>
      <w:tr>
        <w:trPr>
          <w:trHeight w:val="136"/>
        </w:trPr>
        <w:tc>
          <w:tcPr>
            <w:tcW w:w="7460" w:type="dxa"/>
            <w:vAlign w:val="bottom"/>
          </w:tcPr>
          <w:p>
            <w:pPr>
              <w:spacing w:after="0"/>
              <w:rPr>
                <w:sz w:val="20"/>
                <w:szCs w:val="20"/>
                <w:color w:val="auto"/>
              </w:rPr>
            </w:pPr>
            <w:r>
              <w:rPr>
                <w:rFonts w:ascii="Arial" w:cs="Arial" w:eastAsia="Arial" w:hAnsi="Arial"/>
                <w:sz w:val="11"/>
                <w:szCs w:val="11"/>
                <w:b w:val="1"/>
                <w:bCs w:val="1"/>
                <w:color w:val="auto"/>
              </w:rPr>
              <w:t>Gross Margin</w:t>
            </w:r>
          </w:p>
        </w:tc>
        <w:tc>
          <w:tcPr>
            <w:tcW w:w="3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(36)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9"/>
        </w:trPr>
        <w:tc>
          <w:tcPr>
            <w:tcW w:w="7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Add:</w:t>
            </w: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4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Stock-based compensation expense</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3,699</w:t>
            </w: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79"/>
              </w:rPr>
              <w:t>3,506</w:t>
            </w:r>
          </w:p>
        </w:tc>
        <w:tc>
          <w:tcPr>
            <w:tcW w:w="0" w:type="dxa"/>
            <w:vAlign w:val="bottom"/>
          </w:tcPr>
          <w:p>
            <w:pPr>
              <w:spacing w:after="0"/>
              <w:rPr>
                <w:sz w:val="1"/>
                <w:szCs w:val="1"/>
                <w:color w:val="auto"/>
              </w:rPr>
            </w:pPr>
          </w:p>
        </w:tc>
      </w:tr>
      <w:tr>
        <w:trPr>
          <w:trHeight w:val="220"/>
        </w:trPr>
        <w:tc>
          <w:tcPr>
            <w:tcW w:w="7460" w:type="dxa"/>
            <w:vAlign w:val="bottom"/>
            <w:shd w:val="clear" w:color="auto" w:fill="CCEEFF"/>
          </w:tcPr>
          <w:p>
            <w:pPr>
              <w:spacing w:after="0"/>
              <w:rPr>
                <w:sz w:val="20"/>
                <w:szCs w:val="20"/>
                <w:color w:val="auto"/>
              </w:rPr>
            </w:pPr>
            <w:r>
              <w:rPr>
                <w:rFonts w:ascii="Arial" w:cs="Arial" w:eastAsia="Arial" w:hAnsi="Arial"/>
                <w:sz w:val="11"/>
                <w:szCs w:val="11"/>
                <w:color w:val="auto"/>
              </w:rPr>
              <w:t>Adjusted Gross (Loss) Profit</w:t>
            </w:r>
          </w:p>
        </w:tc>
        <w:tc>
          <w:tcPr>
            <w:tcW w:w="3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(11,875)</w:t>
            </w:r>
          </w:p>
        </w:tc>
        <w:tc>
          <w:tcPr>
            <w:tcW w:w="48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79"/>
              </w:rPr>
              <w:t>5,584</w:t>
            </w:r>
          </w:p>
        </w:tc>
        <w:tc>
          <w:tcPr>
            <w:tcW w:w="0" w:type="dxa"/>
            <w:vAlign w:val="bottom"/>
          </w:tcPr>
          <w:p>
            <w:pPr>
              <w:spacing w:after="0"/>
              <w:rPr>
                <w:sz w:val="1"/>
                <w:szCs w:val="1"/>
                <w:color w:val="auto"/>
              </w:rPr>
            </w:pPr>
          </w:p>
        </w:tc>
      </w:tr>
      <w:tr>
        <w:trPr>
          <w:trHeight w:val="165"/>
        </w:trPr>
        <w:tc>
          <w:tcPr>
            <w:tcW w:w="7460" w:type="dxa"/>
            <w:vAlign w:val="bottom"/>
          </w:tcPr>
          <w:p>
            <w:pPr>
              <w:spacing w:after="0"/>
              <w:rPr>
                <w:sz w:val="20"/>
                <w:szCs w:val="20"/>
                <w:color w:val="auto"/>
              </w:rPr>
            </w:pPr>
            <w:r>
              <w:rPr>
                <w:rFonts w:ascii="Arial" w:cs="Arial" w:eastAsia="Arial" w:hAnsi="Arial"/>
                <w:sz w:val="11"/>
                <w:szCs w:val="11"/>
                <w:b w:val="1"/>
                <w:bCs w:val="1"/>
                <w:color w:val="auto"/>
              </w:rPr>
              <w:t>Adjusted Gross Margin</w:t>
            </w:r>
          </w:p>
        </w:tc>
        <w:tc>
          <w:tcPr>
            <w:tcW w:w="380" w:type="dxa"/>
            <w:vAlign w:val="bottom"/>
          </w:tcPr>
          <w:p>
            <w:pPr>
              <w:spacing w:after="0"/>
              <w:rPr>
                <w:sz w:val="14"/>
                <w:szCs w:val="14"/>
                <w:color w:val="auto"/>
              </w:rPr>
            </w:pPr>
          </w:p>
        </w:tc>
        <w:tc>
          <w:tcPr>
            <w:tcW w:w="104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(28)</w:t>
            </w:r>
          </w:p>
        </w:tc>
        <w:tc>
          <w:tcPr>
            <w:tcW w:w="1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14</w:t>
            </w:r>
          </w:p>
        </w:tc>
        <w:tc>
          <w:tcPr>
            <w:tcW w:w="2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6"/>
        </w:trPr>
        <w:tc>
          <w:tcPr>
            <w:tcW w:w="7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is a reconciliation of our net loss to Adjusted EBITDA for the three months ended September 30, 2021 and 2020:</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7400" w:type="dxa"/>
            <w:vAlign w:val="bottom"/>
          </w:tcPr>
          <w:p>
            <w:pPr>
              <w:spacing w:after="0"/>
              <w:rPr>
                <w:sz w:val="12"/>
                <w:szCs w:val="12"/>
                <w:color w:val="auto"/>
              </w:rPr>
            </w:pPr>
          </w:p>
        </w:tc>
        <w:tc>
          <w:tcPr>
            <w:tcW w:w="26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1"/>
                <w:szCs w:val="11"/>
                <w:b w:val="1"/>
                <w:bCs w:val="1"/>
                <w:color w:val="auto"/>
              </w:rPr>
              <w:t>Three months ended September 30,</w:t>
            </w:r>
          </w:p>
        </w:tc>
        <w:tc>
          <w:tcPr>
            <w:tcW w:w="540" w:type="dxa"/>
            <w:vAlign w:val="bottom"/>
            <w:tcBorders>
              <w:bottom w:val="single" w:sz="8" w:color="auto"/>
            </w:tcBorders>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40" w:type="dxa"/>
            <w:vAlign w:val="bottom"/>
            <w:gridSpan w:val="2"/>
          </w:tcPr>
          <w:p>
            <w:pPr>
              <w:jc w:val="right"/>
              <w:ind w:right="690"/>
              <w:spacing w:after="0"/>
              <w:rPr>
                <w:sz w:val="20"/>
                <w:szCs w:val="20"/>
                <w:color w:val="auto"/>
              </w:rPr>
            </w:pPr>
            <w:r>
              <w:rPr>
                <w:rFonts w:ascii="Arial" w:cs="Arial" w:eastAsia="Arial" w:hAnsi="Arial"/>
                <w:sz w:val="11"/>
                <w:szCs w:val="11"/>
                <w:b w:val="1"/>
                <w:bCs w:val="1"/>
                <w:color w:val="auto"/>
              </w:rPr>
              <w:t>(in thousands)</w:t>
            </w:r>
          </w:p>
        </w:tc>
        <w:tc>
          <w:tcPr>
            <w:tcW w:w="540" w:type="dxa"/>
            <w:vAlign w:val="bottom"/>
          </w:tcPr>
          <w:p>
            <w:pPr>
              <w:spacing w:after="0"/>
              <w:rPr>
                <w:sz w:val="12"/>
                <w:szCs w:val="12"/>
                <w:color w:val="auto"/>
              </w:rPr>
            </w:pPr>
          </w:p>
        </w:tc>
      </w:tr>
      <w:tr>
        <w:trPr>
          <w:trHeight w:val="159"/>
        </w:trPr>
        <w:tc>
          <w:tcPr>
            <w:tcW w:w="7400" w:type="dxa"/>
            <w:vAlign w:val="bottom"/>
            <w:shd w:val="clear" w:color="auto" w:fill="CCEEFF"/>
          </w:tcPr>
          <w:p>
            <w:pPr>
              <w:spacing w:after="0"/>
              <w:rPr>
                <w:sz w:val="20"/>
                <w:szCs w:val="20"/>
                <w:color w:val="auto"/>
              </w:rPr>
            </w:pPr>
            <w:r>
              <w:rPr>
                <w:rFonts w:ascii="Arial" w:cs="Arial" w:eastAsia="Arial" w:hAnsi="Arial"/>
                <w:sz w:val="11"/>
                <w:szCs w:val="11"/>
                <w:color w:val="auto"/>
              </w:rPr>
              <w:t>Net Income (loss)</w:t>
            </w:r>
          </w:p>
        </w:tc>
        <w:tc>
          <w:tcPr>
            <w:tcW w:w="1040" w:type="dxa"/>
            <w:vAlign w:val="bottom"/>
            <w:shd w:val="clear" w:color="auto" w:fill="CCEEFF"/>
          </w:tcPr>
          <w:p>
            <w:pPr>
              <w:jc w:val="right"/>
              <w:ind w:right="90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31,392</w:t>
            </w:r>
          </w:p>
        </w:tc>
        <w:tc>
          <w:tcPr>
            <w:tcW w:w="1060" w:type="dxa"/>
            <w:vAlign w:val="bottom"/>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(56,615)</w:t>
            </w:r>
          </w:p>
        </w:tc>
      </w:tr>
      <w:tr>
        <w:trPr>
          <w:trHeight w:val="207"/>
        </w:trPr>
        <w:tc>
          <w:tcPr>
            <w:tcW w:w="7400" w:type="dxa"/>
            <w:vAlign w:val="bottom"/>
          </w:tcPr>
          <w:p>
            <w:pPr>
              <w:spacing w:after="0"/>
              <w:rPr>
                <w:sz w:val="20"/>
                <w:szCs w:val="20"/>
                <w:color w:val="auto"/>
              </w:rPr>
            </w:pPr>
            <w:r>
              <w:rPr>
                <w:rFonts w:ascii="Arial" w:cs="Arial" w:eastAsia="Arial" w:hAnsi="Arial"/>
                <w:sz w:val="11"/>
                <w:szCs w:val="11"/>
                <w:color w:val="auto"/>
              </w:rPr>
              <w:t xml:space="preserve">Interest expense, net </w:t>
            </w:r>
            <w:r>
              <w:rPr>
                <w:rFonts w:ascii="Arial" w:cs="Arial" w:eastAsia="Arial" w:hAnsi="Arial"/>
                <w:sz w:val="14"/>
                <w:szCs w:val="14"/>
                <w:color w:val="auto"/>
                <w:vertAlign w:val="superscript"/>
              </w:rPr>
              <w:t>(1)</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656</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574</w:t>
            </w:r>
          </w:p>
        </w:tc>
      </w:tr>
      <w:tr>
        <w:trPr>
          <w:trHeight w:val="153"/>
        </w:trPr>
        <w:tc>
          <w:tcPr>
            <w:tcW w:w="7400" w:type="dxa"/>
            <w:vAlign w:val="bottom"/>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10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5,491</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3,067</w:t>
            </w:r>
          </w:p>
        </w:tc>
      </w:tr>
      <w:tr>
        <w:trPr>
          <w:trHeight w:val="147"/>
        </w:trPr>
        <w:tc>
          <w:tcPr>
            <w:tcW w:w="7400" w:type="dxa"/>
            <w:vAlign w:val="bottom"/>
          </w:tcPr>
          <w:p>
            <w:pPr>
              <w:spacing w:after="0"/>
              <w:rPr>
                <w:sz w:val="20"/>
                <w:szCs w:val="20"/>
                <w:color w:val="auto"/>
              </w:rPr>
            </w:pPr>
            <w:r>
              <w:rPr>
                <w:rFonts w:ascii="Arial" w:cs="Arial" w:eastAsia="Arial" w:hAnsi="Arial"/>
                <w:sz w:val="11"/>
                <w:szCs w:val="11"/>
                <w:color w:val="auto"/>
              </w:rPr>
              <w:t>Stock-based compensation expense</w:t>
            </w:r>
          </w:p>
        </w:tc>
        <w:tc>
          <w:tcPr>
            <w:tcW w:w="10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18,011</w:t>
            </w: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29,453</w:t>
            </w:r>
          </w:p>
        </w:tc>
      </w:tr>
      <w:tr>
        <w:trPr>
          <w:trHeight w:val="213"/>
        </w:trPr>
        <w:tc>
          <w:tcPr>
            <w:tcW w:w="740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Transaction costs </w:t>
            </w:r>
            <w:r>
              <w:rPr>
                <w:rFonts w:ascii="Arial" w:cs="Arial" w:eastAsia="Arial" w:hAnsi="Arial"/>
                <w:sz w:val="14"/>
                <w:szCs w:val="14"/>
                <w:color w:val="auto"/>
                <w:vertAlign w:val="superscript"/>
              </w:rPr>
              <w:t>(2)</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07"/>
        </w:trPr>
        <w:tc>
          <w:tcPr>
            <w:tcW w:w="7400" w:type="dxa"/>
            <w:vAlign w:val="bottom"/>
          </w:tcPr>
          <w:p>
            <w:pPr>
              <w:spacing w:after="0"/>
              <w:rPr>
                <w:sz w:val="20"/>
                <w:szCs w:val="20"/>
                <w:color w:val="auto"/>
              </w:rPr>
            </w:pPr>
            <w:r>
              <w:rPr>
                <w:rFonts w:ascii="Arial" w:cs="Arial" w:eastAsia="Arial" w:hAnsi="Arial"/>
                <w:sz w:val="11"/>
                <w:szCs w:val="11"/>
                <w:color w:val="auto"/>
              </w:rPr>
              <w:t xml:space="preserve">Change in fair market value of warrant and earn-out contingent liabilities </w:t>
            </w:r>
            <w:r>
              <w:rPr>
                <w:rFonts w:ascii="Arial" w:cs="Arial" w:eastAsia="Arial" w:hAnsi="Arial"/>
                <w:sz w:val="14"/>
                <w:szCs w:val="14"/>
                <w:color w:val="auto"/>
                <w:vertAlign w:val="superscript"/>
              </w:rPr>
              <w:t>(3)</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(122,171)</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7"/>
        </w:trPr>
        <w:tc>
          <w:tcPr>
            <w:tcW w:w="740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Other (income) expense, net </w:t>
            </w:r>
            <w:r>
              <w:rPr>
                <w:rFonts w:ascii="Arial" w:cs="Arial" w:eastAsia="Arial" w:hAnsi="Arial"/>
                <w:sz w:val="14"/>
                <w:szCs w:val="14"/>
                <w:color w:val="auto"/>
                <w:vertAlign w:val="superscript"/>
              </w:rPr>
              <w:t>(4)</w:t>
            </w: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r>
      <w:tr>
        <w:trPr>
          <w:trHeight w:val="162"/>
        </w:trPr>
        <w:tc>
          <w:tcPr>
            <w:tcW w:w="7400" w:type="dxa"/>
            <w:vAlign w:val="bottom"/>
          </w:tcPr>
          <w:p>
            <w:pPr>
              <w:ind w:left="360"/>
              <w:spacing w:after="0"/>
              <w:rPr>
                <w:sz w:val="20"/>
                <w:szCs w:val="20"/>
                <w:color w:val="auto"/>
              </w:rPr>
            </w:pPr>
            <w:r>
              <w:rPr>
                <w:rFonts w:ascii="Arial" w:cs="Arial" w:eastAsia="Arial" w:hAnsi="Arial"/>
                <w:sz w:val="11"/>
                <w:szCs w:val="11"/>
                <w:color w:val="auto"/>
              </w:rPr>
              <w:t>Adjusted EBITDA</w:t>
            </w:r>
          </w:p>
        </w:tc>
        <w:tc>
          <w:tcPr>
            <w:tcW w:w="104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(65,887)</w:t>
            </w:r>
          </w:p>
        </w:tc>
        <w:tc>
          <w:tcPr>
            <w:tcW w:w="1060" w:type="dxa"/>
            <w:vAlign w:val="bottom"/>
            <w:tcBorders>
              <w:bottom w:val="single" w:sz="8" w:color="auto"/>
            </w:tcBorders>
          </w:tcPr>
          <w:p>
            <w:pPr>
              <w:jc w:val="right"/>
              <w:ind w:right="9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(23,495)</w:t>
            </w:r>
          </w:p>
        </w:tc>
      </w:tr>
      <w:tr>
        <w:trPr>
          <w:trHeight w:val="20"/>
        </w:trPr>
        <w:tc>
          <w:tcPr>
            <w:tcW w:w="7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w:t>
      </w:r>
    </w:p>
    <w:p>
      <w:pPr>
        <w:spacing w:after="0" w:line="11"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0"/>
          <w:szCs w:val="10"/>
          <w:b w:val="1"/>
          <w:bCs w:val="1"/>
          <w:color w:val="auto"/>
        </w:rPr>
      </w:pPr>
      <w:r>
        <w:rPr>
          <w:rFonts w:ascii="Arial" w:cs="Arial" w:eastAsia="Arial" w:hAnsi="Arial"/>
          <w:sz w:val="10"/>
          <w:szCs w:val="10"/>
          <w:color w:val="auto"/>
        </w:rPr>
        <w:t>Represents the total of Interest Expense related to our capital leases and interest-bearing loans and Interest Income on money market funds.</w:t>
      </w:r>
    </w:p>
    <w:p>
      <w:pPr>
        <w:spacing w:after="0" w:line="11" w:lineRule="exact"/>
        <w:rPr>
          <w:rFonts w:ascii="Arial" w:cs="Arial" w:eastAsia="Arial" w:hAnsi="Arial"/>
          <w:sz w:val="10"/>
          <w:szCs w:val="10"/>
          <w:b w:val="1"/>
          <w:bCs w:val="1"/>
          <w:color w:val="auto"/>
        </w:rPr>
      </w:pPr>
    </w:p>
    <w:p>
      <w:pPr>
        <w:ind w:left="208" w:hanging="208"/>
        <w:spacing w:after="0"/>
        <w:tabs>
          <w:tab w:leader="none" w:pos="208" w:val="left"/>
        </w:tabs>
        <w:numPr>
          <w:ilvl w:val="0"/>
          <w:numId w:val="3"/>
        </w:numPr>
        <w:rPr>
          <w:rFonts w:ascii="Arial" w:cs="Arial" w:eastAsia="Arial" w:hAnsi="Arial"/>
          <w:sz w:val="10"/>
          <w:szCs w:val="10"/>
          <w:b w:val="1"/>
          <w:bCs w:val="1"/>
          <w:color w:val="auto"/>
        </w:rPr>
      </w:pPr>
      <w:r>
        <w:rPr>
          <w:rFonts w:ascii="Arial" w:cs="Arial" w:eastAsia="Arial" w:hAnsi="Arial"/>
          <w:sz w:val="10"/>
          <w:szCs w:val="10"/>
          <w:color w:val="auto"/>
        </w:rPr>
        <w:t>Represents professional service costs incurred in connection with pursuing the Business Combination transaction that did not meet the requirement for capitalization.</w:t>
      </w:r>
    </w:p>
    <w:p>
      <w:pPr>
        <w:spacing w:after="0" w:line="11" w:lineRule="exact"/>
        <w:rPr>
          <w:rFonts w:ascii="Arial" w:cs="Arial" w:eastAsia="Arial" w:hAnsi="Arial"/>
          <w:sz w:val="10"/>
          <w:szCs w:val="10"/>
          <w:b w:val="1"/>
          <w:bCs w:val="1"/>
          <w:color w:val="auto"/>
        </w:rPr>
      </w:pPr>
    </w:p>
    <w:p>
      <w:pPr>
        <w:ind w:left="208" w:hanging="208"/>
        <w:spacing w:after="0"/>
        <w:tabs>
          <w:tab w:leader="none" w:pos="208" w:val="left"/>
        </w:tabs>
        <w:numPr>
          <w:ilvl w:val="0"/>
          <w:numId w:val="3"/>
        </w:numPr>
        <w:rPr>
          <w:rFonts w:ascii="Arial" w:cs="Arial" w:eastAsia="Arial" w:hAnsi="Arial"/>
          <w:sz w:val="8"/>
          <w:szCs w:val="8"/>
          <w:b w:val="1"/>
          <w:bCs w:val="1"/>
          <w:color w:val="auto"/>
        </w:rPr>
      </w:pPr>
      <w:r>
        <w:rPr>
          <w:rFonts w:ascii="Arial" w:cs="Arial" w:eastAsia="Arial" w:hAnsi="Arial"/>
          <w:sz w:val="8"/>
          <w:szCs w:val="8"/>
          <w:color w:val="auto"/>
        </w:rPr>
        <w:t>For the three months ended September 30, 2021, represents the change in fair market value of the liabilities associated with our public warrants and private placement warrants and the earn-out shares issuable under the terms of the Merger Agreement.</w:t>
      </w:r>
    </w:p>
    <w:p>
      <w:pPr>
        <w:spacing w:after="0" w:line="34" w:lineRule="exact"/>
        <w:rPr>
          <w:rFonts w:ascii="Arial" w:cs="Arial" w:eastAsia="Arial" w:hAnsi="Arial"/>
          <w:sz w:val="8"/>
          <w:szCs w:val="8"/>
          <w:b w:val="1"/>
          <w:bCs w:val="1"/>
          <w:color w:val="auto"/>
        </w:rPr>
      </w:pPr>
    </w:p>
    <w:p>
      <w:pPr>
        <w:ind w:left="208" w:hanging="208"/>
        <w:spacing w:after="0"/>
        <w:tabs>
          <w:tab w:leader="none" w:pos="208" w:val="left"/>
        </w:tabs>
        <w:numPr>
          <w:ilvl w:val="0"/>
          <w:numId w:val="3"/>
        </w:numPr>
        <w:rPr>
          <w:rFonts w:ascii="Arial" w:cs="Arial" w:eastAsia="Arial" w:hAnsi="Arial"/>
          <w:sz w:val="10"/>
          <w:szCs w:val="10"/>
          <w:b w:val="1"/>
          <w:bCs w:val="1"/>
          <w:color w:val="auto"/>
        </w:rPr>
      </w:pPr>
      <w:r>
        <w:rPr>
          <w:rFonts w:ascii="Arial" w:cs="Arial" w:eastAsia="Arial" w:hAnsi="Arial"/>
          <w:sz w:val="10"/>
          <w:szCs w:val="10"/>
          <w:color w:val="auto"/>
        </w:rPr>
        <w:t>For the three months ended September 30, 2021, consists primarily of penalties related to early extinguishment of debt.</w:t>
      </w:r>
    </w:p>
    <w:p>
      <w:pPr>
        <w:sectPr>
          <w:pgSz w:w="11900" w:h="16838" w:orient="portrait"/>
          <w:cols w:equalWidth="0" w:num="1">
            <w:col w:w="10628"/>
          </w:cols>
          <w:pgMar w:left="292" w:top="757" w:right="979" w:bottom="1440" w:gutter="0" w:footer="0" w:header="0"/>
        </w:sectPr>
      </w:pPr>
    </w:p>
    <w:bookmarkStart w:id="11" w:name="page12"/>
    <w:bookmarkEnd w:id="1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2021-11-15T15:32:50Z</dcterms:created>
  <dcterms:modified xsi:type="dcterms:W3CDTF">2021-11-15T15:32:50Z</dcterms:modified>
</cp:coreProperties>
</file>