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ind w:left="4780"/>
        <w:spacing w:after="0"/>
        <w:rPr>
          <w:sz w:val="20"/>
          <w:szCs w:val="20"/>
          <w:color w:val="auto"/>
        </w:rPr>
      </w:pPr>
      <w:r>
        <w:rPr>
          <w:rFonts w:ascii="Arial" w:cs="Arial" w:eastAsia="Arial" w:hAnsi="Arial"/>
          <w:sz w:val="20"/>
          <w:szCs w:val="20"/>
          <w:color w:val="auto"/>
        </w:rPr>
        <w:t>(Amendment No. 1)*</w:t>
      </w:r>
    </w:p>
    <w:p>
      <w:pPr>
        <w:spacing w:after="0" w:line="229"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Sema4 Holdings Corp.</w:t>
      </w:r>
    </w:p>
    <w:p>
      <w:pPr>
        <w:spacing w:after="0" w:line="16"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(formerly known as CM Life Sciences, Inc.)</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-143510</wp:posOffset>
            </wp:positionV>
            <wp:extent cx="6231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Common Stock, par value of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1"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9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800" w:type="dxa"/>
            <w:vAlign w:val="bottom"/>
          </w:tcPr>
          <w:p>
            <w:pPr>
              <w:ind w:left="400"/>
              <w:spacing w:after="0"/>
              <w:rPr>
                <w:sz w:val="20"/>
                <w:szCs w:val="20"/>
                <w:color w:val="auto"/>
              </w:rPr>
            </w:pPr>
            <w:r>
              <w:rPr>
                <w:rFonts w:ascii="Arial" w:cs="Arial" w:eastAsia="Arial" w:hAnsi="Arial"/>
                <w:sz w:val="16"/>
                <w:szCs w:val="16"/>
                <w:color w:val="auto"/>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800" w:type="dxa"/>
            <w:vAlign w:val="bottom"/>
            <w:vMerge w:val="restart"/>
          </w:tcPr>
          <w:p>
            <w:pPr>
              <w:ind w:left="740"/>
              <w:spacing w:after="0"/>
              <w:rPr>
                <w:sz w:val="20"/>
                <w:szCs w:val="20"/>
                <w:color w:val="auto"/>
              </w:rPr>
            </w:pPr>
            <w:r>
              <w:rPr>
                <w:rFonts w:ascii="Arial" w:cs="Arial" w:eastAsia="Arial" w:hAnsi="Arial"/>
                <w:sz w:val="20"/>
                <w:szCs w:val="20"/>
                <w:color w:val="auto"/>
                <w:w w:val="87"/>
              </w:rPr>
              <w:t>Sachem Head Capital Management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5"/>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5"/>
        </w:numPr>
        <w:rPr>
          <w:rFonts w:ascii="Arial" w:cs="Arial" w:eastAsia="Arial" w:hAnsi="Arial"/>
          <w:sz w:val="20"/>
          <w:szCs w:val="20"/>
          <w:color w:val="auto"/>
        </w:rPr>
      </w:pPr>
      <w:r>
        <w:rPr>
          <w:rFonts w:ascii="Arial" w:cs="Arial" w:eastAsia="Arial" w:hAnsi="Arial"/>
          <w:sz w:val="20"/>
          <w:szCs w:val="20"/>
          <w:color w:val="auto"/>
        </w:rPr>
        <w:t>0 -</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IA</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Uncas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7"/>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8"/>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9"/>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9"/>
        </w:numPr>
        <w:rPr>
          <w:rFonts w:ascii="Arial" w:cs="Arial" w:eastAsia="Arial" w:hAnsi="Arial"/>
          <w:sz w:val="20"/>
          <w:szCs w:val="20"/>
          <w:color w:val="auto"/>
        </w:rPr>
      </w:pPr>
      <w:r>
        <w:rPr>
          <w:rFonts w:ascii="Arial" w:cs="Arial" w:eastAsia="Arial" w:hAnsi="Arial"/>
          <w:sz w:val="20"/>
          <w:szCs w:val="20"/>
          <w:color w:val="auto"/>
        </w:rPr>
        <w:t>0 -</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OO</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jc w:val="center"/>
              <w:ind w:left="31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jc w:val="center"/>
              <w:ind w:left="290"/>
              <w:spacing w:after="0"/>
              <w:rPr>
                <w:sz w:val="20"/>
                <w:szCs w:val="20"/>
                <w:color w:val="auto"/>
              </w:rPr>
            </w:pPr>
            <w:r>
              <w:rPr>
                <w:rFonts w:ascii="Arial" w:cs="Arial" w:eastAsia="Arial" w:hAnsi="Arial"/>
                <w:sz w:val="20"/>
                <w:szCs w:val="20"/>
                <w:color w:val="auto"/>
                <w:w w:val="89"/>
              </w:rPr>
              <w:t>Sachem Head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1"/>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3"/>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13"/>
        </w:numPr>
        <w:rPr>
          <w:rFonts w:ascii="Arial" w:cs="Arial" w:eastAsia="Arial" w:hAnsi="Arial"/>
          <w:sz w:val="20"/>
          <w:szCs w:val="20"/>
          <w:color w:val="auto"/>
        </w:rPr>
      </w:pPr>
      <w:r>
        <w:rPr>
          <w:rFonts w:ascii="Arial" w:cs="Arial" w:eastAsia="Arial" w:hAnsi="Arial"/>
          <w:sz w:val="20"/>
          <w:szCs w:val="20"/>
          <w:color w:val="auto"/>
        </w:rPr>
        <w:t>0 -</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OO</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73" w:hanging="273"/>
        <w:spacing w:after="0" w:line="262" w:lineRule="exact"/>
        <w:tabs>
          <w:tab w:leader="none" w:pos="273" w:val="left"/>
        </w:tabs>
        <w:numPr>
          <w:ilvl w:val="0"/>
          <w:numId w:val="1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Scott D. Ferguson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680" w:type="dxa"/>
            <w:vAlign w:val="bottom"/>
            <w:gridSpan w:val="3"/>
            <w:vMerge w:val="restart"/>
          </w:tcPr>
          <w:p>
            <w:pPr>
              <w:jc w:val="right"/>
              <w:ind w:right="203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53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7"/>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17"/>
        </w:numPr>
        <w:rPr>
          <w:rFonts w:ascii="Arial" w:cs="Arial" w:eastAsia="Arial" w:hAnsi="Arial"/>
          <w:sz w:val="20"/>
          <w:szCs w:val="20"/>
          <w:color w:val="auto"/>
        </w:rPr>
      </w:pPr>
      <w:r>
        <w:rPr>
          <w:rFonts w:ascii="Arial" w:cs="Arial" w:eastAsia="Arial" w:hAnsi="Arial"/>
          <w:sz w:val="20"/>
          <w:szCs w:val="20"/>
          <w:color w:val="auto"/>
        </w:rPr>
        <w:t>0 -</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IN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9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The name of the issuer is Sema4 Holdings Corp. (formerly known as CM Life Sciences, Inc.) (the "</w:t>
      </w:r>
      <w:r>
        <w:rPr>
          <w:rFonts w:ascii="Arial" w:cs="Arial" w:eastAsia="Arial" w:hAnsi="Arial"/>
          <w:sz w:val="19"/>
          <w:szCs w:val="19"/>
          <w:u w:val="single" w:color="auto"/>
          <w:color w:val="auto"/>
        </w:rPr>
        <w:t>Issuer</w:t>
      </w:r>
      <w:r>
        <w:rPr>
          <w:rFonts w:ascii="Arial" w:cs="Arial" w:eastAsia="Arial" w:hAnsi="Arial"/>
          <w:sz w:val="19"/>
          <w:szCs w:val="19"/>
          <w:color w:val="auto"/>
        </w:rPr>
        <w:t>").</w:t>
      </w:r>
    </w:p>
    <w:p>
      <w:pPr>
        <w:spacing w:after="0" w:line="22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800" w:right="920"/>
        <w:spacing w:after="0" w:line="260" w:lineRule="auto"/>
        <w:rPr>
          <w:sz w:val="20"/>
          <w:szCs w:val="20"/>
          <w:color w:val="auto"/>
        </w:rPr>
      </w:pPr>
      <w:r>
        <w:rPr>
          <w:rFonts w:ascii="Arial" w:cs="Arial" w:eastAsia="Arial" w:hAnsi="Arial"/>
          <w:sz w:val="20"/>
          <w:szCs w:val="20"/>
          <w:color w:val="auto"/>
        </w:rPr>
        <w:t>The Issuer's principal executive offices are located at 333 Ludlow Street, North Tower, 8th Floor, Stamford, Connecticut 06902.</w:t>
      </w:r>
    </w:p>
    <w:p>
      <w:pPr>
        <w:spacing w:after="0" w:line="17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This statement is filed by:</w:t>
      </w:r>
    </w:p>
    <w:p>
      <w:pPr>
        <w:spacing w:after="0" w:line="229" w:lineRule="exact"/>
        <w:rPr>
          <w:sz w:val="20"/>
          <w:szCs w:val="20"/>
          <w:color w:val="auto"/>
        </w:rPr>
      </w:pPr>
    </w:p>
    <w:p>
      <w:pPr>
        <w:ind w:left="2600" w:hanging="801"/>
        <w:spacing w:after="0"/>
        <w:tabs>
          <w:tab w:leader="none" w:pos="2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Sachem Head Capital Management LP, a Delaware limited partnership ("</w:t>
      </w:r>
      <w:r>
        <w:rPr>
          <w:rFonts w:ascii="Arial" w:cs="Arial" w:eastAsia="Arial" w:hAnsi="Arial"/>
          <w:sz w:val="20"/>
          <w:szCs w:val="20"/>
          <w:u w:val="single" w:color="auto"/>
          <w:color w:val="auto"/>
        </w:rPr>
        <w:t>Sachem Head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2600" w:hanging="801"/>
        <w:spacing w:after="0"/>
        <w:tabs>
          <w:tab w:leader="none" w:pos="2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Uncas GP LLC, a Delaware limited liability company ("</w:t>
      </w:r>
      <w:r>
        <w:rPr>
          <w:rFonts w:ascii="Arial" w:cs="Arial" w:eastAsia="Arial" w:hAnsi="Arial"/>
          <w:sz w:val="20"/>
          <w:szCs w:val="20"/>
          <w:u w:val="single" w:color="auto"/>
          <w:color w:val="auto"/>
        </w:rPr>
        <w:t>SH Management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2600" w:hanging="801"/>
        <w:spacing w:after="0"/>
        <w:tabs>
          <w:tab w:leader="none" w:pos="2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Sachem Head GP LLC, a Delaware limited liability company ("</w:t>
      </w:r>
      <w:r>
        <w:rPr>
          <w:rFonts w:ascii="Arial" w:cs="Arial" w:eastAsia="Arial" w:hAnsi="Arial"/>
          <w:sz w:val="20"/>
          <w:szCs w:val="20"/>
          <w:u w:val="single" w:color="auto"/>
          <w:color w:val="auto"/>
        </w:rPr>
        <w:t>Sachem Head GP</w:t>
      </w:r>
      <w:r>
        <w:rPr>
          <w:rFonts w:ascii="Arial" w:cs="Arial" w:eastAsia="Arial" w:hAnsi="Arial"/>
          <w:sz w:val="20"/>
          <w:szCs w:val="20"/>
          <w:color w:val="auto"/>
        </w:rPr>
        <w:t>"); and</w:t>
      </w:r>
    </w:p>
    <w:p>
      <w:pPr>
        <w:spacing w:after="0" w:line="229" w:lineRule="exact"/>
        <w:rPr>
          <w:sz w:val="20"/>
          <w:szCs w:val="20"/>
          <w:color w:val="auto"/>
        </w:rPr>
      </w:pPr>
    </w:p>
    <w:p>
      <w:pPr>
        <w:ind w:left="2600" w:hanging="801"/>
        <w:spacing w:after="0"/>
        <w:tabs>
          <w:tab w:leader="none" w:pos="2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Scott D. Ferguson, a citizen of the United States of America ("</w:t>
      </w:r>
      <w:r>
        <w:rPr>
          <w:rFonts w:ascii="Arial" w:cs="Arial" w:eastAsia="Arial" w:hAnsi="Arial"/>
          <w:sz w:val="20"/>
          <w:szCs w:val="20"/>
          <w:u w:val="single" w:color="auto"/>
          <w:color w:val="auto"/>
        </w:rPr>
        <w:t>Mr. Ferguson</w:t>
      </w:r>
      <w:r>
        <w:rPr>
          <w:rFonts w:ascii="Arial" w:cs="Arial" w:eastAsia="Arial" w:hAnsi="Arial"/>
          <w:sz w:val="20"/>
          <w:szCs w:val="20"/>
          <w:color w:val="auto"/>
        </w:rPr>
        <w:t>").</w:t>
      </w:r>
    </w:p>
    <w:p>
      <w:pPr>
        <w:spacing w:after="0" w:line="22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w:t>
      </w:r>
    </w:p>
    <w:p>
      <w:pPr>
        <w:spacing w:after="0" w:line="229" w:lineRule="exact"/>
        <w:rPr>
          <w:sz w:val="20"/>
          <w:szCs w:val="20"/>
          <w:color w:val="auto"/>
        </w:rPr>
      </w:pPr>
    </w:p>
    <w:p>
      <w:pPr>
        <w:ind w:left="1800" w:right="140"/>
        <w:spacing w:after="0" w:line="244" w:lineRule="auto"/>
        <w:rPr>
          <w:sz w:val="20"/>
          <w:szCs w:val="20"/>
          <w:color w:val="auto"/>
        </w:rPr>
      </w:pPr>
      <w:r>
        <w:rPr>
          <w:rFonts w:ascii="Arial" w:cs="Arial" w:eastAsia="Arial" w:hAnsi="Arial"/>
          <w:sz w:val="20"/>
          <w:szCs w:val="20"/>
          <w:color w:val="auto"/>
        </w:rPr>
        <w:t>Sachem Head serves as investment advisor to certain affiliated funds, including Sachem Head LP, a Delaware limited partnership ("</w:t>
      </w:r>
      <w:r>
        <w:rPr>
          <w:rFonts w:ascii="Arial" w:cs="Arial" w:eastAsia="Arial" w:hAnsi="Arial"/>
          <w:sz w:val="20"/>
          <w:szCs w:val="20"/>
          <w:u w:val="single" w:color="auto"/>
          <w:color w:val="auto"/>
        </w:rPr>
        <w:t>SH</w:t>
      </w:r>
      <w:r>
        <w:rPr>
          <w:rFonts w:ascii="Arial" w:cs="Arial" w:eastAsia="Arial" w:hAnsi="Arial"/>
          <w:sz w:val="20"/>
          <w:szCs w:val="20"/>
          <w:color w:val="auto"/>
        </w:rPr>
        <w:t>") and Sachem Head Master LP, an exempted limited partnership organized under the laws of the Cayman Islands ("</w:t>
      </w:r>
      <w:r>
        <w:rPr>
          <w:rFonts w:ascii="Arial" w:cs="Arial" w:eastAsia="Arial" w:hAnsi="Arial"/>
          <w:sz w:val="20"/>
          <w:szCs w:val="20"/>
          <w:u w:val="single" w:color="auto"/>
          <w:color w:val="auto"/>
        </w:rPr>
        <w:t>SHM</w:t>
      </w:r>
      <w:r>
        <w:rPr>
          <w:rFonts w:ascii="Arial" w:cs="Arial" w:eastAsia="Arial" w:hAnsi="Arial"/>
          <w:sz w:val="20"/>
          <w:szCs w:val="20"/>
          <w:color w:val="auto"/>
        </w:rPr>
        <w:t>"), and as such may be deemed to have the shared power to vote or direct the vote of (and the shared power to dispose or direct the disposition of) all of the shares of Common Stock (as defined in Item 2(d) below) held by SH and SHM.</w:t>
      </w:r>
    </w:p>
    <w:p>
      <w:pPr>
        <w:spacing w:after="0" w:line="208" w:lineRule="exact"/>
        <w:rPr>
          <w:sz w:val="20"/>
          <w:szCs w:val="20"/>
          <w:color w:val="auto"/>
        </w:rPr>
      </w:pPr>
    </w:p>
    <w:p>
      <w:pPr>
        <w:ind w:left="1800" w:right="140"/>
        <w:spacing w:after="0" w:line="273" w:lineRule="auto"/>
        <w:rPr>
          <w:sz w:val="20"/>
          <w:szCs w:val="20"/>
          <w:color w:val="auto"/>
        </w:rPr>
      </w:pPr>
      <w:r>
        <w:rPr>
          <w:rFonts w:ascii="Arial" w:cs="Arial" w:eastAsia="Arial" w:hAnsi="Arial"/>
          <w:sz w:val="18"/>
          <w:szCs w:val="18"/>
          <w:color w:val="auto"/>
        </w:rPr>
        <w:t>SH Management serves as the sole general partner of Sachem Head, and as such may be deemed to have the shared power to vote or direct the vote of (and the shared power to dispose or direct the disposition of) all of the shares of Common Stock reported herein. Sachem Head GP serves as the general partner of certain affiliated funds, including SH and SHM, and as such may be deemed to have the shared power to vote or direct the vote of (and the shared power to dispose or direct the disposition of) all of the shares of Common Stock held by SH and SHM. Mr. Ferguson serves as the managing partner of Sachem Head and the managing member of SH Management and Sachem Head GP, and as such may be deemed to have the shared power to vote or direct the vote of (and the shared power to dispose or direct the disposition of) all of the shares of Common Stock reported herein.</w:t>
      </w:r>
    </w:p>
    <w:p>
      <w:pPr>
        <w:spacing w:after="0" w:line="182" w:lineRule="exact"/>
        <w:rPr>
          <w:sz w:val="20"/>
          <w:szCs w:val="20"/>
          <w:color w:val="auto"/>
        </w:rPr>
      </w:pPr>
    </w:p>
    <w:p>
      <w:pPr>
        <w:ind w:left="1800" w:right="560"/>
        <w:spacing w:after="0" w:line="287" w:lineRule="auto"/>
        <w:rPr>
          <w:sz w:val="20"/>
          <w:szCs w:val="20"/>
          <w:color w:val="auto"/>
        </w:rPr>
      </w:pPr>
      <w:r>
        <w:rPr>
          <w:rFonts w:ascii="Arial" w:cs="Arial" w:eastAsia="Arial" w:hAnsi="Arial"/>
          <w:sz w:val="19"/>
          <w:szCs w:val="19"/>
          <w:color w:val="auto"/>
        </w:rPr>
        <w:t>The filing of this statement should not be construed as an admission that any of the Reporting Persons is, for the purposes of Section 13 of the Act, the beneficial owner of the Common Stock reported herein.</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9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720" w:right="440"/>
        <w:spacing w:after="0" w:line="260" w:lineRule="auto"/>
        <w:rPr>
          <w:sz w:val="20"/>
          <w:szCs w:val="20"/>
          <w:color w:val="auto"/>
        </w:rPr>
      </w:pPr>
      <w:r>
        <w:rPr>
          <w:rFonts w:ascii="Arial" w:cs="Arial" w:eastAsia="Arial" w:hAnsi="Arial"/>
          <w:sz w:val="20"/>
          <w:szCs w:val="20"/>
          <w:color w:val="auto"/>
        </w:rPr>
        <w:t>The address of the business office of each of the Reporting Persons is 250 West 55th Street, 34th Floor, New York, New York 10019.</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35" w:lineRule="exact"/>
        <w:rPr>
          <w:sz w:val="20"/>
          <w:szCs w:val="20"/>
          <w:color w:val="auto"/>
        </w:rPr>
      </w:pPr>
    </w:p>
    <w:p>
      <w:pPr>
        <w:ind w:left="1800" w:right="680"/>
        <w:spacing w:after="0" w:line="260" w:lineRule="auto"/>
        <w:rPr>
          <w:sz w:val="20"/>
          <w:szCs w:val="20"/>
          <w:color w:val="auto"/>
        </w:rPr>
      </w:pPr>
      <w:r>
        <w:rPr>
          <w:rFonts w:ascii="Arial" w:cs="Arial" w:eastAsia="Arial" w:hAnsi="Arial"/>
          <w:sz w:val="20"/>
          <w:szCs w:val="20"/>
          <w:color w:val="auto"/>
        </w:rPr>
        <w:t>Sachem Head is a Delaware limited partnership. Each of SH Management and Sachem Head GP is a Delaware limited liability company. Mr. Ferguson is a citizen of the United States.</w:t>
      </w:r>
    </w:p>
    <w:p>
      <w:pPr>
        <w:spacing w:after="0" w:line="17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Class A Common Stock, par value $0.0001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w:t>
      </w:r>
    </w:p>
    <w:p>
      <w:pPr>
        <w:spacing w:after="0" w:line="223"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CUSIP NUMBER: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2(e).</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The CUSIP number for the Issuer’s Common Stock is 81663L101.</w:t>
      </w:r>
    </w:p>
    <w:p>
      <w:pPr>
        <w:spacing w:after="0" w:line="223" w:lineRule="exact"/>
        <w:rPr>
          <w:sz w:val="20"/>
          <w:szCs w:val="20"/>
          <w:color w:val="auto"/>
        </w:rPr>
      </w:pPr>
    </w:p>
    <w:p>
      <w:pPr>
        <w:ind w:left="1800" w:right="12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 WHETHER THE PERSON FILING IS A:</w:t>
      </w:r>
    </w:p>
    <w:p>
      <w:pPr>
        <w:spacing w:after="0" w:line="159" w:lineRule="exact"/>
        <w:rPr>
          <w:sz w:val="20"/>
          <w:szCs w:val="20"/>
          <w:color w:val="auto"/>
        </w:rPr>
      </w:pPr>
    </w:p>
    <w:p>
      <w:pPr>
        <w:ind w:left="2620" w:hanging="821"/>
        <w:spacing w:after="0" w:line="230" w:lineRule="exact"/>
        <w:tabs>
          <w:tab w:leader="none" w:pos="262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140" w:right="180" w:hanging="1341"/>
        <w:spacing w:after="0" w:line="252" w:lineRule="exact"/>
        <w:tabs>
          <w:tab w:leader="none" w:pos="2611"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Employee benefit plan or endowment fund in accordance with</w:t>
      </w:r>
    </w:p>
    <w:p>
      <w:pPr>
        <w:spacing w:after="0" w:line="3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200" w:right="3160" w:hanging="1401"/>
        <w:spacing w:after="0" w:line="240" w:lineRule="exact"/>
        <w:tabs>
          <w:tab w:leader="none" w:pos="2628"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Parent holding company or control person in accordance with Rule 13d-1(b)(1)(ii)(G);</w:t>
      </w:r>
    </w:p>
    <w:p>
      <w:pPr>
        <w:spacing w:after="0" w:line="195" w:lineRule="exact"/>
        <w:rPr>
          <w:rFonts w:ascii="Arial" w:cs="Arial" w:eastAsia="Arial" w:hAnsi="Arial"/>
          <w:sz w:val="20"/>
          <w:szCs w:val="20"/>
          <w:color w:val="auto"/>
        </w:rPr>
      </w:pPr>
    </w:p>
    <w:p>
      <w:pPr>
        <w:ind w:left="3140" w:right="600" w:hanging="1341"/>
        <w:spacing w:after="0" w:line="252" w:lineRule="exact"/>
        <w:tabs>
          <w:tab w:leader="none" w:pos="2611"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6" w:lineRule="exact"/>
        <w:rPr>
          <w:rFonts w:ascii="Arial" w:cs="Arial" w:eastAsia="Arial" w:hAnsi="Arial"/>
          <w:sz w:val="20"/>
          <w:szCs w:val="20"/>
          <w:color w:val="auto"/>
        </w:rPr>
      </w:pPr>
    </w:p>
    <w:p>
      <w:pPr>
        <w:ind w:left="3140" w:right="300" w:hanging="1341"/>
        <w:spacing w:after="0" w:line="252" w:lineRule="exact"/>
        <w:tabs>
          <w:tab w:leader="none" w:pos="2611"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9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1180" w:type="dxa"/>
            <w:vAlign w:val="bottom"/>
          </w:tcPr>
          <w:p>
            <w:pPr>
              <w:spacing w:after="0"/>
              <w:rPr>
                <w:sz w:val="24"/>
                <w:szCs w:val="24"/>
                <w:color w:val="auto"/>
              </w:rPr>
            </w:pPr>
          </w:p>
        </w:tc>
        <w:tc>
          <w:tcPr>
            <w:tcW w:w="1020" w:type="dxa"/>
            <w:vAlign w:val="bottom"/>
          </w:tcPr>
          <w:p>
            <w:pPr>
              <w:ind w:left="500"/>
              <w:spacing w:after="0"/>
              <w:rPr>
                <w:sz w:val="20"/>
                <w:szCs w:val="20"/>
                <w:color w:val="auto"/>
              </w:rPr>
            </w:pPr>
            <w:r>
              <w:rPr>
                <w:rFonts w:ascii="Arial" w:cs="Arial" w:eastAsia="Arial" w:hAnsi="Arial"/>
                <w:sz w:val="20"/>
                <w:szCs w:val="20"/>
                <w:color w:val="auto"/>
              </w:rPr>
              <w:t>(j)</w:t>
            </w:r>
          </w:p>
        </w:tc>
        <w:tc>
          <w:tcPr>
            <w:tcW w:w="80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20" w:type="dxa"/>
            <w:vAlign w:val="bottom"/>
            <w:gridSpan w:val="3"/>
          </w:tcPr>
          <w:p>
            <w:pPr>
              <w:ind w:left="20"/>
              <w:spacing w:after="0"/>
              <w:rPr>
                <w:sz w:val="20"/>
                <w:szCs w:val="20"/>
                <w:color w:val="auto"/>
              </w:rPr>
            </w:pPr>
            <w:r>
              <w:rPr>
                <w:rFonts w:ascii="Arial" w:cs="Arial" w:eastAsia="Arial" w:hAnsi="Arial"/>
                <w:sz w:val="20"/>
                <w:szCs w:val="20"/>
                <w:color w:val="auto"/>
              </w:rPr>
              <w:t>Non-U.S. institution in accordance with Rule 13d-1(b)(1)(ii)(J);</w:t>
            </w:r>
          </w:p>
        </w:tc>
      </w:tr>
      <w:tr>
        <w:trPr>
          <w:trHeight w:val="459"/>
        </w:trPr>
        <w:tc>
          <w:tcPr>
            <w:tcW w:w="1180" w:type="dxa"/>
            <w:vAlign w:val="bottom"/>
          </w:tcPr>
          <w:p>
            <w:pPr>
              <w:spacing w:after="0"/>
              <w:rPr>
                <w:sz w:val="24"/>
                <w:szCs w:val="24"/>
                <w:color w:val="auto"/>
              </w:rPr>
            </w:pPr>
          </w:p>
        </w:tc>
        <w:tc>
          <w:tcPr>
            <w:tcW w:w="1020" w:type="dxa"/>
            <w:vAlign w:val="bottom"/>
          </w:tcPr>
          <w:p>
            <w:pPr>
              <w:ind w:left="500"/>
              <w:spacing w:after="0"/>
              <w:rPr>
                <w:sz w:val="20"/>
                <w:szCs w:val="20"/>
                <w:color w:val="auto"/>
              </w:rPr>
            </w:pPr>
            <w:r>
              <w:rPr>
                <w:rFonts w:ascii="Arial" w:cs="Arial" w:eastAsia="Arial" w:hAnsi="Arial"/>
                <w:sz w:val="20"/>
                <w:szCs w:val="20"/>
                <w:color w:val="auto"/>
              </w:rPr>
              <w:t>(k)</w:t>
            </w:r>
          </w:p>
        </w:tc>
        <w:tc>
          <w:tcPr>
            <w:tcW w:w="80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20" w:type="dxa"/>
            <w:vAlign w:val="bottom"/>
            <w:gridSpan w:val="3"/>
          </w:tcPr>
          <w:p>
            <w:pPr>
              <w:ind w:left="20"/>
              <w:spacing w:after="0"/>
              <w:rPr>
                <w:sz w:val="20"/>
                <w:szCs w:val="20"/>
                <w:color w:val="auto"/>
              </w:rPr>
            </w:pPr>
            <w:r>
              <w:rPr>
                <w:rFonts w:ascii="Arial" w:cs="Arial" w:eastAsia="Arial" w:hAnsi="Arial"/>
                <w:sz w:val="20"/>
                <w:szCs w:val="20"/>
                <w:color w:val="auto"/>
              </w:rPr>
              <w:t>Group, in accordance with Rule 13d-1(b)(1)(ii)(K).</w:t>
            </w:r>
          </w:p>
        </w:tc>
      </w:tr>
      <w:tr>
        <w:trPr>
          <w:trHeight w:val="416"/>
        </w:trPr>
        <w:tc>
          <w:tcPr>
            <w:tcW w:w="1180" w:type="dxa"/>
            <w:vAlign w:val="bottom"/>
          </w:tcPr>
          <w:p>
            <w:pPr>
              <w:spacing w:after="0"/>
              <w:rPr>
                <w:sz w:val="24"/>
                <w:szCs w:val="24"/>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color w:val="auto"/>
              </w:rPr>
              <w:t>If filing as a non-U.S. institution in accordance with Rule 13d-1(b)(1)(ii)(J), please</w:t>
            </w:r>
          </w:p>
        </w:tc>
      </w:tr>
      <w:tr>
        <w:trPr>
          <w:trHeight w:val="246"/>
        </w:trPr>
        <w:tc>
          <w:tcPr>
            <w:tcW w:w="1180" w:type="dxa"/>
            <w:vAlign w:val="bottom"/>
          </w:tcPr>
          <w:p>
            <w:pPr>
              <w:spacing w:after="0"/>
              <w:rPr>
                <w:sz w:val="21"/>
                <w:szCs w:val="21"/>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color w:val="auto"/>
              </w:rPr>
              <w:t>specify the type of institution:</w:t>
            </w:r>
          </w:p>
        </w:tc>
      </w:tr>
      <w:tr>
        <w:trPr>
          <w:trHeight w:val="457"/>
        </w:trPr>
        <w:tc>
          <w:tcPr>
            <w:tcW w:w="118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1820" w:type="dxa"/>
            <w:vAlign w:val="bottom"/>
            <w:gridSpan w:val="2"/>
          </w:tcPr>
          <w:p>
            <w:pPr>
              <w:ind w:left="500"/>
              <w:spacing w:after="0"/>
              <w:rPr>
                <w:sz w:val="20"/>
                <w:szCs w:val="20"/>
                <w:color w:val="auto"/>
              </w:rPr>
            </w:pPr>
            <w:r>
              <w:rPr>
                <w:rFonts w:ascii="Arial" w:cs="Arial" w:eastAsia="Arial" w:hAnsi="Arial"/>
                <w:sz w:val="20"/>
                <w:szCs w:val="20"/>
                <w:b w:val="1"/>
                <w:bCs w:val="1"/>
                <w:color w:val="auto"/>
              </w:rPr>
              <w:t>OWNERSHIP</w:t>
            </w:r>
            <w:r>
              <w:rPr>
                <w:rFonts w:ascii="Arial" w:cs="Arial" w:eastAsia="Arial" w:hAnsi="Arial"/>
                <w:sz w:val="20"/>
                <w:szCs w:val="20"/>
                <w:color w:val="auto"/>
              </w:rPr>
              <w:t>.</w:t>
            </w:r>
          </w:p>
        </w:tc>
        <w:tc>
          <w:tcPr>
            <w:tcW w:w="2060" w:type="dxa"/>
            <w:vAlign w:val="bottom"/>
          </w:tcPr>
          <w:p>
            <w:pPr>
              <w:spacing w:after="0"/>
              <w:rPr>
                <w:sz w:val="24"/>
                <w:szCs w:val="24"/>
                <w:color w:val="auto"/>
              </w:rPr>
            </w:pPr>
          </w:p>
        </w:tc>
        <w:tc>
          <w:tcPr>
            <w:tcW w:w="5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438"/>
        </w:trPr>
        <w:tc>
          <w:tcPr>
            <w:tcW w:w="1180" w:type="dxa"/>
            <w:vAlign w:val="bottom"/>
          </w:tcPr>
          <w:p>
            <w:pPr>
              <w:spacing w:after="0"/>
              <w:rPr>
                <w:sz w:val="24"/>
                <w:szCs w:val="24"/>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color w:val="auto"/>
                <w:w w:val="95"/>
              </w:rPr>
              <w:t>The information required by Items 4(a) – (c) is set forth in Rows (5) – (11) of the cover page for each Reporting</w:t>
            </w:r>
          </w:p>
        </w:tc>
      </w:tr>
      <w:tr>
        <w:trPr>
          <w:trHeight w:val="250"/>
        </w:trPr>
        <w:tc>
          <w:tcPr>
            <w:tcW w:w="1180" w:type="dxa"/>
            <w:vAlign w:val="bottom"/>
          </w:tcPr>
          <w:p>
            <w:pPr>
              <w:spacing w:after="0"/>
              <w:rPr>
                <w:sz w:val="21"/>
                <w:szCs w:val="21"/>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color w:val="auto"/>
              </w:rPr>
              <w:t>Person hereto and is incorporated herein by reference for each such Reporting Person.</w:t>
            </w: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414"/>
        </w:trPr>
        <w:tc>
          <w:tcPr>
            <w:tcW w:w="1180" w:type="dxa"/>
            <w:vAlign w:val="bottom"/>
          </w:tcPr>
          <w:p>
            <w:pPr>
              <w:spacing w:after="0"/>
              <w:rPr>
                <w:sz w:val="24"/>
                <w:szCs w:val="24"/>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color w:val="auto"/>
                <w:w w:val="92"/>
              </w:rPr>
              <w:t>If this statement is being filed to report the fact that as of the date hereof the reporting person has ceased to be the</w:t>
            </w:r>
          </w:p>
        </w:tc>
      </w:tr>
      <w:tr>
        <w:trPr>
          <w:trHeight w:val="310"/>
        </w:trPr>
        <w:tc>
          <w:tcPr>
            <w:tcW w:w="1180" w:type="dxa"/>
            <w:vAlign w:val="bottom"/>
          </w:tcPr>
          <w:p>
            <w:pPr>
              <w:spacing w:after="0"/>
              <w:rPr>
                <w:sz w:val="24"/>
                <w:szCs w:val="24"/>
                <w:color w:val="auto"/>
              </w:rPr>
            </w:pPr>
          </w:p>
        </w:tc>
        <w:tc>
          <w:tcPr>
            <w:tcW w:w="9840" w:type="dxa"/>
            <w:vAlign w:val="bottom"/>
            <w:gridSpan w:val="5"/>
          </w:tcPr>
          <w:p>
            <w:pPr>
              <w:ind w:left="500"/>
              <w:spacing w:after="0" w:line="230" w:lineRule="exact"/>
              <w:rPr>
                <w:sz w:val="20"/>
                <w:szCs w:val="20"/>
                <w:color w:val="auto"/>
              </w:rPr>
            </w:pPr>
            <w:r>
              <w:rPr>
                <w:rFonts w:ascii="Arial" w:cs="Arial" w:eastAsia="Arial" w:hAnsi="Arial"/>
                <w:sz w:val="20"/>
                <w:szCs w:val="20"/>
                <w:color w:val="auto"/>
              </w:rPr>
              <w:t xml:space="preserve">beneficial owner of more than five percent of the class of securities, check the following: </w:t>
            </w:r>
            <w:r>
              <w:rPr>
                <w:rFonts w:ascii="MS PGothic" w:cs="MS PGothic" w:eastAsia="MS PGothic" w:hAnsi="MS PGothic"/>
                <w:sz w:val="20"/>
                <w:szCs w:val="20"/>
                <w:color w:val="auto"/>
              </w:rPr>
              <w:t>☒</w:t>
            </w:r>
          </w:p>
        </w:tc>
      </w:tr>
      <w:tr>
        <w:trPr>
          <w:trHeight w:val="437"/>
        </w:trPr>
        <w:tc>
          <w:tcPr>
            <w:tcW w:w="11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459"/>
        </w:trPr>
        <w:tc>
          <w:tcPr>
            <w:tcW w:w="1180" w:type="dxa"/>
            <w:vAlign w:val="bottom"/>
          </w:tcPr>
          <w:p>
            <w:pPr>
              <w:spacing w:after="0"/>
              <w:rPr>
                <w:sz w:val="24"/>
                <w:szCs w:val="24"/>
                <w:color w:val="auto"/>
              </w:rPr>
            </w:pPr>
          </w:p>
        </w:tc>
        <w:tc>
          <w:tcPr>
            <w:tcW w:w="1820" w:type="dxa"/>
            <w:vAlign w:val="bottom"/>
            <w:gridSpan w:val="2"/>
          </w:tcPr>
          <w:p>
            <w:pPr>
              <w:ind w:left="500"/>
              <w:spacing w:after="0"/>
              <w:rPr>
                <w:sz w:val="20"/>
                <w:szCs w:val="20"/>
                <w:color w:val="auto"/>
              </w:rPr>
            </w:pPr>
            <w:r>
              <w:rPr>
                <w:rFonts w:ascii="Arial" w:cs="Arial" w:eastAsia="Arial" w:hAnsi="Arial"/>
                <w:sz w:val="20"/>
                <w:szCs w:val="20"/>
                <w:color w:val="auto"/>
              </w:rPr>
              <w:t>See Item 2.</w:t>
            </w:r>
          </w:p>
        </w:tc>
        <w:tc>
          <w:tcPr>
            <w:tcW w:w="2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IDENTIFICATION  AND  CLASSIFICATION  OF  THE  SUBSIDIARY  WHICH  ACQUIRED  THE</w:t>
            </w:r>
          </w:p>
        </w:tc>
      </w:tr>
      <w:tr>
        <w:trPr>
          <w:trHeight w:val="256"/>
        </w:trPr>
        <w:tc>
          <w:tcPr>
            <w:tcW w:w="1180" w:type="dxa"/>
            <w:vAlign w:val="bottom"/>
          </w:tcPr>
          <w:p>
            <w:pPr>
              <w:spacing w:after="0"/>
              <w:rPr>
                <w:sz w:val="22"/>
                <w:szCs w:val="22"/>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SECURITY BEING REPORTED ON BY THE PARENT HOLDING COMPANY.</w:t>
            </w:r>
          </w:p>
        </w:tc>
      </w:tr>
      <w:tr>
        <w:trPr>
          <w:trHeight w:val="459"/>
        </w:trPr>
        <w:tc>
          <w:tcPr>
            <w:tcW w:w="1180" w:type="dxa"/>
            <w:vAlign w:val="bottom"/>
          </w:tcPr>
          <w:p>
            <w:pPr>
              <w:spacing w:after="0"/>
              <w:rPr>
                <w:sz w:val="24"/>
                <w:szCs w:val="24"/>
                <w:color w:val="auto"/>
              </w:rPr>
            </w:pPr>
          </w:p>
        </w:tc>
        <w:tc>
          <w:tcPr>
            <w:tcW w:w="1820" w:type="dxa"/>
            <w:vAlign w:val="bottom"/>
            <w:gridSpan w:val="2"/>
          </w:tcPr>
          <w:p>
            <w:pPr>
              <w:ind w:left="500"/>
              <w:spacing w:after="0"/>
              <w:rPr>
                <w:sz w:val="20"/>
                <w:szCs w:val="20"/>
                <w:color w:val="auto"/>
              </w:rPr>
            </w:pPr>
            <w:r>
              <w:rPr>
                <w:rFonts w:ascii="Arial" w:cs="Arial" w:eastAsia="Arial" w:hAnsi="Arial"/>
                <w:sz w:val="20"/>
                <w:szCs w:val="20"/>
                <w:color w:val="auto"/>
                <w:w w:val="98"/>
              </w:rPr>
              <w:t>Not applicable.</w:t>
            </w:r>
          </w:p>
        </w:tc>
        <w:tc>
          <w:tcPr>
            <w:tcW w:w="2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459"/>
        </w:trPr>
        <w:tc>
          <w:tcPr>
            <w:tcW w:w="1180" w:type="dxa"/>
            <w:vAlign w:val="bottom"/>
          </w:tcPr>
          <w:p>
            <w:pPr>
              <w:spacing w:after="0"/>
              <w:rPr>
                <w:sz w:val="24"/>
                <w:szCs w:val="24"/>
                <w:color w:val="auto"/>
              </w:rPr>
            </w:pPr>
          </w:p>
        </w:tc>
        <w:tc>
          <w:tcPr>
            <w:tcW w:w="1820" w:type="dxa"/>
            <w:vAlign w:val="bottom"/>
            <w:gridSpan w:val="2"/>
          </w:tcPr>
          <w:p>
            <w:pPr>
              <w:ind w:left="500"/>
              <w:spacing w:after="0"/>
              <w:rPr>
                <w:sz w:val="20"/>
                <w:szCs w:val="20"/>
                <w:color w:val="auto"/>
              </w:rPr>
            </w:pPr>
            <w:r>
              <w:rPr>
                <w:rFonts w:ascii="Arial" w:cs="Arial" w:eastAsia="Arial" w:hAnsi="Arial"/>
                <w:sz w:val="20"/>
                <w:szCs w:val="20"/>
                <w:color w:val="auto"/>
                <w:w w:val="98"/>
              </w:rPr>
              <w:t>Not applicable.</w:t>
            </w:r>
          </w:p>
        </w:tc>
        <w:tc>
          <w:tcPr>
            <w:tcW w:w="2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NOTICE OF DISSOLUTION OF GROUP.</w:t>
            </w:r>
          </w:p>
        </w:tc>
      </w:tr>
      <w:tr>
        <w:trPr>
          <w:trHeight w:val="459"/>
        </w:trPr>
        <w:tc>
          <w:tcPr>
            <w:tcW w:w="1180" w:type="dxa"/>
            <w:vAlign w:val="bottom"/>
          </w:tcPr>
          <w:p>
            <w:pPr>
              <w:spacing w:after="0"/>
              <w:rPr>
                <w:sz w:val="24"/>
                <w:szCs w:val="24"/>
                <w:color w:val="auto"/>
              </w:rPr>
            </w:pPr>
          </w:p>
        </w:tc>
        <w:tc>
          <w:tcPr>
            <w:tcW w:w="1820" w:type="dxa"/>
            <w:vAlign w:val="bottom"/>
            <w:gridSpan w:val="2"/>
          </w:tcPr>
          <w:p>
            <w:pPr>
              <w:ind w:left="500"/>
              <w:spacing w:after="0"/>
              <w:rPr>
                <w:sz w:val="20"/>
                <w:szCs w:val="20"/>
                <w:color w:val="auto"/>
              </w:rPr>
            </w:pPr>
            <w:r>
              <w:rPr>
                <w:rFonts w:ascii="Arial" w:cs="Arial" w:eastAsia="Arial" w:hAnsi="Arial"/>
                <w:sz w:val="20"/>
                <w:szCs w:val="20"/>
                <w:color w:val="auto"/>
                <w:w w:val="98"/>
              </w:rPr>
              <w:t>Not applicable.</w:t>
            </w:r>
          </w:p>
        </w:tc>
        <w:tc>
          <w:tcPr>
            <w:tcW w:w="2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9840" w:type="dxa"/>
            <w:vAlign w:val="bottom"/>
            <w:gridSpan w:val="5"/>
          </w:tcPr>
          <w:p>
            <w:pPr>
              <w:ind w:left="500"/>
              <w:spacing w:after="0"/>
              <w:rPr>
                <w:sz w:val="20"/>
                <w:szCs w:val="20"/>
                <w:color w:val="auto"/>
              </w:rPr>
            </w:pPr>
            <w:r>
              <w:rPr>
                <w:rFonts w:ascii="Arial" w:cs="Arial" w:eastAsia="Arial" w:hAnsi="Arial"/>
                <w:sz w:val="20"/>
                <w:szCs w:val="20"/>
                <w:b w:val="1"/>
                <w:bCs w:val="1"/>
                <w:color w:val="auto"/>
              </w:rPr>
              <w:t>CERTIFICATION.</w:t>
            </w:r>
          </w:p>
        </w:tc>
      </w:tr>
      <w:tr>
        <w:trPr>
          <w:trHeight w:val="459"/>
        </w:trPr>
        <w:tc>
          <w:tcPr>
            <w:tcW w:w="1180" w:type="dxa"/>
            <w:vAlign w:val="bottom"/>
          </w:tcPr>
          <w:p>
            <w:pPr>
              <w:spacing w:after="0"/>
              <w:rPr>
                <w:sz w:val="24"/>
                <w:szCs w:val="24"/>
                <w:color w:val="auto"/>
              </w:rPr>
            </w:pPr>
          </w:p>
        </w:tc>
        <w:tc>
          <w:tcPr>
            <w:tcW w:w="9840" w:type="dxa"/>
            <w:vAlign w:val="bottom"/>
            <w:gridSpan w:val="5"/>
          </w:tcPr>
          <w:p>
            <w:pPr>
              <w:ind w:left="500"/>
              <w:spacing w:after="0"/>
              <w:rPr>
                <w:sz w:val="20"/>
                <w:szCs w:val="20"/>
                <w:color w:val="auto"/>
              </w:rPr>
            </w:pPr>
            <w:r>
              <w:rPr>
                <w:rFonts w:ascii="Arial" w:cs="Arial" w:eastAsia="Arial" w:hAnsi="Arial"/>
                <w:sz w:val="20"/>
                <w:szCs w:val="20"/>
                <w:color w:val="auto"/>
              </w:rPr>
              <w:t>Each of the Reporting Persons hereby makes the following certification:</w:t>
            </w:r>
          </w:p>
        </w:tc>
      </w:tr>
    </w:tbl>
    <w:p>
      <w:pPr>
        <w:spacing w:after="0" w:line="209"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81663L101</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9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11, 2022</w:t>
      </w:r>
    </w:p>
    <w:p>
      <w:pPr>
        <w:spacing w:after="0" w:line="223"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SACHEM HEAD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028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15"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 Uncas GP LLC, its General Partner</w:t>
      </w:r>
    </w:p>
    <w:p>
      <w:pPr>
        <w:spacing w:after="0" w:line="229"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Scott D. Ferguson</w:t>
      </w:r>
    </w:p>
    <w:p>
      <w:pPr>
        <w:spacing w:after="0" w:line="20"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Scott D. Ferguson</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UNCAS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762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spacing w:after="0" w:line="242"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Scott D. Ferguson</w:t>
      </w:r>
    </w:p>
    <w:p>
      <w:pPr>
        <w:spacing w:after="0" w:line="27"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Scott D. Ferguson</w:t>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SACHEM HEAD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762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spacing w:after="0" w:line="242"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Scott D. Ferguson</w:t>
      </w:r>
    </w:p>
    <w:p>
      <w:pPr>
        <w:spacing w:after="0" w:line="27"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Scott D. Ferguson</w:t>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Scott 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Scott D. Ferguson</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2"/>
      <w:numFmt w:val="bullet"/>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9"/>
      <w:numFmt w:val="bullet"/>
      <w:start w:val="1"/>
    </w:lvl>
    <w:lvl w:ilvl="1">
      <w:lvlJc w:val="left"/>
      <w:lvlText w:val="-"/>
      <w:numFmt w:val="bullet"/>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9"/>
      <w:numFmt w:val="bullet"/>
      <w:start w:val="1"/>
    </w:lvl>
    <w:lvl w:ilvl="1">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2"/>
      <w:numFmt w:val="bullet"/>
      <w:start w:val="1"/>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9"/>
      <w:numFmt w:val="bullet"/>
      <w:start w:val="1"/>
    </w:lvl>
    <w:lvl w:ilvl="1">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9"/>
      <w:numFmt w:val="bullet"/>
      <w:start w:val="1"/>
    </w:lvl>
    <w:lvl w:ilvl="1">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2022-02-12T03:02:21Z</dcterms:created>
  <dcterms:modified xsi:type="dcterms:W3CDTF">2022-02-12T03:02:21Z</dcterms:modified>
</cp:coreProperties>
</file>