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302026_080325.xml.htm"/>
      <w:bookmarkStart w:id="1" w:name="ksform403302026_0803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138,447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61.2909</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125,218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62.3319</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120,101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13,412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63.2791</w:t>
            </w:r>
            <w:r>
              <w:rPr>
                <w:rFonts w:ascii="Times;serif" w:hAnsi="Times;serif"/>
                <w:color w:val="008000"/>
                <w:position w:val="7"/>
                <w:sz w:val="16"/>
                <w:sz w:val="20"/>
                <w:shd w:fill="FFFFFF" w:val="clear"/>
              </w:rPr>
              <w:t>(5)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106,689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64.5993</w:t>
            </w:r>
            <w:r>
              <w:rPr>
                <w:rFonts w:ascii="Times;serif" w:hAnsi="Times;serif"/>
                <w:color w:val="008000"/>
                <w:position w:val="7"/>
                <w:sz w:val="16"/>
                <w:sz w:val="20"/>
                <w:shd w:fill="FFFFFF" w:val="clear"/>
              </w:rPr>
              <w:t>(6)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101,397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65.2143</w:t>
            </w:r>
            <w:r>
              <w:rPr>
                <w:rFonts w:ascii="Times;serif" w:hAnsi="Times;serif"/>
                <w:color w:val="008000"/>
                <w:position w:val="7"/>
                <w:sz w:val="16"/>
                <w:sz w:val="20"/>
                <w:shd w:fill="FFFFFF" w:val="clear"/>
              </w:rPr>
              <w:t>(7)</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91,514</w:t>
            </w:r>
            <w:r>
              <w:rPr>
                <w:rFonts w:ascii="Times;serif" w:hAnsi="Times;serif"/>
                <w:color w:val="008000"/>
                <w:position w:val="7"/>
                <w:sz w:val="16"/>
                <w:sz w:val="20"/>
                <w:shd w:fill="FFFFFF" w:val="clear"/>
              </w:rPr>
              <w:t>(8)</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$60.93 to $61.91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through 7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$61.93 to $62.91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$62.96 to $63.955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$63.99 to $64.96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$65.00 to $65.61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Following the reported sale undertaken to satisfy tax withholding liabilities, in addition to the 91,514 shares of Class A Common Stock beneficially owned by the Reporting Person, the Reporting Person held RSUs representing contingent rights to receive up to an aggregate 334,695 shares of the Issuer's Class A Common Stock and options to purchase up to an aggregate 107,610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25% of the total award vested or vests annually, with the first tranche vested on March 26, 2025, subject to the Reporting Person's continued service to the Issuer on each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1053</Words>
  <Characters>5524</Characters>
  <CharactersWithSpaces>6471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