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Stueland Katherine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460"/>
        <w:spacing w:after="0" w:line="347" w:lineRule="auto"/>
        <w:rPr>
          <w:sz w:val="20"/>
          <w:szCs w:val="20"/>
          <w:color w:val="auto"/>
        </w:rPr>
      </w:pPr>
      <w:r>
        <w:rPr>
          <w:rFonts w:ascii="Times New Roman" w:cs="Times New Roman" w:eastAsia="Times New Roman" w:hAnsi="Times New Roman"/>
          <w:sz w:val="16"/>
          <w:szCs w:val="16"/>
          <w:color w:val="0000FF"/>
        </w:rPr>
        <w:t>C/O GENEDX HOLDINGS CORP. 333 LUDLOW ST., NORTH TOWER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GeneDx Holdings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09/09/2024</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74"/>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5"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1"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09/09/2024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6,546</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99,096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09/09/2024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3,639</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33.33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95,457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6,546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09/09/2024</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6,546</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58,919</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9, 2023 until fully vested, subject to the Reporting Person's continued service to the Issuer on each vesting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09/11/2024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9575"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2024-09-11T19:20:11Z</dcterms:created>
  <dcterms:modified xsi:type="dcterms:W3CDTF">2024-09-11T19:20:11Z</dcterms:modified>
</cp:coreProperties>
</file>