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00" w:type="dxa"/>
            <w:vAlign w:val="bottom"/>
            <w:gridSpan w:val="2"/>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Schadt Eric</w:t>
              </w:r>
            </w:hyperlink>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Sema4 Holdings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SMFR</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3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40" w:type="dxa"/>
            <w:vAlign w:val="bottom"/>
            <w:tcBorders>
              <w:top w:val="single" w:sz="8" w:color="0000EE"/>
            </w:tcBorders>
          </w:tcPr>
          <w:p>
            <w:pPr>
              <w:spacing w:after="0"/>
              <w:rPr>
                <w:sz w:val="5"/>
                <w:szCs w:val="5"/>
                <w:color w:val="auto"/>
              </w:rPr>
            </w:pP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100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94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1100" w:type="dxa"/>
            <w:vAlign w:val="bottom"/>
            <w:gridSpan w:val="2"/>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120"/>
              <w:spacing w:after="0"/>
              <w:rPr>
                <w:sz w:val="20"/>
                <w:szCs w:val="20"/>
                <w:color w:val="auto"/>
              </w:rPr>
            </w:pPr>
            <w:r>
              <w:rPr>
                <w:rFonts w:ascii="Arial" w:cs="Arial" w:eastAsia="Arial" w:hAnsi="Arial"/>
                <w:sz w:val="13"/>
                <w:szCs w:val="13"/>
                <w:color w:val="auto"/>
              </w:rPr>
              <w:t>(First)</w:t>
            </w:r>
          </w:p>
        </w:tc>
        <w:tc>
          <w:tcPr>
            <w:tcW w:w="1240" w:type="dxa"/>
            <w:vAlign w:val="bottom"/>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400" w:type="dxa"/>
            <w:vAlign w:val="bottom"/>
            <w:gridSpan w:val="3"/>
            <w:vMerge w:val="restart"/>
          </w:tcPr>
          <w:p>
            <w:pPr>
              <w:spacing w:after="0"/>
              <w:rPr>
                <w:sz w:val="20"/>
                <w:szCs w:val="20"/>
                <w:color w:val="auto"/>
              </w:rPr>
            </w:pPr>
            <w:r>
              <w:rPr>
                <w:rFonts w:ascii="Arial" w:cs="Arial" w:eastAsia="Arial" w:hAnsi="Arial"/>
                <w:sz w:val="17"/>
                <w:szCs w:val="17"/>
                <w:color w:val="0000FF"/>
                <w:w w:val="97"/>
              </w:rPr>
              <w:t>C/O SEMA4 HOLDINGS CORP.</w:t>
            </w:r>
          </w:p>
        </w:tc>
        <w:tc>
          <w:tcPr>
            <w:tcW w:w="1240" w:type="dxa"/>
            <w:vAlign w:val="bottom"/>
          </w:tcPr>
          <w:p>
            <w:pPr>
              <w:spacing w:after="0"/>
              <w:rPr>
                <w:sz w:val="19"/>
                <w:szCs w:val="19"/>
                <w:color w:val="auto"/>
              </w:rPr>
            </w:pPr>
          </w:p>
        </w:tc>
        <w:tc>
          <w:tcPr>
            <w:tcW w:w="2100" w:type="dxa"/>
            <w:vAlign w:val="bottom"/>
            <w:gridSpan w:val="3"/>
          </w:tcPr>
          <w:p>
            <w:pPr>
              <w:ind w:left="160"/>
              <w:spacing w:after="0"/>
              <w:rPr>
                <w:sz w:val="20"/>
                <w:szCs w:val="20"/>
                <w:color w:val="auto"/>
              </w:rPr>
            </w:pPr>
            <w:r>
              <w:rPr>
                <w:rFonts w:ascii="Arial" w:cs="Arial" w:eastAsia="Arial" w:hAnsi="Arial"/>
                <w:sz w:val="17"/>
                <w:szCs w:val="17"/>
                <w:color w:val="0000FF"/>
              </w:rPr>
              <w:t>12/01/2021</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2400" w:type="dxa"/>
            <w:vAlign w:val="bottom"/>
            <w:gridSpan w:val="3"/>
            <w:vMerge w:val="continue"/>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8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333 LUDLOW ST, NORTH TOWER, 8TH FL.</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0"/>
          <w:szCs w:val="20"/>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745"/>
        <w:spacing w:after="0"/>
        <w:rPr>
          <w:sz w:val="20"/>
          <w:szCs w:val="20"/>
          <w:color w:val="auto"/>
        </w:rPr>
      </w:pPr>
      <w:r>
        <w:rPr>
          <w:rFonts w:ascii="Arial" w:cs="Arial" w:eastAsia="Arial" w:hAnsi="Arial"/>
          <w:sz w:val="17"/>
          <w:szCs w:val="17"/>
          <w:color w:val="0000FF"/>
        </w:rPr>
        <w:t>Chief Executive Officer</w:t>
      </w:r>
    </w:p>
    <w:p>
      <w:pPr>
        <w:spacing w:after="0" w:line="42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p>
      <w:pPr>
        <w:spacing w:after="0" w:line="216"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STAMFORD</w:t>
            </w:r>
          </w:p>
        </w:tc>
        <w:tc>
          <w:tcPr>
            <w:tcW w:w="960" w:type="dxa"/>
            <w:vAlign w:val="bottom"/>
          </w:tcPr>
          <w:p>
            <w:pPr>
              <w:ind w:left="140"/>
              <w:spacing w:after="0"/>
              <w:rPr>
                <w:sz w:val="20"/>
                <w:szCs w:val="20"/>
                <w:color w:val="auto"/>
              </w:rPr>
            </w:pPr>
            <w:r>
              <w:rPr>
                <w:rFonts w:ascii="Arial" w:cs="Arial" w:eastAsia="Arial" w:hAnsi="Arial"/>
                <w:sz w:val="17"/>
                <w:szCs w:val="17"/>
                <w:color w:val="0000FF"/>
              </w:rPr>
              <w:t>CT</w:t>
            </w:r>
          </w:p>
        </w:tc>
        <w:tc>
          <w:tcPr>
            <w:tcW w:w="1600" w:type="dxa"/>
            <w:vAlign w:val="bottom"/>
          </w:tcPr>
          <w:p>
            <w:pPr>
              <w:ind w:left="400"/>
              <w:spacing w:after="0"/>
              <w:rPr>
                <w:sz w:val="20"/>
                <w:szCs w:val="20"/>
                <w:color w:val="auto"/>
              </w:rPr>
            </w:pPr>
            <w:r>
              <w:rPr>
                <w:rFonts w:ascii="Arial" w:cs="Arial" w:eastAsia="Arial" w:hAnsi="Arial"/>
                <w:sz w:val="17"/>
                <w:szCs w:val="17"/>
                <w:color w:val="0000FF"/>
              </w:rPr>
              <w:t>06902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0"/>
          <w:szCs w:val="20"/>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7"/>
                <w:szCs w:val="17"/>
                <w:color w:val="0000FF"/>
              </w:rPr>
              <w:t>12/01/2021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10,727</w:t>
            </w:r>
            <w:r>
              <w:rPr>
                <w:rFonts w:ascii="Arial" w:cs="Arial" w:eastAsia="Arial" w:hAnsi="Arial"/>
                <w:sz w:val="22"/>
                <w:szCs w:val="22"/>
                <w:color w:val="008000"/>
                <w:vertAlign w:val="superscript"/>
              </w:rPr>
              <w:t>(1)</w:t>
            </w:r>
          </w:p>
        </w:tc>
        <w:tc>
          <w:tcPr>
            <w:tcW w:w="4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ind w:righ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6.05</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Arial" w:cs="Arial" w:eastAsia="Arial" w:hAnsi="Arial"/>
                <w:sz w:val="17"/>
                <w:szCs w:val="17"/>
                <w:color w:val="0000FF"/>
                <w:w w:val="92"/>
              </w:rPr>
              <w:t>56,207</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7"/>
                <w:szCs w:val="17"/>
                <w:color w:val="0000FF"/>
              </w:rPr>
              <w:t>12/01/2021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Arial" w:cs="Arial" w:eastAsia="Arial" w:hAnsi="Arial"/>
                <w:sz w:val="26"/>
                <w:szCs w:val="26"/>
                <w:color w:val="0000FF"/>
                <w:w w:val="83"/>
                <w:vertAlign w:val="subscript"/>
              </w:rPr>
              <w:t>F</w:t>
            </w:r>
            <w:r>
              <w:rPr>
                <w:rFonts w:ascii="Arial" w:cs="Arial" w:eastAsia="Arial" w:hAnsi="Arial"/>
                <w:sz w:val="11"/>
                <w:szCs w:val="11"/>
                <w:color w:val="008000"/>
                <w:w w:val="83"/>
              </w:rPr>
              <w:t>(2)</w:t>
            </w:r>
          </w:p>
        </w:tc>
        <w:tc>
          <w:tcPr>
            <w:tcW w:w="760" w:type="dxa"/>
            <w:vAlign w:val="bottom"/>
            <w:tcBorders>
              <w:bottom w:val="single" w:sz="8" w:color="2C2C2C"/>
            </w:tcBorders>
          </w:tcPr>
          <w:p>
            <w:pPr>
              <w:jc w:val="right"/>
              <w:ind w:right="73"/>
              <w:spacing w:after="0"/>
              <w:rPr>
                <w:sz w:val="20"/>
                <w:szCs w:val="20"/>
                <w:color w:val="auto"/>
              </w:rPr>
            </w:pPr>
            <w:r>
              <w:rPr>
                <w:rFonts w:ascii="Arial" w:cs="Arial" w:eastAsia="Arial" w:hAnsi="Arial"/>
                <w:sz w:val="17"/>
                <w:szCs w:val="17"/>
                <w:color w:val="0000FF"/>
              </w:rPr>
              <w:t>5,452</w:t>
            </w:r>
          </w:p>
        </w:tc>
        <w:tc>
          <w:tcPr>
            <w:tcW w:w="4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5.52</w:t>
            </w:r>
            <w:r>
              <w:rPr>
                <w:rFonts w:ascii="Arial" w:cs="Arial" w:eastAsia="Arial" w:hAnsi="Arial"/>
                <w:sz w:val="22"/>
                <w:szCs w:val="22"/>
                <w:color w:val="008000"/>
                <w:w w:val="85"/>
                <w:vertAlign w:val="superscript"/>
              </w:rPr>
              <w:t>(3)</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Arial" w:cs="Arial" w:eastAsia="Arial" w:hAnsi="Arial"/>
                <w:sz w:val="17"/>
                <w:szCs w:val="17"/>
                <w:color w:val="0000FF"/>
                <w:w w:val="92"/>
              </w:rPr>
              <w:t>50,755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8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indicated shares were issued to Reporting Person as a stock bonus in connection with the elimination of Issuer's sabbatical leave program, in which all employees of Issuer hired on or before June 30, 2021 were provided an opportunity to receive a stock bonus in lieu of their continued eligibility to take sabbatical leave. The stock bonus was fully vested as of the date of issuance.</w:t>
      </w:r>
    </w:p>
    <w:p>
      <w:pPr>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number of shares required to be sold by the Reporting Person to cover certain tax obligation in connection with the stock bonus granted to the reporting person. This sale is mandated by the Issuer's election under its equity incentive plans to require the satisfaction of tax withholding obligations to be funded by a "sell to cover" transaction and does not represent a discretionary trade by the Reporting Person.</w:t>
      </w:r>
    </w:p>
    <w:p>
      <w:pPr>
        <w:spacing w:after="0" w:line="25" w:lineRule="exact"/>
        <w:rPr>
          <w:rFonts w:ascii="Arial" w:cs="Arial" w:eastAsia="Arial" w:hAnsi="Arial"/>
          <w:sz w:val="13"/>
          <w:szCs w:val="13"/>
          <w:color w:val="008000"/>
        </w:rPr>
      </w:pPr>
    </w:p>
    <w:p>
      <w:pPr>
        <w:jc w:val="both"/>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$5.51 to $5.64, inclusive. The reporting person undertakes to provide to the Issuer, any security holder of the Issuer, or the staff of the Securities and Exchange Commission, upon request, full information regarding the number of shares sold at each separate price within the ranges set forth herein.</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Daniel Clark, Attorney-in-</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7"/>
                <w:szCs w:val="17"/>
                <w:color w:val="0000FF"/>
                <w:w w:val="91"/>
              </w:rPr>
              <w:t>12/03/2021</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3468"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2021-12-03T17:56:40Z</dcterms:created>
  <dcterms:modified xsi:type="dcterms:W3CDTF">2021-12-03T17:56:40Z</dcterms:modified>
</cp:coreProperties>
</file>