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Casdin Eli</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12,836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RSUs will vest on the earlier of (i) the date of the next annual meeting of the Company's shareholders following the grant date and (i) the first anniversary of the grant date, in each case so long as the non-employee director continues to provide services to the Company through such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4264"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621</Words>
  <CharactersWithSpaces>3855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