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bidi w:val="0"/>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333" w:before="0" w:after="18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283"/>
        <w:jc w:val="center"/>
        <w:rPr>
          <w:rFonts w:ascii="Times New Roman;sans-serif" w:hAnsi="Times New Roman;sans-serif"/>
          <w:b/>
          <w:color w:val="000000"/>
          <w:sz w:val="22"/>
        </w:rPr>
      </w:pPr>
      <w:r>
        <w:rPr>
          <w:rFonts w:ascii="Times New Roman;sans-serif" w:hAnsi="Times New Roman;sans-serif"/>
          <w:b/>
          <w:color w:val="000000"/>
          <w:sz w:val="22"/>
        </w:rPr>
        <w:t>SCHEDULE 14A</w:t>
      </w:r>
    </w:p>
    <w:p>
      <w:pPr>
        <w:pStyle w:val="TextBody"/>
        <w:bidi w:val="0"/>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Proxy Statement Pursuant to Section 14(a) of the</w:t>
      </w:r>
    </w:p>
    <w:p>
      <w:pPr>
        <w:pStyle w:val="TextBody"/>
        <w:bidi w:val="0"/>
        <w:spacing w:lineRule="auto" w:line="333" w:before="0" w:after="180"/>
        <w:jc w:val="center"/>
        <w:rPr>
          <w:rFonts w:ascii="Times New Roman;sans-serif" w:hAnsi="Times New Roman;sans-serif"/>
          <w:b/>
          <w:color w:val="000000"/>
          <w:sz w:val="22"/>
        </w:rPr>
      </w:pPr>
      <w:r>
        <w:rPr>
          <w:rFonts w:ascii="Times New Roman;sans-serif" w:hAnsi="Times New Roman;sans-serif"/>
          <w:b/>
          <w:color w:val="000000"/>
          <w:sz w:val="22"/>
        </w:rPr>
        <w:t>Securities Exchange Act of 1934 (Amendment No.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283"/>
        <w:jc w:val="left"/>
        <w:rPr/>
      </w:pPr>
      <w:r>
        <w:rPr>
          <w:rFonts w:ascii="Times New Roman;sans-serif" w:hAnsi="Times New Roman;sans-serif"/>
          <w:b w:val="false"/>
          <w:color w:val="000000"/>
          <w:sz w:val="20"/>
        </w:rPr>
        <w:t xml:space="preserve">Filed by the Registrant </w:t>
      </w:r>
      <w:r>
        <w:rPr>
          <w:color w:val="000000"/>
        </w:rPr>
        <w:t>☒</w:t>
      </w:r>
    </w:p>
    <w:p>
      <w:pPr>
        <w:pStyle w:val="TextBody"/>
        <w:bidi w:val="0"/>
        <w:spacing w:lineRule="auto" w:line="333" w:before="0" w:after="0"/>
        <w:jc w:val="left"/>
        <w:rPr/>
      </w:pPr>
      <w:r>
        <w:rPr>
          <w:rFonts w:ascii="Times New Roman;sans-serif" w:hAnsi="Times New Roman;sans-serif"/>
          <w:b w:val="false"/>
          <w:color w:val="000000"/>
          <w:sz w:val="20"/>
        </w:rPr>
        <w:t xml:space="preserve">Filed by a Party other than the Registrant </w:t>
      </w:r>
      <w:r>
        <w:rPr>
          <w:color w:val="000000"/>
        </w:rPr>
        <w:t>☐</w:t>
      </w:r>
    </w:p>
    <w:p>
      <w:pPr>
        <w:pStyle w:val="TextBody"/>
        <w:bidi w:val="0"/>
        <w:spacing w:lineRule="auto" w:line="333"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bl>
      <w:tblPr>
        <w:tblW w:w="7166" w:type="dxa"/>
        <w:jc w:val="left"/>
        <w:tblInd w:w="0" w:type="dxa"/>
        <w:tblLayout w:type="fixed"/>
        <w:tblCellMar>
          <w:top w:w="28" w:type="dxa"/>
          <w:left w:w="28" w:type="dxa"/>
          <w:bottom w:w="28" w:type="dxa"/>
          <w:right w:w="28" w:type="dxa"/>
        </w:tblCellMar>
      </w:tblPr>
      <w:tblGrid>
        <w:gridCol w:w="124"/>
        <w:gridCol w:w="109"/>
        <w:gridCol w:w="109"/>
        <w:gridCol w:w="1999"/>
        <w:gridCol w:w="1999"/>
        <w:gridCol w:w="28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§240.14a-12</w:t>
            </w:r>
          </w:p>
        </w:tc>
      </w:tr>
    </w:tbl>
    <w:p>
      <w:pPr>
        <w:pStyle w:val="TextBody"/>
        <w:bidi w:val="0"/>
        <w:spacing w:before="180" w:after="283"/>
        <w:jc w:val="center"/>
        <w:rPr/>
      </w:pPr>
      <w:r>
        <w:rPr/>
        <w:drawing>
          <wp:inline distT="0" distB="0" distL="0" distR="0">
            <wp:extent cx="214312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6000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GENEDX HOLDINGS CORP.</w:t>
      </w:r>
    </w:p>
    <w:p>
      <w:pPr>
        <w:pStyle w:val="TextBody"/>
        <w:bidi w:val="0"/>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(Name of Registrant as Specified in Its Charter)</w:t>
      </w:r>
    </w:p>
    <w:p>
      <w:pPr>
        <w:pStyle w:val="TextBody"/>
        <w:bidi w:val="0"/>
        <w:spacing w:lineRule="auto" w:line="333" w:before="0" w:after="360"/>
        <w:jc w:val="center"/>
        <w:rPr>
          <w:rFonts w:ascii="Times New Roman;sans-serif" w:hAnsi="Times New Roman;sans-serif"/>
          <w:b/>
          <w:color w:val="000000"/>
          <w:sz w:val="22"/>
        </w:rPr>
      </w:pPr>
      <w:r>
        <w:rPr>
          <w:rFonts w:ascii="Times New Roman;sans-serif" w:hAnsi="Times New Roman;sans-serif"/>
          <w:b/>
          <w:color w:val="000000"/>
          <w:sz w:val="22"/>
        </w:rPr>
        <w:t>(Name of Person(s) Filing Proxy Statement, if other than the Registrant)</w:t>
      </w:r>
    </w:p>
    <w:p>
      <w:pPr>
        <w:pStyle w:val="TextBody"/>
        <w:bidi w:val="0"/>
        <w:spacing w:lineRule="auto" w:line="333"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the appropriate box):</w:t>
      </w:r>
    </w:p>
    <w:tbl>
      <w:tblPr>
        <w:tblW w:w="8696" w:type="dxa"/>
        <w:jc w:val="left"/>
        <w:tblInd w:w="0" w:type="dxa"/>
        <w:tblLayout w:type="fixed"/>
        <w:tblCellMar>
          <w:top w:w="28" w:type="dxa"/>
          <w:left w:w="28" w:type="dxa"/>
          <w:bottom w:w="28" w:type="dxa"/>
          <w:right w:w="28" w:type="dxa"/>
        </w:tblCellMar>
      </w:tblPr>
      <w:tblGrid>
        <w:gridCol w:w="124"/>
        <w:gridCol w:w="109"/>
        <w:gridCol w:w="109"/>
        <w:gridCol w:w="2444"/>
        <w:gridCol w:w="2444"/>
        <w:gridCol w:w="34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2444"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Supplement to the Proxy Statement for the Annual Meeting of Shareholders to be held on June 14, 2023</w:t>
      </w:r>
    </w:p>
    <w:p>
      <w:pPr>
        <w:pStyle w:val="TextBody"/>
        <w:bidi w:val="0"/>
        <w:spacing w:before="0" w:after="0"/>
        <w:jc w:val="left"/>
        <w:rPr/>
      </w:pPr>
      <w:r>
        <w:rPr/>
      </w:r>
    </w:p>
    <w:p>
      <w:pPr>
        <w:pStyle w:val="TextBody"/>
        <w:bidi w:val="0"/>
        <w:spacing w:lineRule="auto" w:line="240" w:before="0" w:after="0"/>
        <w:jc w:val="both"/>
        <w:rPr/>
      </w:pPr>
      <w:r>
        <w:rPr>
          <w:rFonts w:ascii="Times New Roman;sans-serif" w:hAnsi="Times New Roman;sans-serif"/>
          <w:b w:val="false"/>
          <w:color w:val="000000"/>
          <w:sz w:val="20"/>
        </w:rPr>
        <w:t>This proxy statement supplement (this “</w:t>
      </w:r>
      <w:r>
        <w:rPr>
          <w:rFonts w:ascii="Times New Roman;sans-serif" w:hAnsi="Times New Roman;sans-serif"/>
          <w:b w:val="false"/>
          <w:i/>
          <w:color w:val="000000"/>
          <w:sz w:val="20"/>
        </w:rPr>
        <w:t>Proxy Supplement</w:t>
      </w:r>
      <w:r>
        <w:rPr>
          <w:color w:val="000000"/>
        </w:rPr>
        <w:t>”</w:t>
      </w:r>
      <w:r>
        <w:rPr>
          <w:rFonts w:ascii="Times New Roman;sans-serif" w:hAnsi="Times New Roman;sans-serif"/>
          <w:b w:val="false"/>
          <w:color w:val="000000"/>
          <w:sz w:val="20"/>
        </w:rPr>
        <w:t>) supplements, updates and amends the definitive proxy statement of GeneDx Holdings Corp.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filed with the Securities and Exchange Commission on April 28, 2023 (the “</w:t>
      </w:r>
      <w:r>
        <w:rPr>
          <w:rFonts w:ascii="Times New Roman;sans-serif" w:hAnsi="Times New Roman;sans-serif"/>
          <w:b w:val="false"/>
          <w:i/>
          <w:color w:val="000000"/>
          <w:sz w:val="20"/>
        </w:rPr>
        <w:t>Proxy Statement</w:t>
      </w:r>
      <w:r>
        <w:rPr>
          <w:color w:val="000000"/>
        </w:rPr>
        <w:t>”</w:t>
      </w:r>
      <w:r>
        <w:rPr>
          <w:rFonts w:ascii="Times New Roman;sans-serif" w:hAnsi="Times New Roman;sans-serif"/>
          <w:b w:val="false"/>
          <w:color w:val="000000"/>
          <w:sz w:val="20"/>
        </w:rPr>
        <w:t>) regarding the annual meeting of shareholders to be held on June 14, 2023 (the “</w:t>
      </w:r>
      <w:r>
        <w:rPr>
          <w:rFonts w:ascii="Times New Roman;sans-serif" w:hAnsi="Times New Roman;sans-serif"/>
          <w:b w:val="false"/>
          <w:i/>
          <w:color w:val="000000"/>
          <w:sz w:val="20"/>
        </w:rPr>
        <w:t>Annual Meeting</w:t>
      </w:r>
      <w:r>
        <w:rPr>
          <w:color w:val="000000"/>
        </w:rPr>
        <w:t>”</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at 9:00 a.m. Eastern time.</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Proxy Supplement contains important supplemental information to the Proxy Statement and should be read in conjunction with the Proxy Statement. To the extent that information in this Proxy Supplement differs from, conflicts with, or updates information contained in the Proxy Statement, the information in this Proxy Supplement is more current and shall prevail. The Company is providing you with the following additional information in order to further assist you in voting your shares at the Annual Meeting.</w:t>
      </w:r>
    </w:p>
    <w:p>
      <w:pPr>
        <w:pStyle w:val="TextBody"/>
        <w:bidi w:val="0"/>
        <w:spacing w:before="0" w:after="0"/>
        <w:jc w:val="both"/>
        <w:rPr/>
      </w:pPr>
      <w:r>
        <w:rPr/>
      </w:r>
    </w:p>
    <w:p>
      <w:pPr>
        <w:pStyle w:val="TextBody"/>
        <w:bidi w:val="0"/>
        <w:spacing w:lineRule="auto" w:line="240"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Annual Meeting to be Held Through a “Hybrid” Model: In Person and Online </w:t>
      </w:r>
    </w:p>
    <w:p>
      <w:pPr>
        <w:pStyle w:val="TextBody"/>
        <w:bidi w:val="0"/>
        <w:spacing w:lineRule="auto" w:line="240" w:before="0" w:after="0"/>
        <w:jc w:val="both"/>
        <w:rPr/>
      </w:pPr>
      <w:r>
        <w:rPr>
          <w:rFonts w:ascii="Times New Roman;sans-serif" w:hAnsi="Times New Roman;sans-serif"/>
          <w:b w:val="false"/>
          <w:color w:val="000000"/>
          <w:sz w:val="20"/>
        </w:rPr>
        <w:t xml:space="preserve">In addition to holding the Annual Meeting in person at the Company’s corporate headquarters at 333 Ludlow Street, North Tower, Stamford, Connecticut 06902, the Company has determined to make the Annual Meeting also accessible via live audio webcast at </w:t>
      </w:r>
      <w:r>
        <w:rPr>
          <w:rFonts w:ascii="Times New Roman;sans-serif" w:hAnsi="Times New Roman;sans-serif"/>
          <w:b w:val="false"/>
          <w:color w:val="0000FF"/>
          <w:sz w:val="20"/>
          <w:u w:val="single"/>
        </w:rPr>
        <w:t>www.virtualshareholdermeeting.com/WGS2023</w:t>
      </w:r>
      <w:r>
        <w:rPr>
          <w:color w:val="000000"/>
        </w:rPr>
        <w:t xml:space="preserve"> </w:t>
      </w:r>
      <w:r>
        <w:rPr>
          <w:rFonts w:ascii="Times New Roman;sans-serif" w:hAnsi="Times New Roman;sans-serif"/>
          <w:b w:val="false"/>
          <w:color w:val="000000"/>
          <w:sz w:val="20"/>
        </w:rPr>
        <w:t>for participants, with detailed attendance methods as outlined below.</w:t>
      </w:r>
      <w:r>
        <w:rPr>
          <w:color w:val="000000"/>
        </w:rPr>
        <w:t xml:space="preserve"> </w:t>
      </w:r>
      <w:r>
        <w:rPr>
          <w:rFonts w:ascii="Times New Roman;sans-serif" w:hAnsi="Times New Roman;sans-serif"/>
          <w:b w:val="false"/>
          <w:color w:val="000000"/>
          <w:sz w:val="20"/>
        </w:rPr>
        <w:t>Even if you are planning on attending the Annual Meeting in person or online, please promptly submit your proxy vote via the Internet, or, if you received a printed form of proxy in the mail, by completing, dating, signing and returning the proxy, so your shares will be represented at the Annual Meeting.</w:t>
      </w:r>
    </w:p>
    <w:p>
      <w:pPr>
        <w:pStyle w:val="TextBody"/>
        <w:bidi w:val="0"/>
        <w:spacing w:lineRule="auto" w:line="240" w:before="180" w:after="283"/>
        <w:jc w:val="both"/>
        <w:rPr>
          <w:rFonts w:ascii="Times New Roman;sans-serif" w:hAnsi="Times New Roman;sans-serif"/>
          <w:b/>
          <w:i/>
          <w:color w:val="000000"/>
          <w:sz w:val="20"/>
        </w:rPr>
      </w:pPr>
      <w:r>
        <w:rPr>
          <w:rFonts w:ascii="Times New Roman;sans-serif" w:hAnsi="Times New Roman;sans-serif"/>
          <w:b/>
          <w:i/>
          <w:color w:val="000000"/>
          <w:sz w:val="20"/>
        </w:rPr>
        <w:t>Attending the Annual Meeting Online</w:t>
      </w:r>
    </w:p>
    <w:p>
      <w:pPr>
        <w:pStyle w:val="TextBody"/>
        <w:bidi w:val="0"/>
        <w:spacing w:lineRule="auto" w:line="240" w:before="180" w:after="283"/>
        <w:ind w:left="0" w:right="0" w:hanging="360"/>
        <w:jc w:val="left"/>
        <w:rPr/>
      </w:pPr>
      <w:r>
        <w:rPr>
          <w:color w:val="000000"/>
        </w:rPr>
        <w:t>•</w:t>
      </w:r>
      <w:r>
        <w:rPr>
          <w:rFonts w:ascii="Times New Roman;sans-serif" w:hAnsi="Times New Roman;sans-serif"/>
          <w:b/>
          <w:i/>
          <w:color w:val="000000"/>
          <w:sz w:val="20"/>
        </w:rPr>
        <w:t>Stockholder of Record: Shares Registered in Your Name.</w:t>
      </w:r>
      <w:r>
        <w:rPr>
          <w:color w:val="000000"/>
        </w:rPr>
        <w:t xml:space="preserve"> </w:t>
      </w:r>
      <w:r>
        <w:rPr>
          <w:rFonts w:ascii="Times New Roman;sans-serif" w:hAnsi="Times New Roman;sans-serif"/>
          <w:b w:val="false"/>
          <w:color w:val="000000"/>
          <w:sz w:val="20"/>
        </w:rPr>
        <w:t xml:space="preserve">If your shares are registered in your name with Continental Stock Transfer &amp; Trust Company and you wish to attend the Annual Meeting online via webcast, go to </w:t>
      </w:r>
      <w:r>
        <w:rPr>
          <w:rFonts w:ascii="Times New Roman;sans-serif" w:hAnsi="Times New Roman;sans-serif"/>
          <w:b w:val="false"/>
          <w:color w:val="0000FF"/>
          <w:sz w:val="20"/>
          <w:u w:val="single"/>
        </w:rPr>
        <w:t>www.virtualshareholdermeeting.com/WGS2023</w:t>
      </w:r>
      <w:r>
        <w:rPr>
          <w:color w:val="000000"/>
        </w:rPr>
        <w:t xml:space="preserve"> </w:t>
      </w:r>
      <w:r>
        <w:rPr>
          <w:rFonts w:ascii="Times New Roman;sans-serif" w:hAnsi="Times New Roman;sans-serif"/>
          <w:b w:val="false"/>
          <w:color w:val="000000"/>
          <w:sz w:val="20"/>
        </w:rPr>
        <w:t>and enter the 16-digit control number included on your proxy card or notice of the meeting.</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Times New Roman;sans-serif" w:hAnsi="Times New Roman;sans-serif"/>
          <w:b/>
          <w:i/>
          <w:color w:val="000000"/>
          <w:sz w:val="20"/>
        </w:rPr>
        <w:t>Beneficial Owner: Shares Registered in the Name of a Broker or Nominee.</w:t>
      </w:r>
      <w:r>
        <w:rPr>
          <w:color w:val="000000"/>
        </w:rPr>
        <w:t xml:space="preserve"> </w:t>
      </w:r>
      <w:r>
        <w:rPr>
          <w:rFonts w:ascii="Times New Roman;sans-serif" w:hAnsi="Times New Roman;sans-serif"/>
          <w:b w:val="false"/>
          <w:color w:val="000000"/>
          <w:sz w:val="20"/>
        </w:rPr>
        <w:t>Beneficial owners will receive an email prior to the meeting with a link and instructions, including a 16-digit meeting control number, for accessing the Annual Meeting online. Beneficial owners should contact their bank or broker where their shares are held at least five (5) business days prior to the meeting date in order to ensure access.</w:t>
      </w:r>
    </w:p>
    <w:p>
      <w:pPr>
        <w:pStyle w:val="TextBody"/>
        <w:bidi w:val="0"/>
        <w:spacing w:lineRule="auto" w:line="240" w:before="180" w:after="283"/>
        <w:jc w:val="both"/>
        <w:rPr>
          <w:rFonts w:ascii="Times New Roman;sans-serif" w:hAnsi="Times New Roman;sans-serif"/>
          <w:b/>
          <w:i/>
          <w:color w:val="000000"/>
          <w:sz w:val="20"/>
        </w:rPr>
      </w:pPr>
      <w:r>
        <w:rPr>
          <w:rFonts w:ascii="Times New Roman;sans-serif" w:hAnsi="Times New Roman;sans-serif"/>
          <w:b/>
          <w:i/>
          <w:color w:val="000000"/>
          <w:sz w:val="20"/>
        </w:rPr>
        <w:t>Login Time for Annual Meeting Webcast</w:t>
      </w:r>
    </w:p>
    <w:p>
      <w:pPr>
        <w:pStyle w:val="TextBody"/>
        <w:bidi w:val="0"/>
        <w:spacing w:lineRule="auto" w:line="240" w:before="180" w:after="283"/>
        <w:jc w:val="both"/>
        <w:rPr/>
      </w:pPr>
      <w:r>
        <w:rPr>
          <w:rFonts w:ascii="Times New Roman;sans-serif" w:hAnsi="Times New Roman;sans-serif"/>
          <w:b w:val="false"/>
          <w:color w:val="000000"/>
          <w:sz w:val="20"/>
        </w:rPr>
        <w:t>You can log in to the Annual Meeting webcast 15 minutes prior to the start of the meeting. If you encounter any difficulties accessing the Annual Meeting webcast during the check-in or meeting time, please call the technical support number that will be posted on the Virtual Shareholder Meeting login page (</w:t>
      </w:r>
      <w:r>
        <w:rPr>
          <w:rFonts w:ascii="Times New Roman;sans-serif" w:hAnsi="Times New Roman;sans-serif"/>
          <w:b w:val="false"/>
          <w:color w:val="0000FF"/>
          <w:sz w:val="20"/>
          <w:u w:val="single"/>
        </w:rPr>
        <w:t>www.virtualshareholdermeeting.com/WGS2023</w:t>
      </w:r>
      <w:r>
        <w:rPr>
          <w:rFonts w:ascii="Times New Roman;sans-serif" w:hAnsi="Times New Roman;sans-serif"/>
          <w:b w:val="false"/>
          <w:color w:val="000000"/>
          <w:sz w:val="20"/>
        </w:rPr>
        <w:t>) on the day of the meeting.</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594</Words>
  <Characters>3243</Characters>
  <CharactersWithSpaces>3799</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