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5_080926.xml.htm"/>
      <w:bookmarkStart w:id="1" w:name="ksform409112025_080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1,266</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128.05</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129.09</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5,286</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sold by the Reporting Person to cover tax withholding obligations in connection with the vesting and settlement of RSUs. The sales were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Following the reported sales, in addition to the 5,286 shares of Class A common stock beneficially owned by the Reporting Person, the Reporting Person beneficially owned restricted stock units ("RSUs") representing contingent rights to receive up to an aggregate of 131,830 shares of Class A common stock and options to purchase up to an aggregate of 27,152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vest in quarterly installments over the 4-year period commencing on March 9, 2023 until fully vested,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796</Words>
  <Characters>4241</Characters>
  <CharactersWithSpaces>4954</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